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theme/themeOverride11.xml" ContentType="application/vnd.openxmlformats-officedocument.themeOverride+xml"/>
  <Override PartName="/word/charts/chart15.xml" ContentType="application/vnd.openxmlformats-officedocument.drawingml.chart+xml"/>
  <Override PartName="/word/theme/themeOverride12.xml" ContentType="application/vnd.openxmlformats-officedocument.themeOverride+xml"/>
  <Override PartName="/word/charts/chart16.xml" ContentType="application/vnd.openxmlformats-officedocument.drawingml.chart+xml"/>
  <Override PartName="/word/theme/themeOverride13.xml" ContentType="application/vnd.openxmlformats-officedocument.themeOverride+xml"/>
  <Override PartName="/word/charts/chart17.xml" ContentType="application/vnd.openxmlformats-officedocument.drawingml.chart+xml"/>
  <Override PartName="/word/charts/chart18.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4.xml" ContentType="application/vnd.openxmlformats-officedocument.themeOverride+xml"/>
  <Override PartName="/word/charts/chart19.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5.xml" ContentType="application/vnd.openxmlformats-officedocument.themeOverride+xml"/>
  <Override PartName="/word/charts/chart20.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6.xml" ContentType="application/vnd.openxmlformats-officedocument.themeOverride+xml"/>
  <Override PartName="/word/charts/chart21.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7.xml" ContentType="application/vnd.openxmlformats-officedocument.themeOverride+xml"/>
  <Override PartName="/word/charts/chart2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8.xml" ContentType="application/vnd.openxmlformats-officedocument.themeOverride+xml"/>
  <Override PartName="/word/charts/chart2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9.xml" ContentType="application/vnd.openxmlformats-officedocument.themeOverride+xml"/>
  <Override PartName="/word/charts/chart2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0.xml" ContentType="application/vnd.openxmlformats-officedocument.themeOverride+xml"/>
  <Override PartName="/word/charts/chart25.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21.xml" ContentType="application/vnd.openxmlformats-officedocument.themeOverride+xml"/>
  <Override PartName="/word/charts/chart26.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22.xml" ContentType="application/vnd.openxmlformats-officedocument.themeOverride+xml"/>
  <Override PartName="/word/charts/chart27.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23.xml" ContentType="application/vnd.openxmlformats-officedocument.themeOverride+xml"/>
  <Override PartName="/word/charts/chart28.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24.xml" ContentType="application/vnd.openxmlformats-officedocument.themeOverride+xml"/>
  <Override PartName="/word/charts/chart29.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25.xml" ContentType="application/vnd.openxmlformats-officedocument.themeOverride+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theme/themeOverride26.xml" ContentType="application/vnd.openxmlformats-officedocument.themeOverride+xml"/>
  <Override PartName="/word/charts/chart33.xml" ContentType="application/vnd.openxmlformats-officedocument.drawingml.chart+xml"/>
  <Override PartName="/word/theme/themeOverride27.xml" ContentType="application/vnd.openxmlformats-officedocument.themeOverride+xml"/>
  <Override PartName="/word/charts/chart34.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28.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55D0ECE7" w14:textId="77777777" w:rsidR="00EA2E05" w:rsidRPr="0065598A" w:rsidRDefault="00D90476" w:rsidP="00D90476">
      <w:pPr>
        <w:tabs>
          <w:tab w:val="center" w:pos="5954"/>
        </w:tabs>
        <w:spacing w:line="276" w:lineRule="auto"/>
        <w:jc w:val="center"/>
        <w:rPr>
          <w:rFonts w:asciiTheme="minorHAnsi" w:hAnsiTheme="minorHAnsi"/>
          <w:b/>
          <w:bCs/>
          <w:lang w:val="sq-AL"/>
        </w:rPr>
      </w:pPr>
      <w:r w:rsidRPr="0065598A">
        <w:rPr>
          <w:rFonts w:asciiTheme="majorHAnsi" w:hAnsiTheme="majorHAnsi"/>
          <w:noProof/>
        </w:rPr>
        <w:drawing>
          <wp:inline distT="0" distB="0" distL="0" distR="0" wp14:anchorId="611CEC54" wp14:editId="2DA34FDF">
            <wp:extent cx="6113493" cy="1638300"/>
            <wp:effectExtent l="0" t="0" r="1905" b="0"/>
            <wp:docPr id="296" name="Picture 296" descr="C:\Users\kostandine.dorri\Desktop\logo minist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tandine.dorri\Desktop\logo ministri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574" cy="1639930"/>
                    </a:xfrm>
                    <a:prstGeom prst="rect">
                      <a:avLst/>
                    </a:prstGeom>
                    <a:noFill/>
                    <a:ln>
                      <a:noFill/>
                    </a:ln>
                  </pic:spPr>
                </pic:pic>
              </a:graphicData>
            </a:graphic>
          </wp:inline>
        </w:drawing>
      </w:r>
    </w:p>
    <w:p w14:paraId="4B1D3D33" w14:textId="77777777" w:rsidR="00EA2E05" w:rsidRPr="0065598A" w:rsidRDefault="00EA2E05" w:rsidP="00A40986">
      <w:pPr>
        <w:tabs>
          <w:tab w:val="center" w:pos="5954"/>
        </w:tabs>
        <w:spacing w:line="276" w:lineRule="auto"/>
        <w:jc w:val="both"/>
        <w:rPr>
          <w:rFonts w:asciiTheme="minorHAnsi" w:hAnsiTheme="minorHAnsi"/>
          <w:b/>
          <w:bCs/>
          <w:lang w:val="sq-AL"/>
        </w:rPr>
      </w:pPr>
    </w:p>
    <w:p w14:paraId="3BC19ADB" w14:textId="77777777" w:rsidR="00EA2E05" w:rsidRPr="0065598A" w:rsidRDefault="00EA2E05" w:rsidP="00A40986">
      <w:pPr>
        <w:tabs>
          <w:tab w:val="center" w:pos="5954"/>
        </w:tabs>
        <w:spacing w:line="276" w:lineRule="auto"/>
        <w:jc w:val="both"/>
        <w:rPr>
          <w:rFonts w:asciiTheme="minorHAnsi" w:hAnsiTheme="minorHAnsi"/>
          <w:b/>
          <w:bCs/>
          <w:lang w:val="sq-AL"/>
        </w:rPr>
      </w:pPr>
    </w:p>
    <w:p w14:paraId="0D5E886C" w14:textId="77777777" w:rsidR="00EA2E05" w:rsidRPr="0065598A" w:rsidRDefault="00EA2E05" w:rsidP="00A40986">
      <w:pPr>
        <w:spacing w:line="276" w:lineRule="auto"/>
        <w:jc w:val="both"/>
        <w:rPr>
          <w:rFonts w:asciiTheme="minorHAnsi" w:hAnsiTheme="minorHAnsi"/>
          <w:b/>
          <w:bCs/>
          <w:color w:val="333333"/>
          <w:lang w:val="sq-AL"/>
        </w:rPr>
      </w:pPr>
    </w:p>
    <w:p w14:paraId="7EA447EF" w14:textId="77777777" w:rsidR="000F540A" w:rsidRPr="0065598A" w:rsidRDefault="000F540A" w:rsidP="00A40986">
      <w:pPr>
        <w:pStyle w:val="Default"/>
        <w:spacing w:line="276" w:lineRule="auto"/>
        <w:jc w:val="center"/>
        <w:rPr>
          <w:rFonts w:asciiTheme="minorHAnsi" w:hAnsiTheme="minorHAnsi"/>
          <w:b/>
          <w:color w:val="800000"/>
          <w:lang w:val="sq-AL"/>
        </w:rPr>
      </w:pPr>
    </w:p>
    <w:p w14:paraId="7F689E92" w14:textId="77777777" w:rsidR="000F540A" w:rsidRPr="0065598A" w:rsidRDefault="000F540A" w:rsidP="00A40986">
      <w:pPr>
        <w:pStyle w:val="Default"/>
        <w:spacing w:line="276" w:lineRule="auto"/>
        <w:jc w:val="center"/>
        <w:rPr>
          <w:rFonts w:asciiTheme="minorHAnsi" w:hAnsiTheme="minorHAnsi"/>
          <w:b/>
          <w:color w:val="800000"/>
          <w:lang w:val="sq-AL"/>
        </w:rPr>
      </w:pPr>
    </w:p>
    <w:p w14:paraId="6B9845E4" w14:textId="77777777" w:rsidR="000F540A" w:rsidRPr="0065598A" w:rsidRDefault="000F540A" w:rsidP="00A40986">
      <w:pPr>
        <w:pStyle w:val="Default"/>
        <w:spacing w:line="276" w:lineRule="auto"/>
        <w:jc w:val="center"/>
        <w:rPr>
          <w:rFonts w:asciiTheme="minorHAnsi" w:hAnsiTheme="minorHAnsi"/>
          <w:b/>
          <w:color w:val="800000"/>
          <w:lang w:val="sq-AL"/>
        </w:rPr>
      </w:pPr>
    </w:p>
    <w:p w14:paraId="4BBE2999" w14:textId="77777777" w:rsidR="000F540A" w:rsidRPr="0065598A" w:rsidRDefault="000F540A" w:rsidP="00A40986">
      <w:pPr>
        <w:pStyle w:val="Default"/>
        <w:spacing w:line="276" w:lineRule="auto"/>
        <w:jc w:val="center"/>
        <w:rPr>
          <w:rFonts w:asciiTheme="minorHAnsi" w:hAnsiTheme="minorHAnsi"/>
          <w:b/>
          <w:color w:val="800000"/>
          <w:lang w:val="sq-AL"/>
        </w:rPr>
      </w:pPr>
    </w:p>
    <w:p w14:paraId="594EB077" w14:textId="77777777" w:rsidR="00EA2E05" w:rsidRPr="0065598A" w:rsidRDefault="00EA2E05" w:rsidP="00A40986">
      <w:pPr>
        <w:pStyle w:val="Default"/>
        <w:spacing w:line="276" w:lineRule="auto"/>
        <w:jc w:val="center"/>
        <w:rPr>
          <w:rFonts w:asciiTheme="minorHAnsi" w:hAnsiTheme="minorHAnsi"/>
          <w:b/>
          <w:color w:val="800000"/>
          <w:lang w:val="sq-AL"/>
        </w:rPr>
      </w:pPr>
      <w:r w:rsidRPr="0065598A">
        <w:rPr>
          <w:rFonts w:asciiTheme="minorHAnsi" w:hAnsiTheme="minorHAnsi"/>
          <w:b/>
          <w:color w:val="800000"/>
          <w:lang w:val="sq-AL"/>
        </w:rPr>
        <w:t>______________</w:t>
      </w:r>
    </w:p>
    <w:p w14:paraId="3AD4B5EC" w14:textId="77777777" w:rsidR="00FA2FFA" w:rsidRPr="0065598A" w:rsidRDefault="00FA2FFA" w:rsidP="00A40986">
      <w:pPr>
        <w:pStyle w:val="Default"/>
        <w:spacing w:line="276" w:lineRule="auto"/>
        <w:jc w:val="center"/>
        <w:rPr>
          <w:rFonts w:asciiTheme="minorHAnsi" w:hAnsiTheme="minorHAnsi"/>
          <w:b/>
          <w:color w:val="auto"/>
          <w:lang w:val="sq-AL"/>
        </w:rPr>
      </w:pPr>
    </w:p>
    <w:p w14:paraId="0D53FFC5" w14:textId="77777777" w:rsidR="00337792" w:rsidRPr="0065598A" w:rsidRDefault="00337792" w:rsidP="00A40986">
      <w:pPr>
        <w:pStyle w:val="Default"/>
        <w:spacing w:line="276" w:lineRule="auto"/>
        <w:jc w:val="center"/>
        <w:rPr>
          <w:rFonts w:asciiTheme="minorHAnsi" w:hAnsiTheme="minorHAnsi"/>
          <w:b/>
          <w:color w:val="C00000"/>
          <w:sz w:val="52"/>
          <w:lang w:val="sq-AL"/>
        </w:rPr>
      </w:pPr>
      <w:r w:rsidRPr="0065598A">
        <w:rPr>
          <w:rFonts w:asciiTheme="minorHAnsi" w:hAnsiTheme="minorHAnsi"/>
          <w:b/>
          <w:color w:val="C00000"/>
          <w:sz w:val="52"/>
          <w:lang w:val="sq-AL"/>
        </w:rPr>
        <w:t xml:space="preserve">RAPORTI I MES-VITIT </w:t>
      </w:r>
    </w:p>
    <w:p w14:paraId="6A87E4A8" w14:textId="77777777" w:rsidR="00C81BF8" w:rsidRPr="0065598A" w:rsidRDefault="00337792" w:rsidP="00A40986">
      <w:pPr>
        <w:pStyle w:val="Default"/>
        <w:spacing w:line="276" w:lineRule="auto"/>
        <w:jc w:val="center"/>
        <w:rPr>
          <w:rFonts w:asciiTheme="minorHAnsi" w:hAnsiTheme="minorHAnsi"/>
          <w:b/>
          <w:color w:val="C00000"/>
          <w:sz w:val="52"/>
          <w:lang w:val="sq-AL"/>
        </w:rPr>
      </w:pPr>
      <w:r w:rsidRPr="0065598A">
        <w:rPr>
          <w:rFonts w:asciiTheme="minorHAnsi" w:hAnsiTheme="minorHAnsi"/>
          <w:b/>
          <w:color w:val="C00000"/>
          <w:sz w:val="52"/>
          <w:lang w:val="sq-AL"/>
        </w:rPr>
        <w:t xml:space="preserve">MBI ZBATIMIN E BUXHETIT </w:t>
      </w:r>
      <w:r w:rsidRPr="003C6B6E">
        <w:rPr>
          <w:rFonts w:asciiTheme="minorHAnsi" w:hAnsiTheme="minorHAnsi"/>
          <w:b/>
          <w:color w:val="C00000"/>
          <w:sz w:val="52"/>
          <w:lang w:val="sq-AL"/>
        </w:rPr>
        <w:t>20</w:t>
      </w:r>
      <w:r w:rsidR="00A93433" w:rsidRPr="003C6B6E">
        <w:rPr>
          <w:rFonts w:asciiTheme="minorHAnsi" w:hAnsiTheme="minorHAnsi"/>
          <w:b/>
          <w:color w:val="C00000"/>
          <w:sz w:val="52"/>
          <w:lang w:val="sq-AL"/>
        </w:rPr>
        <w:t>2</w:t>
      </w:r>
      <w:r w:rsidR="00367A15">
        <w:rPr>
          <w:rFonts w:asciiTheme="minorHAnsi" w:hAnsiTheme="minorHAnsi"/>
          <w:b/>
          <w:color w:val="C00000"/>
          <w:sz w:val="52"/>
          <w:lang w:val="sq-AL"/>
        </w:rPr>
        <w:t>3</w:t>
      </w:r>
    </w:p>
    <w:p w14:paraId="7A5BF4CB" w14:textId="77777777" w:rsidR="00AB2DCA" w:rsidRPr="0065598A" w:rsidRDefault="00AB2DCA" w:rsidP="00A40986">
      <w:pPr>
        <w:pStyle w:val="Default"/>
        <w:spacing w:line="276" w:lineRule="auto"/>
        <w:jc w:val="center"/>
        <w:rPr>
          <w:rFonts w:asciiTheme="minorHAnsi" w:hAnsiTheme="minorHAnsi"/>
          <w:b/>
          <w:color w:val="C00000"/>
          <w:lang w:val="sq-AL"/>
        </w:rPr>
      </w:pPr>
    </w:p>
    <w:p w14:paraId="34CB01F0" w14:textId="77777777" w:rsidR="00337792" w:rsidRPr="0065598A" w:rsidRDefault="00337792" w:rsidP="00A40986">
      <w:pPr>
        <w:pStyle w:val="Default"/>
        <w:spacing w:line="276" w:lineRule="auto"/>
        <w:jc w:val="center"/>
        <w:rPr>
          <w:rFonts w:asciiTheme="minorHAnsi" w:hAnsiTheme="minorHAnsi"/>
          <w:b/>
          <w:color w:val="365F91" w:themeColor="accent1" w:themeShade="BF"/>
          <w:sz w:val="40"/>
          <w:lang w:val="sq-AL"/>
        </w:rPr>
      </w:pPr>
      <w:r w:rsidRPr="0065598A">
        <w:rPr>
          <w:rFonts w:asciiTheme="minorHAnsi" w:hAnsiTheme="minorHAnsi"/>
          <w:b/>
          <w:color w:val="365F91" w:themeColor="accent1" w:themeShade="BF"/>
          <w:sz w:val="40"/>
          <w:lang w:val="sq-AL"/>
        </w:rPr>
        <w:t>VLERËSIMI I SITUATËS MAKROEKONOMIKE, FISKALE DHE BUXHETORE PËR 5-MUJORIN 20</w:t>
      </w:r>
      <w:r w:rsidR="00A93433" w:rsidRPr="0065598A">
        <w:rPr>
          <w:rFonts w:asciiTheme="minorHAnsi" w:hAnsiTheme="minorHAnsi"/>
          <w:b/>
          <w:color w:val="365F91" w:themeColor="accent1" w:themeShade="BF"/>
          <w:sz w:val="40"/>
          <w:lang w:val="sq-AL"/>
        </w:rPr>
        <w:t>2</w:t>
      </w:r>
      <w:r w:rsidR="00367A15">
        <w:rPr>
          <w:rFonts w:asciiTheme="minorHAnsi" w:hAnsiTheme="minorHAnsi"/>
          <w:b/>
          <w:color w:val="365F91" w:themeColor="accent1" w:themeShade="BF"/>
          <w:sz w:val="40"/>
          <w:lang w:val="sq-AL"/>
        </w:rPr>
        <w:t>3</w:t>
      </w:r>
      <w:r w:rsidRPr="0065598A">
        <w:rPr>
          <w:rFonts w:asciiTheme="minorHAnsi" w:hAnsiTheme="minorHAnsi"/>
          <w:b/>
          <w:color w:val="365F91" w:themeColor="accent1" w:themeShade="BF"/>
          <w:sz w:val="40"/>
          <w:lang w:val="sq-AL"/>
        </w:rPr>
        <w:t xml:space="preserve">, </w:t>
      </w:r>
    </w:p>
    <w:p w14:paraId="6B162721" w14:textId="77777777" w:rsidR="00AB2DCA" w:rsidRPr="0065598A" w:rsidRDefault="00337792" w:rsidP="00A40986">
      <w:pPr>
        <w:pStyle w:val="Default"/>
        <w:spacing w:line="276" w:lineRule="auto"/>
        <w:jc w:val="center"/>
        <w:rPr>
          <w:rFonts w:asciiTheme="minorHAnsi" w:hAnsiTheme="minorHAnsi"/>
          <w:b/>
          <w:color w:val="365F91" w:themeColor="accent1" w:themeShade="BF"/>
          <w:sz w:val="40"/>
          <w:lang w:val="sq-AL"/>
        </w:rPr>
      </w:pPr>
      <w:r w:rsidRPr="0065598A">
        <w:rPr>
          <w:rFonts w:asciiTheme="minorHAnsi" w:hAnsiTheme="minorHAnsi"/>
          <w:b/>
          <w:color w:val="365F91" w:themeColor="accent1" w:themeShade="BF"/>
          <w:sz w:val="40"/>
          <w:lang w:val="sq-AL"/>
        </w:rPr>
        <w:t>DHE PRITSHMËRITË PËR 12-MUJORIN 20</w:t>
      </w:r>
      <w:r w:rsidR="00A93433" w:rsidRPr="0065598A">
        <w:rPr>
          <w:rFonts w:asciiTheme="minorHAnsi" w:hAnsiTheme="minorHAnsi"/>
          <w:b/>
          <w:color w:val="365F91" w:themeColor="accent1" w:themeShade="BF"/>
          <w:sz w:val="40"/>
          <w:lang w:val="sq-AL"/>
        </w:rPr>
        <w:t>2</w:t>
      </w:r>
      <w:r w:rsidR="00367A15">
        <w:rPr>
          <w:rFonts w:asciiTheme="minorHAnsi" w:hAnsiTheme="minorHAnsi"/>
          <w:b/>
          <w:color w:val="365F91" w:themeColor="accent1" w:themeShade="BF"/>
          <w:sz w:val="40"/>
          <w:lang w:val="sq-AL"/>
        </w:rPr>
        <w:t>3</w:t>
      </w:r>
    </w:p>
    <w:p w14:paraId="4BE8201D" w14:textId="77777777" w:rsidR="00EA2E05" w:rsidRPr="0065598A" w:rsidRDefault="00EA2E05" w:rsidP="00A40986">
      <w:pPr>
        <w:pStyle w:val="Default"/>
        <w:spacing w:line="276" w:lineRule="auto"/>
        <w:jc w:val="center"/>
        <w:rPr>
          <w:rFonts w:asciiTheme="minorHAnsi" w:hAnsiTheme="minorHAnsi"/>
          <w:color w:val="auto"/>
          <w:lang w:val="sq-AL"/>
        </w:rPr>
      </w:pPr>
      <w:r w:rsidRPr="0065598A">
        <w:rPr>
          <w:rFonts w:asciiTheme="minorHAnsi" w:hAnsiTheme="minorHAnsi"/>
          <w:b/>
          <w:color w:val="800000"/>
          <w:lang w:val="sq-AL"/>
        </w:rPr>
        <w:t>______________________________</w:t>
      </w:r>
    </w:p>
    <w:p w14:paraId="2324CD95" w14:textId="77777777" w:rsidR="00EA2E05" w:rsidRPr="0065598A" w:rsidRDefault="00EA2E05" w:rsidP="00A40986">
      <w:pPr>
        <w:pStyle w:val="Default"/>
        <w:spacing w:line="276" w:lineRule="auto"/>
        <w:jc w:val="center"/>
        <w:rPr>
          <w:rFonts w:asciiTheme="minorHAnsi" w:hAnsiTheme="minorHAnsi" w:cs="Arial"/>
          <w:color w:val="auto"/>
          <w:lang w:val="sq-AL"/>
        </w:rPr>
      </w:pPr>
    </w:p>
    <w:p w14:paraId="55EF86D3" w14:textId="77777777" w:rsidR="000F540A" w:rsidRPr="0065598A" w:rsidRDefault="000F540A" w:rsidP="00A40986">
      <w:pPr>
        <w:pStyle w:val="Default"/>
        <w:spacing w:line="276" w:lineRule="auto"/>
        <w:jc w:val="both"/>
        <w:rPr>
          <w:rFonts w:asciiTheme="minorHAnsi" w:hAnsiTheme="minorHAnsi" w:cs="Arial"/>
          <w:color w:val="auto"/>
          <w:lang w:val="sq-AL"/>
        </w:rPr>
      </w:pPr>
    </w:p>
    <w:p w14:paraId="6114213F" w14:textId="77777777" w:rsidR="000F540A" w:rsidRPr="0065598A" w:rsidRDefault="000F540A" w:rsidP="00A40986">
      <w:pPr>
        <w:pStyle w:val="Default"/>
        <w:spacing w:line="276" w:lineRule="auto"/>
        <w:jc w:val="both"/>
        <w:rPr>
          <w:rFonts w:asciiTheme="minorHAnsi" w:hAnsiTheme="minorHAnsi" w:cs="Arial"/>
          <w:color w:val="auto"/>
          <w:lang w:val="sq-AL"/>
        </w:rPr>
      </w:pPr>
    </w:p>
    <w:p w14:paraId="5C4C4A7F" w14:textId="77777777" w:rsidR="00A4451F" w:rsidRPr="0065598A" w:rsidRDefault="00A4451F" w:rsidP="00A40986">
      <w:pPr>
        <w:spacing w:line="276" w:lineRule="auto"/>
        <w:jc w:val="both"/>
        <w:rPr>
          <w:rFonts w:asciiTheme="minorHAnsi" w:hAnsiTheme="minorHAnsi" w:cs="Arial"/>
          <w:lang w:val="sq-AL"/>
        </w:rPr>
      </w:pPr>
    </w:p>
    <w:p w14:paraId="75D2D774" w14:textId="77777777" w:rsidR="00EA2E05" w:rsidRPr="0065598A" w:rsidRDefault="00EA2E05" w:rsidP="00A40986">
      <w:pPr>
        <w:spacing w:line="276" w:lineRule="auto"/>
        <w:jc w:val="both"/>
        <w:rPr>
          <w:rFonts w:asciiTheme="minorHAnsi" w:hAnsiTheme="minorHAnsi" w:cs="Arial"/>
          <w:lang w:val="sq-AL"/>
        </w:rPr>
      </w:pPr>
    </w:p>
    <w:p w14:paraId="34A07DDE" w14:textId="77777777" w:rsidR="00EA2E05" w:rsidRPr="0065598A" w:rsidRDefault="00EA2E05" w:rsidP="00A40986">
      <w:pPr>
        <w:spacing w:line="276" w:lineRule="auto"/>
        <w:jc w:val="both"/>
        <w:rPr>
          <w:rFonts w:asciiTheme="minorHAnsi" w:hAnsiTheme="minorHAnsi" w:cs="Arial"/>
          <w:lang w:val="sq-AL"/>
        </w:rPr>
      </w:pPr>
    </w:p>
    <w:p w14:paraId="0C0989E3" w14:textId="77777777" w:rsidR="00EA2E05" w:rsidRPr="0065598A" w:rsidRDefault="00EA2E05" w:rsidP="00A40986">
      <w:pPr>
        <w:spacing w:line="276" w:lineRule="auto"/>
        <w:jc w:val="both"/>
        <w:rPr>
          <w:rFonts w:asciiTheme="minorHAnsi" w:hAnsiTheme="minorHAnsi" w:cs="Arial"/>
          <w:lang w:val="sq-AL"/>
        </w:rPr>
      </w:pPr>
    </w:p>
    <w:p w14:paraId="64FB93F1" w14:textId="77777777" w:rsidR="00EA2E05" w:rsidRPr="0065598A" w:rsidRDefault="00EA2E05" w:rsidP="00A40986">
      <w:pPr>
        <w:spacing w:line="276" w:lineRule="auto"/>
        <w:jc w:val="both"/>
        <w:rPr>
          <w:rFonts w:asciiTheme="minorHAnsi" w:hAnsiTheme="minorHAnsi" w:cs="Arial"/>
          <w:lang w:val="sq-AL"/>
        </w:rPr>
      </w:pPr>
    </w:p>
    <w:p w14:paraId="22677386" w14:textId="77777777" w:rsidR="00EA2E05" w:rsidRPr="0065598A" w:rsidRDefault="00EA2E05" w:rsidP="00A40986">
      <w:pPr>
        <w:spacing w:line="276" w:lineRule="auto"/>
        <w:jc w:val="both"/>
        <w:rPr>
          <w:rFonts w:asciiTheme="minorHAnsi" w:hAnsiTheme="minorHAnsi" w:cs="Arial"/>
          <w:lang w:val="sq-AL"/>
        </w:rPr>
      </w:pPr>
    </w:p>
    <w:p w14:paraId="75C78F87" w14:textId="77777777" w:rsidR="00EA2E05" w:rsidRPr="0065598A" w:rsidRDefault="00EA2E05" w:rsidP="00A40986">
      <w:pPr>
        <w:spacing w:line="276" w:lineRule="auto"/>
        <w:jc w:val="both"/>
        <w:rPr>
          <w:rFonts w:asciiTheme="minorHAnsi" w:hAnsiTheme="minorHAnsi" w:cs="Arial"/>
          <w:lang w:val="sq-AL"/>
        </w:rPr>
      </w:pPr>
    </w:p>
    <w:p w14:paraId="03DA228F" w14:textId="77777777" w:rsidR="00EA2E05" w:rsidRPr="0065598A" w:rsidRDefault="00EA2E05" w:rsidP="00A40986">
      <w:pPr>
        <w:spacing w:line="276" w:lineRule="auto"/>
        <w:jc w:val="both"/>
        <w:rPr>
          <w:rFonts w:asciiTheme="minorHAnsi" w:hAnsiTheme="minorHAnsi" w:cs="Arial"/>
          <w:lang w:val="sq-AL"/>
        </w:rPr>
      </w:pPr>
    </w:p>
    <w:p w14:paraId="626C8CCE" w14:textId="77777777" w:rsidR="00EA2E05" w:rsidRPr="0065598A" w:rsidRDefault="00EA2E05" w:rsidP="00A40986">
      <w:pPr>
        <w:spacing w:line="276" w:lineRule="auto"/>
        <w:jc w:val="both"/>
        <w:rPr>
          <w:rFonts w:asciiTheme="minorHAnsi" w:hAnsiTheme="minorHAnsi" w:cs="Arial"/>
          <w:lang w:val="sq-AL"/>
        </w:rPr>
      </w:pPr>
    </w:p>
    <w:p w14:paraId="7962B843" w14:textId="77777777" w:rsidR="00EA2E05" w:rsidRDefault="00E97958" w:rsidP="00A40986">
      <w:pPr>
        <w:spacing w:line="276" w:lineRule="auto"/>
        <w:jc w:val="both"/>
        <w:rPr>
          <w:rFonts w:asciiTheme="minorHAnsi" w:hAnsiTheme="minorHAnsi" w:cs="Arial"/>
          <w:b/>
          <w:color w:val="C00000"/>
          <w:sz w:val="32"/>
          <w:lang w:val="sq-AL"/>
        </w:rPr>
      </w:pPr>
      <w:r w:rsidRPr="0065598A">
        <w:rPr>
          <w:rFonts w:asciiTheme="minorHAnsi" w:hAnsiTheme="minorHAnsi" w:cs="Arial"/>
          <w:b/>
          <w:color w:val="C00000"/>
          <w:sz w:val="32"/>
          <w:lang w:val="sq-AL"/>
        </w:rPr>
        <w:t xml:space="preserve">Tiranë, </w:t>
      </w:r>
      <w:r w:rsidR="00337792" w:rsidRPr="0065598A">
        <w:rPr>
          <w:rFonts w:asciiTheme="minorHAnsi" w:hAnsiTheme="minorHAnsi" w:cs="Arial"/>
          <w:b/>
          <w:color w:val="C00000"/>
          <w:sz w:val="32"/>
          <w:lang w:val="sq-AL"/>
        </w:rPr>
        <w:t xml:space="preserve">Qershor </w:t>
      </w:r>
      <w:r w:rsidRPr="0065598A">
        <w:rPr>
          <w:rFonts w:asciiTheme="minorHAnsi" w:hAnsiTheme="minorHAnsi" w:cs="Arial"/>
          <w:b/>
          <w:color w:val="C00000"/>
          <w:sz w:val="32"/>
          <w:lang w:val="sq-AL"/>
        </w:rPr>
        <w:t>20</w:t>
      </w:r>
      <w:r w:rsidR="00A93433" w:rsidRPr="0065598A">
        <w:rPr>
          <w:rFonts w:asciiTheme="minorHAnsi" w:hAnsiTheme="minorHAnsi" w:cs="Arial"/>
          <w:b/>
          <w:color w:val="C00000"/>
          <w:sz w:val="32"/>
          <w:lang w:val="sq-AL"/>
        </w:rPr>
        <w:t>2</w:t>
      </w:r>
      <w:r w:rsidR="00367A15">
        <w:rPr>
          <w:rFonts w:asciiTheme="minorHAnsi" w:hAnsiTheme="minorHAnsi" w:cs="Arial"/>
          <w:b/>
          <w:color w:val="C00000"/>
          <w:sz w:val="32"/>
          <w:lang w:val="sq-AL"/>
        </w:rPr>
        <w:t>3</w:t>
      </w:r>
    </w:p>
    <w:p w14:paraId="5B43E517" w14:textId="77777777" w:rsidR="0093243B" w:rsidRDefault="0093243B" w:rsidP="00A40986">
      <w:pPr>
        <w:spacing w:line="276" w:lineRule="auto"/>
        <w:jc w:val="both"/>
        <w:rPr>
          <w:rFonts w:asciiTheme="minorHAnsi" w:hAnsiTheme="minorHAnsi" w:cs="Arial"/>
          <w:b/>
          <w:color w:val="C00000"/>
          <w:sz w:val="32"/>
          <w:lang w:val="sq-AL"/>
        </w:rPr>
      </w:pPr>
    </w:p>
    <w:p w14:paraId="56B87BD8" w14:textId="77777777" w:rsidR="002C0E6D" w:rsidRPr="0065598A" w:rsidRDefault="002C0E6D" w:rsidP="00A40986">
      <w:pPr>
        <w:spacing w:line="276" w:lineRule="auto"/>
        <w:jc w:val="both"/>
        <w:rPr>
          <w:rFonts w:asciiTheme="minorHAnsi" w:hAnsiTheme="minorHAnsi" w:cs="Arial"/>
          <w:b/>
          <w:color w:val="C00000"/>
          <w:sz w:val="32"/>
          <w:lang w:val="sq-AL"/>
        </w:rPr>
      </w:pPr>
    </w:p>
    <w:bookmarkStart w:id="0" w:name="_Toc449351139" w:displacedByCustomXml="next"/>
    <w:sdt>
      <w:sdtPr>
        <w:rPr>
          <w:rFonts w:ascii="Times New Roman" w:eastAsia="Times New Roman" w:hAnsi="Times New Roman" w:cs="Times New Roman"/>
          <w:b w:val="0"/>
          <w:bCs w:val="0"/>
          <w:noProof w:val="0"/>
          <w:color w:val="auto"/>
          <w:sz w:val="20"/>
          <w:u w:val="none"/>
          <w:lang w:val="en-US"/>
        </w:rPr>
        <w:id w:val="2053270720"/>
        <w:docPartObj>
          <w:docPartGallery w:val="Table of Contents"/>
          <w:docPartUnique/>
        </w:docPartObj>
      </w:sdtPr>
      <w:sdtEndPr>
        <w:rPr>
          <w:rFonts w:asciiTheme="majorHAnsi" w:hAnsiTheme="majorHAnsi"/>
          <w:color w:val="0070C0"/>
          <w:sz w:val="22"/>
          <w:szCs w:val="22"/>
        </w:rPr>
      </w:sdtEndPr>
      <w:sdtContent>
        <w:p w14:paraId="7E73FB29" w14:textId="77777777" w:rsidR="00EE2069" w:rsidRPr="00FA4974" w:rsidRDefault="00EF5147" w:rsidP="00051122">
          <w:pPr>
            <w:pStyle w:val="TOCHeading"/>
            <w:spacing w:before="0" w:line="240" w:lineRule="auto"/>
            <w:ind w:right="-360"/>
            <w:jc w:val="center"/>
            <w:rPr>
              <w:rFonts w:asciiTheme="minorHAnsi" w:hAnsiTheme="minorHAnsi"/>
              <w:noProof w:val="0"/>
              <w:sz w:val="32"/>
              <w:szCs w:val="28"/>
              <w:u w:val="none"/>
            </w:rPr>
          </w:pPr>
          <w:r w:rsidRPr="00FA4974">
            <w:rPr>
              <w:rFonts w:asciiTheme="minorHAnsi" w:hAnsiTheme="minorHAnsi"/>
              <w:noProof w:val="0"/>
              <w:sz w:val="32"/>
              <w:szCs w:val="28"/>
            </w:rPr>
            <w:t xml:space="preserve">P </w:t>
          </w:r>
          <w:r w:rsidR="002F0689" w:rsidRPr="00FA4974">
            <w:rPr>
              <w:rFonts w:asciiTheme="minorHAnsi" w:hAnsiTheme="minorHAnsi"/>
              <w:noProof w:val="0"/>
              <w:sz w:val="32"/>
              <w:szCs w:val="28"/>
            </w:rPr>
            <w:t>Ë</w:t>
          </w:r>
          <w:r w:rsidRPr="00FA4974">
            <w:rPr>
              <w:rFonts w:asciiTheme="minorHAnsi" w:hAnsiTheme="minorHAnsi"/>
              <w:noProof w:val="0"/>
              <w:sz w:val="32"/>
              <w:szCs w:val="28"/>
            </w:rPr>
            <w:t xml:space="preserve"> R M B A J T J A</w:t>
          </w:r>
        </w:p>
        <w:p w14:paraId="4277511A" w14:textId="3A332D09" w:rsidR="00AE04F9" w:rsidRPr="002B0076" w:rsidRDefault="00EE2069">
          <w:pPr>
            <w:pStyle w:val="TOC1"/>
            <w:rPr>
              <w:rFonts w:asciiTheme="majorHAnsi" w:eastAsiaTheme="minorEastAsia" w:hAnsiTheme="majorHAnsi" w:cstheme="minorBidi"/>
              <w:b w:val="0"/>
              <w:color w:val="0070C0"/>
              <w:szCs w:val="22"/>
            </w:rPr>
          </w:pPr>
          <w:r w:rsidRPr="002B0076">
            <w:rPr>
              <w:rFonts w:asciiTheme="majorHAnsi" w:hAnsiTheme="majorHAnsi"/>
              <w:color w:val="0070C0"/>
              <w:szCs w:val="22"/>
              <w:lang w:val="sq-AL"/>
            </w:rPr>
            <w:fldChar w:fldCharType="begin"/>
          </w:r>
          <w:r w:rsidRPr="002B0076">
            <w:rPr>
              <w:rFonts w:asciiTheme="majorHAnsi" w:hAnsiTheme="majorHAnsi"/>
              <w:color w:val="0070C0"/>
              <w:szCs w:val="22"/>
              <w:lang w:val="sq-AL"/>
            </w:rPr>
            <w:instrText xml:space="preserve"> TOC \o "1-3" \h \z \u </w:instrText>
          </w:r>
          <w:r w:rsidRPr="002B0076">
            <w:rPr>
              <w:rFonts w:asciiTheme="majorHAnsi" w:hAnsiTheme="majorHAnsi"/>
              <w:color w:val="0070C0"/>
              <w:szCs w:val="22"/>
              <w:lang w:val="sq-AL"/>
            </w:rPr>
            <w:fldChar w:fldCharType="separate"/>
          </w:r>
          <w:hyperlink w:anchor="_Toc107496978" w:history="1">
            <w:r w:rsidR="00AE04F9" w:rsidRPr="002B0076">
              <w:rPr>
                <w:rStyle w:val="Hyperlink"/>
                <w:rFonts w:asciiTheme="majorHAnsi" w:hAnsiTheme="majorHAnsi"/>
                <w:color w:val="0070C0"/>
                <w:sz w:val="18"/>
              </w:rPr>
              <w:t>LISTA E TABELAVE</w:t>
            </w:r>
            <w:r w:rsidR="00AE04F9" w:rsidRPr="002B0076">
              <w:rPr>
                <w:rFonts w:asciiTheme="majorHAnsi" w:hAnsiTheme="majorHAnsi"/>
                <w:webHidden/>
                <w:color w:val="0070C0"/>
                <w:sz w:val="18"/>
              </w:rPr>
              <w:tab/>
            </w:r>
            <w:r w:rsidR="00AE04F9" w:rsidRPr="002B0076">
              <w:rPr>
                <w:rFonts w:asciiTheme="majorHAnsi" w:hAnsiTheme="majorHAnsi"/>
                <w:webHidden/>
                <w:color w:val="0070C0"/>
                <w:sz w:val="18"/>
              </w:rPr>
              <w:fldChar w:fldCharType="begin"/>
            </w:r>
            <w:r w:rsidR="00AE04F9" w:rsidRPr="002B0076">
              <w:rPr>
                <w:rFonts w:asciiTheme="majorHAnsi" w:hAnsiTheme="majorHAnsi"/>
                <w:webHidden/>
                <w:color w:val="0070C0"/>
                <w:sz w:val="18"/>
              </w:rPr>
              <w:instrText xml:space="preserve"> PAGEREF _Toc107496978 \h </w:instrText>
            </w:r>
            <w:r w:rsidR="00AE04F9" w:rsidRPr="002B0076">
              <w:rPr>
                <w:rFonts w:asciiTheme="majorHAnsi" w:hAnsiTheme="majorHAnsi"/>
                <w:webHidden/>
                <w:color w:val="0070C0"/>
                <w:sz w:val="18"/>
              </w:rPr>
            </w:r>
            <w:r w:rsidR="00AE04F9" w:rsidRPr="002B0076">
              <w:rPr>
                <w:rFonts w:asciiTheme="majorHAnsi" w:hAnsiTheme="majorHAnsi"/>
                <w:webHidden/>
                <w:color w:val="0070C0"/>
                <w:sz w:val="18"/>
              </w:rPr>
              <w:fldChar w:fldCharType="separate"/>
            </w:r>
            <w:r w:rsidR="00C153A9">
              <w:rPr>
                <w:rFonts w:asciiTheme="majorHAnsi" w:hAnsiTheme="majorHAnsi"/>
                <w:webHidden/>
                <w:color w:val="0070C0"/>
                <w:sz w:val="18"/>
              </w:rPr>
              <w:t>3</w:t>
            </w:r>
            <w:r w:rsidR="00AE04F9" w:rsidRPr="002B0076">
              <w:rPr>
                <w:rFonts w:asciiTheme="majorHAnsi" w:hAnsiTheme="majorHAnsi"/>
                <w:webHidden/>
                <w:color w:val="0070C0"/>
                <w:sz w:val="18"/>
              </w:rPr>
              <w:fldChar w:fldCharType="end"/>
            </w:r>
          </w:hyperlink>
        </w:p>
        <w:p w14:paraId="766F1A00" w14:textId="6FA5F496" w:rsidR="00AE04F9" w:rsidRPr="002B0076" w:rsidRDefault="00E3360A">
          <w:pPr>
            <w:pStyle w:val="TOC1"/>
            <w:rPr>
              <w:rFonts w:asciiTheme="majorHAnsi" w:eastAsiaTheme="minorEastAsia" w:hAnsiTheme="majorHAnsi" w:cstheme="minorBidi"/>
              <w:b w:val="0"/>
              <w:color w:val="0070C0"/>
              <w:szCs w:val="22"/>
            </w:rPr>
          </w:pPr>
          <w:hyperlink w:anchor="_Toc107496979" w:history="1">
            <w:r w:rsidR="00AE04F9" w:rsidRPr="002B0076">
              <w:rPr>
                <w:rStyle w:val="Hyperlink"/>
                <w:rFonts w:asciiTheme="majorHAnsi" w:hAnsiTheme="majorHAnsi"/>
                <w:color w:val="0070C0"/>
                <w:sz w:val="18"/>
              </w:rPr>
              <w:t>LISTA E GRAFIKËVE</w:t>
            </w:r>
            <w:r w:rsidR="00AE04F9" w:rsidRPr="002B0076">
              <w:rPr>
                <w:rFonts w:asciiTheme="majorHAnsi" w:hAnsiTheme="majorHAnsi"/>
                <w:webHidden/>
                <w:color w:val="0070C0"/>
                <w:sz w:val="18"/>
              </w:rPr>
              <w:tab/>
            </w:r>
            <w:r w:rsidR="00AE04F9" w:rsidRPr="002B0076">
              <w:rPr>
                <w:rFonts w:asciiTheme="majorHAnsi" w:hAnsiTheme="majorHAnsi"/>
                <w:webHidden/>
                <w:color w:val="0070C0"/>
                <w:sz w:val="18"/>
              </w:rPr>
              <w:fldChar w:fldCharType="begin"/>
            </w:r>
            <w:r w:rsidR="00AE04F9" w:rsidRPr="002B0076">
              <w:rPr>
                <w:rFonts w:asciiTheme="majorHAnsi" w:hAnsiTheme="majorHAnsi"/>
                <w:webHidden/>
                <w:color w:val="0070C0"/>
                <w:sz w:val="18"/>
              </w:rPr>
              <w:instrText xml:space="preserve"> PAGEREF _Toc107496979 \h </w:instrText>
            </w:r>
            <w:r w:rsidR="00AE04F9" w:rsidRPr="002B0076">
              <w:rPr>
                <w:rFonts w:asciiTheme="majorHAnsi" w:hAnsiTheme="majorHAnsi"/>
                <w:webHidden/>
                <w:color w:val="0070C0"/>
                <w:sz w:val="18"/>
              </w:rPr>
            </w:r>
            <w:r w:rsidR="00AE04F9" w:rsidRPr="002B0076">
              <w:rPr>
                <w:rFonts w:asciiTheme="majorHAnsi" w:hAnsiTheme="majorHAnsi"/>
                <w:webHidden/>
                <w:color w:val="0070C0"/>
                <w:sz w:val="18"/>
              </w:rPr>
              <w:fldChar w:fldCharType="separate"/>
            </w:r>
            <w:r w:rsidR="00C153A9">
              <w:rPr>
                <w:rFonts w:asciiTheme="majorHAnsi" w:hAnsiTheme="majorHAnsi"/>
                <w:webHidden/>
                <w:color w:val="0070C0"/>
                <w:sz w:val="18"/>
              </w:rPr>
              <w:t>4</w:t>
            </w:r>
            <w:r w:rsidR="00AE04F9" w:rsidRPr="002B0076">
              <w:rPr>
                <w:rFonts w:asciiTheme="majorHAnsi" w:hAnsiTheme="majorHAnsi"/>
                <w:webHidden/>
                <w:color w:val="0070C0"/>
                <w:sz w:val="18"/>
              </w:rPr>
              <w:fldChar w:fldCharType="end"/>
            </w:r>
          </w:hyperlink>
        </w:p>
        <w:p w14:paraId="1F455DC0" w14:textId="70CBFB8E" w:rsidR="00AE04F9" w:rsidRPr="002B0076" w:rsidRDefault="00E3360A">
          <w:pPr>
            <w:pStyle w:val="TOC1"/>
            <w:rPr>
              <w:rFonts w:asciiTheme="majorHAnsi" w:eastAsiaTheme="minorEastAsia" w:hAnsiTheme="majorHAnsi" w:cstheme="minorBidi"/>
              <w:b w:val="0"/>
              <w:color w:val="0070C0"/>
              <w:szCs w:val="22"/>
            </w:rPr>
          </w:pPr>
          <w:hyperlink w:anchor="_Toc107496980" w:history="1">
            <w:r w:rsidR="00AE04F9" w:rsidRPr="002B0076">
              <w:rPr>
                <w:rStyle w:val="Hyperlink"/>
                <w:rFonts w:asciiTheme="majorHAnsi" w:hAnsiTheme="majorHAnsi"/>
                <w:color w:val="0070C0"/>
                <w:sz w:val="18"/>
              </w:rPr>
              <w:t>I.</w:t>
            </w:r>
            <w:r w:rsidR="00AE04F9" w:rsidRPr="002B0076">
              <w:rPr>
                <w:rFonts w:asciiTheme="majorHAnsi" w:eastAsiaTheme="minorEastAsia" w:hAnsiTheme="majorHAnsi" w:cstheme="minorBidi"/>
                <w:b w:val="0"/>
                <w:color w:val="0070C0"/>
                <w:szCs w:val="22"/>
              </w:rPr>
              <w:tab/>
            </w:r>
            <w:r w:rsidR="00AE04F9" w:rsidRPr="002B0076">
              <w:rPr>
                <w:rStyle w:val="Hyperlink"/>
                <w:rFonts w:asciiTheme="majorHAnsi" w:hAnsiTheme="majorHAnsi"/>
                <w:color w:val="0070C0"/>
                <w:sz w:val="18"/>
              </w:rPr>
              <w:t>ZHVILLIMET NË EKONOMINË SHQIPTARE</w:t>
            </w:r>
            <w:r w:rsidR="00AE04F9" w:rsidRPr="002B0076">
              <w:rPr>
                <w:rFonts w:asciiTheme="majorHAnsi" w:hAnsiTheme="majorHAnsi"/>
                <w:webHidden/>
                <w:color w:val="0070C0"/>
                <w:sz w:val="18"/>
              </w:rPr>
              <w:tab/>
            </w:r>
            <w:r w:rsidR="00AE04F9" w:rsidRPr="002B0076">
              <w:rPr>
                <w:rFonts w:asciiTheme="majorHAnsi" w:hAnsiTheme="majorHAnsi"/>
                <w:webHidden/>
                <w:color w:val="0070C0"/>
                <w:sz w:val="18"/>
              </w:rPr>
              <w:fldChar w:fldCharType="begin"/>
            </w:r>
            <w:r w:rsidR="00AE04F9" w:rsidRPr="002B0076">
              <w:rPr>
                <w:rFonts w:asciiTheme="majorHAnsi" w:hAnsiTheme="majorHAnsi"/>
                <w:webHidden/>
                <w:color w:val="0070C0"/>
                <w:sz w:val="18"/>
              </w:rPr>
              <w:instrText xml:space="preserve"> PAGEREF _Toc107496980 \h </w:instrText>
            </w:r>
            <w:r w:rsidR="00AE04F9" w:rsidRPr="002B0076">
              <w:rPr>
                <w:rFonts w:asciiTheme="majorHAnsi" w:hAnsiTheme="majorHAnsi"/>
                <w:webHidden/>
                <w:color w:val="0070C0"/>
                <w:sz w:val="18"/>
              </w:rPr>
            </w:r>
            <w:r w:rsidR="00AE04F9" w:rsidRPr="002B0076">
              <w:rPr>
                <w:rFonts w:asciiTheme="majorHAnsi" w:hAnsiTheme="majorHAnsi"/>
                <w:webHidden/>
                <w:color w:val="0070C0"/>
                <w:sz w:val="18"/>
              </w:rPr>
              <w:fldChar w:fldCharType="separate"/>
            </w:r>
            <w:r w:rsidR="00C153A9">
              <w:rPr>
                <w:rFonts w:asciiTheme="majorHAnsi" w:hAnsiTheme="majorHAnsi"/>
                <w:webHidden/>
                <w:color w:val="0070C0"/>
                <w:sz w:val="18"/>
              </w:rPr>
              <w:t>5</w:t>
            </w:r>
            <w:r w:rsidR="00AE04F9" w:rsidRPr="002B0076">
              <w:rPr>
                <w:rFonts w:asciiTheme="majorHAnsi" w:hAnsiTheme="majorHAnsi"/>
                <w:webHidden/>
                <w:color w:val="0070C0"/>
                <w:sz w:val="18"/>
              </w:rPr>
              <w:fldChar w:fldCharType="end"/>
            </w:r>
          </w:hyperlink>
        </w:p>
        <w:p w14:paraId="432A4A05" w14:textId="79CE1EA4" w:rsidR="00AE04F9" w:rsidRPr="002B0076" w:rsidRDefault="00E3360A">
          <w:pPr>
            <w:pStyle w:val="TOC2"/>
            <w:rPr>
              <w:rFonts w:asciiTheme="majorHAnsi" w:eastAsiaTheme="minorEastAsia" w:hAnsiTheme="majorHAnsi" w:cstheme="minorBidi"/>
              <w:noProof/>
              <w:color w:val="0070C0"/>
              <w:sz w:val="20"/>
              <w:szCs w:val="22"/>
            </w:rPr>
          </w:pPr>
          <w:hyperlink w:anchor="_Toc107496981" w:history="1">
            <w:r w:rsidR="00AE04F9" w:rsidRPr="002B0076">
              <w:rPr>
                <w:rStyle w:val="Hyperlink"/>
                <w:rFonts w:asciiTheme="majorHAnsi" w:hAnsiTheme="majorHAnsi"/>
                <w:noProof/>
                <w:color w:val="0070C0"/>
                <w:sz w:val="22"/>
              </w:rPr>
              <w:t>I.1</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Ecuria e treguesve makroekonomikë për periudhën Janar-Maj 2022</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_Toc107496981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5</w:t>
            </w:r>
            <w:r w:rsidR="00AE04F9" w:rsidRPr="002B0076">
              <w:rPr>
                <w:rFonts w:asciiTheme="majorHAnsi" w:hAnsiTheme="majorHAnsi"/>
                <w:noProof/>
                <w:webHidden/>
                <w:color w:val="0070C0"/>
                <w:sz w:val="22"/>
              </w:rPr>
              <w:fldChar w:fldCharType="end"/>
            </w:r>
          </w:hyperlink>
        </w:p>
        <w:p w14:paraId="48666F4B" w14:textId="3DBB52AD" w:rsidR="00AE04F9" w:rsidRPr="002B0076" w:rsidRDefault="00E3360A">
          <w:pPr>
            <w:pStyle w:val="TOC2"/>
            <w:rPr>
              <w:rFonts w:asciiTheme="majorHAnsi" w:eastAsiaTheme="minorEastAsia" w:hAnsiTheme="majorHAnsi" w:cstheme="minorBidi"/>
              <w:noProof/>
              <w:color w:val="0070C0"/>
              <w:sz w:val="20"/>
              <w:szCs w:val="22"/>
            </w:rPr>
          </w:pPr>
          <w:hyperlink w:anchor="_Toc107496982" w:history="1">
            <w:r w:rsidR="00AE04F9" w:rsidRPr="002B0076">
              <w:rPr>
                <w:rStyle w:val="Hyperlink"/>
                <w:rFonts w:asciiTheme="majorHAnsi" w:hAnsiTheme="majorHAnsi"/>
                <w:noProof/>
                <w:color w:val="0070C0"/>
                <w:sz w:val="22"/>
              </w:rPr>
              <w:t>I.2</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Pritshmëritë e treguesve makroekonomikë deri në fund të vitit 2022</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_Toc107496982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7</w:t>
            </w:r>
            <w:r w:rsidR="00AE04F9" w:rsidRPr="002B0076">
              <w:rPr>
                <w:rFonts w:asciiTheme="majorHAnsi" w:hAnsiTheme="majorHAnsi"/>
                <w:noProof/>
                <w:webHidden/>
                <w:color w:val="0070C0"/>
                <w:sz w:val="22"/>
              </w:rPr>
              <w:fldChar w:fldCharType="end"/>
            </w:r>
          </w:hyperlink>
        </w:p>
        <w:p w14:paraId="1CC8630B" w14:textId="29A0943C" w:rsidR="00AE04F9" w:rsidRPr="002B0076" w:rsidRDefault="00E3360A">
          <w:pPr>
            <w:pStyle w:val="TOC1"/>
            <w:rPr>
              <w:rFonts w:asciiTheme="majorHAnsi" w:eastAsiaTheme="minorEastAsia" w:hAnsiTheme="majorHAnsi" w:cstheme="minorBidi"/>
              <w:b w:val="0"/>
              <w:color w:val="0070C0"/>
              <w:szCs w:val="22"/>
            </w:rPr>
          </w:pPr>
          <w:hyperlink w:anchor="_Toc107496983" w:history="1">
            <w:r w:rsidR="00AE04F9" w:rsidRPr="002B0076">
              <w:rPr>
                <w:rStyle w:val="Hyperlink"/>
                <w:rFonts w:asciiTheme="majorHAnsi" w:hAnsiTheme="majorHAnsi"/>
                <w:color w:val="0070C0"/>
                <w:sz w:val="18"/>
              </w:rPr>
              <w:t>II.</w:t>
            </w:r>
            <w:r w:rsidR="00AE04F9" w:rsidRPr="002B0076">
              <w:rPr>
                <w:rFonts w:asciiTheme="majorHAnsi" w:eastAsiaTheme="minorEastAsia" w:hAnsiTheme="majorHAnsi" w:cstheme="minorBidi"/>
                <w:b w:val="0"/>
                <w:color w:val="0070C0"/>
                <w:szCs w:val="22"/>
              </w:rPr>
              <w:tab/>
            </w:r>
            <w:r w:rsidR="00AE04F9" w:rsidRPr="002B0076">
              <w:rPr>
                <w:rStyle w:val="Hyperlink"/>
                <w:rFonts w:asciiTheme="majorHAnsi" w:hAnsiTheme="majorHAnsi"/>
                <w:color w:val="0070C0"/>
                <w:sz w:val="18"/>
              </w:rPr>
              <w:t>POLITIKA FISKALE</w:t>
            </w:r>
            <w:r w:rsidR="00AE04F9" w:rsidRPr="002B0076">
              <w:rPr>
                <w:rFonts w:asciiTheme="majorHAnsi" w:hAnsiTheme="majorHAnsi"/>
                <w:webHidden/>
                <w:color w:val="0070C0"/>
                <w:sz w:val="18"/>
              </w:rPr>
              <w:tab/>
            </w:r>
            <w:r w:rsidR="00AE04F9" w:rsidRPr="002B0076">
              <w:rPr>
                <w:rFonts w:asciiTheme="majorHAnsi" w:hAnsiTheme="majorHAnsi"/>
                <w:webHidden/>
                <w:color w:val="0070C0"/>
                <w:sz w:val="18"/>
              </w:rPr>
              <w:fldChar w:fldCharType="begin"/>
            </w:r>
            <w:r w:rsidR="00AE04F9" w:rsidRPr="002B0076">
              <w:rPr>
                <w:rFonts w:asciiTheme="majorHAnsi" w:hAnsiTheme="majorHAnsi"/>
                <w:webHidden/>
                <w:color w:val="0070C0"/>
                <w:sz w:val="18"/>
              </w:rPr>
              <w:instrText xml:space="preserve"> PAGEREF _Toc107496983 \h </w:instrText>
            </w:r>
            <w:r w:rsidR="00AE04F9" w:rsidRPr="002B0076">
              <w:rPr>
                <w:rFonts w:asciiTheme="majorHAnsi" w:hAnsiTheme="majorHAnsi"/>
                <w:webHidden/>
                <w:color w:val="0070C0"/>
                <w:sz w:val="18"/>
              </w:rPr>
            </w:r>
            <w:r w:rsidR="00AE04F9" w:rsidRPr="002B0076">
              <w:rPr>
                <w:rFonts w:asciiTheme="majorHAnsi" w:hAnsiTheme="majorHAnsi"/>
                <w:webHidden/>
                <w:color w:val="0070C0"/>
                <w:sz w:val="18"/>
              </w:rPr>
              <w:fldChar w:fldCharType="separate"/>
            </w:r>
            <w:r w:rsidR="00C153A9">
              <w:rPr>
                <w:rFonts w:asciiTheme="majorHAnsi" w:hAnsiTheme="majorHAnsi"/>
                <w:webHidden/>
                <w:color w:val="0070C0"/>
                <w:sz w:val="18"/>
              </w:rPr>
              <w:t>8</w:t>
            </w:r>
            <w:r w:rsidR="00AE04F9" w:rsidRPr="002B0076">
              <w:rPr>
                <w:rFonts w:asciiTheme="majorHAnsi" w:hAnsiTheme="majorHAnsi"/>
                <w:webHidden/>
                <w:color w:val="0070C0"/>
                <w:sz w:val="18"/>
              </w:rPr>
              <w:fldChar w:fldCharType="end"/>
            </w:r>
          </w:hyperlink>
        </w:p>
        <w:p w14:paraId="4E8C6BD2" w14:textId="553771D7" w:rsidR="00AE04F9" w:rsidRPr="002B0076" w:rsidRDefault="00E3360A">
          <w:pPr>
            <w:pStyle w:val="TOC2"/>
            <w:rPr>
              <w:rFonts w:asciiTheme="majorHAnsi" w:eastAsiaTheme="minorEastAsia" w:hAnsiTheme="majorHAnsi" w:cstheme="minorBidi"/>
              <w:noProof/>
              <w:color w:val="0070C0"/>
              <w:sz w:val="20"/>
              <w:szCs w:val="22"/>
            </w:rPr>
          </w:pPr>
          <w:hyperlink w:anchor="_Toc107496984" w:history="1">
            <w:r w:rsidR="00AE04F9" w:rsidRPr="002B0076">
              <w:rPr>
                <w:rStyle w:val="Hyperlink"/>
                <w:rFonts w:asciiTheme="majorHAnsi" w:hAnsiTheme="majorHAnsi"/>
                <w:noProof/>
                <w:color w:val="0070C0"/>
                <w:sz w:val="22"/>
              </w:rPr>
              <w:t>II.1</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Performanca fiskale për periudhën Janar-Maj 2022</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_Toc107496984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8</w:t>
            </w:r>
            <w:r w:rsidR="00AE04F9" w:rsidRPr="002B0076">
              <w:rPr>
                <w:rFonts w:asciiTheme="majorHAnsi" w:hAnsiTheme="majorHAnsi"/>
                <w:noProof/>
                <w:webHidden/>
                <w:color w:val="0070C0"/>
                <w:sz w:val="22"/>
              </w:rPr>
              <w:fldChar w:fldCharType="end"/>
            </w:r>
          </w:hyperlink>
        </w:p>
        <w:p w14:paraId="7C11346C" w14:textId="5030856A" w:rsidR="00AE04F9" w:rsidRPr="002B0076" w:rsidRDefault="00E3360A">
          <w:pPr>
            <w:pStyle w:val="TOC2"/>
            <w:rPr>
              <w:rFonts w:asciiTheme="majorHAnsi" w:eastAsiaTheme="minorEastAsia" w:hAnsiTheme="majorHAnsi" w:cstheme="minorBidi"/>
              <w:noProof/>
              <w:color w:val="0070C0"/>
              <w:sz w:val="20"/>
              <w:szCs w:val="22"/>
            </w:rPr>
          </w:pPr>
          <w:hyperlink w:anchor="_Toc107496985" w:history="1">
            <w:r w:rsidR="00AE04F9" w:rsidRPr="002B0076">
              <w:rPr>
                <w:rStyle w:val="Hyperlink"/>
                <w:rFonts w:asciiTheme="majorHAnsi" w:hAnsiTheme="majorHAnsi"/>
                <w:noProof/>
                <w:color w:val="0070C0"/>
                <w:sz w:val="22"/>
              </w:rPr>
              <w:t>II.2</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Pritshmëritë fiskale deri në fund të vitit 2022</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_Toc107496985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14</w:t>
            </w:r>
            <w:r w:rsidR="00AE04F9" w:rsidRPr="002B0076">
              <w:rPr>
                <w:rFonts w:asciiTheme="majorHAnsi" w:hAnsiTheme="majorHAnsi"/>
                <w:noProof/>
                <w:webHidden/>
                <w:color w:val="0070C0"/>
                <w:sz w:val="22"/>
              </w:rPr>
              <w:fldChar w:fldCharType="end"/>
            </w:r>
          </w:hyperlink>
        </w:p>
        <w:p w14:paraId="3B150AF8" w14:textId="3C9C16EB" w:rsidR="00AE04F9" w:rsidRPr="002B0076" w:rsidRDefault="00E3360A">
          <w:pPr>
            <w:pStyle w:val="TOC1"/>
            <w:rPr>
              <w:rFonts w:asciiTheme="majorHAnsi" w:eastAsiaTheme="minorEastAsia" w:hAnsiTheme="majorHAnsi" w:cstheme="minorBidi"/>
              <w:b w:val="0"/>
              <w:color w:val="0070C0"/>
              <w:szCs w:val="22"/>
            </w:rPr>
          </w:pPr>
          <w:hyperlink w:anchor="_Toc107496986" w:history="1">
            <w:r w:rsidR="00AE04F9" w:rsidRPr="002B0076">
              <w:rPr>
                <w:rStyle w:val="Hyperlink"/>
                <w:rFonts w:asciiTheme="majorHAnsi" w:hAnsiTheme="majorHAnsi"/>
                <w:color w:val="0070C0"/>
                <w:sz w:val="18"/>
              </w:rPr>
              <w:t>III.</w:t>
            </w:r>
            <w:r w:rsidR="00AE04F9" w:rsidRPr="002B0076">
              <w:rPr>
                <w:rFonts w:asciiTheme="majorHAnsi" w:eastAsiaTheme="minorEastAsia" w:hAnsiTheme="majorHAnsi" w:cstheme="minorBidi"/>
                <w:b w:val="0"/>
                <w:color w:val="0070C0"/>
                <w:szCs w:val="22"/>
              </w:rPr>
              <w:tab/>
            </w:r>
            <w:r w:rsidR="00AE04F9" w:rsidRPr="002B0076">
              <w:rPr>
                <w:rStyle w:val="Hyperlink"/>
                <w:rFonts w:asciiTheme="majorHAnsi" w:hAnsiTheme="majorHAnsi"/>
                <w:color w:val="0070C0"/>
                <w:sz w:val="18"/>
              </w:rPr>
              <w:t>BUXHETI I VITIT 2022</w:t>
            </w:r>
            <w:r w:rsidR="00AE04F9" w:rsidRPr="002B0076">
              <w:rPr>
                <w:rFonts w:asciiTheme="majorHAnsi" w:hAnsiTheme="majorHAnsi"/>
                <w:webHidden/>
                <w:color w:val="0070C0"/>
                <w:sz w:val="18"/>
              </w:rPr>
              <w:tab/>
            </w:r>
            <w:r w:rsidR="00AE04F9" w:rsidRPr="002B0076">
              <w:rPr>
                <w:rFonts w:asciiTheme="majorHAnsi" w:hAnsiTheme="majorHAnsi"/>
                <w:webHidden/>
                <w:color w:val="0070C0"/>
                <w:sz w:val="18"/>
              </w:rPr>
              <w:fldChar w:fldCharType="begin"/>
            </w:r>
            <w:r w:rsidR="00AE04F9" w:rsidRPr="002B0076">
              <w:rPr>
                <w:rFonts w:asciiTheme="majorHAnsi" w:hAnsiTheme="majorHAnsi"/>
                <w:webHidden/>
                <w:color w:val="0070C0"/>
                <w:sz w:val="18"/>
              </w:rPr>
              <w:instrText xml:space="preserve"> PAGEREF _Toc107496986 \h </w:instrText>
            </w:r>
            <w:r w:rsidR="00AE04F9" w:rsidRPr="002B0076">
              <w:rPr>
                <w:rFonts w:asciiTheme="majorHAnsi" w:hAnsiTheme="majorHAnsi"/>
                <w:webHidden/>
                <w:color w:val="0070C0"/>
                <w:sz w:val="18"/>
              </w:rPr>
            </w:r>
            <w:r w:rsidR="00AE04F9" w:rsidRPr="002B0076">
              <w:rPr>
                <w:rFonts w:asciiTheme="majorHAnsi" w:hAnsiTheme="majorHAnsi"/>
                <w:webHidden/>
                <w:color w:val="0070C0"/>
                <w:sz w:val="18"/>
              </w:rPr>
              <w:fldChar w:fldCharType="separate"/>
            </w:r>
            <w:r w:rsidR="00C153A9">
              <w:rPr>
                <w:rFonts w:asciiTheme="majorHAnsi" w:hAnsiTheme="majorHAnsi"/>
                <w:webHidden/>
                <w:color w:val="0070C0"/>
                <w:sz w:val="18"/>
              </w:rPr>
              <w:t>15</w:t>
            </w:r>
            <w:r w:rsidR="00AE04F9" w:rsidRPr="002B0076">
              <w:rPr>
                <w:rFonts w:asciiTheme="majorHAnsi" w:hAnsiTheme="majorHAnsi"/>
                <w:webHidden/>
                <w:color w:val="0070C0"/>
                <w:sz w:val="18"/>
              </w:rPr>
              <w:fldChar w:fldCharType="end"/>
            </w:r>
          </w:hyperlink>
        </w:p>
        <w:p w14:paraId="3152B020" w14:textId="589D7627" w:rsidR="00AE04F9" w:rsidRPr="002B0076" w:rsidRDefault="00E3360A">
          <w:pPr>
            <w:pStyle w:val="TOC2"/>
            <w:rPr>
              <w:rFonts w:asciiTheme="majorHAnsi" w:eastAsiaTheme="minorEastAsia" w:hAnsiTheme="majorHAnsi" w:cstheme="minorBidi"/>
              <w:noProof/>
              <w:color w:val="0070C0"/>
              <w:sz w:val="20"/>
              <w:szCs w:val="22"/>
            </w:rPr>
          </w:pPr>
          <w:hyperlink w:anchor="_Toc107496987" w:history="1">
            <w:r w:rsidR="00AE04F9" w:rsidRPr="002B0076">
              <w:rPr>
                <w:rStyle w:val="Hyperlink"/>
                <w:rFonts w:asciiTheme="majorHAnsi" w:hAnsiTheme="majorHAnsi"/>
                <w:noProof/>
                <w:color w:val="0070C0"/>
                <w:sz w:val="22"/>
              </w:rPr>
              <w:t>III.1</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Shpenzimet e Përgjithshme Buxhetore gjatë periudhës Janar-Maj 2022</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_Toc107496987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15</w:t>
            </w:r>
            <w:r w:rsidR="00AE04F9" w:rsidRPr="002B0076">
              <w:rPr>
                <w:rFonts w:asciiTheme="majorHAnsi" w:hAnsiTheme="majorHAnsi"/>
                <w:noProof/>
                <w:webHidden/>
                <w:color w:val="0070C0"/>
                <w:sz w:val="22"/>
              </w:rPr>
              <w:fldChar w:fldCharType="end"/>
            </w:r>
          </w:hyperlink>
        </w:p>
        <w:p w14:paraId="4C3B81E8" w14:textId="17BB0F1B" w:rsidR="00AE04F9" w:rsidRPr="002B0076" w:rsidRDefault="00E3360A">
          <w:pPr>
            <w:pStyle w:val="TOC2"/>
            <w:rPr>
              <w:rFonts w:asciiTheme="majorHAnsi" w:eastAsiaTheme="minorEastAsia" w:hAnsiTheme="majorHAnsi" w:cstheme="minorBidi"/>
              <w:noProof/>
              <w:color w:val="0070C0"/>
              <w:sz w:val="20"/>
              <w:szCs w:val="22"/>
            </w:rPr>
          </w:pPr>
          <w:hyperlink w:anchor="_Toc107496988" w:history="1">
            <w:r w:rsidR="00AE04F9" w:rsidRPr="002B0076">
              <w:rPr>
                <w:rStyle w:val="Hyperlink"/>
                <w:rFonts w:asciiTheme="majorHAnsi" w:hAnsiTheme="majorHAnsi"/>
                <w:noProof/>
                <w:color w:val="0070C0"/>
                <w:sz w:val="22"/>
              </w:rPr>
              <w:t>III.2</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Financat Vendore gjatë Janar-Maj 2022</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_Toc107496988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23</w:t>
            </w:r>
            <w:r w:rsidR="00AE04F9" w:rsidRPr="002B0076">
              <w:rPr>
                <w:rFonts w:asciiTheme="majorHAnsi" w:hAnsiTheme="majorHAnsi"/>
                <w:noProof/>
                <w:webHidden/>
                <w:color w:val="0070C0"/>
                <w:sz w:val="22"/>
              </w:rPr>
              <w:fldChar w:fldCharType="end"/>
            </w:r>
          </w:hyperlink>
        </w:p>
        <w:p w14:paraId="21F389A9" w14:textId="596D6CB5" w:rsidR="00AE04F9" w:rsidRPr="002B0076" w:rsidRDefault="00E3360A">
          <w:pPr>
            <w:pStyle w:val="TOC2"/>
            <w:rPr>
              <w:rFonts w:asciiTheme="majorHAnsi" w:eastAsiaTheme="minorEastAsia" w:hAnsiTheme="majorHAnsi" w:cstheme="minorBidi"/>
              <w:noProof/>
              <w:color w:val="0070C0"/>
              <w:sz w:val="20"/>
              <w:szCs w:val="22"/>
            </w:rPr>
          </w:pPr>
          <w:hyperlink w:anchor="_Toc107496989" w:history="1">
            <w:r w:rsidR="00AE04F9" w:rsidRPr="002B0076">
              <w:rPr>
                <w:rStyle w:val="Hyperlink"/>
                <w:rFonts w:asciiTheme="majorHAnsi" w:hAnsiTheme="majorHAnsi"/>
                <w:noProof/>
                <w:color w:val="0070C0"/>
                <w:sz w:val="22"/>
              </w:rPr>
              <w:t>III.3</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Fondi Rezervë, Fondi i Kontigjencës, Fondi i Rindërtimit</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_Toc107496989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28</w:t>
            </w:r>
            <w:r w:rsidR="00AE04F9" w:rsidRPr="002B0076">
              <w:rPr>
                <w:rFonts w:asciiTheme="majorHAnsi" w:hAnsiTheme="majorHAnsi"/>
                <w:noProof/>
                <w:webHidden/>
                <w:color w:val="0070C0"/>
                <w:sz w:val="22"/>
              </w:rPr>
              <w:fldChar w:fldCharType="end"/>
            </w:r>
          </w:hyperlink>
        </w:p>
        <w:p w14:paraId="16F4CCD9" w14:textId="7DB1BDF4" w:rsidR="00AE04F9" w:rsidRPr="002B0076" w:rsidRDefault="00E3360A">
          <w:pPr>
            <w:pStyle w:val="TOC2"/>
            <w:rPr>
              <w:rFonts w:asciiTheme="majorHAnsi" w:eastAsiaTheme="minorEastAsia" w:hAnsiTheme="majorHAnsi" w:cstheme="minorBidi"/>
              <w:noProof/>
              <w:color w:val="0070C0"/>
              <w:sz w:val="20"/>
              <w:szCs w:val="22"/>
            </w:rPr>
          </w:pPr>
          <w:hyperlink w:anchor="_Toc107496990" w:history="1">
            <w:r w:rsidR="00AE04F9" w:rsidRPr="002B0076">
              <w:rPr>
                <w:rStyle w:val="Hyperlink"/>
                <w:rFonts w:asciiTheme="majorHAnsi" w:hAnsiTheme="majorHAnsi"/>
                <w:noProof/>
                <w:color w:val="0070C0"/>
                <w:sz w:val="22"/>
              </w:rPr>
              <w:t>III.4</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Pritshmëria e Shpenzimeve Buxhetore deri në fund të vitit 2022</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_Toc107496990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30</w:t>
            </w:r>
            <w:r w:rsidR="00AE04F9" w:rsidRPr="002B0076">
              <w:rPr>
                <w:rFonts w:asciiTheme="majorHAnsi" w:hAnsiTheme="majorHAnsi"/>
                <w:noProof/>
                <w:webHidden/>
                <w:color w:val="0070C0"/>
                <w:sz w:val="22"/>
              </w:rPr>
              <w:fldChar w:fldCharType="end"/>
            </w:r>
          </w:hyperlink>
        </w:p>
        <w:p w14:paraId="48635A01" w14:textId="4268B371" w:rsidR="00AE04F9" w:rsidRPr="002B0076" w:rsidRDefault="00E3360A">
          <w:pPr>
            <w:pStyle w:val="TOC1"/>
            <w:rPr>
              <w:rFonts w:asciiTheme="majorHAnsi" w:eastAsiaTheme="minorEastAsia" w:hAnsiTheme="majorHAnsi" w:cstheme="minorBidi"/>
              <w:b w:val="0"/>
              <w:color w:val="0070C0"/>
              <w:szCs w:val="22"/>
            </w:rPr>
          </w:pPr>
          <w:hyperlink w:anchor="_Toc107496991" w:history="1">
            <w:r w:rsidR="00AE04F9" w:rsidRPr="002B0076">
              <w:rPr>
                <w:rStyle w:val="Hyperlink"/>
                <w:rFonts w:asciiTheme="majorHAnsi" w:hAnsiTheme="majorHAnsi"/>
                <w:color w:val="0070C0"/>
                <w:sz w:val="18"/>
              </w:rPr>
              <w:t>IV.</w:t>
            </w:r>
            <w:r w:rsidR="00AE04F9" w:rsidRPr="002B0076">
              <w:rPr>
                <w:rFonts w:asciiTheme="majorHAnsi" w:eastAsiaTheme="minorEastAsia" w:hAnsiTheme="majorHAnsi" w:cstheme="minorBidi"/>
                <w:b w:val="0"/>
                <w:color w:val="0070C0"/>
                <w:szCs w:val="22"/>
              </w:rPr>
              <w:tab/>
            </w:r>
            <w:r w:rsidR="00AE04F9" w:rsidRPr="002B0076">
              <w:rPr>
                <w:rStyle w:val="Hyperlink"/>
                <w:rFonts w:asciiTheme="majorHAnsi" w:hAnsiTheme="majorHAnsi"/>
                <w:color w:val="0070C0"/>
                <w:sz w:val="18"/>
              </w:rPr>
              <w:t>BORXHI PUBLIK</w:t>
            </w:r>
            <w:r w:rsidR="00AE04F9" w:rsidRPr="002B0076">
              <w:rPr>
                <w:rFonts w:asciiTheme="majorHAnsi" w:hAnsiTheme="majorHAnsi"/>
                <w:webHidden/>
                <w:color w:val="0070C0"/>
                <w:sz w:val="18"/>
              </w:rPr>
              <w:tab/>
            </w:r>
            <w:r w:rsidR="00AE04F9" w:rsidRPr="002B0076">
              <w:rPr>
                <w:rFonts w:asciiTheme="majorHAnsi" w:hAnsiTheme="majorHAnsi"/>
                <w:webHidden/>
                <w:color w:val="0070C0"/>
                <w:sz w:val="18"/>
              </w:rPr>
              <w:fldChar w:fldCharType="begin"/>
            </w:r>
            <w:r w:rsidR="00AE04F9" w:rsidRPr="002B0076">
              <w:rPr>
                <w:rFonts w:asciiTheme="majorHAnsi" w:hAnsiTheme="majorHAnsi"/>
                <w:webHidden/>
                <w:color w:val="0070C0"/>
                <w:sz w:val="18"/>
              </w:rPr>
              <w:instrText xml:space="preserve"> PAGEREF _Toc107496991 \h </w:instrText>
            </w:r>
            <w:r w:rsidR="00AE04F9" w:rsidRPr="002B0076">
              <w:rPr>
                <w:rFonts w:asciiTheme="majorHAnsi" w:hAnsiTheme="majorHAnsi"/>
                <w:webHidden/>
                <w:color w:val="0070C0"/>
                <w:sz w:val="18"/>
              </w:rPr>
            </w:r>
            <w:r w:rsidR="00AE04F9" w:rsidRPr="002B0076">
              <w:rPr>
                <w:rFonts w:asciiTheme="majorHAnsi" w:hAnsiTheme="majorHAnsi"/>
                <w:webHidden/>
                <w:color w:val="0070C0"/>
                <w:sz w:val="18"/>
              </w:rPr>
              <w:fldChar w:fldCharType="separate"/>
            </w:r>
            <w:r w:rsidR="00C153A9">
              <w:rPr>
                <w:rFonts w:asciiTheme="majorHAnsi" w:hAnsiTheme="majorHAnsi"/>
                <w:webHidden/>
                <w:color w:val="0070C0"/>
                <w:sz w:val="18"/>
              </w:rPr>
              <w:t>30</w:t>
            </w:r>
            <w:r w:rsidR="00AE04F9" w:rsidRPr="002B0076">
              <w:rPr>
                <w:rFonts w:asciiTheme="majorHAnsi" w:hAnsiTheme="majorHAnsi"/>
                <w:webHidden/>
                <w:color w:val="0070C0"/>
                <w:sz w:val="18"/>
              </w:rPr>
              <w:fldChar w:fldCharType="end"/>
            </w:r>
          </w:hyperlink>
        </w:p>
        <w:p w14:paraId="2680A28B" w14:textId="5DF81067" w:rsidR="00AE04F9" w:rsidRPr="002B0076" w:rsidRDefault="00E3360A">
          <w:pPr>
            <w:pStyle w:val="TOC2"/>
            <w:rPr>
              <w:rFonts w:asciiTheme="majorHAnsi" w:eastAsiaTheme="minorEastAsia" w:hAnsiTheme="majorHAnsi" w:cstheme="minorBidi"/>
              <w:noProof/>
              <w:color w:val="0070C0"/>
              <w:sz w:val="20"/>
              <w:szCs w:val="22"/>
            </w:rPr>
          </w:pPr>
          <w:hyperlink w:anchor="_Toc107496992" w:history="1">
            <w:r w:rsidR="00AE04F9" w:rsidRPr="002B0076">
              <w:rPr>
                <w:rStyle w:val="Hyperlink"/>
                <w:rFonts w:asciiTheme="majorHAnsi" w:hAnsiTheme="majorHAnsi"/>
                <w:noProof/>
                <w:color w:val="0070C0"/>
                <w:sz w:val="22"/>
              </w:rPr>
              <w:t>IV.1</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Stoku i Borxhit Publik</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_Toc107496992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31</w:t>
            </w:r>
            <w:r w:rsidR="00AE04F9" w:rsidRPr="002B0076">
              <w:rPr>
                <w:rFonts w:asciiTheme="majorHAnsi" w:hAnsiTheme="majorHAnsi"/>
                <w:noProof/>
                <w:webHidden/>
                <w:color w:val="0070C0"/>
                <w:sz w:val="22"/>
              </w:rPr>
              <w:fldChar w:fldCharType="end"/>
            </w:r>
          </w:hyperlink>
        </w:p>
        <w:p w14:paraId="2FE88198" w14:textId="070939A3" w:rsidR="00AE04F9" w:rsidRPr="002B0076" w:rsidRDefault="00E3360A">
          <w:pPr>
            <w:pStyle w:val="TOC2"/>
            <w:rPr>
              <w:rFonts w:asciiTheme="majorHAnsi" w:eastAsiaTheme="minorEastAsia" w:hAnsiTheme="majorHAnsi" w:cstheme="minorBidi"/>
              <w:noProof/>
              <w:color w:val="0070C0"/>
              <w:sz w:val="20"/>
              <w:szCs w:val="22"/>
            </w:rPr>
          </w:pPr>
          <w:hyperlink w:anchor="_Toc107496993" w:history="1">
            <w:r w:rsidR="00AE04F9" w:rsidRPr="002B0076">
              <w:rPr>
                <w:rStyle w:val="Hyperlink"/>
                <w:rFonts w:asciiTheme="majorHAnsi" w:hAnsiTheme="majorHAnsi"/>
                <w:noProof/>
                <w:color w:val="0070C0"/>
                <w:sz w:val="22"/>
              </w:rPr>
              <w:t>IV.2</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Menaxhimi i Borxhit</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_Toc107496993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33</w:t>
            </w:r>
            <w:r w:rsidR="00AE04F9" w:rsidRPr="002B0076">
              <w:rPr>
                <w:rFonts w:asciiTheme="majorHAnsi" w:hAnsiTheme="majorHAnsi"/>
                <w:noProof/>
                <w:webHidden/>
                <w:color w:val="0070C0"/>
                <w:sz w:val="22"/>
              </w:rPr>
              <w:fldChar w:fldCharType="end"/>
            </w:r>
          </w:hyperlink>
        </w:p>
        <w:p w14:paraId="05C0688F" w14:textId="584C06BD" w:rsidR="00AE04F9" w:rsidRPr="002B0076" w:rsidRDefault="00E3360A">
          <w:pPr>
            <w:pStyle w:val="TOC2"/>
            <w:rPr>
              <w:rFonts w:asciiTheme="majorHAnsi" w:eastAsiaTheme="minorEastAsia" w:hAnsiTheme="majorHAnsi" w:cstheme="minorBidi"/>
              <w:noProof/>
              <w:color w:val="0070C0"/>
              <w:sz w:val="20"/>
              <w:szCs w:val="22"/>
            </w:rPr>
          </w:pPr>
          <w:hyperlink w:anchor="_Toc107496994" w:history="1">
            <w:r w:rsidR="00AE04F9" w:rsidRPr="002B0076">
              <w:rPr>
                <w:rStyle w:val="Hyperlink"/>
                <w:rFonts w:asciiTheme="majorHAnsi" w:hAnsiTheme="majorHAnsi"/>
                <w:noProof/>
                <w:color w:val="0070C0"/>
                <w:sz w:val="22"/>
              </w:rPr>
              <w:t>IV.3</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Pritshmëritë e Borxhit për vitin 2022</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_Toc107496994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37</w:t>
            </w:r>
            <w:r w:rsidR="00AE04F9" w:rsidRPr="002B0076">
              <w:rPr>
                <w:rFonts w:asciiTheme="majorHAnsi" w:hAnsiTheme="majorHAnsi"/>
                <w:noProof/>
                <w:webHidden/>
                <w:color w:val="0070C0"/>
                <w:sz w:val="22"/>
              </w:rPr>
              <w:fldChar w:fldCharType="end"/>
            </w:r>
          </w:hyperlink>
        </w:p>
        <w:p w14:paraId="4177DC3D" w14:textId="02D2DCA7" w:rsidR="00AE04F9" w:rsidRPr="002B0076" w:rsidRDefault="00E3360A">
          <w:pPr>
            <w:pStyle w:val="TOC1"/>
            <w:rPr>
              <w:rFonts w:asciiTheme="majorHAnsi" w:eastAsiaTheme="minorEastAsia" w:hAnsiTheme="majorHAnsi" w:cstheme="minorBidi"/>
              <w:b w:val="0"/>
              <w:color w:val="0070C0"/>
              <w:szCs w:val="22"/>
            </w:rPr>
          </w:pPr>
          <w:hyperlink w:anchor="_Toc107496995" w:history="1">
            <w:r w:rsidR="00AE04F9" w:rsidRPr="002B0076">
              <w:rPr>
                <w:rStyle w:val="Hyperlink"/>
                <w:rFonts w:asciiTheme="majorHAnsi" w:hAnsiTheme="majorHAnsi"/>
                <w:color w:val="0070C0"/>
                <w:sz w:val="18"/>
              </w:rPr>
              <w:t>V.</w:t>
            </w:r>
            <w:r w:rsidR="00AE04F9" w:rsidRPr="002B0076">
              <w:rPr>
                <w:rFonts w:asciiTheme="majorHAnsi" w:eastAsiaTheme="minorEastAsia" w:hAnsiTheme="majorHAnsi" w:cstheme="minorBidi"/>
                <w:b w:val="0"/>
                <w:color w:val="0070C0"/>
                <w:szCs w:val="22"/>
              </w:rPr>
              <w:tab/>
            </w:r>
            <w:r w:rsidR="00AE04F9" w:rsidRPr="002B0076">
              <w:rPr>
                <w:rStyle w:val="Hyperlink"/>
                <w:rFonts w:asciiTheme="majorHAnsi" w:hAnsiTheme="majorHAnsi"/>
                <w:color w:val="0070C0"/>
                <w:sz w:val="18"/>
              </w:rPr>
              <w:t>RREZIQET FISKALE DHE DETYRIMET KONTIGJENTE</w:t>
            </w:r>
            <w:r w:rsidR="00AE04F9" w:rsidRPr="002B0076">
              <w:rPr>
                <w:rFonts w:asciiTheme="majorHAnsi" w:hAnsiTheme="majorHAnsi"/>
                <w:webHidden/>
                <w:color w:val="0070C0"/>
                <w:sz w:val="18"/>
              </w:rPr>
              <w:tab/>
            </w:r>
            <w:r w:rsidR="00AE04F9" w:rsidRPr="002B0076">
              <w:rPr>
                <w:rFonts w:asciiTheme="majorHAnsi" w:hAnsiTheme="majorHAnsi"/>
                <w:webHidden/>
                <w:color w:val="0070C0"/>
                <w:sz w:val="18"/>
              </w:rPr>
              <w:fldChar w:fldCharType="begin"/>
            </w:r>
            <w:r w:rsidR="00AE04F9" w:rsidRPr="002B0076">
              <w:rPr>
                <w:rFonts w:asciiTheme="majorHAnsi" w:hAnsiTheme="majorHAnsi"/>
                <w:webHidden/>
                <w:color w:val="0070C0"/>
                <w:sz w:val="18"/>
              </w:rPr>
              <w:instrText xml:space="preserve"> PAGEREF _Toc107496995 \h </w:instrText>
            </w:r>
            <w:r w:rsidR="00AE04F9" w:rsidRPr="002B0076">
              <w:rPr>
                <w:rFonts w:asciiTheme="majorHAnsi" w:hAnsiTheme="majorHAnsi"/>
                <w:webHidden/>
                <w:color w:val="0070C0"/>
                <w:sz w:val="18"/>
              </w:rPr>
            </w:r>
            <w:r w:rsidR="00AE04F9" w:rsidRPr="002B0076">
              <w:rPr>
                <w:rFonts w:asciiTheme="majorHAnsi" w:hAnsiTheme="majorHAnsi"/>
                <w:webHidden/>
                <w:color w:val="0070C0"/>
                <w:sz w:val="18"/>
              </w:rPr>
              <w:fldChar w:fldCharType="separate"/>
            </w:r>
            <w:r w:rsidR="00C153A9">
              <w:rPr>
                <w:rFonts w:asciiTheme="majorHAnsi" w:hAnsiTheme="majorHAnsi"/>
                <w:webHidden/>
                <w:color w:val="0070C0"/>
                <w:sz w:val="18"/>
              </w:rPr>
              <w:t>37</w:t>
            </w:r>
            <w:r w:rsidR="00AE04F9" w:rsidRPr="002B0076">
              <w:rPr>
                <w:rFonts w:asciiTheme="majorHAnsi" w:hAnsiTheme="majorHAnsi"/>
                <w:webHidden/>
                <w:color w:val="0070C0"/>
                <w:sz w:val="18"/>
              </w:rPr>
              <w:fldChar w:fldCharType="end"/>
            </w:r>
          </w:hyperlink>
        </w:p>
        <w:p w14:paraId="2E48E308" w14:textId="17977F8D" w:rsidR="00AE04F9" w:rsidRPr="002B0076" w:rsidRDefault="00E3360A">
          <w:pPr>
            <w:pStyle w:val="TOC2"/>
            <w:rPr>
              <w:rFonts w:asciiTheme="majorHAnsi" w:eastAsiaTheme="minorEastAsia" w:hAnsiTheme="majorHAnsi" w:cstheme="minorBidi"/>
              <w:noProof/>
              <w:color w:val="0070C0"/>
              <w:sz w:val="20"/>
              <w:szCs w:val="22"/>
            </w:rPr>
          </w:pPr>
          <w:hyperlink w:anchor="_Toc107496996" w:history="1">
            <w:r w:rsidR="00AE04F9" w:rsidRPr="002B0076">
              <w:rPr>
                <w:rStyle w:val="Hyperlink"/>
                <w:rFonts w:asciiTheme="majorHAnsi" w:hAnsiTheme="majorHAnsi"/>
                <w:noProof/>
                <w:color w:val="0070C0"/>
                <w:sz w:val="22"/>
              </w:rPr>
              <w:t>V.1</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Ndërmarrjet shtetërore</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_Toc107496996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39</w:t>
            </w:r>
            <w:r w:rsidR="00AE04F9" w:rsidRPr="002B0076">
              <w:rPr>
                <w:rFonts w:asciiTheme="majorHAnsi" w:hAnsiTheme="majorHAnsi"/>
                <w:noProof/>
                <w:webHidden/>
                <w:color w:val="0070C0"/>
                <w:sz w:val="22"/>
              </w:rPr>
              <w:fldChar w:fldCharType="end"/>
            </w:r>
          </w:hyperlink>
        </w:p>
        <w:p w14:paraId="3D3A7FB3" w14:textId="1EDB3A75" w:rsidR="00AE04F9" w:rsidRPr="002B0076" w:rsidRDefault="00E3360A">
          <w:pPr>
            <w:pStyle w:val="TOC2"/>
            <w:rPr>
              <w:rFonts w:asciiTheme="majorHAnsi" w:eastAsiaTheme="minorEastAsia" w:hAnsiTheme="majorHAnsi" w:cstheme="minorBidi"/>
              <w:noProof/>
              <w:color w:val="0070C0"/>
              <w:sz w:val="20"/>
              <w:szCs w:val="22"/>
            </w:rPr>
          </w:pPr>
          <w:hyperlink w:anchor="_Toc107496997" w:history="1">
            <w:r w:rsidR="00AE04F9" w:rsidRPr="002B0076">
              <w:rPr>
                <w:rStyle w:val="Hyperlink"/>
                <w:rFonts w:asciiTheme="majorHAnsi" w:hAnsiTheme="majorHAnsi"/>
                <w:i/>
                <w:noProof/>
                <w:color w:val="0070C0"/>
                <w:sz w:val="22"/>
              </w:rPr>
              <w:t>V.1.1</w:t>
            </w:r>
            <w:r w:rsidR="00AE04F9" w:rsidRPr="002B0076">
              <w:rPr>
                <w:rFonts w:asciiTheme="majorHAnsi" w:eastAsiaTheme="minorEastAsia" w:hAnsiTheme="majorHAnsi" w:cstheme="minorBidi"/>
                <w:i/>
                <w:noProof/>
                <w:color w:val="0070C0"/>
                <w:sz w:val="20"/>
                <w:szCs w:val="22"/>
              </w:rPr>
              <w:tab/>
            </w:r>
            <w:r w:rsidR="00AE04F9" w:rsidRPr="002B0076">
              <w:rPr>
                <w:rStyle w:val="Hyperlink"/>
                <w:rFonts w:asciiTheme="majorHAnsi" w:hAnsiTheme="majorHAnsi"/>
                <w:i/>
                <w:noProof/>
                <w:color w:val="0070C0"/>
                <w:sz w:val="22"/>
              </w:rPr>
              <w:t>Ndërmarrjet shtetërore – Sektori Energjetik</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_Toc107496997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41</w:t>
            </w:r>
            <w:r w:rsidR="00AE04F9" w:rsidRPr="002B0076">
              <w:rPr>
                <w:rFonts w:asciiTheme="majorHAnsi" w:hAnsiTheme="majorHAnsi"/>
                <w:noProof/>
                <w:webHidden/>
                <w:color w:val="0070C0"/>
                <w:sz w:val="22"/>
              </w:rPr>
              <w:fldChar w:fldCharType="end"/>
            </w:r>
          </w:hyperlink>
        </w:p>
        <w:p w14:paraId="0841CF0C" w14:textId="4C2D247E" w:rsidR="00AE04F9" w:rsidRPr="002B0076" w:rsidRDefault="00E3360A">
          <w:pPr>
            <w:pStyle w:val="TOC2"/>
            <w:rPr>
              <w:rFonts w:asciiTheme="majorHAnsi" w:eastAsiaTheme="minorEastAsia" w:hAnsiTheme="majorHAnsi" w:cstheme="minorBidi"/>
              <w:noProof/>
              <w:color w:val="0070C0"/>
              <w:sz w:val="20"/>
              <w:szCs w:val="22"/>
            </w:rPr>
          </w:pPr>
          <w:hyperlink w:anchor="_Toc107496998" w:history="1">
            <w:r w:rsidR="00AE04F9" w:rsidRPr="002B0076">
              <w:rPr>
                <w:rStyle w:val="Hyperlink"/>
                <w:rFonts w:asciiTheme="majorHAnsi" w:hAnsiTheme="majorHAnsi"/>
                <w:i/>
                <w:noProof/>
                <w:color w:val="0070C0"/>
                <w:sz w:val="22"/>
              </w:rPr>
              <w:t>V.1.2</w:t>
            </w:r>
            <w:r w:rsidR="00AE04F9" w:rsidRPr="002B0076">
              <w:rPr>
                <w:rFonts w:asciiTheme="majorHAnsi" w:eastAsiaTheme="minorEastAsia" w:hAnsiTheme="majorHAnsi" w:cstheme="minorBidi"/>
                <w:i/>
                <w:noProof/>
                <w:color w:val="0070C0"/>
                <w:sz w:val="20"/>
                <w:szCs w:val="22"/>
              </w:rPr>
              <w:tab/>
            </w:r>
            <w:r w:rsidR="00AE04F9" w:rsidRPr="002B0076">
              <w:rPr>
                <w:rStyle w:val="Hyperlink"/>
                <w:rFonts w:asciiTheme="majorHAnsi" w:hAnsiTheme="majorHAnsi"/>
                <w:i/>
                <w:noProof/>
                <w:color w:val="0070C0"/>
                <w:sz w:val="22"/>
              </w:rPr>
              <w:t>Ndërmarrjet shtetërore – Sektori i Ujësjellës-Kanalizimeve</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_Toc107496998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44</w:t>
            </w:r>
            <w:r w:rsidR="00AE04F9" w:rsidRPr="002B0076">
              <w:rPr>
                <w:rFonts w:asciiTheme="majorHAnsi" w:hAnsiTheme="majorHAnsi"/>
                <w:noProof/>
                <w:webHidden/>
                <w:color w:val="0070C0"/>
                <w:sz w:val="22"/>
              </w:rPr>
              <w:fldChar w:fldCharType="end"/>
            </w:r>
          </w:hyperlink>
        </w:p>
        <w:p w14:paraId="5FB0AABE" w14:textId="2B91FEC7" w:rsidR="00AE04F9" w:rsidRPr="002B0076" w:rsidRDefault="00E3360A">
          <w:pPr>
            <w:pStyle w:val="TOC2"/>
            <w:rPr>
              <w:rFonts w:asciiTheme="majorHAnsi" w:eastAsiaTheme="minorEastAsia" w:hAnsiTheme="majorHAnsi" w:cstheme="minorBidi"/>
              <w:noProof/>
              <w:color w:val="0070C0"/>
              <w:sz w:val="20"/>
              <w:szCs w:val="22"/>
            </w:rPr>
          </w:pPr>
          <w:hyperlink w:anchor="_Toc107496999" w:history="1">
            <w:r w:rsidR="00AE04F9" w:rsidRPr="002B0076">
              <w:rPr>
                <w:rStyle w:val="Hyperlink"/>
                <w:rFonts w:asciiTheme="majorHAnsi" w:hAnsiTheme="majorHAnsi"/>
                <w:noProof/>
                <w:color w:val="0070C0"/>
                <w:sz w:val="22"/>
              </w:rPr>
              <w:t>V.2</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Detyrimet e prapambetura të Qeverisjes së Përgjithshme</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_Toc107496999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46</w:t>
            </w:r>
            <w:r w:rsidR="00AE04F9" w:rsidRPr="002B0076">
              <w:rPr>
                <w:rFonts w:asciiTheme="majorHAnsi" w:hAnsiTheme="majorHAnsi"/>
                <w:noProof/>
                <w:webHidden/>
                <w:color w:val="0070C0"/>
                <w:sz w:val="22"/>
              </w:rPr>
              <w:fldChar w:fldCharType="end"/>
            </w:r>
          </w:hyperlink>
        </w:p>
        <w:p w14:paraId="17931B62" w14:textId="4AF105AF" w:rsidR="00AE04F9" w:rsidRPr="002B0076" w:rsidRDefault="00E3360A">
          <w:pPr>
            <w:pStyle w:val="TOC2"/>
            <w:rPr>
              <w:rFonts w:asciiTheme="majorHAnsi" w:eastAsiaTheme="minorEastAsia" w:hAnsiTheme="majorHAnsi" w:cstheme="minorBidi"/>
              <w:noProof/>
              <w:color w:val="0070C0"/>
              <w:sz w:val="20"/>
              <w:szCs w:val="22"/>
            </w:rPr>
          </w:pPr>
          <w:hyperlink w:anchor="_Toc107497000" w:history="1">
            <w:r w:rsidR="00AE04F9" w:rsidRPr="002B0076">
              <w:rPr>
                <w:rStyle w:val="Hyperlink"/>
                <w:rFonts w:asciiTheme="majorHAnsi" w:hAnsiTheme="majorHAnsi"/>
                <w:i/>
                <w:noProof/>
                <w:color w:val="0070C0"/>
                <w:sz w:val="22"/>
              </w:rPr>
              <w:t>V.2.1</w:t>
            </w:r>
            <w:r w:rsidR="00AE04F9" w:rsidRPr="002B0076">
              <w:rPr>
                <w:rFonts w:asciiTheme="majorHAnsi" w:eastAsiaTheme="minorEastAsia" w:hAnsiTheme="majorHAnsi" w:cstheme="minorBidi"/>
                <w:i/>
                <w:noProof/>
                <w:color w:val="0070C0"/>
                <w:sz w:val="20"/>
                <w:szCs w:val="22"/>
              </w:rPr>
              <w:tab/>
            </w:r>
            <w:r w:rsidR="00AE04F9" w:rsidRPr="002B0076">
              <w:rPr>
                <w:rStyle w:val="Hyperlink"/>
                <w:rFonts w:asciiTheme="majorHAnsi" w:hAnsiTheme="majorHAnsi"/>
                <w:i/>
                <w:noProof/>
                <w:color w:val="0070C0"/>
                <w:sz w:val="22"/>
              </w:rPr>
              <w:t>Detyrimet e prapambetura për njësitë e qeverisjes QENDRORE</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_Toc107497000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48</w:t>
            </w:r>
            <w:r w:rsidR="00AE04F9" w:rsidRPr="002B0076">
              <w:rPr>
                <w:rFonts w:asciiTheme="majorHAnsi" w:hAnsiTheme="majorHAnsi"/>
                <w:noProof/>
                <w:webHidden/>
                <w:color w:val="0070C0"/>
                <w:sz w:val="22"/>
              </w:rPr>
              <w:fldChar w:fldCharType="end"/>
            </w:r>
          </w:hyperlink>
        </w:p>
        <w:p w14:paraId="018E48B6" w14:textId="496D3867" w:rsidR="00AE04F9" w:rsidRPr="002B0076" w:rsidRDefault="00E3360A">
          <w:pPr>
            <w:pStyle w:val="TOC2"/>
            <w:rPr>
              <w:rFonts w:asciiTheme="majorHAnsi" w:eastAsiaTheme="minorEastAsia" w:hAnsiTheme="majorHAnsi" w:cstheme="minorBidi"/>
              <w:noProof/>
              <w:color w:val="0070C0"/>
              <w:sz w:val="20"/>
              <w:szCs w:val="22"/>
            </w:rPr>
          </w:pPr>
          <w:hyperlink w:anchor="_Toc107497001" w:history="1">
            <w:r w:rsidR="00AE04F9" w:rsidRPr="002B0076">
              <w:rPr>
                <w:rStyle w:val="Hyperlink"/>
                <w:rFonts w:asciiTheme="majorHAnsi" w:hAnsiTheme="majorHAnsi"/>
                <w:i/>
                <w:noProof/>
                <w:color w:val="0070C0"/>
                <w:sz w:val="22"/>
              </w:rPr>
              <w:t>V.2.2</w:t>
            </w:r>
            <w:r w:rsidR="00AE04F9" w:rsidRPr="002B0076">
              <w:rPr>
                <w:rFonts w:asciiTheme="majorHAnsi" w:eastAsiaTheme="minorEastAsia" w:hAnsiTheme="majorHAnsi" w:cstheme="minorBidi"/>
                <w:i/>
                <w:noProof/>
                <w:color w:val="0070C0"/>
                <w:sz w:val="20"/>
                <w:szCs w:val="22"/>
              </w:rPr>
              <w:tab/>
            </w:r>
            <w:r w:rsidR="00AE04F9" w:rsidRPr="002B0076">
              <w:rPr>
                <w:rStyle w:val="Hyperlink"/>
                <w:rFonts w:asciiTheme="majorHAnsi" w:hAnsiTheme="majorHAnsi"/>
                <w:i/>
                <w:noProof/>
                <w:color w:val="0070C0"/>
                <w:sz w:val="22"/>
              </w:rPr>
              <w:t>Detyrimet e prapambetura për njësitë e vetëqeverisjes VENDORE</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_Toc107497001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48</w:t>
            </w:r>
            <w:r w:rsidR="00AE04F9" w:rsidRPr="002B0076">
              <w:rPr>
                <w:rFonts w:asciiTheme="majorHAnsi" w:hAnsiTheme="majorHAnsi"/>
                <w:noProof/>
                <w:webHidden/>
                <w:color w:val="0070C0"/>
                <w:sz w:val="22"/>
              </w:rPr>
              <w:fldChar w:fldCharType="end"/>
            </w:r>
          </w:hyperlink>
        </w:p>
        <w:p w14:paraId="4A8813E1" w14:textId="379FBA69" w:rsidR="00AE04F9" w:rsidRPr="002B0076" w:rsidRDefault="00E3360A">
          <w:pPr>
            <w:pStyle w:val="TOC2"/>
            <w:rPr>
              <w:rFonts w:asciiTheme="majorHAnsi" w:eastAsiaTheme="minorEastAsia" w:hAnsiTheme="majorHAnsi" w:cstheme="minorBidi"/>
              <w:noProof/>
              <w:color w:val="0070C0"/>
              <w:sz w:val="20"/>
              <w:szCs w:val="22"/>
            </w:rPr>
          </w:pPr>
          <w:hyperlink w:anchor="_Toc107497002" w:history="1">
            <w:r w:rsidR="00AE04F9" w:rsidRPr="002B0076">
              <w:rPr>
                <w:rStyle w:val="Hyperlink"/>
                <w:rFonts w:asciiTheme="majorHAnsi" w:hAnsiTheme="majorHAnsi"/>
                <w:noProof/>
                <w:color w:val="0070C0"/>
                <w:sz w:val="22"/>
              </w:rPr>
              <w:t>V.3</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Pagesat Faktike të Kontratave Koncesionare/PPP, me Mbështetje Buxhetore</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_Toc107497002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50</w:t>
            </w:r>
            <w:r w:rsidR="00AE04F9" w:rsidRPr="002B0076">
              <w:rPr>
                <w:rFonts w:asciiTheme="majorHAnsi" w:hAnsiTheme="majorHAnsi"/>
                <w:noProof/>
                <w:webHidden/>
                <w:color w:val="0070C0"/>
                <w:sz w:val="22"/>
              </w:rPr>
              <w:fldChar w:fldCharType="end"/>
            </w:r>
          </w:hyperlink>
        </w:p>
        <w:p w14:paraId="616F8D8F" w14:textId="0E31E578" w:rsidR="00AE04F9" w:rsidRPr="002B0076" w:rsidRDefault="00E3360A">
          <w:pPr>
            <w:pStyle w:val="TOC2"/>
            <w:rPr>
              <w:rFonts w:asciiTheme="majorHAnsi" w:eastAsiaTheme="minorEastAsia" w:hAnsiTheme="majorHAnsi" w:cstheme="minorBidi"/>
              <w:noProof/>
              <w:color w:val="0070C0"/>
              <w:sz w:val="20"/>
              <w:szCs w:val="22"/>
            </w:rPr>
          </w:pPr>
          <w:hyperlink w:anchor="_Toc107497003" w:history="1">
            <w:r w:rsidR="00AE04F9" w:rsidRPr="002B0076">
              <w:rPr>
                <w:rStyle w:val="Hyperlink"/>
                <w:rFonts w:asciiTheme="majorHAnsi" w:hAnsiTheme="majorHAnsi"/>
                <w:noProof/>
                <w:color w:val="0070C0"/>
                <w:sz w:val="22"/>
              </w:rPr>
              <w:t>V.4</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Detyrime të tjera Kontigjente</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_Toc107497003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52</w:t>
            </w:r>
            <w:r w:rsidR="00AE04F9" w:rsidRPr="002B0076">
              <w:rPr>
                <w:rFonts w:asciiTheme="majorHAnsi" w:hAnsiTheme="majorHAnsi"/>
                <w:noProof/>
                <w:webHidden/>
                <w:color w:val="0070C0"/>
                <w:sz w:val="22"/>
              </w:rPr>
              <w:fldChar w:fldCharType="end"/>
            </w:r>
          </w:hyperlink>
        </w:p>
        <w:p w14:paraId="0F967EB2" w14:textId="58FFA920" w:rsidR="00AE04F9" w:rsidRPr="002B0076" w:rsidRDefault="00E3360A">
          <w:pPr>
            <w:pStyle w:val="TOC2"/>
            <w:rPr>
              <w:rFonts w:asciiTheme="majorHAnsi" w:eastAsiaTheme="minorEastAsia" w:hAnsiTheme="majorHAnsi" w:cstheme="minorBidi"/>
              <w:noProof/>
              <w:color w:val="0070C0"/>
              <w:sz w:val="20"/>
              <w:szCs w:val="22"/>
            </w:rPr>
          </w:pPr>
          <w:hyperlink w:anchor="_Toc107497004" w:history="1">
            <w:r w:rsidR="00AE04F9" w:rsidRPr="002B0076">
              <w:rPr>
                <w:rStyle w:val="Hyperlink"/>
                <w:rFonts w:asciiTheme="majorHAnsi" w:hAnsiTheme="majorHAnsi"/>
                <w:i/>
                <w:noProof/>
                <w:color w:val="0070C0"/>
                <w:sz w:val="22"/>
              </w:rPr>
              <w:t>V.4.1</w:t>
            </w:r>
            <w:r w:rsidR="00AE04F9" w:rsidRPr="002B0076">
              <w:rPr>
                <w:rFonts w:asciiTheme="majorHAnsi" w:eastAsiaTheme="minorEastAsia" w:hAnsiTheme="majorHAnsi" w:cstheme="minorBidi"/>
                <w:i/>
                <w:noProof/>
                <w:color w:val="0070C0"/>
                <w:sz w:val="20"/>
                <w:szCs w:val="22"/>
              </w:rPr>
              <w:tab/>
            </w:r>
            <w:r w:rsidR="00AE04F9" w:rsidRPr="002B0076">
              <w:rPr>
                <w:rStyle w:val="Hyperlink"/>
                <w:rFonts w:asciiTheme="majorHAnsi" w:hAnsiTheme="majorHAnsi"/>
                <w:i/>
                <w:noProof/>
                <w:color w:val="0070C0"/>
                <w:sz w:val="22"/>
              </w:rPr>
              <w:t>Vendimet e Gjykatës së të Drejtave të Njeriut në Strasburg (GJEDNJ)</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_Toc107497004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52</w:t>
            </w:r>
            <w:r w:rsidR="00AE04F9" w:rsidRPr="002B0076">
              <w:rPr>
                <w:rFonts w:asciiTheme="majorHAnsi" w:hAnsiTheme="majorHAnsi"/>
                <w:noProof/>
                <w:webHidden/>
                <w:color w:val="0070C0"/>
                <w:sz w:val="22"/>
              </w:rPr>
              <w:fldChar w:fldCharType="end"/>
            </w:r>
          </w:hyperlink>
        </w:p>
        <w:p w14:paraId="1B871AAE" w14:textId="46EDC43F" w:rsidR="00AE04F9" w:rsidRPr="002B0076" w:rsidRDefault="00E3360A">
          <w:pPr>
            <w:pStyle w:val="TOC2"/>
            <w:rPr>
              <w:rFonts w:asciiTheme="majorHAnsi" w:eastAsiaTheme="minorEastAsia" w:hAnsiTheme="majorHAnsi" w:cstheme="minorBidi"/>
              <w:noProof/>
              <w:color w:val="0070C0"/>
              <w:sz w:val="20"/>
              <w:szCs w:val="22"/>
            </w:rPr>
          </w:pPr>
          <w:hyperlink w:anchor="_Toc107497005" w:history="1">
            <w:r w:rsidR="00AE04F9" w:rsidRPr="002B0076">
              <w:rPr>
                <w:rStyle w:val="Hyperlink"/>
                <w:rFonts w:asciiTheme="majorHAnsi" w:hAnsiTheme="majorHAnsi"/>
                <w:i/>
                <w:noProof/>
                <w:color w:val="0070C0"/>
                <w:sz w:val="22"/>
              </w:rPr>
              <w:t>V.4.2</w:t>
            </w:r>
            <w:r w:rsidR="00AE04F9" w:rsidRPr="002B0076">
              <w:rPr>
                <w:rFonts w:asciiTheme="majorHAnsi" w:eastAsiaTheme="minorEastAsia" w:hAnsiTheme="majorHAnsi" w:cstheme="minorBidi"/>
                <w:i/>
                <w:noProof/>
                <w:color w:val="0070C0"/>
                <w:sz w:val="20"/>
                <w:szCs w:val="22"/>
              </w:rPr>
              <w:tab/>
            </w:r>
            <w:r w:rsidR="00AE04F9" w:rsidRPr="002B0076">
              <w:rPr>
                <w:rStyle w:val="Hyperlink"/>
                <w:rFonts w:asciiTheme="majorHAnsi" w:hAnsiTheme="majorHAnsi"/>
                <w:i/>
                <w:noProof/>
                <w:color w:val="0070C0"/>
                <w:sz w:val="22"/>
              </w:rPr>
              <w:t>Vendimet e Gjykatës Ndërkombëtare të ARBITRAZHIT</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_Toc107497005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53</w:t>
            </w:r>
            <w:r w:rsidR="00AE04F9" w:rsidRPr="002B0076">
              <w:rPr>
                <w:rFonts w:asciiTheme="majorHAnsi" w:hAnsiTheme="majorHAnsi"/>
                <w:noProof/>
                <w:webHidden/>
                <w:color w:val="0070C0"/>
                <w:sz w:val="22"/>
              </w:rPr>
              <w:fldChar w:fldCharType="end"/>
            </w:r>
          </w:hyperlink>
        </w:p>
        <w:p w14:paraId="2917388A" w14:textId="3852AF3A" w:rsidR="00AE04F9" w:rsidRPr="002B0076" w:rsidRDefault="00E3360A">
          <w:pPr>
            <w:pStyle w:val="TOC1"/>
            <w:rPr>
              <w:rFonts w:asciiTheme="majorHAnsi" w:eastAsiaTheme="minorEastAsia" w:hAnsiTheme="majorHAnsi" w:cstheme="minorBidi"/>
              <w:b w:val="0"/>
              <w:color w:val="0070C0"/>
              <w:szCs w:val="22"/>
            </w:rPr>
          </w:pPr>
          <w:hyperlink w:anchor="_Toc107497006" w:history="1">
            <w:r w:rsidR="00AE04F9" w:rsidRPr="002B0076">
              <w:rPr>
                <w:rStyle w:val="Hyperlink"/>
                <w:rFonts w:asciiTheme="majorHAnsi" w:hAnsiTheme="majorHAnsi"/>
                <w:color w:val="0070C0"/>
                <w:sz w:val="18"/>
              </w:rPr>
              <w:t>VI.</w:t>
            </w:r>
            <w:r w:rsidR="00AE04F9" w:rsidRPr="002B0076">
              <w:rPr>
                <w:rFonts w:asciiTheme="majorHAnsi" w:eastAsiaTheme="minorEastAsia" w:hAnsiTheme="majorHAnsi" w:cstheme="minorBidi"/>
                <w:b w:val="0"/>
                <w:color w:val="0070C0"/>
                <w:szCs w:val="22"/>
              </w:rPr>
              <w:tab/>
            </w:r>
            <w:r w:rsidR="00AE04F9" w:rsidRPr="002B0076">
              <w:rPr>
                <w:rStyle w:val="Hyperlink"/>
                <w:rFonts w:asciiTheme="majorHAnsi" w:hAnsiTheme="majorHAnsi"/>
                <w:color w:val="0070C0"/>
                <w:sz w:val="18"/>
              </w:rPr>
              <w:t>KONKLUZIONE DHE PROPOZIME</w:t>
            </w:r>
            <w:r w:rsidR="00AE04F9" w:rsidRPr="002B0076">
              <w:rPr>
                <w:rFonts w:asciiTheme="majorHAnsi" w:hAnsiTheme="majorHAnsi"/>
                <w:webHidden/>
                <w:color w:val="0070C0"/>
                <w:sz w:val="18"/>
              </w:rPr>
              <w:tab/>
            </w:r>
            <w:r w:rsidR="00AE04F9" w:rsidRPr="002B0076">
              <w:rPr>
                <w:rFonts w:asciiTheme="majorHAnsi" w:hAnsiTheme="majorHAnsi"/>
                <w:webHidden/>
                <w:color w:val="0070C0"/>
                <w:sz w:val="18"/>
              </w:rPr>
              <w:fldChar w:fldCharType="begin"/>
            </w:r>
            <w:r w:rsidR="00AE04F9" w:rsidRPr="002B0076">
              <w:rPr>
                <w:rFonts w:asciiTheme="majorHAnsi" w:hAnsiTheme="majorHAnsi"/>
                <w:webHidden/>
                <w:color w:val="0070C0"/>
                <w:sz w:val="18"/>
              </w:rPr>
              <w:instrText xml:space="preserve"> PAGEREF _Toc107497006 \h </w:instrText>
            </w:r>
            <w:r w:rsidR="00AE04F9" w:rsidRPr="002B0076">
              <w:rPr>
                <w:rFonts w:asciiTheme="majorHAnsi" w:hAnsiTheme="majorHAnsi"/>
                <w:webHidden/>
                <w:color w:val="0070C0"/>
                <w:sz w:val="18"/>
              </w:rPr>
            </w:r>
            <w:r w:rsidR="00AE04F9" w:rsidRPr="002B0076">
              <w:rPr>
                <w:rFonts w:asciiTheme="majorHAnsi" w:hAnsiTheme="majorHAnsi"/>
                <w:webHidden/>
                <w:color w:val="0070C0"/>
                <w:sz w:val="18"/>
              </w:rPr>
              <w:fldChar w:fldCharType="separate"/>
            </w:r>
            <w:r w:rsidR="00C153A9">
              <w:rPr>
                <w:rFonts w:asciiTheme="majorHAnsi" w:hAnsiTheme="majorHAnsi"/>
                <w:webHidden/>
                <w:color w:val="0070C0"/>
                <w:sz w:val="18"/>
              </w:rPr>
              <w:t>55</w:t>
            </w:r>
            <w:r w:rsidR="00AE04F9" w:rsidRPr="002B0076">
              <w:rPr>
                <w:rFonts w:asciiTheme="majorHAnsi" w:hAnsiTheme="majorHAnsi"/>
                <w:webHidden/>
                <w:color w:val="0070C0"/>
                <w:sz w:val="18"/>
              </w:rPr>
              <w:fldChar w:fldCharType="end"/>
            </w:r>
          </w:hyperlink>
        </w:p>
        <w:p w14:paraId="7AE0C9DD" w14:textId="75C071CD" w:rsidR="00AE04F9" w:rsidRPr="002B0076" w:rsidRDefault="00E3360A">
          <w:pPr>
            <w:pStyle w:val="TOC1"/>
            <w:rPr>
              <w:rFonts w:asciiTheme="majorHAnsi" w:eastAsiaTheme="minorEastAsia" w:hAnsiTheme="majorHAnsi" w:cstheme="minorBidi"/>
              <w:b w:val="0"/>
              <w:color w:val="0070C0"/>
              <w:szCs w:val="22"/>
            </w:rPr>
          </w:pPr>
          <w:hyperlink w:anchor="_Toc107497007" w:history="1">
            <w:r w:rsidR="00AE04F9" w:rsidRPr="002B0076">
              <w:rPr>
                <w:rStyle w:val="Hyperlink"/>
                <w:rFonts w:asciiTheme="majorHAnsi" w:hAnsiTheme="majorHAnsi"/>
                <w:color w:val="0070C0"/>
                <w:sz w:val="18"/>
              </w:rPr>
              <w:t>VII.</w:t>
            </w:r>
            <w:r w:rsidR="00AE04F9" w:rsidRPr="002B0076">
              <w:rPr>
                <w:rFonts w:asciiTheme="majorHAnsi" w:eastAsiaTheme="minorEastAsia" w:hAnsiTheme="majorHAnsi" w:cstheme="minorBidi"/>
                <w:b w:val="0"/>
                <w:color w:val="0070C0"/>
                <w:szCs w:val="22"/>
              </w:rPr>
              <w:tab/>
            </w:r>
            <w:r w:rsidR="00AE04F9" w:rsidRPr="002B0076">
              <w:rPr>
                <w:rStyle w:val="Hyperlink"/>
                <w:rFonts w:asciiTheme="majorHAnsi" w:hAnsiTheme="majorHAnsi"/>
                <w:color w:val="0070C0"/>
                <w:sz w:val="18"/>
              </w:rPr>
              <w:t>SHTOJCAT</w:t>
            </w:r>
            <w:r w:rsidR="00AE04F9" w:rsidRPr="002B0076">
              <w:rPr>
                <w:rFonts w:asciiTheme="majorHAnsi" w:hAnsiTheme="majorHAnsi"/>
                <w:webHidden/>
                <w:color w:val="0070C0"/>
                <w:sz w:val="18"/>
              </w:rPr>
              <w:tab/>
            </w:r>
            <w:r w:rsidR="00AE04F9" w:rsidRPr="002B0076">
              <w:rPr>
                <w:rFonts w:asciiTheme="majorHAnsi" w:hAnsiTheme="majorHAnsi"/>
                <w:webHidden/>
                <w:color w:val="0070C0"/>
                <w:sz w:val="18"/>
              </w:rPr>
              <w:fldChar w:fldCharType="begin"/>
            </w:r>
            <w:r w:rsidR="00AE04F9" w:rsidRPr="002B0076">
              <w:rPr>
                <w:rFonts w:asciiTheme="majorHAnsi" w:hAnsiTheme="majorHAnsi"/>
                <w:webHidden/>
                <w:color w:val="0070C0"/>
                <w:sz w:val="18"/>
              </w:rPr>
              <w:instrText xml:space="preserve"> PAGEREF _Toc107497007 \h </w:instrText>
            </w:r>
            <w:r w:rsidR="00AE04F9" w:rsidRPr="002B0076">
              <w:rPr>
                <w:rFonts w:asciiTheme="majorHAnsi" w:hAnsiTheme="majorHAnsi"/>
                <w:webHidden/>
                <w:color w:val="0070C0"/>
                <w:sz w:val="18"/>
              </w:rPr>
            </w:r>
            <w:r w:rsidR="00AE04F9" w:rsidRPr="002B0076">
              <w:rPr>
                <w:rFonts w:asciiTheme="majorHAnsi" w:hAnsiTheme="majorHAnsi"/>
                <w:webHidden/>
                <w:color w:val="0070C0"/>
                <w:sz w:val="18"/>
              </w:rPr>
              <w:fldChar w:fldCharType="separate"/>
            </w:r>
            <w:r w:rsidR="00C153A9">
              <w:rPr>
                <w:rFonts w:asciiTheme="majorHAnsi" w:hAnsiTheme="majorHAnsi"/>
                <w:webHidden/>
                <w:color w:val="0070C0"/>
                <w:sz w:val="18"/>
              </w:rPr>
              <w:t>56</w:t>
            </w:r>
            <w:r w:rsidR="00AE04F9" w:rsidRPr="002B0076">
              <w:rPr>
                <w:rFonts w:asciiTheme="majorHAnsi" w:hAnsiTheme="majorHAnsi"/>
                <w:webHidden/>
                <w:color w:val="0070C0"/>
                <w:sz w:val="18"/>
              </w:rPr>
              <w:fldChar w:fldCharType="end"/>
            </w:r>
          </w:hyperlink>
        </w:p>
        <w:p w14:paraId="1CAD2B48" w14:textId="4D881379" w:rsidR="00AE04F9" w:rsidRPr="002B0076" w:rsidRDefault="00E3360A">
          <w:pPr>
            <w:pStyle w:val="TOC2"/>
            <w:rPr>
              <w:rFonts w:asciiTheme="majorHAnsi" w:eastAsiaTheme="minorEastAsia" w:hAnsiTheme="majorHAnsi" w:cstheme="minorBidi"/>
              <w:noProof/>
              <w:color w:val="0070C0"/>
              <w:sz w:val="20"/>
              <w:szCs w:val="22"/>
            </w:rPr>
          </w:pPr>
          <w:hyperlink w:anchor="_Toc107497008" w:history="1">
            <w:r w:rsidR="00AE04F9" w:rsidRPr="002B0076">
              <w:rPr>
                <w:rStyle w:val="Hyperlink"/>
                <w:rFonts w:asciiTheme="majorHAnsi" w:hAnsiTheme="majorHAnsi"/>
                <w:noProof/>
                <w:color w:val="0070C0"/>
                <w:sz w:val="22"/>
              </w:rPr>
              <w:t>VII.1</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Ecuria e detajuar e treguesve makroekonomikë gjatë Janar-Maj 2022</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_Toc107497008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56</w:t>
            </w:r>
            <w:r w:rsidR="00AE04F9" w:rsidRPr="002B0076">
              <w:rPr>
                <w:rFonts w:asciiTheme="majorHAnsi" w:hAnsiTheme="majorHAnsi"/>
                <w:noProof/>
                <w:webHidden/>
                <w:color w:val="0070C0"/>
                <w:sz w:val="22"/>
              </w:rPr>
              <w:fldChar w:fldCharType="end"/>
            </w:r>
          </w:hyperlink>
        </w:p>
        <w:p w14:paraId="3A6236B5" w14:textId="13D123A9" w:rsidR="00AE04F9" w:rsidRPr="002B0076" w:rsidRDefault="00E3360A">
          <w:pPr>
            <w:pStyle w:val="TOC2"/>
            <w:rPr>
              <w:rFonts w:asciiTheme="majorHAnsi" w:eastAsiaTheme="minorEastAsia" w:hAnsiTheme="majorHAnsi" w:cstheme="minorBidi"/>
              <w:noProof/>
              <w:color w:val="0070C0"/>
              <w:sz w:val="20"/>
              <w:szCs w:val="22"/>
            </w:rPr>
          </w:pPr>
          <w:hyperlink w:anchor="_Toc107497009" w:history="1">
            <w:r w:rsidR="00AE04F9" w:rsidRPr="002B0076">
              <w:rPr>
                <w:rStyle w:val="Hyperlink"/>
                <w:rFonts w:asciiTheme="majorHAnsi" w:hAnsiTheme="majorHAnsi"/>
                <w:noProof/>
                <w:color w:val="0070C0"/>
                <w:sz w:val="22"/>
              </w:rPr>
              <w:t>VII.2</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Treguesit kryesorë të performancës sipas ministrive të linjës, 4M I 2022</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_Toc107497009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63</w:t>
            </w:r>
            <w:r w:rsidR="00AE04F9" w:rsidRPr="002B0076">
              <w:rPr>
                <w:rFonts w:asciiTheme="majorHAnsi" w:hAnsiTheme="majorHAnsi"/>
                <w:noProof/>
                <w:webHidden/>
                <w:color w:val="0070C0"/>
                <w:sz w:val="22"/>
              </w:rPr>
              <w:fldChar w:fldCharType="end"/>
            </w:r>
          </w:hyperlink>
        </w:p>
        <w:p w14:paraId="64D99784" w14:textId="0A69CDCB" w:rsidR="00AE04F9" w:rsidRPr="002B0076" w:rsidRDefault="00E3360A">
          <w:pPr>
            <w:pStyle w:val="TOC2"/>
            <w:rPr>
              <w:rFonts w:asciiTheme="majorHAnsi" w:eastAsiaTheme="minorEastAsia" w:hAnsiTheme="majorHAnsi" w:cstheme="minorBidi"/>
              <w:noProof/>
              <w:color w:val="0070C0"/>
              <w:sz w:val="20"/>
              <w:szCs w:val="22"/>
            </w:rPr>
          </w:pPr>
          <w:hyperlink w:anchor="_Toc107497010" w:history="1">
            <w:r w:rsidR="00AE04F9" w:rsidRPr="002B0076">
              <w:rPr>
                <w:rStyle w:val="Hyperlink"/>
                <w:rFonts w:asciiTheme="majorHAnsi" w:hAnsiTheme="majorHAnsi"/>
                <w:noProof/>
                <w:color w:val="0070C0"/>
                <w:sz w:val="22"/>
              </w:rPr>
              <w:t>VII.3</w:t>
            </w:r>
            <w:r w:rsidR="00AE04F9" w:rsidRPr="002B0076">
              <w:rPr>
                <w:rFonts w:asciiTheme="majorHAnsi" w:eastAsiaTheme="minorEastAsia" w:hAnsiTheme="majorHAnsi" w:cstheme="minorBidi"/>
                <w:noProof/>
                <w:color w:val="0070C0"/>
                <w:sz w:val="20"/>
                <w:szCs w:val="22"/>
              </w:rPr>
              <w:tab/>
            </w:r>
            <w:r w:rsidR="00AE04F9" w:rsidRPr="002B0076">
              <w:rPr>
                <w:rStyle w:val="Hyperlink"/>
                <w:rFonts w:asciiTheme="majorHAnsi" w:hAnsiTheme="majorHAnsi"/>
                <w:noProof/>
                <w:color w:val="0070C0"/>
                <w:sz w:val="22"/>
              </w:rPr>
              <w:t>Ecuria e detajuar e projekteve të investimeve publike, gjatë Janar-Maj 2022</w:t>
            </w:r>
            <w:r w:rsidR="00AE04F9" w:rsidRPr="002B0076">
              <w:rPr>
                <w:rFonts w:asciiTheme="majorHAnsi" w:hAnsiTheme="majorHAnsi"/>
                <w:noProof/>
                <w:webHidden/>
                <w:color w:val="0070C0"/>
                <w:sz w:val="22"/>
              </w:rPr>
              <w:tab/>
            </w:r>
            <w:r w:rsidR="00AE04F9" w:rsidRPr="002B0076">
              <w:rPr>
                <w:rFonts w:asciiTheme="majorHAnsi" w:hAnsiTheme="majorHAnsi"/>
                <w:noProof/>
                <w:webHidden/>
                <w:color w:val="0070C0"/>
                <w:sz w:val="22"/>
              </w:rPr>
              <w:fldChar w:fldCharType="begin"/>
            </w:r>
            <w:r w:rsidR="00AE04F9" w:rsidRPr="002B0076">
              <w:rPr>
                <w:rFonts w:asciiTheme="majorHAnsi" w:hAnsiTheme="majorHAnsi"/>
                <w:noProof/>
                <w:webHidden/>
                <w:color w:val="0070C0"/>
                <w:sz w:val="22"/>
              </w:rPr>
              <w:instrText xml:space="preserve"> PAGEREF _Toc107497010 \h </w:instrText>
            </w:r>
            <w:r w:rsidR="00AE04F9" w:rsidRPr="002B0076">
              <w:rPr>
                <w:rFonts w:asciiTheme="majorHAnsi" w:hAnsiTheme="majorHAnsi"/>
                <w:noProof/>
                <w:webHidden/>
                <w:color w:val="0070C0"/>
                <w:sz w:val="22"/>
              </w:rPr>
            </w:r>
            <w:r w:rsidR="00AE04F9" w:rsidRPr="002B0076">
              <w:rPr>
                <w:rFonts w:asciiTheme="majorHAnsi" w:hAnsiTheme="majorHAnsi"/>
                <w:noProof/>
                <w:webHidden/>
                <w:color w:val="0070C0"/>
                <w:sz w:val="22"/>
              </w:rPr>
              <w:fldChar w:fldCharType="separate"/>
            </w:r>
            <w:r w:rsidR="00C153A9">
              <w:rPr>
                <w:rFonts w:asciiTheme="majorHAnsi" w:hAnsiTheme="majorHAnsi"/>
                <w:noProof/>
                <w:webHidden/>
                <w:color w:val="0070C0"/>
                <w:sz w:val="22"/>
              </w:rPr>
              <w:t>81</w:t>
            </w:r>
            <w:r w:rsidR="00AE04F9" w:rsidRPr="002B0076">
              <w:rPr>
                <w:rFonts w:asciiTheme="majorHAnsi" w:hAnsiTheme="majorHAnsi"/>
                <w:noProof/>
                <w:webHidden/>
                <w:color w:val="0070C0"/>
                <w:sz w:val="22"/>
              </w:rPr>
              <w:fldChar w:fldCharType="end"/>
            </w:r>
          </w:hyperlink>
        </w:p>
        <w:p w14:paraId="0A969406" w14:textId="77777777" w:rsidR="00EE2069" w:rsidRPr="002E5970" w:rsidRDefault="00EE2069" w:rsidP="002E5970">
          <w:pPr>
            <w:pStyle w:val="TOC2"/>
            <w:spacing w:line="276" w:lineRule="auto"/>
            <w:jc w:val="both"/>
            <w:rPr>
              <w:rFonts w:asciiTheme="majorHAnsi" w:hAnsiTheme="majorHAnsi"/>
              <w:noProof/>
              <w:color w:val="0070C0"/>
              <w:sz w:val="22"/>
              <w:szCs w:val="22"/>
              <w:lang w:val="sq-AL"/>
            </w:rPr>
          </w:pPr>
          <w:r w:rsidRPr="002B0076">
            <w:rPr>
              <w:rFonts w:asciiTheme="majorHAnsi" w:hAnsiTheme="majorHAnsi"/>
              <w:noProof/>
              <w:color w:val="0070C0"/>
              <w:sz w:val="20"/>
              <w:szCs w:val="22"/>
              <w:lang w:val="sq-AL"/>
            </w:rPr>
            <w:fldChar w:fldCharType="end"/>
          </w:r>
        </w:p>
      </w:sdtContent>
    </w:sdt>
    <w:p w14:paraId="4DB96154" w14:textId="77777777" w:rsidR="0093243B" w:rsidRDefault="0093243B" w:rsidP="00B4223B">
      <w:pPr>
        <w:pStyle w:val="Heading1"/>
        <w:spacing w:before="0"/>
        <w:jc w:val="center"/>
        <w:rPr>
          <w:color w:val="548DD4" w:themeColor="text2" w:themeTint="99"/>
        </w:rPr>
      </w:pPr>
      <w:bookmarkStart w:id="1" w:name="_Toc44321026"/>
    </w:p>
    <w:p w14:paraId="5BD7A15D" w14:textId="77777777" w:rsidR="00545CF4" w:rsidRDefault="00545CF4" w:rsidP="00545CF4">
      <w:pPr>
        <w:rPr>
          <w:lang w:val="sq-AL"/>
        </w:rPr>
      </w:pPr>
    </w:p>
    <w:p w14:paraId="7A56626B" w14:textId="77777777" w:rsidR="002E5970" w:rsidRPr="00545CF4" w:rsidRDefault="002E5970" w:rsidP="00545CF4">
      <w:pPr>
        <w:rPr>
          <w:lang w:val="sq-AL"/>
        </w:rPr>
      </w:pPr>
    </w:p>
    <w:p w14:paraId="5F0AA9D1" w14:textId="77777777" w:rsidR="00630F48" w:rsidRPr="002C0E6D" w:rsidRDefault="002C0E6D" w:rsidP="00B4223B">
      <w:pPr>
        <w:pStyle w:val="Heading1"/>
        <w:spacing w:before="0"/>
        <w:jc w:val="center"/>
        <w:rPr>
          <w:color w:val="548DD4" w:themeColor="text2" w:themeTint="99"/>
        </w:rPr>
      </w:pPr>
      <w:bookmarkStart w:id="2" w:name="_Toc107496978"/>
      <w:r w:rsidRPr="002C0E6D">
        <w:rPr>
          <w:color w:val="548DD4" w:themeColor="text2" w:themeTint="99"/>
        </w:rPr>
        <w:lastRenderedPageBreak/>
        <w:t>LISTA E TABELA</w:t>
      </w:r>
      <w:bookmarkEnd w:id="1"/>
      <w:r w:rsidRPr="002C0E6D">
        <w:rPr>
          <w:color w:val="548DD4" w:themeColor="text2" w:themeTint="99"/>
        </w:rPr>
        <w:t>VE</w:t>
      </w:r>
      <w:bookmarkEnd w:id="2"/>
    </w:p>
    <w:p w14:paraId="37219603" w14:textId="77777777" w:rsidR="004008C0" w:rsidRPr="00C371C2" w:rsidRDefault="004008C0" w:rsidP="00C371C2">
      <w:pPr>
        <w:pStyle w:val="TableofFigures"/>
        <w:tabs>
          <w:tab w:val="right" w:leader="dot" w:pos="9623"/>
        </w:tabs>
        <w:rPr>
          <w:rStyle w:val="Hyperlink"/>
          <w:rFonts w:asciiTheme="majorHAnsi" w:eastAsiaTheme="majorEastAsia" w:hAnsiTheme="majorHAnsi"/>
          <w:i/>
          <w:noProof/>
          <w:color w:val="0070C0"/>
          <w:sz w:val="22"/>
        </w:rPr>
      </w:pPr>
    </w:p>
    <w:p w14:paraId="1E84B7D3" w14:textId="45ABA900" w:rsidR="00E12795" w:rsidRPr="00E12795" w:rsidRDefault="00070183">
      <w:pPr>
        <w:pStyle w:val="TableofFigures"/>
        <w:tabs>
          <w:tab w:val="right" w:leader="dot" w:pos="9623"/>
        </w:tabs>
        <w:rPr>
          <w:rStyle w:val="Hyperlink"/>
          <w:rFonts w:asciiTheme="majorHAnsi" w:eastAsiaTheme="majorEastAsia" w:hAnsiTheme="majorHAnsi"/>
          <w:i/>
          <w:color w:val="0070C0"/>
          <w:lang w:val="sq-AL"/>
        </w:rPr>
      </w:pPr>
      <w:r w:rsidRPr="00C371C2">
        <w:rPr>
          <w:rStyle w:val="Hyperlink"/>
          <w:rFonts w:asciiTheme="majorHAnsi" w:eastAsiaTheme="majorEastAsia" w:hAnsiTheme="majorHAnsi"/>
          <w:i/>
          <w:noProof/>
          <w:color w:val="0070C0"/>
          <w:sz w:val="22"/>
          <w:lang w:val="sq-AL"/>
        </w:rPr>
        <w:fldChar w:fldCharType="begin"/>
      </w:r>
      <w:r w:rsidRPr="00C371C2">
        <w:rPr>
          <w:rStyle w:val="Hyperlink"/>
          <w:rFonts w:asciiTheme="majorHAnsi" w:eastAsiaTheme="majorEastAsia" w:hAnsiTheme="majorHAnsi"/>
          <w:i/>
          <w:noProof/>
          <w:color w:val="0070C0"/>
          <w:sz w:val="22"/>
          <w:lang w:val="sq-AL"/>
        </w:rPr>
        <w:instrText xml:space="preserve"> TOC \h \z \c "Tabela" </w:instrText>
      </w:r>
      <w:r w:rsidRPr="00C371C2">
        <w:rPr>
          <w:rStyle w:val="Hyperlink"/>
          <w:rFonts w:asciiTheme="majorHAnsi" w:eastAsiaTheme="majorEastAsia" w:hAnsiTheme="majorHAnsi"/>
          <w:i/>
          <w:noProof/>
          <w:color w:val="0070C0"/>
          <w:sz w:val="22"/>
          <w:lang w:val="sq-AL"/>
        </w:rPr>
        <w:fldChar w:fldCharType="separate"/>
      </w:r>
      <w:hyperlink w:anchor="_Toc107496737" w:history="1">
        <w:r w:rsidR="00E12795" w:rsidRPr="00E12795">
          <w:rPr>
            <w:rStyle w:val="Hyperlink"/>
            <w:rFonts w:asciiTheme="majorHAnsi" w:eastAsiaTheme="majorEastAsia" w:hAnsiTheme="majorHAnsi"/>
            <w:i/>
            <w:noProof/>
            <w:color w:val="0070C0"/>
            <w:sz w:val="22"/>
            <w:lang w:val="sq-AL"/>
          </w:rPr>
          <w:t>Tabela 1: Të ardhurat Tatime &amp; Dogana për periudhën Janar – Maj 2022 (në milionë lekë)</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_Toc107496737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8</w:t>
        </w:r>
        <w:r w:rsidR="00E12795" w:rsidRPr="00E12795">
          <w:rPr>
            <w:rStyle w:val="Hyperlink"/>
            <w:rFonts w:asciiTheme="majorHAnsi" w:eastAsiaTheme="majorEastAsia" w:hAnsiTheme="majorHAnsi"/>
            <w:i/>
            <w:webHidden/>
            <w:color w:val="0070C0"/>
            <w:sz w:val="22"/>
            <w:lang w:val="sq-AL"/>
          </w:rPr>
          <w:fldChar w:fldCharType="end"/>
        </w:r>
      </w:hyperlink>
    </w:p>
    <w:p w14:paraId="648CDF1C" w14:textId="5AF14E6D"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38" w:history="1">
        <w:r w:rsidR="00E12795" w:rsidRPr="00E12795">
          <w:rPr>
            <w:rStyle w:val="Hyperlink"/>
            <w:rFonts w:asciiTheme="majorHAnsi" w:eastAsiaTheme="majorEastAsia" w:hAnsiTheme="majorHAnsi"/>
            <w:i/>
            <w:noProof/>
            <w:color w:val="0070C0"/>
            <w:sz w:val="22"/>
            <w:lang w:val="sq-AL"/>
          </w:rPr>
          <w:t>Tabela 2: Kontribuesit pozitivë në të ardhurat nga Akciza/Diferencat Janar-Maj 2022/2021</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_Toc107496738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11</w:t>
        </w:r>
        <w:r w:rsidR="00E12795" w:rsidRPr="00E12795">
          <w:rPr>
            <w:rStyle w:val="Hyperlink"/>
            <w:rFonts w:asciiTheme="majorHAnsi" w:eastAsiaTheme="majorEastAsia" w:hAnsiTheme="majorHAnsi"/>
            <w:i/>
            <w:webHidden/>
            <w:color w:val="0070C0"/>
            <w:sz w:val="22"/>
            <w:lang w:val="sq-AL"/>
          </w:rPr>
          <w:fldChar w:fldCharType="end"/>
        </w:r>
      </w:hyperlink>
    </w:p>
    <w:p w14:paraId="0B581DA0" w14:textId="0C502DBF"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39" w:history="1">
        <w:r w:rsidR="00E12795" w:rsidRPr="00E12795">
          <w:rPr>
            <w:rStyle w:val="Hyperlink"/>
            <w:rFonts w:asciiTheme="majorHAnsi" w:eastAsiaTheme="majorEastAsia" w:hAnsiTheme="majorHAnsi"/>
            <w:i/>
            <w:noProof/>
            <w:color w:val="0070C0"/>
            <w:sz w:val="22"/>
            <w:lang w:val="sq-AL"/>
          </w:rPr>
          <w:t>Tabela 3: Kontribuesit negativë në të ardhurat nga Akciza/ Diferencat Janar-Maj 2022/2021</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_Toc107496739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11</w:t>
        </w:r>
        <w:r w:rsidR="00E12795" w:rsidRPr="00E12795">
          <w:rPr>
            <w:rStyle w:val="Hyperlink"/>
            <w:rFonts w:asciiTheme="majorHAnsi" w:eastAsiaTheme="majorEastAsia" w:hAnsiTheme="majorHAnsi"/>
            <w:i/>
            <w:webHidden/>
            <w:color w:val="0070C0"/>
            <w:sz w:val="22"/>
            <w:lang w:val="sq-AL"/>
          </w:rPr>
          <w:fldChar w:fldCharType="end"/>
        </w:r>
      </w:hyperlink>
    </w:p>
    <w:p w14:paraId="4E753E8B" w14:textId="0CC7F518"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40" w:history="1">
        <w:r w:rsidR="00E12795" w:rsidRPr="00E12795">
          <w:rPr>
            <w:rStyle w:val="Hyperlink"/>
            <w:rFonts w:asciiTheme="majorHAnsi" w:eastAsiaTheme="majorEastAsia" w:hAnsiTheme="majorHAnsi"/>
            <w:i/>
            <w:noProof/>
            <w:color w:val="0070C0"/>
            <w:sz w:val="22"/>
            <w:lang w:val="sq-AL"/>
          </w:rPr>
          <w:t>Tabela 4: Kontribuesit pozitivë në të ardhurat nga TVSH/Diferencat Janar-Maj 2022/2021</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_Toc107496740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11</w:t>
        </w:r>
        <w:r w:rsidR="00E12795" w:rsidRPr="00E12795">
          <w:rPr>
            <w:rStyle w:val="Hyperlink"/>
            <w:rFonts w:asciiTheme="majorHAnsi" w:eastAsiaTheme="majorEastAsia" w:hAnsiTheme="majorHAnsi"/>
            <w:i/>
            <w:webHidden/>
            <w:color w:val="0070C0"/>
            <w:sz w:val="22"/>
            <w:lang w:val="sq-AL"/>
          </w:rPr>
          <w:fldChar w:fldCharType="end"/>
        </w:r>
      </w:hyperlink>
    </w:p>
    <w:p w14:paraId="02ED35EA" w14:textId="5213A736"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41" w:history="1">
        <w:r w:rsidR="00E12795" w:rsidRPr="00E12795">
          <w:rPr>
            <w:rStyle w:val="Hyperlink"/>
            <w:rFonts w:asciiTheme="majorHAnsi" w:eastAsiaTheme="majorEastAsia" w:hAnsiTheme="majorHAnsi"/>
            <w:i/>
            <w:noProof/>
            <w:color w:val="0070C0"/>
            <w:sz w:val="22"/>
            <w:lang w:val="sq-AL"/>
          </w:rPr>
          <w:t>Tabela 5: Kontribuesit negativë në të ardhurat nga TVSH/ Diferencat Janar-Maj 2022/2021</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_Toc107496741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12</w:t>
        </w:r>
        <w:r w:rsidR="00E12795" w:rsidRPr="00E12795">
          <w:rPr>
            <w:rStyle w:val="Hyperlink"/>
            <w:rFonts w:asciiTheme="majorHAnsi" w:eastAsiaTheme="majorEastAsia" w:hAnsiTheme="majorHAnsi"/>
            <w:i/>
            <w:webHidden/>
            <w:color w:val="0070C0"/>
            <w:sz w:val="22"/>
            <w:lang w:val="sq-AL"/>
          </w:rPr>
          <w:fldChar w:fldCharType="end"/>
        </w:r>
      </w:hyperlink>
    </w:p>
    <w:p w14:paraId="6139F632" w14:textId="1A95020A"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42" w:history="1">
        <w:r w:rsidR="00E12795" w:rsidRPr="00E12795">
          <w:rPr>
            <w:rStyle w:val="Hyperlink"/>
            <w:rFonts w:asciiTheme="majorHAnsi" w:eastAsiaTheme="majorEastAsia" w:hAnsiTheme="majorHAnsi"/>
            <w:i/>
            <w:noProof/>
            <w:color w:val="0070C0"/>
            <w:sz w:val="22"/>
            <w:lang w:val="sq-AL"/>
          </w:rPr>
          <w:t>Tabela 6  : Të dhëna për Rentën Minerare, naftë bruto dhe minerale të tjera (në milionë lekë)</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_Toc107496742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12</w:t>
        </w:r>
        <w:r w:rsidR="00E12795" w:rsidRPr="00E12795">
          <w:rPr>
            <w:rStyle w:val="Hyperlink"/>
            <w:rFonts w:asciiTheme="majorHAnsi" w:eastAsiaTheme="majorEastAsia" w:hAnsiTheme="majorHAnsi"/>
            <w:i/>
            <w:webHidden/>
            <w:color w:val="0070C0"/>
            <w:sz w:val="22"/>
            <w:lang w:val="sq-AL"/>
          </w:rPr>
          <w:fldChar w:fldCharType="end"/>
        </w:r>
      </w:hyperlink>
    </w:p>
    <w:p w14:paraId="07A6D21B" w14:textId="6D6EB85F"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43" w:history="1">
        <w:r w:rsidR="00E12795" w:rsidRPr="00E12795">
          <w:rPr>
            <w:rStyle w:val="Hyperlink"/>
            <w:rFonts w:asciiTheme="majorHAnsi" w:eastAsiaTheme="majorEastAsia" w:hAnsiTheme="majorHAnsi"/>
            <w:i/>
            <w:noProof/>
            <w:color w:val="0070C0"/>
            <w:sz w:val="22"/>
            <w:lang w:val="sq-AL"/>
          </w:rPr>
          <w:t>Tabela 7: Treguesit fiskalë të konsoliduar për 5 mujorin e vitit 2022 (në milion LEK)</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_Toc107496743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15</w:t>
        </w:r>
        <w:r w:rsidR="00E12795" w:rsidRPr="00E12795">
          <w:rPr>
            <w:rStyle w:val="Hyperlink"/>
            <w:rFonts w:asciiTheme="majorHAnsi" w:eastAsiaTheme="majorEastAsia" w:hAnsiTheme="majorHAnsi"/>
            <w:i/>
            <w:webHidden/>
            <w:color w:val="0070C0"/>
            <w:sz w:val="22"/>
            <w:lang w:val="sq-AL"/>
          </w:rPr>
          <w:fldChar w:fldCharType="end"/>
        </w:r>
      </w:hyperlink>
    </w:p>
    <w:p w14:paraId="25D71C8B" w14:textId="6EFB1666"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44" w:history="1">
        <w:r w:rsidR="00E12795" w:rsidRPr="00E12795">
          <w:rPr>
            <w:rStyle w:val="Hyperlink"/>
            <w:rFonts w:asciiTheme="majorHAnsi" w:eastAsiaTheme="majorEastAsia" w:hAnsiTheme="majorHAnsi"/>
            <w:i/>
            <w:noProof/>
            <w:color w:val="0070C0"/>
            <w:sz w:val="22"/>
            <w:lang w:val="sq-AL"/>
          </w:rPr>
          <w:t>Tabela 8: Treguesit fiskalë të konsoliduar për 5 mujorin e vitit 2021 dhe 2022 (në milion LEK)</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_Toc107496744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15</w:t>
        </w:r>
        <w:r w:rsidR="00E12795" w:rsidRPr="00E12795">
          <w:rPr>
            <w:rStyle w:val="Hyperlink"/>
            <w:rFonts w:asciiTheme="majorHAnsi" w:eastAsiaTheme="majorEastAsia" w:hAnsiTheme="majorHAnsi"/>
            <w:i/>
            <w:webHidden/>
            <w:color w:val="0070C0"/>
            <w:sz w:val="22"/>
            <w:lang w:val="sq-AL"/>
          </w:rPr>
          <w:fldChar w:fldCharType="end"/>
        </w:r>
      </w:hyperlink>
    </w:p>
    <w:p w14:paraId="486EC5F4" w14:textId="132B2596"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45" w:history="1">
        <w:r w:rsidR="00E12795" w:rsidRPr="00E12795">
          <w:rPr>
            <w:rStyle w:val="Hyperlink"/>
            <w:rFonts w:asciiTheme="majorHAnsi" w:eastAsiaTheme="majorEastAsia" w:hAnsiTheme="majorHAnsi"/>
            <w:i/>
            <w:noProof/>
            <w:color w:val="0070C0"/>
            <w:sz w:val="22"/>
            <w:lang w:val="sq-AL"/>
          </w:rPr>
          <w:t>Tabela 9: Të ardhurat dhe shpenzimet faktike të pushtetit vendor sipas natyrës (në milion lekë)</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_Toc107496745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26</w:t>
        </w:r>
        <w:r w:rsidR="00E12795" w:rsidRPr="00E12795">
          <w:rPr>
            <w:rStyle w:val="Hyperlink"/>
            <w:rFonts w:asciiTheme="majorHAnsi" w:eastAsiaTheme="majorEastAsia" w:hAnsiTheme="majorHAnsi"/>
            <w:i/>
            <w:webHidden/>
            <w:color w:val="0070C0"/>
            <w:sz w:val="22"/>
            <w:lang w:val="sq-AL"/>
          </w:rPr>
          <w:fldChar w:fldCharType="end"/>
        </w:r>
      </w:hyperlink>
    </w:p>
    <w:p w14:paraId="5CAD0A17" w14:textId="33B86C2B"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46" w:history="1">
        <w:r w:rsidR="00E12795" w:rsidRPr="00E12795">
          <w:rPr>
            <w:rStyle w:val="Hyperlink"/>
            <w:rFonts w:asciiTheme="majorHAnsi" w:eastAsiaTheme="majorEastAsia" w:hAnsiTheme="majorHAnsi"/>
            <w:i/>
            <w:noProof/>
            <w:color w:val="0070C0"/>
            <w:sz w:val="22"/>
            <w:lang w:val="sq-AL"/>
          </w:rPr>
          <w:t xml:space="preserve">Tabela 10: </w:t>
        </w:r>
        <w:r w:rsidR="00E12795" w:rsidRPr="002B0076">
          <w:rPr>
            <w:rStyle w:val="Hyperlink"/>
            <w:rFonts w:asciiTheme="majorHAnsi" w:eastAsiaTheme="majorEastAsia" w:hAnsiTheme="majorHAnsi"/>
            <w:i/>
            <w:noProof/>
            <w:color w:val="0070C0"/>
            <w:sz w:val="20"/>
            <w:lang w:val="sq-AL"/>
          </w:rPr>
          <w:t>Shpenzimet e fondit të rindërtimit akorduar për pushtetin vendor sipas natyrës (në milion lekë)</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_Toc107496746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27</w:t>
        </w:r>
        <w:r w:rsidR="00E12795" w:rsidRPr="00E12795">
          <w:rPr>
            <w:rStyle w:val="Hyperlink"/>
            <w:rFonts w:asciiTheme="majorHAnsi" w:eastAsiaTheme="majorEastAsia" w:hAnsiTheme="majorHAnsi"/>
            <w:i/>
            <w:webHidden/>
            <w:color w:val="0070C0"/>
            <w:sz w:val="22"/>
            <w:lang w:val="sq-AL"/>
          </w:rPr>
          <w:fldChar w:fldCharType="end"/>
        </w:r>
      </w:hyperlink>
    </w:p>
    <w:p w14:paraId="7568F622" w14:textId="2616482E"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47" w:history="1">
        <w:r w:rsidR="00E12795" w:rsidRPr="00E12795">
          <w:rPr>
            <w:rStyle w:val="Hyperlink"/>
            <w:rFonts w:asciiTheme="majorHAnsi" w:eastAsiaTheme="majorEastAsia" w:hAnsiTheme="majorHAnsi"/>
            <w:i/>
            <w:noProof/>
            <w:color w:val="0070C0"/>
            <w:sz w:val="22"/>
            <w:lang w:val="sq-AL"/>
          </w:rPr>
          <w:t>Tabela 11: Huamarrja shtetërore nga burime të brendshme në terma bruto&amp;neto (Janar-Mars 2022)</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_Toc107496747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34</w:t>
        </w:r>
        <w:r w:rsidR="00E12795" w:rsidRPr="00E12795">
          <w:rPr>
            <w:rStyle w:val="Hyperlink"/>
            <w:rFonts w:asciiTheme="majorHAnsi" w:eastAsiaTheme="majorEastAsia" w:hAnsiTheme="majorHAnsi"/>
            <w:i/>
            <w:webHidden/>
            <w:color w:val="0070C0"/>
            <w:sz w:val="22"/>
            <w:lang w:val="sq-AL"/>
          </w:rPr>
          <w:fldChar w:fldCharType="end"/>
        </w:r>
      </w:hyperlink>
    </w:p>
    <w:p w14:paraId="56B77820" w14:textId="6D88362D"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48" w:history="1">
        <w:r w:rsidR="00E12795" w:rsidRPr="00E12795">
          <w:rPr>
            <w:rStyle w:val="Hyperlink"/>
            <w:rFonts w:asciiTheme="majorHAnsi" w:eastAsiaTheme="majorEastAsia" w:hAnsiTheme="majorHAnsi"/>
            <w:i/>
            <w:noProof/>
            <w:color w:val="0070C0"/>
            <w:sz w:val="22"/>
            <w:lang w:val="sq-AL"/>
          </w:rPr>
          <w:t>Tabela 12: Huamarrja e huaj në terma bruto (TM. I 2021-TM. I 2022)</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_Toc107496748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34</w:t>
        </w:r>
        <w:r w:rsidR="00E12795" w:rsidRPr="00E12795">
          <w:rPr>
            <w:rStyle w:val="Hyperlink"/>
            <w:rFonts w:asciiTheme="majorHAnsi" w:eastAsiaTheme="majorEastAsia" w:hAnsiTheme="majorHAnsi"/>
            <w:i/>
            <w:webHidden/>
            <w:color w:val="0070C0"/>
            <w:sz w:val="22"/>
            <w:lang w:val="sq-AL"/>
          </w:rPr>
          <w:fldChar w:fldCharType="end"/>
        </w:r>
      </w:hyperlink>
    </w:p>
    <w:p w14:paraId="5788548A" w14:textId="34FCD0E4"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49" w:history="1">
        <w:r w:rsidR="00E12795" w:rsidRPr="00E12795">
          <w:rPr>
            <w:rStyle w:val="Hyperlink"/>
            <w:rFonts w:asciiTheme="majorHAnsi" w:eastAsiaTheme="majorEastAsia" w:hAnsiTheme="majorHAnsi"/>
            <w:i/>
            <w:noProof/>
            <w:color w:val="0070C0"/>
            <w:sz w:val="22"/>
            <w:lang w:val="sq-AL"/>
          </w:rPr>
          <w:t>Tabela 13: Treguesit e riskut të borxhit të brendshëm shtetëror (2021–Mars 2022)</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_Toc107496749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36</w:t>
        </w:r>
        <w:r w:rsidR="00E12795" w:rsidRPr="00E12795">
          <w:rPr>
            <w:rStyle w:val="Hyperlink"/>
            <w:rFonts w:asciiTheme="majorHAnsi" w:eastAsiaTheme="majorEastAsia" w:hAnsiTheme="majorHAnsi"/>
            <w:i/>
            <w:webHidden/>
            <w:color w:val="0070C0"/>
            <w:sz w:val="22"/>
            <w:lang w:val="sq-AL"/>
          </w:rPr>
          <w:fldChar w:fldCharType="end"/>
        </w:r>
      </w:hyperlink>
    </w:p>
    <w:p w14:paraId="24202812" w14:textId="63C8ADFA"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50" w:history="1">
        <w:r w:rsidR="00E12795" w:rsidRPr="00E12795">
          <w:rPr>
            <w:rStyle w:val="Hyperlink"/>
            <w:rFonts w:asciiTheme="majorHAnsi" w:eastAsiaTheme="majorEastAsia" w:hAnsiTheme="majorHAnsi"/>
            <w:i/>
            <w:noProof/>
            <w:color w:val="0070C0"/>
            <w:sz w:val="22"/>
            <w:lang w:val="sq-AL"/>
          </w:rPr>
          <w:t>Tabela 14: Matrica e riskut</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_Toc107496750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38</w:t>
        </w:r>
        <w:r w:rsidR="00E12795" w:rsidRPr="00E12795">
          <w:rPr>
            <w:rStyle w:val="Hyperlink"/>
            <w:rFonts w:asciiTheme="majorHAnsi" w:eastAsiaTheme="majorEastAsia" w:hAnsiTheme="majorHAnsi"/>
            <w:i/>
            <w:webHidden/>
            <w:color w:val="0070C0"/>
            <w:sz w:val="22"/>
            <w:lang w:val="sq-AL"/>
          </w:rPr>
          <w:fldChar w:fldCharType="end"/>
        </w:r>
      </w:hyperlink>
    </w:p>
    <w:p w14:paraId="00AE10A3" w14:textId="08062507"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51" w:history="1">
        <w:r w:rsidR="00E12795" w:rsidRPr="00E12795">
          <w:rPr>
            <w:rStyle w:val="Hyperlink"/>
            <w:rFonts w:asciiTheme="majorHAnsi" w:eastAsiaTheme="majorEastAsia" w:hAnsiTheme="majorHAnsi"/>
            <w:i/>
            <w:noProof/>
            <w:color w:val="0070C0"/>
            <w:sz w:val="22"/>
            <w:lang w:val="sq-AL"/>
          </w:rPr>
          <w:t>Tabela 15: Të dhënat financiare  për UKT sh.a (2020 – T1 2022) (në mijë LEK)</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_Toc107496751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39</w:t>
        </w:r>
        <w:r w:rsidR="00E12795" w:rsidRPr="00E12795">
          <w:rPr>
            <w:rStyle w:val="Hyperlink"/>
            <w:rFonts w:asciiTheme="majorHAnsi" w:eastAsiaTheme="majorEastAsia" w:hAnsiTheme="majorHAnsi"/>
            <w:i/>
            <w:webHidden/>
            <w:color w:val="0070C0"/>
            <w:sz w:val="22"/>
            <w:lang w:val="sq-AL"/>
          </w:rPr>
          <w:fldChar w:fldCharType="end"/>
        </w:r>
      </w:hyperlink>
    </w:p>
    <w:p w14:paraId="30C0E561" w14:textId="69884BCE"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52" w:history="1">
        <w:r w:rsidR="00E12795" w:rsidRPr="00E12795">
          <w:rPr>
            <w:rStyle w:val="Hyperlink"/>
            <w:rFonts w:asciiTheme="majorHAnsi" w:eastAsiaTheme="majorEastAsia" w:hAnsiTheme="majorHAnsi"/>
            <w:i/>
            <w:noProof/>
            <w:color w:val="0070C0"/>
            <w:sz w:val="22"/>
            <w:lang w:val="sq-AL"/>
          </w:rPr>
          <w:t>Tabela 16: Të dhënat financiare për Hekurudha Shqiptare sh.a (2020 – T1 2022) (në mijë LEK)</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_Toc107496752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40</w:t>
        </w:r>
        <w:r w:rsidR="00E12795" w:rsidRPr="00E12795">
          <w:rPr>
            <w:rStyle w:val="Hyperlink"/>
            <w:rFonts w:asciiTheme="majorHAnsi" w:eastAsiaTheme="majorEastAsia" w:hAnsiTheme="majorHAnsi"/>
            <w:i/>
            <w:webHidden/>
            <w:color w:val="0070C0"/>
            <w:sz w:val="22"/>
            <w:lang w:val="sq-AL"/>
          </w:rPr>
          <w:fldChar w:fldCharType="end"/>
        </w:r>
      </w:hyperlink>
    </w:p>
    <w:p w14:paraId="732C7B80" w14:textId="145C19AB"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53" w:history="1">
        <w:r w:rsidR="00E12795" w:rsidRPr="00E12795">
          <w:rPr>
            <w:rStyle w:val="Hyperlink"/>
            <w:rFonts w:asciiTheme="majorHAnsi" w:eastAsiaTheme="majorEastAsia" w:hAnsiTheme="majorHAnsi"/>
            <w:i/>
            <w:noProof/>
            <w:color w:val="0070C0"/>
            <w:sz w:val="22"/>
            <w:lang w:val="sq-AL"/>
          </w:rPr>
          <w:t>Tabela 17: Të dhënat financiare për AlbGaz sh.a (2020-T1 2022) (në mijë LEK)</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_Toc107496753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b/>
            <w:bCs/>
            <w:i/>
            <w:noProof/>
            <w:webHidden/>
            <w:color w:val="0070C0"/>
            <w:sz w:val="22"/>
          </w:rPr>
          <w:t>Error! Bookmark not defined.</w:t>
        </w:r>
        <w:r w:rsidR="00E12795" w:rsidRPr="00E12795">
          <w:rPr>
            <w:rStyle w:val="Hyperlink"/>
            <w:rFonts w:asciiTheme="majorHAnsi" w:eastAsiaTheme="majorEastAsia" w:hAnsiTheme="majorHAnsi"/>
            <w:i/>
            <w:webHidden/>
            <w:color w:val="0070C0"/>
            <w:sz w:val="22"/>
            <w:lang w:val="sq-AL"/>
          </w:rPr>
          <w:fldChar w:fldCharType="end"/>
        </w:r>
      </w:hyperlink>
    </w:p>
    <w:p w14:paraId="0C8ACADC" w14:textId="3B45D789"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54" w:history="1">
        <w:r w:rsidR="00E12795" w:rsidRPr="00E12795">
          <w:rPr>
            <w:rStyle w:val="Hyperlink"/>
            <w:rFonts w:asciiTheme="majorHAnsi" w:eastAsiaTheme="majorEastAsia" w:hAnsiTheme="majorHAnsi"/>
            <w:i/>
            <w:noProof/>
            <w:color w:val="0070C0"/>
            <w:sz w:val="22"/>
            <w:lang w:val="sq-AL"/>
          </w:rPr>
          <w:t>Tabela 18: Të dhënat financiare për Albcontrol sh.a (2020-T1 2022) (në mijë LEK)</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_Toc107496754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b/>
            <w:bCs/>
            <w:i/>
            <w:noProof/>
            <w:webHidden/>
            <w:color w:val="0070C0"/>
            <w:sz w:val="22"/>
          </w:rPr>
          <w:t>Error! Bookmark not defined.</w:t>
        </w:r>
        <w:r w:rsidR="00E12795" w:rsidRPr="00E12795">
          <w:rPr>
            <w:rStyle w:val="Hyperlink"/>
            <w:rFonts w:asciiTheme="majorHAnsi" w:eastAsiaTheme="majorEastAsia" w:hAnsiTheme="majorHAnsi"/>
            <w:i/>
            <w:webHidden/>
            <w:color w:val="0070C0"/>
            <w:sz w:val="22"/>
            <w:lang w:val="sq-AL"/>
          </w:rPr>
          <w:fldChar w:fldCharType="end"/>
        </w:r>
      </w:hyperlink>
    </w:p>
    <w:p w14:paraId="439524A0" w14:textId="28F07DF6"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55" w:history="1">
        <w:r w:rsidR="00E12795" w:rsidRPr="00E12795">
          <w:rPr>
            <w:rStyle w:val="Hyperlink"/>
            <w:rFonts w:asciiTheme="majorHAnsi" w:eastAsiaTheme="majorEastAsia" w:hAnsiTheme="majorHAnsi"/>
            <w:i/>
            <w:noProof/>
            <w:color w:val="0070C0"/>
            <w:sz w:val="22"/>
            <w:lang w:val="sq-AL"/>
          </w:rPr>
          <w:t>Tabela 19: Të dhënat financiare për RTSH sh.a (2020-T12022) (në mijë LEK)</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_Toc107496755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b/>
            <w:bCs/>
            <w:i/>
            <w:noProof/>
            <w:webHidden/>
            <w:color w:val="0070C0"/>
            <w:sz w:val="22"/>
          </w:rPr>
          <w:t>Error! Bookmark not defined.</w:t>
        </w:r>
        <w:r w:rsidR="00E12795" w:rsidRPr="00E12795">
          <w:rPr>
            <w:rStyle w:val="Hyperlink"/>
            <w:rFonts w:asciiTheme="majorHAnsi" w:eastAsiaTheme="majorEastAsia" w:hAnsiTheme="majorHAnsi"/>
            <w:i/>
            <w:webHidden/>
            <w:color w:val="0070C0"/>
            <w:sz w:val="22"/>
            <w:lang w:val="sq-AL"/>
          </w:rPr>
          <w:fldChar w:fldCharType="end"/>
        </w:r>
      </w:hyperlink>
    </w:p>
    <w:p w14:paraId="4BAAEBA3" w14:textId="5041503F"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56" w:history="1">
        <w:r w:rsidR="00E12795" w:rsidRPr="00E12795">
          <w:rPr>
            <w:rStyle w:val="Hyperlink"/>
            <w:rFonts w:asciiTheme="majorHAnsi" w:eastAsiaTheme="majorEastAsia" w:hAnsiTheme="majorHAnsi"/>
            <w:i/>
            <w:noProof/>
            <w:color w:val="0070C0"/>
            <w:sz w:val="22"/>
            <w:lang w:val="sq-AL"/>
          </w:rPr>
          <w:t>Tabela 20: Detyrimet e ndërsjella midis ndërmarjeve të sektorit energjitik, ML/IB,MFE dhe DPT:</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_Toc107496756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42</w:t>
        </w:r>
        <w:r w:rsidR="00E12795" w:rsidRPr="00E12795">
          <w:rPr>
            <w:rStyle w:val="Hyperlink"/>
            <w:rFonts w:asciiTheme="majorHAnsi" w:eastAsiaTheme="majorEastAsia" w:hAnsiTheme="majorHAnsi"/>
            <w:i/>
            <w:webHidden/>
            <w:color w:val="0070C0"/>
            <w:sz w:val="22"/>
            <w:lang w:val="sq-AL"/>
          </w:rPr>
          <w:fldChar w:fldCharType="end"/>
        </w:r>
      </w:hyperlink>
    </w:p>
    <w:p w14:paraId="771E9A10" w14:textId="2CE2FFC0"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57" w:history="1">
        <w:r w:rsidR="00E12795" w:rsidRPr="00E12795">
          <w:rPr>
            <w:rStyle w:val="Hyperlink"/>
            <w:rFonts w:asciiTheme="majorHAnsi" w:eastAsiaTheme="majorEastAsia" w:hAnsiTheme="majorHAnsi"/>
            <w:i/>
            <w:noProof/>
            <w:color w:val="0070C0"/>
            <w:sz w:val="22"/>
            <w:lang w:val="sq-AL"/>
          </w:rPr>
          <w:t>Tabela 21: Të dhënat financiare 3 mujore për Sektorin Energjitik (në mijë LEK)</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_Toc107496757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43</w:t>
        </w:r>
        <w:r w:rsidR="00E12795" w:rsidRPr="00E12795">
          <w:rPr>
            <w:rStyle w:val="Hyperlink"/>
            <w:rFonts w:asciiTheme="majorHAnsi" w:eastAsiaTheme="majorEastAsia" w:hAnsiTheme="majorHAnsi"/>
            <w:i/>
            <w:webHidden/>
            <w:color w:val="0070C0"/>
            <w:sz w:val="22"/>
            <w:lang w:val="sq-AL"/>
          </w:rPr>
          <w:fldChar w:fldCharType="end"/>
        </w:r>
      </w:hyperlink>
    </w:p>
    <w:p w14:paraId="6C094D73" w14:textId="3CDDA694"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58" w:history="1">
        <w:r w:rsidR="00E12795" w:rsidRPr="00E12795">
          <w:rPr>
            <w:rStyle w:val="Hyperlink"/>
            <w:rFonts w:asciiTheme="majorHAnsi" w:eastAsiaTheme="majorEastAsia" w:hAnsiTheme="majorHAnsi"/>
            <w:i/>
            <w:noProof/>
            <w:color w:val="0070C0"/>
            <w:sz w:val="22"/>
            <w:lang w:val="sq-AL"/>
          </w:rPr>
          <w:t>Tabela 22: Të dhënat financiare 3 mujore për OSHEE Group sh.a (në mijë LEK)</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_Toc107496758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43</w:t>
        </w:r>
        <w:r w:rsidR="00E12795" w:rsidRPr="00E12795">
          <w:rPr>
            <w:rStyle w:val="Hyperlink"/>
            <w:rFonts w:asciiTheme="majorHAnsi" w:eastAsiaTheme="majorEastAsia" w:hAnsiTheme="majorHAnsi"/>
            <w:i/>
            <w:webHidden/>
            <w:color w:val="0070C0"/>
            <w:sz w:val="22"/>
            <w:lang w:val="sq-AL"/>
          </w:rPr>
          <w:fldChar w:fldCharType="end"/>
        </w:r>
      </w:hyperlink>
    </w:p>
    <w:p w14:paraId="3BED1583" w14:textId="71C1E9E0"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59" w:history="1">
        <w:r w:rsidR="00E12795" w:rsidRPr="00E12795">
          <w:rPr>
            <w:rStyle w:val="Hyperlink"/>
            <w:rFonts w:asciiTheme="majorHAnsi" w:eastAsiaTheme="majorEastAsia" w:hAnsiTheme="majorHAnsi"/>
            <w:i/>
            <w:noProof/>
            <w:color w:val="0070C0"/>
            <w:sz w:val="22"/>
            <w:lang w:val="sq-AL"/>
          </w:rPr>
          <w:t>Tabela 23: Të dhënat financiare 3 mujore për KESH sh.a (në mijë LEK)</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_Toc107496759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44</w:t>
        </w:r>
        <w:r w:rsidR="00E12795" w:rsidRPr="00E12795">
          <w:rPr>
            <w:rStyle w:val="Hyperlink"/>
            <w:rFonts w:asciiTheme="majorHAnsi" w:eastAsiaTheme="majorEastAsia" w:hAnsiTheme="majorHAnsi"/>
            <w:i/>
            <w:webHidden/>
            <w:color w:val="0070C0"/>
            <w:sz w:val="22"/>
            <w:lang w:val="sq-AL"/>
          </w:rPr>
          <w:fldChar w:fldCharType="end"/>
        </w:r>
      </w:hyperlink>
    </w:p>
    <w:p w14:paraId="115F0940" w14:textId="32748492"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60" w:history="1">
        <w:r w:rsidR="00E12795" w:rsidRPr="00E12795">
          <w:rPr>
            <w:rStyle w:val="Hyperlink"/>
            <w:rFonts w:asciiTheme="majorHAnsi" w:eastAsiaTheme="majorEastAsia" w:hAnsiTheme="majorHAnsi"/>
            <w:i/>
            <w:noProof/>
            <w:color w:val="0070C0"/>
            <w:sz w:val="22"/>
            <w:lang w:val="sq-AL"/>
          </w:rPr>
          <w:t>Tabela 24: Të dhënat financiare 3 mujore për OST sh.a (në mijë LEK)</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_Toc107496760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44</w:t>
        </w:r>
        <w:r w:rsidR="00E12795" w:rsidRPr="00E12795">
          <w:rPr>
            <w:rStyle w:val="Hyperlink"/>
            <w:rFonts w:asciiTheme="majorHAnsi" w:eastAsiaTheme="majorEastAsia" w:hAnsiTheme="majorHAnsi"/>
            <w:i/>
            <w:webHidden/>
            <w:color w:val="0070C0"/>
            <w:sz w:val="22"/>
            <w:lang w:val="sq-AL"/>
          </w:rPr>
          <w:fldChar w:fldCharType="end"/>
        </w:r>
      </w:hyperlink>
    </w:p>
    <w:p w14:paraId="05F29ABE" w14:textId="3B1BB926"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61" w:history="1">
        <w:r w:rsidR="00E12795" w:rsidRPr="00E12795">
          <w:rPr>
            <w:rStyle w:val="Hyperlink"/>
            <w:rFonts w:asciiTheme="majorHAnsi" w:eastAsiaTheme="majorEastAsia" w:hAnsiTheme="majorHAnsi"/>
            <w:i/>
            <w:noProof/>
            <w:color w:val="0070C0"/>
            <w:sz w:val="22"/>
            <w:lang w:val="sq-AL"/>
          </w:rPr>
          <w:t>Tabela 25: Stoku i detyrimeve të prapambetura të UK ndaj OSHEE Group sh.a (në mld LEK)</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_Toc107496761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45</w:t>
        </w:r>
        <w:r w:rsidR="00E12795" w:rsidRPr="00E12795">
          <w:rPr>
            <w:rStyle w:val="Hyperlink"/>
            <w:rFonts w:asciiTheme="majorHAnsi" w:eastAsiaTheme="majorEastAsia" w:hAnsiTheme="majorHAnsi"/>
            <w:i/>
            <w:webHidden/>
            <w:color w:val="0070C0"/>
            <w:sz w:val="22"/>
            <w:lang w:val="sq-AL"/>
          </w:rPr>
          <w:fldChar w:fldCharType="end"/>
        </w:r>
      </w:hyperlink>
    </w:p>
    <w:p w14:paraId="4727313B" w14:textId="153715A6"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62" w:history="1">
        <w:r w:rsidR="00E12795" w:rsidRPr="00E12795">
          <w:rPr>
            <w:rStyle w:val="Hyperlink"/>
            <w:rFonts w:asciiTheme="majorHAnsi" w:eastAsiaTheme="majorEastAsia" w:hAnsiTheme="majorHAnsi"/>
            <w:i/>
            <w:noProof/>
            <w:color w:val="0070C0"/>
            <w:sz w:val="22"/>
            <w:lang w:val="sq-AL"/>
          </w:rPr>
          <w:t>Tabela 26: Stoku i detyrimit të mbetur vendor – T1 2022 (në lekë)</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_Toc107496762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49</w:t>
        </w:r>
        <w:r w:rsidR="00E12795" w:rsidRPr="00E12795">
          <w:rPr>
            <w:rStyle w:val="Hyperlink"/>
            <w:rFonts w:asciiTheme="majorHAnsi" w:eastAsiaTheme="majorEastAsia" w:hAnsiTheme="majorHAnsi"/>
            <w:i/>
            <w:webHidden/>
            <w:color w:val="0070C0"/>
            <w:sz w:val="22"/>
            <w:lang w:val="sq-AL"/>
          </w:rPr>
          <w:fldChar w:fldCharType="end"/>
        </w:r>
      </w:hyperlink>
    </w:p>
    <w:p w14:paraId="459885D7" w14:textId="08D114ED"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63" w:history="1">
        <w:r w:rsidR="00E12795" w:rsidRPr="00E12795">
          <w:rPr>
            <w:rStyle w:val="Hyperlink"/>
            <w:rFonts w:asciiTheme="majorHAnsi" w:eastAsiaTheme="majorEastAsia" w:hAnsiTheme="majorHAnsi"/>
            <w:i/>
            <w:noProof/>
            <w:color w:val="0070C0"/>
            <w:sz w:val="22"/>
            <w:lang w:val="sq-AL"/>
          </w:rPr>
          <w:t>Tabela 27: Koncesionet/PPT-të aktive me mbështetje nga buxheti i shtetit (në mijë LEK)</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_Toc107496763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51</w:t>
        </w:r>
        <w:r w:rsidR="00E12795" w:rsidRPr="00E12795">
          <w:rPr>
            <w:rStyle w:val="Hyperlink"/>
            <w:rFonts w:asciiTheme="majorHAnsi" w:eastAsiaTheme="majorEastAsia" w:hAnsiTheme="majorHAnsi"/>
            <w:i/>
            <w:webHidden/>
            <w:color w:val="0070C0"/>
            <w:sz w:val="22"/>
            <w:lang w:val="sq-AL"/>
          </w:rPr>
          <w:fldChar w:fldCharType="end"/>
        </w:r>
      </w:hyperlink>
    </w:p>
    <w:p w14:paraId="0753680B" w14:textId="5A6F6909"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64" w:history="1">
        <w:r w:rsidR="00E12795" w:rsidRPr="00E12795">
          <w:rPr>
            <w:rStyle w:val="Hyperlink"/>
            <w:rFonts w:asciiTheme="majorHAnsi" w:eastAsiaTheme="majorEastAsia" w:hAnsiTheme="majorHAnsi"/>
            <w:i/>
            <w:noProof/>
            <w:color w:val="0070C0"/>
            <w:sz w:val="22"/>
            <w:lang w:val="sq-AL"/>
          </w:rPr>
          <w:t>Tabela 28: Detyrimet faktike dhe kontigjente nga vendimet e GJEDNJ-së (në Euro)</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_Toc107496764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52</w:t>
        </w:r>
        <w:r w:rsidR="00E12795" w:rsidRPr="00E12795">
          <w:rPr>
            <w:rStyle w:val="Hyperlink"/>
            <w:rFonts w:asciiTheme="majorHAnsi" w:eastAsiaTheme="majorEastAsia" w:hAnsiTheme="majorHAnsi"/>
            <w:i/>
            <w:webHidden/>
            <w:color w:val="0070C0"/>
            <w:sz w:val="22"/>
            <w:lang w:val="sq-AL"/>
          </w:rPr>
          <w:fldChar w:fldCharType="end"/>
        </w:r>
      </w:hyperlink>
    </w:p>
    <w:p w14:paraId="25CB26CB" w14:textId="24FAAE23"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65" w:history="1">
        <w:r w:rsidR="00E12795" w:rsidRPr="00E12795">
          <w:rPr>
            <w:rStyle w:val="Hyperlink"/>
            <w:rFonts w:asciiTheme="majorHAnsi" w:eastAsiaTheme="majorEastAsia" w:hAnsiTheme="majorHAnsi"/>
            <w:i/>
            <w:noProof/>
            <w:color w:val="0070C0"/>
            <w:sz w:val="22"/>
            <w:lang w:val="sq-AL"/>
          </w:rPr>
          <w:t>Tabela 29: Detyrime për vendimet e Arbitrazhit Ndërkombëtar (në EUR)</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_Toc107496765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54</w:t>
        </w:r>
        <w:r w:rsidR="00E12795" w:rsidRPr="00E12795">
          <w:rPr>
            <w:rStyle w:val="Hyperlink"/>
            <w:rFonts w:asciiTheme="majorHAnsi" w:eastAsiaTheme="majorEastAsia" w:hAnsiTheme="majorHAnsi"/>
            <w:i/>
            <w:webHidden/>
            <w:color w:val="0070C0"/>
            <w:sz w:val="22"/>
            <w:lang w:val="sq-AL"/>
          </w:rPr>
          <w:fldChar w:fldCharType="end"/>
        </w:r>
      </w:hyperlink>
    </w:p>
    <w:p w14:paraId="7D9C0771" w14:textId="0B4309A5"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66" w:history="1">
        <w:r w:rsidR="00E12795" w:rsidRPr="00E12795">
          <w:rPr>
            <w:rStyle w:val="Hyperlink"/>
            <w:rFonts w:asciiTheme="majorHAnsi" w:eastAsiaTheme="majorEastAsia" w:hAnsiTheme="majorHAnsi"/>
            <w:i/>
            <w:noProof/>
            <w:color w:val="0070C0"/>
            <w:sz w:val="22"/>
            <w:lang w:val="sq-AL"/>
          </w:rPr>
          <w:t>Tabela 30: Rritja e eksportit të mallrave, sipas kategorive kryesore</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_Toc107496766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56</w:t>
        </w:r>
        <w:r w:rsidR="00E12795" w:rsidRPr="00E12795">
          <w:rPr>
            <w:rStyle w:val="Hyperlink"/>
            <w:rFonts w:asciiTheme="majorHAnsi" w:eastAsiaTheme="majorEastAsia" w:hAnsiTheme="majorHAnsi"/>
            <w:i/>
            <w:webHidden/>
            <w:color w:val="0070C0"/>
            <w:sz w:val="22"/>
            <w:lang w:val="sq-AL"/>
          </w:rPr>
          <w:fldChar w:fldCharType="end"/>
        </w:r>
      </w:hyperlink>
    </w:p>
    <w:p w14:paraId="65D6881D" w14:textId="119ACB03"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67" w:history="1">
        <w:r w:rsidR="00E12795" w:rsidRPr="00E12795">
          <w:rPr>
            <w:rStyle w:val="Hyperlink"/>
            <w:rFonts w:asciiTheme="majorHAnsi" w:eastAsiaTheme="majorEastAsia" w:hAnsiTheme="majorHAnsi"/>
            <w:i/>
            <w:noProof/>
            <w:color w:val="0070C0"/>
            <w:sz w:val="22"/>
            <w:lang w:val="sq-AL"/>
          </w:rPr>
          <w:t>Tabela 31: Rritja e importit të mallrave, sipas kategorive kryesore</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_Toc107496767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58</w:t>
        </w:r>
        <w:r w:rsidR="00E12795" w:rsidRPr="00E12795">
          <w:rPr>
            <w:rStyle w:val="Hyperlink"/>
            <w:rFonts w:asciiTheme="majorHAnsi" w:eastAsiaTheme="majorEastAsia" w:hAnsiTheme="majorHAnsi"/>
            <w:i/>
            <w:webHidden/>
            <w:color w:val="0070C0"/>
            <w:sz w:val="22"/>
            <w:lang w:val="sq-AL"/>
          </w:rPr>
          <w:fldChar w:fldCharType="end"/>
        </w:r>
      </w:hyperlink>
    </w:p>
    <w:p w14:paraId="7230A95B" w14:textId="7406A58C"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68" w:history="1">
        <w:r w:rsidR="00E12795" w:rsidRPr="00E12795">
          <w:rPr>
            <w:rStyle w:val="Hyperlink"/>
            <w:rFonts w:asciiTheme="majorHAnsi" w:eastAsiaTheme="majorEastAsia" w:hAnsiTheme="majorHAnsi"/>
            <w:i/>
            <w:noProof/>
            <w:color w:val="0070C0"/>
            <w:sz w:val="22"/>
            <w:lang w:val="sq-AL"/>
          </w:rPr>
          <w:t>Tabela 32: Bilanci tregtar, sipas kategorive kryesore</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_Toc107496768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59</w:t>
        </w:r>
        <w:r w:rsidR="00E12795" w:rsidRPr="00E12795">
          <w:rPr>
            <w:rStyle w:val="Hyperlink"/>
            <w:rFonts w:asciiTheme="majorHAnsi" w:eastAsiaTheme="majorEastAsia" w:hAnsiTheme="majorHAnsi"/>
            <w:i/>
            <w:webHidden/>
            <w:color w:val="0070C0"/>
            <w:sz w:val="22"/>
            <w:lang w:val="sq-AL"/>
          </w:rPr>
          <w:fldChar w:fldCharType="end"/>
        </w:r>
      </w:hyperlink>
    </w:p>
    <w:p w14:paraId="4FDE0CAE" w14:textId="1EFF648F"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69" w:history="1">
        <w:r w:rsidR="00E12795" w:rsidRPr="00E12795">
          <w:rPr>
            <w:rStyle w:val="Hyperlink"/>
            <w:rFonts w:asciiTheme="majorHAnsi" w:eastAsiaTheme="majorEastAsia" w:hAnsiTheme="majorHAnsi"/>
            <w:i/>
            <w:noProof/>
            <w:color w:val="0070C0"/>
            <w:sz w:val="22"/>
            <w:lang w:val="sq-AL"/>
          </w:rPr>
          <w:t>Tabela 33: Rritja vjetore e çmimeve, në përqindje</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_Toc107496769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59</w:t>
        </w:r>
        <w:r w:rsidR="00E12795" w:rsidRPr="00E12795">
          <w:rPr>
            <w:rStyle w:val="Hyperlink"/>
            <w:rFonts w:asciiTheme="majorHAnsi" w:eastAsiaTheme="majorEastAsia" w:hAnsiTheme="majorHAnsi"/>
            <w:i/>
            <w:webHidden/>
            <w:color w:val="0070C0"/>
            <w:sz w:val="22"/>
            <w:lang w:val="sq-AL"/>
          </w:rPr>
          <w:fldChar w:fldCharType="end"/>
        </w:r>
      </w:hyperlink>
    </w:p>
    <w:p w14:paraId="14995C89" w14:textId="0AD61954"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70" w:history="1">
        <w:r w:rsidR="00E12795" w:rsidRPr="00E12795">
          <w:rPr>
            <w:rStyle w:val="Hyperlink"/>
            <w:rFonts w:asciiTheme="majorHAnsi" w:eastAsiaTheme="majorEastAsia" w:hAnsiTheme="majorHAnsi"/>
            <w:i/>
            <w:noProof/>
            <w:color w:val="0070C0"/>
            <w:sz w:val="22"/>
            <w:lang w:val="sq-AL"/>
          </w:rPr>
          <w:t>Tabela 34: Ecuria e kredisë për bizneset dhe individët, në përqindje</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_Toc107496770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60</w:t>
        </w:r>
        <w:r w:rsidR="00E12795" w:rsidRPr="00E12795">
          <w:rPr>
            <w:rStyle w:val="Hyperlink"/>
            <w:rFonts w:asciiTheme="majorHAnsi" w:eastAsiaTheme="majorEastAsia" w:hAnsiTheme="majorHAnsi"/>
            <w:i/>
            <w:webHidden/>
            <w:color w:val="0070C0"/>
            <w:sz w:val="22"/>
            <w:lang w:val="sq-AL"/>
          </w:rPr>
          <w:fldChar w:fldCharType="end"/>
        </w:r>
      </w:hyperlink>
    </w:p>
    <w:p w14:paraId="5A7FA7C5" w14:textId="6DBE6855"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71" w:history="1">
        <w:r w:rsidR="00E12795" w:rsidRPr="00E12795">
          <w:rPr>
            <w:rStyle w:val="Hyperlink"/>
            <w:rFonts w:asciiTheme="majorHAnsi" w:eastAsiaTheme="majorEastAsia" w:hAnsiTheme="majorHAnsi"/>
            <w:i/>
            <w:noProof/>
            <w:color w:val="0070C0"/>
            <w:sz w:val="22"/>
            <w:lang w:val="sq-AL"/>
          </w:rPr>
          <w:t>Tabela 35: Ecuria e kredive të këqija, në përqindje</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_Toc107496771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61</w:t>
        </w:r>
        <w:r w:rsidR="00E12795" w:rsidRPr="00E12795">
          <w:rPr>
            <w:rStyle w:val="Hyperlink"/>
            <w:rFonts w:asciiTheme="majorHAnsi" w:eastAsiaTheme="majorEastAsia" w:hAnsiTheme="majorHAnsi"/>
            <w:i/>
            <w:webHidden/>
            <w:color w:val="0070C0"/>
            <w:sz w:val="22"/>
            <w:lang w:val="sq-AL"/>
          </w:rPr>
          <w:fldChar w:fldCharType="end"/>
        </w:r>
      </w:hyperlink>
    </w:p>
    <w:p w14:paraId="6E540CA7" w14:textId="16C8961B"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72" w:history="1">
        <w:r w:rsidR="00E12795" w:rsidRPr="00E12795">
          <w:rPr>
            <w:rStyle w:val="Hyperlink"/>
            <w:rFonts w:asciiTheme="majorHAnsi" w:eastAsiaTheme="majorEastAsia" w:hAnsiTheme="majorHAnsi"/>
            <w:i/>
            <w:noProof/>
            <w:color w:val="0070C0"/>
            <w:sz w:val="22"/>
            <w:lang w:val="sq-AL"/>
          </w:rPr>
          <w:t>Tabela 36: Ecuria e kursit të këmbimit 2015-2022</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_Toc107496772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62</w:t>
        </w:r>
        <w:r w:rsidR="00E12795" w:rsidRPr="00E12795">
          <w:rPr>
            <w:rStyle w:val="Hyperlink"/>
            <w:rFonts w:asciiTheme="majorHAnsi" w:eastAsiaTheme="majorEastAsia" w:hAnsiTheme="majorHAnsi"/>
            <w:i/>
            <w:webHidden/>
            <w:color w:val="0070C0"/>
            <w:sz w:val="22"/>
            <w:lang w:val="sq-AL"/>
          </w:rPr>
          <w:fldChar w:fldCharType="end"/>
        </w:r>
      </w:hyperlink>
    </w:p>
    <w:p w14:paraId="29764593" w14:textId="52527937"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73" w:history="1">
        <w:r w:rsidR="00E12795" w:rsidRPr="00E12795">
          <w:rPr>
            <w:rStyle w:val="Hyperlink"/>
            <w:rFonts w:asciiTheme="majorHAnsi" w:eastAsiaTheme="majorEastAsia" w:hAnsiTheme="majorHAnsi"/>
            <w:i/>
            <w:noProof/>
            <w:color w:val="0070C0"/>
            <w:sz w:val="22"/>
            <w:lang w:val="sq-AL"/>
          </w:rPr>
          <w:t>Tabela 37: Treguesit kryesorë të performancës sipas ministrive të linjës, 5M I 2022</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_Toc107496773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63</w:t>
        </w:r>
        <w:r w:rsidR="00E12795" w:rsidRPr="00E12795">
          <w:rPr>
            <w:rStyle w:val="Hyperlink"/>
            <w:rFonts w:asciiTheme="majorHAnsi" w:eastAsiaTheme="majorEastAsia" w:hAnsiTheme="majorHAnsi"/>
            <w:i/>
            <w:webHidden/>
            <w:color w:val="0070C0"/>
            <w:sz w:val="22"/>
            <w:lang w:val="sq-AL"/>
          </w:rPr>
          <w:fldChar w:fldCharType="end"/>
        </w:r>
      </w:hyperlink>
    </w:p>
    <w:p w14:paraId="3957E940" w14:textId="60A90235"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74" w:history="1">
        <w:r w:rsidR="00E12795" w:rsidRPr="00E12795">
          <w:rPr>
            <w:rStyle w:val="Hyperlink"/>
            <w:rFonts w:asciiTheme="majorHAnsi" w:eastAsiaTheme="majorEastAsia" w:hAnsiTheme="majorHAnsi"/>
            <w:i/>
            <w:noProof/>
            <w:color w:val="0070C0"/>
            <w:sz w:val="22"/>
            <w:lang w:val="sq-AL"/>
          </w:rPr>
          <w:t>Tabela 38: Shëndetësia dhe mbrojtja sociale</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_Toc107496774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64</w:t>
        </w:r>
        <w:r w:rsidR="00E12795" w:rsidRPr="00E12795">
          <w:rPr>
            <w:rStyle w:val="Hyperlink"/>
            <w:rFonts w:asciiTheme="majorHAnsi" w:eastAsiaTheme="majorEastAsia" w:hAnsiTheme="majorHAnsi"/>
            <w:i/>
            <w:webHidden/>
            <w:color w:val="0070C0"/>
            <w:sz w:val="22"/>
            <w:lang w:val="sq-AL"/>
          </w:rPr>
          <w:fldChar w:fldCharType="end"/>
        </w:r>
      </w:hyperlink>
    </w:p>
    <w:p w14:paraId="7C9C15B6" w14:textId="35F1A195"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75" w:history="1">
        <w:r w:rsidR="00E12795" w:rsidRPr="00E12795">
          <w:rPr>
            <w:rStyle w:val="Hyperlink"/>
            <w:rFonts w:asciiTheme="majorHAnsi" w:eastAsiaTheme="majorEastAsia" w:hAnsiTheme="majorHAnsi"/>
            <w:i/>
            <w:noProof/>
            <w:color w:val="0070C0"/>
            <w:sz w:val="22"/>
            <w:lang w:val="sq-AL"/>
          </w:rPr>
          <w:t>Tabela 39: Arsimi</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_Toc107496775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66</w:t>
        </w:r>
        <w:r w:rsidR="00E12795" w:rsidRPr="00E12795">
          <w:rPr>
            <w:rStyle w:val="Hyperlink"/>
            <w:rFonts w:asciiTheme="majorHAnsi" w:eastAsiaTheme="majorEastAsia" w:hAnsiTheme="majorHAnsi"/>
            <w:i/>
            <w:webHidden/>
            <w:color w:val="0070C0"/>
            <w:sz w:val="22"/>
            <w:lang w:val="sq-AL"/>
          </w:rPr>
          <w:fldChar w:fldCharType="end"/>
        </w:r>
      </w:hyperlink>
    </w:p>
    <w:p w14:paraId="0AF9E2AD" w14:textId="0D109FB5"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76" w:history="1">
        <w:r w:rsidR="00E12795" w:rsidRPr="00E12795">
          <w:rPr>
            <w:rStyle w:val="Hyperlink"/>
            <w:rFonts w:asciiTheme="majorHAnsi" w:eastAsiaTheme="majorEastAsia" w:hAnsiTheme="majorHAnsi"/>
            <w:i/>
            <w:noProof/>
            <w:color w:val="0070C0"/>
            <w:sz w:val="22"/>
            <w:lang w:val="sq-AL"/>
          </w:rPr>
          <w:t>Tabela 40: Bujqësia dhe Zhvillimi Rural</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_Toc107496776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67</w:t>
        </w:r>
        <w:r w:rsidR="00E12795" w:rsidRPr="00E12795">
          <w:rPr>
            <w:rStyle w:val="Hyperlink"/>
            <w:rFonts w:asciiTheme="majorHAnsi" w:eastAsiaTheme="majorEastAsia" w:hAnsiTheme="majorHAnsi"/>
            <w:i/>
            <w:webHidden/>
            <w:color w:val="0070C0"/>
            <w:sz w:val="22"/>
            <w:lang w:val="sq-AL"/>
          </w:rPr>
          <w:fldChar w:fldCharType="end"/>
        </w:r>
      </w:hyperlink>
    </w:p>
    <w:p w14:paraId="2F79CE8E" w14:textId="0DC19F68"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77" w:history="1">
        <w:r w:rsidR="00E12795" w:rsidRPr="00E12795">
          <w:rPr>
            <w:rStyle w:val="Hyperlink"/>
            <w:rFonts w:asciiTheme="majorHAnsi" w:eastAsiaTheme="majorEastAsia" w:hAnsiTheme="majorHAnsi"/>
            <w:i/>
            <w:noProof/>
            <w:color w:val="0070C0"/>
            <w:sz w:val="22"/>
            <w:lang w:val="sq-AL"/>
          </w:rPr>
          <w:t>Tabela 41: Infrastruktura dhe Energjia</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_Toc107496777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68</w:t>
        </w:r>
        <w:r w:rsidR="00E12795" w:rsidRPr="00E12795">
          <w:rPr>
            <w:rStyle w:val="Hyperlink"/>
            <w:rFonts w:asciiTheme="majorHAnsi" w:eastAsiaTheme="majorEastAsia" w:hAnsiTheme="majorHAnsi"/>
            <w:i/>
            <w:webHidden/>
            <w:color w:val="0070C0"/>
            <w:sz w:val="22"/>
            <w:lang w:val="sq-AL"/>
          </w:rPr>
          <w:fldChar w:fldCharType="end"/>
        </w:r>
      </w:hyperlink>
    </w:p>
    <w:p w14:paraId="6EF5F0E7" w14:textId="07AA7101"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78" w:history="1">
        <w:r w:rsidR="00E12795" w:rsidRPr="00E12795">
          <w:rPr>
            <w:rStyle w:val="Hyperlink"/>
            <w:rFonts w:asciiTheme="majorHAnsi" w:eastAsiaTheme="majorEastAsia" w:hAnsiTheme="majorHAnsi"/>
            <w:i/>
            <w:noProof/>
            <w:color w:val="0070C0"/>
            <w:sz w:val="22"/>
            <w:lang w:val="sq-AL"/>
          </w:rPr>
          <w:t>Tabela 42: TURIZMI DHE MJEDISI</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_Toc107496778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70</w:t>
        </w:r>
        <w:r w:rsidR="00E12795" w:rsidRPr="00E12795">
          <w:rPr>
            <w:rStyle w:val="Hyperlink"/>
            <w:rFonts w:asciiTheme="majorHAnsi" w:eastAsiaTheme="majorEastAsia" w:hAnsiTheme="majorHAnsi"/>
            <w:i/>
            <w:webHidden/>
            <w:color w:val="0070C0"/>
            <w:sz w:val="22"/>
            <w:lang w:val="sq-AL"/>
          </w:rPr>
          <w:fldChar w:fldCharType="end"/>
        </w:r>
      </w:hyperlink>
    </w:p>
    <w:p w14:paraId="6C27CD85" w14:textId="02E599E8"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79" w:history="1">
        <w:r w:rsidR="00E12795" w:rsidRPr="00E12795">
          <w:rPr>
            <w:rStyle w:val="Hyperlink"/>
            <w:rFonts w:asciiTheme="majorHAnsi" w:eastAsiaTheme="majorEastAsia" w:hAnsiTheme="majorHAnsi"/>
            <w:i/>
            <w:noProof/>
            <w:color w:val="0070C0"/>
            <w:sz w:val="22"/>
            <w:lang w:val="sq-AL"/>
          </w:rPr>
          <w:t>Tabela 43: Drejtësia</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_Toc107496779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71</w:t>
        </w:r>
        <w:r w:rsidR="00E12795" w:rsidRPr="00E12795">
          <w:rPr>
            <w:rStyle w:val="Hyperlink"/>
            <w:rFonts w:asciiTheme="majorHAnsi" w:eastAsiaTheme="majorEastAsia" w:hAnsiTheme="majorHAnsi"/>
            <w:i/>
            <w:webHidden/>
            <w:color w:val="0070C0"/>
            <w:sz w:val="22"/>
            <w:lang w:val="sq-AL"/>
          </w:rPr>
          <w:fldChar w:fldCharType="end"/>
        </w:r>
      </w:hyperlink>
    </w:p>
    <w:p w14:paraId="4E044E0B" w14:textId="774C14A3"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80" w:history="1">
        <w:r w:rsidR="00E12795" w:rsidRPr="00E12795">
          <w:rPr>
            <w:rStyle w:val="Hyperlink"/>
            <w:rFonts w:asciiTheme="majorHAnsi" w:eastAsiaTheme="majorEastAsia" w:hAnsiTheme="majorHAnsi"/>
            <w:i/>
            <w:noProof/>
            <w:color w:val="0070C0"/>
            <w:sz w:val="22"/>
            <w:lang w:val="sq-AL"/>
          </w:rPr>
          <w:t>Tabela 44: Institucionet e Sistemit të Drejtësisë</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_Toc107496780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72</w:t>
        </w:r>
        <w:r w:rsidR="00E12795" w:rsidRPr="00E12795">
          <w:rPr>
            <w:rStyle w:val="Hyperlink"/>
            <w:rFonts w:asciiTheme="majorHAnsi" w:eastAsiaTheme="majorEastAsia" w:hAnsiTheme="majorHAnsi"/>
            <w:i/>
            <w:webHidden/>
            <w:color w:val="0070C0"/>
            <w:sz w:val="22"/>
            <w:lang w:val="sq-AL"/>
          </w:rPr>
          <w:fldChar w:fldCharType="end"/>
        </w:r>
      </w:hyperlink>
    </w:p>
    <w:p w14:paraId="1632D709" w14:textId="478B65CF"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81" w:history="1">
        <w:r w:rsidR="00E12795" w:rsidRPr="00E12795">
          <w:rPr>
            <w:rStyle w:val="Hyperlink"/>
            <w:rFonts w:asciiTheme="majorHAnsi" w:eastAsiaTheme="majorEastAsia" w:hAnsiTheme="majorHAnsi"/>
            <w:i/>
            <w:noProof/>
            <w:color w:val="0070C0"/>
            <w:sz w:val="22"/>
            <w:lang w:val="sq-AL"/>
          </w:rPr>
          <w:t>Tabela 45: Financat, Ekonomia, Punësimi dhe Arsimi Profesional</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_Toc107496781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73</w:t>
        </w:r>
        <w:r w:rsidR="00E12795" w:rsidRPr="00E12795">
          <w:rPr>
            <w:rStyle w:val="Hyperlink"/>
            <w:rFonts w:asciiTheme="majorHAnsi" w:eastAsiaTheme="majorEastAsia" w:hAnsiTheme="majorHAnsi"/>
            <w:i/>
            <w:webHidden/>
            <w:color w:val="0070C0"/>
            <w:sz w:val="22"/>
            <w:lang w:val="sq-AL"/>
          </w:rPr>
          <w:fldChar w:fldCharType="end"/>
        </w:r>
      </w:hyperlink>
    </w:p>
    <w:p w14:paraId="37704258" w14:textId="6C30176B"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82" w:history="1">
        <w:r w:rsidR="00E12795" w:rsidRPr="00E12795">
          <w:rPr>
            <w:rStyle w:val="Hyperlink"/>
            <w:rFonts w:asciiTheme="majorHAnsi" w:eastAsiaTheme="majorEastAsia" w:hAnsiTheme="majorHAnsi"/>
            <w:i/>
            <w:noProof/>
            <w:color w:val="0070C0"/>
            <w:sz w:val="22"/>
            <w:lang w:val="sq-AL"/>
          </w:rPr>
          <w:t>Tabela 46: Mbrojtja</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_Toc107496782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75</w:t>
        </w:r>
        <w:r w:rsidR="00E12795" w:rsidRPr="00E12795">
          <w:rPr>
            <w:rStyle w:val="Hyperlink"/>
            <w:rFonts w:asciiTheme="majorHAnsi" w:eastAsiaTheme="majorEastAsia" w:hAnsiTheme="majorHAnsi"/>
            <w:i/>
            <w:webHidden/>
            <w:color w:val="0070C0"/>
            <w:sz w:val="22"/>
            <w:lang w:val="sq-AL"/>
          </w:rPr>
          <w:fldChar w:fldCharType="end"/>
        </w:r>
      </w:hyperlink>
    </w:p>
    <w:p w14:paraId="68AE0E25" w14:textId="5BFD4945"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83" w:history="1">
        <w:r w:rsidR="00E12795" w:rsidRPr="00E12795">
          <w:rPr>
            <w:rStyle w:val="Hyperlink"/>
            <w:rFonts w:asciiTheme="majorHAnsi" w:eastAsiaTheme="majorEastAsia" w:hAnsiTheme="majorHAnsi"/>
            <w:i/>
            <w:noProof/>
            <w:color w:val="0070C0"/>
            <w:sz w:val="22"/>
            <w:lang w:val="sq-AL"/>
          </w:rPr>
          <w:t>Tabela 47:  Rendi dhe Siguria Publike</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_Toc107496783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77</w:t>
        </w:r>
        <w:r w:rsidR="00E12795" w:rsidRPr="00E12795">
          <w:rPr>
            <w:rStyle w:val="Hyperlink"/>
            <w:rFonts w:asciiTheme="majorHAnsi" w:eastAsiaTheme="majorEastAsia" w:hAnsiTheme="majorHAnsi"/>
            <w:i/>
            <w:webHidden/>
            <w:color w:val="0070C0"/>
            <w:sz w:val="22"/>
            <w:lang w:val="sq-AL"/>
          </w:rPr>
          <w:fldChar w:fldCharType="end"/>
        </w:r>
      </w:hyperlink>
    </w:p>
    <w:p w14:paraId="78619C05" w14:textId="177BC90C"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84" w:history="1">
        <w:r w:rsidR="00E12795" w:rsidRPr="00E12795">
          <w:rPr>
            <w:rStyle w:val="Hyperlink"/>
            <w:rFonts w:asciiTheme="majorHAnsi" w:eastAsiaTheme="majorEastAsia" w:hAnsiTheme="majorHAnsi"/>
            <w:i/>
            <w:noProof/>
            <w:color w:val="0070C0"/>
            <w:sz w:val="22"/>
            <w:lang w:val="sq-AL"/>
          </w:rPr>
          <w:t>Tabela 48: Kultura</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_Toc107496784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79</w:t>
        </w:r>
        <w:r w:rsidR="00E12795" w:rsidRPr="00E12795">
          <w:rPr>
            <w:rStyle w:val="Hyperlink"/>
            <w:rFonts w:asciiTheme="majorHAnsi" w:eastAsiaTheme="majorEastAsia" w:hAnsiTheme="majorHAnsi"/>
            <w:i/>
            <w:webHidden/>
            <w:color w:val="0070C0"/>
            <w:sz w:val="22"/>
            <w:lang w:val="sq-AL"/>
          </w:rPr>
          <w:fldChar w:fldCharType="end"/>
        </w:r>
      </w:hyperlink>
    </w:p>
    <w:p w14:paraId="53AB7250" w14:textId="6009411D" w:rsidR="00E12795" w:rsidRPr="00E12795" w:rsidRDefault="00E3360A">
      <w:pPr>
        <w:pStyle w:val="TableofFigures"/>
        <w:tabs>
          <w:tab w:val="right" w:leader="dot" w:pos="9623"/>
        </w:tabs>
        <w:rPr>
          <w:rStyle w:val="Hyperlink"/>
          <w:rFonts w:asciiTheme="majorHAnsi" w:eastAsiaTheme="majorEastAsia" w:hAnsiTheme="majorHAnsi"/>
          <w:i/>
          <w:color w:val="0070C0"/>
          <w:lang w:val="sq-AL"/>
        </w:rPr>
      </w:pPr>
      <w:hyperlink w:anchor="_Toc107496785" w:history="1">
        <w:r w:rsidR="00E12795" w:rsidRPr="00E12795">
          <w:rPr>
            <w:rStyle w:val="Hyperlink"/>
            <w:rFonts w:asciiTheme="majorHAnsi" w:eastAsiaTheme="majorEastAsia" w:hAnsiTheme="majorHAnsi"/>
            <w:i/>
            <w:noProof/>
            <w:color w:val="0070C0"/>
            <w:sz w:val="22"/>
            <w:lang w:val="sq-AL"/>
          </w:rPr>
          <w:t>Tabela 49: Politika e Jashtme</w:t>
        </w:r>
        <w:r w:rsidR="00E12795" w:rsidRPr="00E12795">
          <w:rPr>
            <w:rStyle w:val="Hyperlink"/>
            <w:rFonts w:asciiTheme="majorHAnsi" w:eastAsiaTheme="majorEastAsia" w:hAnsiTheme="majorHAnsi"/>
            <w:i/>
            <w:webHidden/>
            <w:color w:val="0070C0"/>
            <w:sz w:val="22"/>
            <w:lang w:val="sq-AL"/>
          </w:rPr>
          <w:tab/>
        </w:r>
        <w:r w:rsidR="00E12795" w:rsidRPr="00E12795">
          <w:rPr>
            <w:rStyle w:val="Hyperlink"/>
            <w:rFonts w:asciiTheme="majorHAnsi" w:eastAsiaTheme="majorEastAsia" w:hAnsiTheme="majorHAnsi"/>
            <w:i/>
            <w:webHidden/>
            <w:color w:val="0070C0"/>
            <w:sz w:val="22"/>
            <w:lang w:val="sq-AL"/>
          </w:rPr>
          <w:fldChar w:fldCharType="begin"/>
        </w:r>
        <w:r w:rsidR="00E12795" w:rsidRPr="00E12795">
          <w:rPr>
            <w:rStyle w:val="Hyperlink"/>
            <w:rFonts w:asciiTheme="majorHAnsi" w:eastAsiaTheme="majorEastAsia" w:hAnsiTheme="majorHAnsi"/>
            <w:i/>
            <w:webHidden/>
            <w:color w:val="0070C0"/>
            <w:sz w:val="22"/>
            <w:lang w:val="sq-AL"/>
          </w:rPr>
          <w:instrText xml:space="preserve"> PAGEREF _Toc107496785 \h </w:instrText>
        </w:r>
        <w:r w:rsidR="00E12795" w:rsidRPr="00E12795">
          <w:rPr>
            <w:rStyle w:val="Hyperlink"/>
            <w:rFonts w:asciiTheme="majorHAnsi" w:eastAsiaTheme="majorEastAsia" w:hAnsiTheme="majorHAnsi"/>
            <w:i/>
            <w:webHidden/>
            <w:color w:val="0070C0"/>
            <w:sz w:val="22"/>
            <w:lang w:val="sq-AL"/>
          </w:rPr>
        </w:r>
        <w:r w:rsidR="00E12795" w:rsidRPr="00E12795">
          <w:rPr>
            <w:rStyle w:val="Hyperlink"/>
            <w:rFonts w:asciiTheme="majorHAnsi" w:eastAsiaTheme="majorEastAsia" w:hAnsiTheme="majorHAnsi"/>
            <w:i/>
            <w:webHidden/>
            <w:color w:val="0070C0"/>
            <w:sz w:val="22"/>
            <w:lang w:val="sq-AL"/>
          </w:rPr>
          <w:fldChar w:fldCharType="separate"/>
        </w:r>
        <w:r w:rsidR="00C153A9">
          <w:rPr>
            <w:rStyle w:val="Hyperlink"/>
            <w:rFonts w:asciiTheme="majorHAnsi" w:eastAsiaTheme="majorEastAsia" w:hAnsiTheme="majorHAnsi"/>
            <w:i/>
            <w:noProof/>
            <w:webHidden/>
            <w:color w:val="0070C0"/>
            <w:sz w:val="22"/>
            <w:lang w:val="sq-AL"/>
          </w:rPr>
          <w:t>80</w:t>
        </w:r>
        <w:r w:rsidR="00E12795" w:rsidRPr="00E12795">
          <w:rPr>
            <w:rStyle w:val="Hyperlink"/>
            <w:rFonts w:asciiTheme="majorHAnsi" w:eastAsiaTheme="majorEastAsia" w:hAnsiTheme="majorHAnsi"/>
            <w:i/>
            <w:webHidden/>
            <w:color w:val="0070C0"/>
            <w:sz w:val="22"/>
            <w:lang w:val="sq-AL"/>
          </w:rPr>
          <w:fldChar w:fldCharType="end"/>
        </w:r>
      </w:hyperlink>
    </w:p>
    <w:p w14:paraId="734D42B2" w14:textId="052DC7AC" w:rsidR="00C74FE0" w:rsidRPr="002E5970" w:rsidRDefault="00070183" w:rsidP="00C371C2">
      <w:pPr>
        <w:pStyle w:val="TableofFigures"/>
        <w:tabs>
          <w:tab w:val="right" w:leader="dot" w:pos="9620"/>
        </w:tabs>
        <w:rPr>
          <w:rStyle w:val="Hyperlink"/>
          <w:rFonts w:asciiTheme="majorHAnsi" w:eastAsiaTheme="majorEastAsia" w:hAnsiTheme="majorHAnsi"/>
          <w:i/>
          <w:noProof/>
          <w:color w:val="0070C0"/>
          <w:sz w:val="22"/>
          <w:szCs w:val="22"/>
          <w:lang w:val="sq-AL"/>
        </w:rPr>
      </w:pPr>
      <w:r w:rsidRPr="00C371C2">
        <w:rPr>
          <w:rStyle w:val="Hyperlink"/>
          <w:rFonts w:asciiTheme="majorHAnsi" w:eastAsiaTheme="majorEastAsia" w:hAnsiTheme="majorHAnsi"/>
          <w:i/>
          <w:noProof/>
          <w:color w:val="0070C0"/>
          <w:sz w:val="22"/>
          <w:lang w:val="sq-AL"/>
        </w:rPr>
        <w:fldChar w:fldCharType="end"/>
      </w:r>
    </w:p>
    <w:p w14:paraId="7604AC7C" w14:textId="77777777" w:rsidR="004008C0" w:rsidRDefault="004008C0" w:rsidP="004008C0">
      <w:pPr>
        <w:pStyle w:val="Heading1"/>
        <w:spacing w:before="0"/>
      </w:pPr>
    </w:p>
    <w:p w14:paraId="2C59FAC6" w14:textId="77777777" w:rsidR="002B0076" w:rsidRDefault="002B0076" w:rsidP="002B0076">
      <w:pPr>
        <w:rPr>
          <w:lang w:val="sq-AL"/>
        </w:rPr>
      </w:pPr>
    </w:p>
    <w:p w14:paraId="12F63CCC" w14:textId="77777777" w:rsidR="002B0076" w:rsidRPr="002B0076" w:rsidRDefault="002B0076" w:rsidP="002B0076">
      <w:pPr>
        <w:rPr>
          <w:lang w:val="sq-AL"/>
        </w:rPr>
      </w:pPr>
    </w:p>
    <w:p w14:paraId="0B8720CD" w14:textId="77777777" w:rsidR="00E12795" w:rsidRDefault="00E12795" w:rsidP="00E12795">
      <w:pPr>
        <w:rPr>
          <w:lang w:val="sq-AL"/>
        </w:rPr>
      </w:pPr>
    </w:p>
    <w:p w14:paraId="5A01FEE9" w14:textId="77777777" w:rsidR="00E12795" w:rsidRPr="00E12795" w:rsidRDefault="00E12795" w:rsidP="00E12795">
      <w:pPr>
        <w:rPr>
          <w:lang w:val="sq-AL"/>
        </w:rPr>
      </w:pPr>
    </w:p>
    <w:p w14:paraId="199D1174" w14:textId="77777777" w:rsidR="004008C0" w:rsidRPr="002C0E6D" w:rsidRDefault="002C0E6D" w:rsidP="00B4223B">
      <w:pPr>
        <w:pStyle w:val="Heading1"/>
        <w:spacing w:before="0" w:line="276" w:lineRule="auto"/>
        <w:jc w:val="center"/>
        <w:rPr>
          <w:color w:val="548DD4" w:themeColor="text2" w:themeTint="99"/>
          <w:szCs w:val="22"/>
        </w:rPr>
      </w:pPr>
      <w:bookmarkStart w:id="3" w:name="_Toc107496979"/>
      <w:r w:rsidRPr="002C0E6D">
        <w:rPr>
          <w:color w:val="548DD4" w:themeColor="text2" w:themeTint="99"/>
          <w:szCs w:val="22"/>
        </w:rPr>
        <w:t>LISTA E GRAFIKËVE</w:t>
      </w:r>
      <w:bookmarkEnd w:id="3"/>
    </w:p>
    <w:p w14:paraId="39B35CB1" w14:textId="77777777" w:rsidR="004008C0" w:rsidRPr="00B4223B" w:rsidRDefault="004008C0" w:rsidP="00B4223B">
      <w:pPr>
        <w:spacing w:line="276" w:lineRule="auto"/>
        <w:rPr>
          <w:rFonts w:asciiTheme="majorHAnsi" w:eastAsiaTheme="majorEastAsia" w:hAnsiTheme="majorHAnsi"/>
          <w:i/>
          <w:sz w:val="20"/>
          <w:szCs w:val="22"/>
          <w:lang w:val="sq-AL"/>
        </w:rPr>
      </w:pPr>
    </w:p>
    <w:p w14:paraId="30F7CC11" w14:textId="39499B93" w:rsidR="00E74AAC" w:rsidRPr="00E74AAC" w:rsidRDefault="005D4A49">
      <w:pPr>
        <w:pStyle w:val="TableofFigures"/>
        <w:tabs>
          <w:tab w:val="right" w:leader="dot" w:pos="9623"/>
        </w:tabs>
        <w:rPr>
          <w:rFonts w:asciiTheme="majorHAnsi" w:eastAsiaTheme="minorEastAsia" w:hAnsiTheme="majorHAnsi" w:cstheme="minorBidi"/>
          <w:noProof/>
          <w:color w:val="0070C0"/>
          <w:sz w:val="22"/>
          <w:szCs w:val="22"/>
        </w:rPr>
      </w:pPr>
      <w:r w:rsidRPr="00E74AAC">
        <w:rPr>
          <w:rStyle w:val="Hyperlink"/>
          <w:rFonts w:asciiTheme="majorHAnsi" w:eastAsiaTheme="majorEastAsia" w:hAnsiTheme="majorHAnsi"/>
          <w:i/>
          <w:noProof/>
          <w:color w:val="0070C0"/>
          <w:sz w:val="22"/>
          <w:szCs w:val="22"/>
          <w:lang w:val="sq-AL"/>
        </w:rPr>
        <w:fldChar w:fldCharType="begin"/>
      </w:r>
      <w:r w:rsidRPr="00E74AAC">
        <w:rPr>
          <w:rStyle w:val="Hyperlink"/>
          <w:rFonts w:asciiTheme="majorHAnsi" w:eastAsiaTheme="majorEastAsia" w:hAnsiTheme="majorHAnsi"/>
          <w:i/>
          <w:noProof/>
          <w:color w:val="0070C0"/>
          <w:sz w:val="22"/>
          <w:szCs w:val="22"/>
          <w:lang w:val="sq-AL"/>
        </w:rPr>
        <w:instrText xml:space="preserve"> TOC \h \z \c "Grafiku" </w:instrText>
      </w:r>
      <w:r w:rsidRPr="00E74AAC">
        <w:rPr>
          <w:rStyle w:val="Hyperlink"/>
          <w:rFonts w:asciiTheme="majorHAnsi" w:eastAsiaTheme="majorEastAsia" w:hAnsiTheme="majorHAnsi"/>
          <w:i/>
          <w:noProof/>
          <w:color w:val="0070C0"/>
          <w:sz w:val="22"/>
          <w:szCs w:val="22"/>
          <w:lang w:val="sq-AL"/>
        </w:rPr>
        <w:fldChar w:fldCharType="separate"/>
      </w:r>
      <w:hyperlink w:anchor="_Toc107498092" w:history="1">
        <w:r w:rsidR="00E74AAC" w:rsidRPr="00E74AAC">
          <w:rPr>
            <w:rStyle w:val="Hyperlink"/>
            <w:rFonts w:asciiTheme="majorHAnsi" w:eastAsiaTheme="majorEastAsia" w:hAnsiTheme="majorHAnsi"/>
            <w:i/>
            <w:noProof/>
            <w:color w:val="0070C0"/>
            <w:sz w:val="22"/>
            <w:szCs w:val="22"/>
            <w:lang w:val="sq-AL"/>
          </w:rPr>
          <w:t>Grafiku 1: Totali i të ardhurave Janar- Maj 2022/2021 (në milionë lekë)</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_Toc107498092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9</w:t>
        </w:r>
        <w:r w:rsidR="00E74AAC" w:rsidRPr="00E74AAC">
          <w:rPr>
            <w:rFonts w:asciiTheme="majorHAnsi" w:hAnsiTheme="majorHAnsi"/>
            <w:noProof/>
            <w:webHidden/>
            <w:color w:val="0070C0"/>
            <w:sz w:val="22"/>
            <w:szCs w:val="22"/>
          </w:rPr>
          <w:fldChar w:fldCharType="end"/>
        </w:r>
      </w:hyperlink>
    </w:p>
    <w:p w14:paraId="2D5C72E1" w14:textId="1CFF7993"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093" w:history="1">
        <w:r w:rsidR="00E74AAC" w:rsidRPr="00E74AAC">
          <w:rPr>
            <w:rStyle w:val="Hyperlink"/>
            <w:rFonts w:asciiTheme="majorHAnsi" w:eastAsiaTheme="majorEastAsia" w:hAnsiTheme="majorHAnsi"/>
            <w:i/>
            <w:noProof/>
            <w:color w:val="0070C0"/>
            <w:sz w:val="22"/>
            <w:szCs w:val="22"/>
            <w:lang w:val="sq-AL"/>
          </w:rPr>
          <w:t>Grafiku 2: Import i Taksuar dhe Eksport Total 2022/2021 (në miliard lekë)</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_Toc107498093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10</w:t>
        </w:r>
        <w:r w:rsidR="00E74AAC" w:rsidRPr="00E74AAC">
          <w:rPr>
            <w:rFonts w:asciiTheme="majorHAnsi" w:hAnsiTheme="majorHAnsi"/>
            <w:noProof/>
            <w:webHidden/>
            <w:color w:val="0070C0"/>
            <w:sz w:val="22"/>
            <w:szCs w:val="22"/>
          </w:rPr>
          <w:fldChar w:fldCharType="end"/>
        </w:r>
      </w:hyperlink>
    </w:p>
    <w:p w14:paraId="4EAFFF40" w14:textId="494FBA02"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094" w:history="1">
        <w:r w:rsidR="00E74AAC" w:rsidRPr="00E74AAC">
          <w:rPr>
            <w:rStyle w:val="Hyperlink"/>
            <w:rFonts w:asciiTheme="majorHAnsi" w:eastAsiaTheme="majorEastAsia" w:hAnsiTheme="majorHAnsi"/>
            <w:i/>
            <w:noProof/>
            <w:color w:val="0070C0"/>
            <w:sz w:val="22"/>
            <w:szCs w:val="22"/>
            <w:lang w:val="sq-AL"/>
          </w:rPr>
          <w:t>Grafiku 3: Të ardhurat Doganore për Janar- Maj 2021, mujore dhe progresive (në milion lekë)</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_Toc107498094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10</w:t>
        </w:r>
        <w:r w:rsidR="00E74AAC" w:rsidRPr="00E74AAC">
          <w:rPr>
            <w:rFonts w:asciiTheme="majorHAnsi" w:hAnsiTheme="majorHAnsi"/>
            <w:noProof/>
            <w:webHidden/>
            <w:color w:val="0070C0"/>
            <w:sz w:val="22"/>
            <w:szCs w:val="22"/>
          </w:rPr>
          <w:fldChar w:fldCharType="end"/>
        </w:r>
      </w:hyperlink>
    </w:p>
    <w:p w14:paraId="50E0081A" w14:textId="16D9C8EF"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095" w:history="1">
        <w:r w:rsidR="00E74AAC" w:rsidRPr="00E74AAC">
          <w:rPr>
            <w:rStyle w:val="Hyperlink"/>
            <w:rFonts w:asciiTheme="majorHAnsi" w:eastAsiaTheme="majorEastAsia" w:hAnsiTheme="majorHAnsi"/>
            <w:i/>
            <w:noProof/>
            <w:color w:val="0070C0"/>
            <w:sz w:val="22"/>
            <w:szCs w:val="22"/>
            <w:lang w:val="sq-AL"/>
          </w:rPr>
          <w:t>Grafiku 4: Kontribuesit kryesor në të ardhurat doganore Janar- Maj 2022/2021 (në milion lekë)</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_Toc107498095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10</w:t>
        </w:r>
        <w:r w:rsidR="00E74AAC" w:rsidRPr="00E74AAC">
          <w:rPr>
            <w:rFonts w:asciiTheme="majorHAnsi" w:hAnsiTheme="majorHAnsi"/>
            <w:noProof/>
            <w:webHidden/>
            <w:color w:val="0070C0"/>
            <w:sz w:val="22"/>
            <w:szCs w:val="22"/>
          </w:rPr>
          <w:fldChar w:fldCharType="end"/>
        </w:r>
      </w:hyperlink>
    </w:p>
    <w:p w14:paraId="3DA39CB8" w14:textId="2232896C"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096" w:history="1">
        <w:r w:rsidR="00E74AAC" w:rsidRPr="00E74AAC">
          <w:rPr>
            <w:rStyle w:val="Hyperlink"/>
            <w:rFonts w:asciiTheme="majorHAnsi" w:eastAsiaTheme="majorEastAsia" w:hAnsiTheme="majorHAnsi"/>
            <w:i/>
            <w:noProof/>
            <w:color w:val="0070C0"/>
            <w:sz w:val="22"/>
            <w:szCs w:val="22"/>
            <w:lang w:val="sq-AL"/>
          </w:rPr>
          <w:t>Grafiku 5: Të ardhurat nga Tatimet Janar- Maj 2022, Mujore dhe Progresive (në milionë lekë)</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_Toc107498096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12</w:t>
        </w:r>
        <w:r w:rsidR="00E74AAC" w:rsidRPr="00E74AAC">
          <w:rPr>
            <w:rFonts w:asciiTheme="majorHAnsi" w:hAnsiTheme="majorHAnsi"/>
            <w:noProof/>
            <w:webHidden/>
            <w:color w:val="0070C0"/>
            <w:sz w:val="22"/>
            <w:szCs w:val="22"/>
          </w:rPr>
          <w:fldChar w:fldCharType="end"/>
        </w:r>
      </w:hyperlink>
    </w:p>
    <w:p w14:paraId="48C01F6D" w14:textId="1F01B769"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097" w:history="1">
        <w:r w:rsidR="00E74AAC" w:rsidRPr="00E74AAC">
          <w:rPr>
            <w:rStyle w:val="Hyperlink"/>
            <w:rFonts w:asciiTheme="majorHAnsi" w:eastAsiaTheme="majorEastAsia" w:hAnsiTheme="majorHAnsi"/>
            <w:i/>
            <w:noProof/>
            <w:color w:val="0070C0"/>
            <w:sz w:val="22"/>
            <w:szCs w:val="22"/>
            <w:lang w:val="sq-AL"/>
          </w:rPr>
          <w:t>Grafiku 6: Të ardhura nga TVSH dhe rimbursimi i TVSH, 5 mujori në vite (në miliardë lekë)</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_Toc107498097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13</w:t>
        </w:r>
        <w:r w:rsidR="00E74AAC" w:rsidRPr="00E74AAC">
          <w:rPr>
            <w:rFonts w:asciiTheme="majorHAnsi" w:hAnsiTheme="majorHAnsi"/>
            <w:noProof/>
            <w:webHidden/>
            <w:color w:val="0070C0"/>
            <w:sz w:val="22"/>
            <w:szCs w:val="22"/>
          </w:rPr>
          <w:fldChar w:fldCharType="end"/>
        </w:r>
      </w:hyperlink>
    </w:p>
    <w:p w14:paraId="0D82779C" w14:textId="557A43FF"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098" w:history="1">
        <w:r w:rsidR="00E74AAC" w:rsidRPr="00E74AAC">
          <w:rPr>
            <w:rStyle w:val="Hyperlink"/>
            <w:rFonts w:asciiTheme="majorHAnsi" w:eastAsiaTheme="majorEastAsia" w:hAnsiTheme="majorHAnsi"/>
            <w:i/>
            <w:noProof/>
            <w:color w:val="0070C0"/>
            <w:sz w:val="22"/>
            <w:szCs w:val="22"/>
            <w:lang w:val="sq-AL"/>
          </w:rPr>
          <w:t>Grafiku 7: Të ardhurat nga Tatim Fitimi, 5 mujori në vite (në miliardë lekë)</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_Toc107498098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13</w:t>
        </w:r>
        <w:r w:rsidR="00E74AAC" w:rsidRPr="00E74AAC">
          <w:rPr>
            <w:rFonts w:asciiTheme="majorHAnsi" w:hAnsiTheme="majorHAnsi"/>
            <w:noProof/>
            <w:webHidden/>
            <w:color w:val="0070C0"/>
            <w:sz w:val="22"/>
            <w:szCs w:val="22"/>
          </w:rPr>
          <w:fldChar w:fldCharType="end"/>
        </w:r>
      </w:hyperlink>
    </w:p>
    <w:p w14:paraId="61335B6F" w14:textId="71B1E043"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099" w:history="1">
        <w:r w:rsidR="00E74AAC" w:rsidRPr="00E74AAC">
          <w:rPr>
            <w:rStyle w:val="Hyperlink"/>
            <w:rFonts w:asciiTheme="majorHAnsi" w:eastAsiaTheme="majorEastAsia" w:hAnsiTheme="majorHAnsi"/>
            <w:i/>
            <w:noProof/>
            <w:color w:val="0070C0"/>
            <w:sz w:val="22"/>
            <w:szCs w:val="22"/>
            <w:lang w:val="sq-AL"/>
          </w:rPr>
          <w:t>Grafiku 8: Të ardhurat nga Tatimi mbi të Ardhurat Personale, në vite (në milion lekë)</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_Toc107498099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13</w:t>
        </w:r>
        <w:r w:rsidR="00E74AAC" w:rsidRPr="00E74AAC">
          <w:rPr>
            <w:rFonts w:asciiTheme="majorHAnsi" w:hAnsiTheme="majorHAnsi"/>
            <w:noProof/>
            <w:webHidden/>
            <w:color w:val="0070C0"/>
            <w:sz w:val="22"/>
            <w:szCs w:val="22"/>
          </w:rPr>
          <w:fldChar w:fldCharType="end"/>
        </w:r>
      </w:hyperlink>
    </w:p>
    <w:p w14:paraId="0A47A145" w14:textId="12088AA6"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00" w:history="1">
        <w:r w:rsidR="00E74AAC" w:rsidRPr="00E74AAC">
          <w:rPr>
            <w:rStyle w:val="Hyperlink"/>
            <w:rFonts w:asciiTheme="majorHAnsi" w:eastAsiaTheme="majorEastAsia" w:hAnsiTheme="majorHAnsi"/>
            <w:i/>
            <w:noProof/>
            <w:color w:val="0070C0"/>
            <w:sz w:val="22"/>
            <w:szCs w:val="22"/>
            <w:lang w:val="sq-AL"/>
          </w:rPr>
          <w:t>Grafiku 9: Të ardhurat 5 mujore nga Taksat nacionale, në vite (në miliardë lekë)</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_Toc107498100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14</w:t>
        </w:r>
        <w:r w:rsidR="00E74AAC" w:rsidRPr="00E74AAC">
          <w:rPr>
            <w:rFonts w:asciiTheme="majorHAnsi" w:hAnsiTheme="majorHAnsi"/>
            <w:noProof/>
            <w:webHidden/>
            <w:color w:val="0070C0"/>
            <w:sz w:val="22"/>
            <w:szCs w:val="22"/>
          </w:rPr>
          <w:fldChar w:fldCharType="end"/>
        </w:r>
      </w:hyperlink>
    </w:p>
    <w:p w14:paraId="790295C6" w14:textId="76C0FC44"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01" w:history="1">
        <w:r w:rsidR="00E74AAC" w:rsidRPr="00E74AAC">
          <w:rPr>
            <w:rStyle w:val="Hyperlink"/>
            <w:rFonts w:asciiTheme="majorHAnsi" w:eastAsiaTheme="majorEastAsia" w:hAnsiTheme="majorHAnsi"/>
            <w:i/>
            <w:noProof/>
            <w:color w:val="0070C0"/>
            <w:sz w:val="22"/>
            <w:szCs w:val="22"/>
            <w:lang w:val="sq-AL"/>
          </w:rPr>
          <w:t>Grafiku 10: Të ardhurat nga kontributet e mbledhura nga DPT, në vite (në miliardë lekë)</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_Toc107498101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14</w:t>
        </w:r>
        <w:r w:rsidR="00E74AAC" w:rsidRPr="00E74AAC">
          <w:rPr>
            <w:rFonts w:asciiTheme="majorHAnsi" w:hAnsiTheme="majorHAnsi"/>
            <w:noProof/>
            <w:webHidden/>
            <w:color w:val="0070C0"/>
            <w:sz w:val="22"/>
            <w:szCs w:val="22"/>
          </w:rPr>
          <w:fldChar w:fldCharType="end"/>
        </w:r>
      </w:hyperlink>
    </w:p>
    <w:p w14:paraId="7338D898" w14:textId="1FA9DDE4"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02" w:history="1">
        <w:r w:rsidR="00E74AAC" w:rsidRPr="00E74AAC">
          <w:rPr>
            <w:rStyle w:val="Hyperlink"/>
            <w:rFonts w:asciiTheme="majorHAnsi" w:eastAsiaTheme="majorEastAsia" w:hAnsiTheme="majorHAnsi"/>
            <w:i/>
            <w:noProof/>
            <w:color w:val="0070C0"/>
            <w:sz w:val="22"/>
            <w:szCs w:val="22"/>
            <w:lang w:val="sq-AL"/>
          </w:rPr>
          <w:t>Grafiku 11: Shpenzimet e përgjithshme dhe ritmi i rritjes së tyre (në miliardë LEK)</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_Toc107498102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15</w:t>
        </w:r>
        <w:r w:rsidR="00E74AAC" w:rsidRPr="00E74AAC">
          <w:rPr>
            <w:rFonts w:asciiTheme="majorHAnsi" w:hAnsiTheme="majorHAnsi"/>
            <w:noProof/>
            <w:webHidden/>
            <w:color w:val="0070C0"/>
            <w:sz w:val="22"/>
            <w:szCs w:val="22"/>
          </w:rPr>
          <w:fldChar w:fldCharType="end"/>
        </w:r>
      </w:hyperlink>
    </w:p>
    <w:p w14:paraId="66DA2F3C" w14:textId="1BD09C83"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03" w:history="1">
        <w:r w:rsidR="00E74AAC" w:rsidRPr="00E74AAC">
          <w:rPr>
            <w:rStyle w:val="Hyperlink"/>
            <w:rFonts w:asciiTheme="majorHAnsi" w:eastAsia="SimSun" w:hAnsiTheme="majorHAnsi"/>
            <w:i/>
            <w:noProof/>
            <w:color w:val="0070C0"/>
            <w:sz w:val="22"/>
            <w:szCs w:val="22"/>
            <w:lang w:val="sq-AL"/>
          </w:rPr>
          <w:t>Grafiku 12: Shpenzimet korente dhe kapitale Plan vs Fakt (në miliard LEK)</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_Toc107498103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16</w:t>
        </w:r>
        <w:r w:rsidR="00E74AAC" w:rsidRPr="00E74AAC">
          <w:rPr>
            <w:rFonts w:asciiTheme="majorHAnsi" w:hAnsiTheme="majorHAnsi"/>
            <w:noProof/>
            <w:webHidden/>
            <w:color w:val="0070C0"/>
            <w:sz w:val="22"/>
            <w:szCs w:val="22"/>
          </w:rPr>
          <w:fldChar w:fldCharType="end"/>
        </w:r>
      </w:hyperlink>
    </w:p>
    <w:p w14:paraId="5B52FFEA" w14:textId="04706C2A"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04" w:history="1">
        <w:r w:rsidR="00E74AAC" w:rsidRPr="00E74AAC">
          <w:rPr>
            <w:rStyle w:val="Hyperlink"/>
            <w:rFonts w:asciiTheme="majorHAnsi" w:eastAsia="SimSun" w:hAnsiTheme="majorHAnsi"/>
            <w:i/>
            <w:noProof/>
            <w:color w:val="0070C0"/>
            <w:sz w:val="22"/>
            <w:szCs w:val="22"/>
            <w:lang w:val="sq-AL"/>
          </w:rPr>
          <w:t>Grafiku 13: Struktura e shpenzimeve të përgjithshme, për periudhën 5 mujore 2022</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_Toc107498104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16</w:t>
        </w:r>
        <w:r w:rsidR="00E74AAC" w:rsidRPr="00E74AAC">
          <w:rPr>
            <w:rFonts w:asciiTheme="majorHAnsi" w:hAnsiTheme="majorHAnsi"/>
            <w:noProof/>
            <w:webHidden/>
            <w:color w:val="0070C0"/>
            <w:sz w:val="22"/>
            <w:szCs w:val="22"/>
          </w:rPr>
          <w:fldChar w:fldCharType="end"/>
        </w:r>
      </w:hyperlink>
    </w:p>
    <w:p w14:paraId="1A309C29" w14:textId="53F7A221"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05" w:history="1">
        <w:r w:rsidR="00E74AAC" w:rsidRPr="00E74AAC">
          <w:rPr>
            <w:rStyle w:val="Hyperlink"/>
            <w:rFonts w:asciiTheme="majorHAnsi" w:eastAsiaTheme="majorEastAsia" w:hAnsiTheme="majorHAnsi"/>
            <w:i/>
            <w:noProof/>
            <w:color w:val="0070C0"/>
            <w:sz w:val="22"/>
            <w:szCs w:val="22"/>
            <w:lang w:val="sq-AL"/>
          </w:rPr>
          <w:t>Grafiku 14: Shpenzimet Korente dhe ritmi i rritjes së tyre (në miliardë LEK)</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_Toc107498105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17</w:t>
        </w:r>
        <w:r w:rsidR="00E74AAC" w:rsidRPr="00E74AAC">
          <w:rPr>
            <w:rFonts w:asciiTheme="majorHAnsi" w:hAnsiTheme="majorHAnsi"/>
            <w:noProof/>
            <w:webHidden/>
            <w:color w:val="0070C0"/>
            <w:sz w:val="22"/>
            <w:szCs w:val="22"/>
          </w:rPr>
          <w:fldChar w:fldCharType="end"/>
        </w:r>
      </w:hyperlink>
    </w:p>
    <w:p w14:paraId="55E396CD" w14:textId="35A4C6F8"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06" w:history="1">
        <w:r w:rsidR="00E74AAC" w:rsidRPr="00E74AAC">
          <w:rPr>
            <w:rStyle w:val="Hyperlink"/>
            <w:rFonts w:asciiTheme="majorHAnsi" w:eastAsiaTheme="majorEastAsia" w:hAnsiTheme="majorHAnsi"/>
            <w:i/>
            <w:noProof/>
            <w:color w:val="0070C0"/>
            <w:sz w:val="22"/>
            <w:szCs w:val="22"/>
            <w:lang w:val="sq-AL"/>
          </w:rPr>
          <w:t>Grafiku 15 : Struktura e shpenzimeve korente, për periudhën 5 mujore 2022</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_Toc107498106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17</w:t>
        </w:r>
        <w:r w:rsidR="00E74AAC" w:rsidRPr="00E74AAC">
          <w:rPr>
            <w:rFonts w:asciiTheme="majorHAnsi" w:hAnsiTheme="majorHAnsi"/>
            <w:noProof/>
            <w:webHidden/>
            <w:color w:val="0070C0"/>
            <w:sz w:val="22"/>
            <w:szCs w:val="22"/>
          </w:rPr>
          <w:fldChar w:fldCharType="end"/>
        </w:r>
      </w:hyperlink>
    </w:p>
    <w:p w14:paraId="171D225F" w14:textId="66445C0A"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07" w:history="1">
        <w:r w:rsidR="00E74AAC" w:rsidRPr="00E74AAC">
          <w:rPr>
            <w:rStyle w:val="Hyperlink"/>
            <w:rFonts w:asciiTheme="majorHAnsi" w:eastAsiaTheme="majorEastAsia" w:hAnsiTheme="majorHAnsi"/>
            <w:i/>
            <w:noProof/>
            <w:color w:val="0070C0"/>
            <w:sz w:val="22"/>
            <w:szCs w:val="22"/>
            <w:lang w:val="sq-AL"/>
          </w:rPr>
          <w:t>Grafiku 16: Shpenzimet e Personelit dhe ritmi i rritjes së tyre (në miliardë LEK)</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_Toc107498107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18</w:t>
        </w:r>
        <w:r w:rsidR="00E74AAC" w:rsidRPr="00E74AAC">
          <w:rPr>
            <w:rFonts w:asciiTheme="majorHAnsi" w:hAnsiTheme="majorHAnsi"/>
            <w:noProof/>
            <w:webHidden/>
            <w:color w:val="0070C0"/>
            <w:sz w:val="22"/>
            <w:szCs w:val="22"/>
          </w:rPr>
          <w:fldChar w:fldCharType="end"/>
        </w:r>
      </w:hyperlink>
    </w:p>
    <w:p w14:paraId="53BC5F91" w14:textId="7A7C4999"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08" w:history="1">
        <w:r w:rsidR="00E74AAC" w:rsidRPr="00E74AAC">
          <w:rPr>
            <w:rStyle w:val="Hyperlink"/>
            <w:rFonts w:asciiTheme="majorHAnsi" w:eastAsiaTheme="majorEastAsia" w:hAnsiTheme="majorHAnsi"/>
            <w:i/>
            <w:noProof/>
            <w:color w:val="0070C0"/>
            <w:sz w:val="22"/>
            <w:szCs w:val="22"/>
            <w:lang w:val="sq-AL"/>
          </w:rPr>
          <w:t>Grafiku 17: Shpenzimet e Pagave dhe ritmi i rritjes së tyre (në miliardë LEK)</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_Toc107498108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18</w:t>
        </w:r>
        <w:r w:rsidR="00E74AAC" w:rsidRPr="00E74AAC">
          <w:rPr>
            <w:rFonts w:asciiTheme="majorHAnsi" w:hAnsiTheme="majorHAnsi"/>
            <w:noProof/>
            <w:webHidden/>
            <w:color w:val="0070C0"/>
            <w:sz w:val="22"/>
            <w:szCs w:val="22"/>
          </w:rPr>
          <w:fldChar w:fldCharType="end"/>
        </w:r>
      </w:hyperlink>
    </w:p>
    <w:p w14:paraId="7CAB1B55" w14:textId="2E37197E"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09" w:history="1">
        <w:r w:rsidR="00E74AAC" w:rsidRPr="00E74AAC">
          <w:rPr>
            <w:rStyle w:val="Hyperlink"/>
            <w:rFonts w:asciiTheme="majorHAnsi" w:eastAsiaTheme="majorEastAsia" w:hAnsiTheme="majorHAnsi"/>
            <w:i/>
            <w:noProof/>
            <w:color w:val="0070C0"/>
            <w:sz w:val="22"/>
            <w:szCs w:val="22"/>
            <w:lang w:val="sq-AL"/>
          </w:rPr>
          <w:t>Grafiku 18: Shpenzimet për Interesa (në miliardë LEK)</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_Toc107498109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18</w:t>
        </w:r>
        <w:r w:rsidR="00E74AAC" w:rsidRPr="00E74AAC">
          <w:rPr>
            <w:rFonts w:asciiTheme="majorHAnsi" w:hAnsiTheme="majorHAnsi"/>
            <w:noProof/>
            <w:webHidden/>
            <w:color w:val="0070C0"/>
            <w:sz w:val="22"/>
            <w:szCs w:val="22"/>
          </w:rPr>
          <w:fldChar w:fldCharType="end"/>
        </w:r>
      </w:hyperlink>
    </w:p>
    <w:p w14:paraId="4B448E07" w14:textId="480E1540"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10" w:history="1">
        <w:r w:rsidR="00E74AAC" w:rsidRPr="00E74AAC">
          <w:rPr>
            <w:rStyle w:val="Hyperlink"/>
            <w:rFonts w:asciiTheme="majorHAnsi" w:eastAsiaTheme="majorEastAsia" w:hAnsiTheme="majorHAnsi"/>
            <w:i/>
            <w:noProof/>
            <w:color w:val="0070C0"/>
            <w:sz w:val="22"/>
            <w:szCs w:val="22"/>
            <w:lang w:val="sq-AL"/>
          </w:rPr>
          <w:t>Grafiku 19: Shpenzimet Operative dhe ritmi i rritjes së tyre (në miliardë LEK)</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_Toc107498110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19</w:t>
        </w:r>
        <w:r w:rsidR="00E74AAC" w:rsidRPr="00E74AAC">
          <w:rPr>
            <w:rFonts w:asciiTheme="majorHAnsi" w:hAnsiTheme="majorHAnsi"/>
            <w:noProof/>
            <w:webHidden/>
            <w:color w:val="0070C0"/>
            <w:sz w:val="22"/>
            <w:szCs w:val="22"/>
          </w:rPr>
          <w:fldChar w:fldCharType="end"/>
        </w:r>
      </w:hyperlink>
    </w:p>
    <w:p w14:paraId="20099004" w14:textId="6CE592FF"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11" w:history="1">
        <w:r w:rsidR="00E74AAC" w:rsidRPr="00E74AAC">
          <w:rPr>
            <w:rStyle w:val="Hyperlink"/>
            <w:rFonts w:asciiTheme="majorHAnsi" w:eastAsiaTheme="majorEastAsia" w:hAnsiTheme="majorHAnsi"/>
            <w:i/>
            <w:noProof/>
            <w:color w:val="0070C0"/>
            <w:sz w:val="22"/>
            <w:szCs w:val="22"/>
            <w:lang w:val="sq-AL"/>
          </w:rPr>
          <w:t>Grafiku 20: Shpenzimet për Subvencione dhe ritmi i rritjes së tyre (në miliardë LEK)</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_Toc107498111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19</w:t>
        </w:r>
        <w:r w:rsidR="00E74AAC" w:rsidRPr="00E74AAC">
          <w:rPr>
            <w:rFonts w:asciiTheme="majorHAnsi" w:hAnsiTheme="majorHAnsi"/>
            <w:noProof/>
            <w:webHidden/>
            <w:color w:val="0070C0"/>
            <w:sz w:val="22"/>
            <w:szCs w:val="22"/>
          </w:rPr>
          <w:fldChar w:fldCharType="end"/>
        </w:r>
      </w:hyperlink>
    </w:p>
    <w:p w14:paraId="29E6AB64" w14:textId="7F2C0893"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12" w:history="1">
        <w:r w:rsidR="00E74AAC" w:rsidRPr="00E74AAC">
          <w:rPr>
            <w:rStyle w:val="Hyperlink"/>
            <w:rFonts w:asciiTheme="majorHAnsi" w:eastAsiaTheme="majorEastAsia" w:hAnsiTheme="majorHAnsi"/>
            <w:i/>
            <w:noProof/>
            <w:color w:val="0070C0"/>
            <w:sz w:val="22"/>
            <w:szCs w:val="22"/>
            <w:lang w:val="sq-AL"/>
          </w:rPr>
          <w:t>Grafiku 21: Shpenzimet për Sigurime Shoqërore dhe Shëndetësore (në miliardë LEK)</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_Toc107498112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20</w:t>
        </w:r>
        <w:r w:rsidR="00E74AAC" w:rsidRPr="00E74AAC">
          <w:rPr>
            <w:rFonts w:asciiTheme="majorHAnsi" w:hAnsiTheme="majorHAnsi"/>
            <w:noProof/>
            <w:webHidden/>
            <w:color w:val="0070C0"/>
            <w:sz w:val="22"/>
            <w:szCs w:val="22"/>
          </w:rPr>
          <w:fldChar w:fldCharType="end"/>
        </w:r>
      </w:hyperlink>
    </w:p>
    <w:p w14:paraId="1149EF2D" w14:textId="7C4B0BAC"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13" w:history="1">
        <w:r w:rsidR="00E74AAC" w:rsidRPr="00E74AAC">
          <w:rPr>
            <w:rStyle w:val="Hyperlink"/>
            <w:rFonts w:asciiTheme="majorHAnsi" w:eastAsiaTheme="majorEastAsia" w:hAnsiTheme="majorHAnsi"/>
            <w:i/>
            <w:noProof/>
            <w:color w:val="0070C0"/>
            <w:sz w:val="22"/>
            <w:szCs w:val="22"/>
            <w:lang w:val="sq-AL"/>
          </w:rPr>
          <w:t>Grafiku 22: Shpenzimet për Ndihmën Ekonomike, PAK dhe Papunësinë (në miliardë LEK)</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_Toc107498113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20</w:t>
        </w:r>
        <w:r w:rsidR="00E74AAC" w:rsidRPr="00E74AAC">
          <w:rPr>
            <w:rFonts w:asciiTheme="majorHAnsi" w:hAnsiTheme="majorHAnsi"/>
            <w:noProof/>
            <w:webHidden/>
            <w:color w:val="0070C0"/>
            <w:sz w:val="22"/>
            <w:szCs w:val="22"/>
          </w:rPr>
          <w:fldChar w:fldCharType="end"/>
        </w:r>
      </w:hyperlink>
    </w:p>
    <w:p w14:paraId="5C694EA3" w14:textId="6B5B71E3"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14" w:history="1">
        <w:r w:rsidR="00E74AAC" w:rsidRPr="00E74AAC">
          <w:rPr>
            <w:rStyle w:val="Hyperlink"/>
            <w:rFonts w:asciiTheme="majorHAnsi" w:eastAsiaTheme="majorEastAsia" w:hAnsiTheme="majorHAnsi"/>
            <w:i/>
            <w:noProof/>
            <w:color w:val="0070C0"/>
            <w:sz w:val="22"/>
            <w:szCs w:val="22"/>
            <w:lang w:val="sq-AL"/>
          </w:rPr>
          <w:t>Grafiku 23 Shpenzimet Kapitale dhe ritmi i rritjes së tyre (në miliardë LEK)</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_Toc107498114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21</w:t>
        </w:r>
        <w:r w:rsidR="00E74AAC" w:rsidRPr="00E74AAC">
          <w:rPr>
            <w:rFonts w:asciiTheme="majorHAnsi" w:hAnsiTheme="majorHAnsi"/>
            <w:noProof/>
            <w:webHidden/>
            <w:color w:val="0070C0"/>
            <w:sz w:val="22"/>
            <w:szCs w:val="22"/>
          </w:rPr>
          <w:fldChar w:fldCharType="end"/>
        </w:r>
      </w:hyperlink>
    </w:p>
    <w:p w14:paraId="4EFAB362" w14:textId="1195C440"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15" w:history="1">
        <w:r w:rsidR="00E74AAC" w:rsidRPr="00E74AAC">
          <w:rPr>
            <w:rStyle w:val="Hyperlink"/>
            <w:rFonts w:asciiTheme="majorHAnsi" w:eastAsiaTheme="majorEastAsia" w:hAnsiTheme="majorHAnsi"/>
            <w:i/>
            <w:noProof/>
            <w:color w:val="0070C0"/>
            <w:sz w:val="22"/>
            <w:szCs w:val="22"/>
            <w:lang w:val="sq-AL"/>
          </w:rPr>
          <w:t>Grafiku 24: Shpenzimet Kapitale dhe burimi i financimit të tyre (në miliardë LEK)</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_Toc107498115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22</w:t>
        </w:r>
        <w:r w:rsidR="00E74AAC" w:rsidRPr="00E74AAC">
          <w:rPr>
            <w:rFonts w:asciiTheme="majorHAnsi" w:hAnsiTheme="majorHAnsi"/>
            <w:noProof/>
            <w:webHidden/>
            <w:color w:val="0070C0"/>
            <w:sz w:val="22"/>
            <w:szCs w:val="22"/>
          </w:rPr>
          <w:fldChar w:fldCharType="end"/>
        </w:r>
      </w:hyperlink>
    </w:p>
    <w:p w14:paraId="02C08D39" w14:textId="5C212768"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16" w:history="1">
        <w:r w:rsidR="00E74AAC" w:rsidRPr="00E74AAC">
          <w:rPr>
            <w:rStyle w:val="Hyperlink"/>
            <w:rFonts w:asciiTheme="majorHAnsi" w:eastAsiaTheme="majorEastAsia" w:hAnsiTheme="majorHAnsi"/>
            <w:i/>
            <w:noProof/>
            <w:color w:val="0070C0"/>
            <w:sz w:val="22"/>
            <w:szCs w:val="22"/>
            <w:lang w:val="sq-AL"/>
          </w:rPr>
          <w:t>Grafiku 25: Detajimi i Shpenzimeve Buxhetore (në milion LEK)</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_Toc107498116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22</w:t>
        </w:r>
        <w:r w:rsidR="00E74AAC" w:rsidRPr="00E74AAC">
          <w:rPr>
            <w:rFonts w:asciiTheme="majorHAnsi" w:hAnsiTheme="majorHAnsi"/>
            <w:noProof/>
            <w:webHidden/>
            <w:color w:val="0070C0"/>
            <w:sz w:val="22"/>
            <w:szCs w:val="22"/>
          </w:rPr>
          <w:fldChar w:fldCharType="end"/>
        </w:r>
      </w:hyperlink>
    </w:p>
    <w:p w14:paraId="2FF67649" w14:textId="1829DBE4"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17" w:history="1">
        <w:r w:rsidR="00E74AAC" w:rsidRPr="00E74AAC">
          <w:rPr>
            <w:rStyle w:val="Hyperlink"/>
            <w:rFonts w:asciiTheme="majorHAnsi" w:eastAsiaTheme="majorEastAsia" w:hAnsiTheme="majorHAnsi"/>
            <w:i/>
            <w:noProof/>
            <w:color w:val="0070C0"/>
            <w:sz w:val="22"/>
            <w:szCs w:val="22"/>
            <w:lang w:val="sq-AL"/>
          </w:rPr>
          <w:t>Grafiku 26:Të ardhurat, shpenzimet dhe deficiti/suficiti - Plan vs Fakt 5 Mujori 2022 (në milion LEK)</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_Toc107498117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23</w:t>
        </w:r>
        <w:r w:rsidR="00E74AAC" w:rsidRPr="00E74AAC">
          <w:rPr>
            <w:rFonts w:asciiTheme="majorHAnsi" w:hAnsiTheme="majorHAnsi"/>
            <w:noProof/>
            <w:webHidden/>
            <w:color w:val="0070C0"/>
            <w:sz w:val="22"/>
            <w:szCs w:val="22"/>
          </w:rPr>
          <w:fldChar w:fldCharType="end"/>
        </w:r>
      </w:hyperlink>
    </w:p>
    <w:p w14:paraId="1D24994E" w14:textId="354013C4"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18" w:history="1">
        <w:r w:rsidR="00E74AAC" w:rsidRPr="00E74AAC">
          <w:rPr>
            <w:rStyle w:val="Hyperlink"/>
            <w:rFonts w:asciiTheme="majorHAnsi" w:eastAsiaTheme="majorEastAsia" w:hAnsiTheme="majorHAnsi"/>
            <w:i/>
            <w:noProof/>
            <w:color w:val="0070C0"/>
            <w:sz w:val="22"/>
            <w:szCs w:val="22"/>
            <w:lang w:val="sq-AL"/>
          </w:rPr>
          <w:t>Grafiku 27: Të ardhurat e përgjithshme të pushtetit e pushtetit vendor</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_Toc107498118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23</w:t>
        </w:r>
        <w:r w:rsidR="00E74AAC" w:rsidRPr="00E74AAC">
          <w:rPr>
            <w:rFonts w:asciiTheme="majorHAnsi" w:hAnsiTheme="majorHAnsi"/>
            <w:noProof/>
            <w:webHidden/>
            <w:color w:val="0070C0"/>
            <w:sz w:val="22"/>
            <w:szCs w:val="22"/>
          </w:rPr>
          <w:fldChar w:fldCharType="end"/>
        </w:r>
      </w:hyperlink>
    </w:p>
    <w:p w14:paraId="2019F418" w14:textId="0808D97B"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19" w:history="1">
        <w:r w:rsidR="00E74AAC" w:rsidRPr="00E74AAC">
          <w:rPr>
            <w:rStyle w:val="Hyperlink"/>
            <w:rFonts w:asciiTheme="majorHAnsi" w:eastAsiaTheme="majorEastAsia" w:hAnsiTheme="majorHAnsi"/>
            <w:i/>
            <w:noProof/>
            <w:color w:val="0070C0"/>
            <w:sz w:val="22"/>
            <w:szCs w:val="22"/>
            <w:lang w:val="sq-AL"/>
          </w:rPr>
          <w:t>Grafiku 28: Të ardhurat e pushtetit vendor sipas burimit</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_Toc107498119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24</w:t>
        </w:r>
        <w:r w:rsidR="00E74AAC" w:rsidRPr="00E74AAC">
          <w:rPr>
            <w:rFonts w:asciiTheme="majorHAnsi" w:hAnsiTheme="majorHAnsi"/>
            <w:noProof/>
            <w:webHidden/>
            <w:color w:val="0070C0"/>
            <w:sz w:val="22"/>
            <w:szCs w:val="22"/>
          </w:rPr>
          <w:fldChar w:fldCharType="end"/>
        </w:r>
      </w:hyperlink>
    </w:p>
    <w:p w14:paraId="1EB5FD62" w14:textId="556A10FA"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20" w:history="1">
        <w:r w:rsidR="00E74AAC" w:rsidRPr="00E74AAC">
          <w:rPr>
            <w:rStyle w:val="Hyperlink"/>
            <w:rFonts w:asciiTheme="majorHAnsi" w:eastAsiaTheme="majorEastAsia" w:hAnsiTheme="majorHAnsi"/>
            <w:i/>
            <w:noProof/>
            <w:color w:val="0070C0"/>
            <w:sz w:val="22"/>
            <w:szCs w:val="22"/>
            <w:lang w:val="sq-AL"/>
          </w:rPr>
          <w:t>Grafiku 29: Të ardhurat e pushtetit vendor nga taksa mbi pasurinë</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_Toc107498120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25</w:t>
        </w:r>
        <w:r w:rsidR="00E74AAC" w:rsidRPr="00E74AAC">
          <w:rPr>
            <w:rFonts w:asciiTheme="majorHAnsi" w:hAnsiTheme="majorHAnsi"/>
            <w:noProof/>
            <w:webHidden/>
            <w:color w:val="0070C0"/>
            <w:sz w:val="22"/>
            <w:szCs w:val="22"/>
          </w:rPr>
          <w:fldChar w:fldCharType="end"/>
        </w:r>
      </w:hyperlink>
    </w:p>
    <w:p w14:paraId="46C66913" w14:textId="70FE9728"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21" w:history="1">
        <w:r w:rsidR="00E74AAC" w:rsidRPr="00E74AAC">
          <w:rPr>
            <w:rStyle w:val="Hyperlink"/>
            <w:rFonts w:asciiTheme="majorHAnsi" w:eastAsiaTheme="majorEastAsia" w:hAnsiTheme="majorHAnsi"/>
            <w:i/>
            <w:noProof/>
            <w:color w:val="0070C0"/>
            <w:sz w:val="22"/>
            <w:szCs w:val="22"/>
            <w:lang w:val="sq-AL"/>
          </w:rPr>
          <w:t>Grafiku 30: Të ardhurat e pushtetit vendor nga taksa e biznesit të vogël</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_Toc107498121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b/>
            <w:bCs/>
            <w:noProof/>
            <w:webHidden/>
            <w:color w:val="0070C0"/>
            <w:sz w:val="22"/>
            <w:szCs w:val="22"/>
          </w:rPr>
          <w:t>Error! Bookmark not defined.</w:t>
        </w:r>
        <w:r w:rsidR="00E74AAC" w:rsidRPr="00E74AAC">
          <w:rPr>
            <w:rFonts w:asciiTheme="majorHAnsi" w:hAnsiTheme="majorHAnsi"/>
            <w:noProof/>
            <w:webHidden/>
            <w:color w:val="0070C0"/>
            <w:sz w:val="22"/>
            <w:szCs w:val="22"/>
          </w:rPr>
          <w:fldChar w:fldCharType="end"/>
        </w:r>
      </w:hyperlink>
    </w:p>
    <w:p w14:paraId="44B9DAE3" w14:textId="2DA51335"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22" w:history="1">
        <w:r w:rsidR="00E74AAC" w:rsidRPr="00E74AAC">
          <w:rPr>
            <w:rStyle w:val="Hyperlink"/>
            <w:rFonts w:asciiTheme="majorHAnsi" w:eastAsiaTheme="majorEastAsia" w:hAnsiTheme="majorHAnsi"/>
            <w:i/>
            <w:noProof/>
            <w:color w:val="0070C0"/>
            <w:sz w:val="22"/>
            <w:szCs w:val="22"/>
            <w:lang w:val="sq-AL"/>
          </w:rPr>
          <w:t>Grafiku 31: Të ardhurat e pushtetit e pushtetit vendor nga taksat lokale</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_Toc107498122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b/>
            <w:bCs/>
            <w:noProof/>
            <w:webHidden/>
            <w:color w:val="0070C0"/>
            <w:sz w:val="22"/>
            <w:szCs w:val="22"/>
          </w:rPr>
          <w:t>Error! Bookmark not defined.</w:t>
        </w:r>
        <w:r w:rsidR="00E74AAC" w:rsidRPr="00E74AAC">
          <w:rPr>
            <w:rFonts w:asciiTheme="majorHAnsi" w:hAnsiTheme="majorHAnsi"/>
            <w:noProof/>
            <w:webHidden/>
            <w:color w:val="0070C0"/>
            <w:sz w:val="22"/>
            <w:szCs w:val="22"/>
          </w:rPr>
          <w:fldChar w:fldCharType="end"/>
        </w:r>
      </w:hyperlink>
    </w:p>
    <w:p w14:paraId="290F2044" w14:textId="6AF5ADCB"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23" w:history="1">
        <w:r w:rsidR="00E74AAC" w:rsidRPr="00E74AAC">
          <w:rPr>
            <w:rStyle w:val="Hyperlink"/>
            <w:rFonts w:asciiTheme="majorHAnsi" w:eastAsiaTheme="majorEastAsia" w:hAnsiTheme="majorHAnsi"/>
            <w:i/>
            <w:noProof/>
            <w:color w:val="0070C0"/>
            <w:sz w:val="22"/>
            <w:szCs w:val="22"/>
            <w:lang w:val="sq-AL"/>
          </w:rPr>
          <w:t>Grafiku 32: Shpenzimet për pushtetin vendor dhe ritmi i ndryshimit të tyre</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_Toc107498123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26</w:t>
        </w:r>
        <w:r w:rsidR="00E74AAC" w:rsidRPr="00E74AAC">
          <w:rPr>
            <w:rFonts w:asciiTheme="majorHAnsi" w:hAnsiTheme="majorHAnsi"/>
            <w:noProof/>
            <w:webHidden/>
            <w:color w:val="0070C0"/>
            <w:sz w:val="22"/>
            <w:szCs w:val="22"/>
          </w:rPr>
          <w:fldChar w:fldCharType="end"/>
        </w:r>
      </w:hyperlink>
    </w:p>
    <w:p w14:paraId="44559676" w14:textId="57A57069"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24" w:history="1">
        <w:r w:rsidR="00E74AAC" w:rsidRPr="00E74AAC">
          <w:rPr>
            <w:rStyle w:val="Hyperlink"/>
            <w:rFonts w:asciiTheme="majorHAnsi" w:eastAsiaTheme="majorEastAsia" w:hAnsiTheme="majorHAnsi"/>
            <w:i/>
            <w:noProof/>
            <w:color w:val="0070C0"/>
            <w:sz w:val="22"/>
            <w:szCs w:val="22"/>
            <w:lang w:val="sq-AL"/>
          </w:rPr>
          <w:t>Grafiku 33: Shpenzimet e pushtetit vendor sipas strukturës buxhetore</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_Toc107498124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26</w:t>
        </w:r>
        <w:r w:rsidR="00E74AAC" w:rsidRPr="00E74AAC">
          <w:rPr>
            <w:rFonts w:asciiTheme="majorHAnsi" w:hAnsiTheme="majorHAnsi"/>
            <w:noProof/>
            <w:webHidden/>
            <w:color w:val="0070C0"/>
            <w:sz w:val="22"/>
            <w:szCs w:val="22"/>
          </w:rPr>
          <w:fldChar w:fldCharType="end"/>
        </w:r>
      </w:hyperlink>
    </w:p>
    <w:p w14:paraId="227A0AD4" w14:textId="3702A953"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25" w:history="1">
        <w:r w:rsidR="00E74AAC" w:rsidRPr="00E74AAC">
          <w:rPr>
            <w:rStyle w:val="Hyperlink"/>
            <w:rFonts w:asciiTheme="majorHAnsi" w:eastAsiaTheme="majorEastAsia" w:hAnsiTheme="majorHAnsi"/>
            <w:i/>
            <w:noProof/>
            <w:color w:val="0070C0"/>
            <w:sz w:val="22"/>
            <w:szCs w:val="22"/>
          </w:rPr>
          <w:t>Grafiku 34: Borxhi publik në vlerë absolute dhe relative ndaj PBB (2017–Mars 2022)</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_Toc107498125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31</w:t>
        </w:r>
        <w:r w:rsidR="00E74AAC" w:rsidRPr="00E74AAC">
          <w:rPr>
            <w:rFonts w:asciiTheme="majorHAnsi" w:hAnsiTheme="majorHAnsi"/>
            <w:noProof/>
            <w:webHidden/>
            <w:color w:val="0070C0"/>
            <w:sz w:val="22"/>
            <w:szCs w:val="22"/>
          </w:rPr>
          <w:fldChar w:fldCharType="end"/>
        </w:r>
      </w:hyperlink>
    </w:p>
    <w:p w14:paraId="3EFE3850" w14:textId="7096001E"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26" w:history="1">
        <w:r w:rsidR="00E74AAC" w:rsidRPr="00E74AAC">
          <w:rPr>
            <w:rStyle w:val="Hyperlink"/>
            <w:rFonts w:asciiTheme="majorHAnsi" w:eastAsiaTheme="majorEastAsia" w:hAnsiTheme="majorHAnsi"/>
            <w:i/>
            <w:noProof/>
            <w:color w:val="0070C0"/>
            <w:sz w:val="22"/>
            <w:szCs w:val="22"/>
          </w:rPr>
          <w:t>Grafiku 35: Përbërja e borxhit të qeverisjes qendrore në raport me totalin (2017-Mars 2022)</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_Toc107498126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31</w:t>
        </w:r>
        <w:r w:rsidR="00E74AAC" w:rsidRPr="00E74AAC">
          <w:rPr>
            <w:rFonts w:asciiTheme="majorHAnsi" w:hAnsiTheme="majorHAnsi"/>
            <w:noProof/>
            <w:webHidden/>
            <w:color w:val="0070C0"/>
            <w:sz w:val="22"/>
            <w:szCs w:val="22"/>
          </w:rPr>
          <w:fldChar w:fldCharType="end"/>
        </w:r>
      </w:hyperlink>
    </w:p>
    <w:p w14:paraId="39C331F9" w14:textId="2AE9B2C4"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27" w:history="1">
        <w:r w:rsidR="00E74AAC" w:rsidRPr="00E74AAC">
          <w:rPr>
            <w:rStyle w:val="Hyperlink"/>
            <w:rFonts w:asciiTheme="majorHAnsi" w:eastAsiaTheme="majorEastAsia" w:hAnsiTheme="majorHAnsi"/>
            <w:i/>
            <w:noProof/>
            <w:color w:val="0070C0"/>
            <w:sz w:val="22"/>
            <w:szCs w:val="22"/>
          </w:rPr>
          <w:t>Grafiku 36: Kompozimi i portofolit të borxhit shtetëror sipas instrumenteve (2017–Mars 2022)</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_Toc107498127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32</w:t>
        </w:r>
        <w:r w:rsidR="00E74AAC" w:rsidRPr="00E74AAC">
          <w:rPr>
            <w:rFonts w:asciiTheme="majorHAnsi" w:hAnsiTheme="majorHAnsi"/>
            <w:noProof/>
            <w:webHidden/>
            <w:color w:val="0070C0"/>
            <w:sz w:val="22"/>
            <w:szCs w:val="22"/>
          </w:rPr>
          <w:fldChar w:fldCharType="end"/>
        </w:r>
      </w:hyperlink>
    </w:p>
    <w:p w14:paraId="1061004A" w14:textId="4357EA79"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28" w:history="1">
        <w:r w:rsidR="00E74AAC" w:rsidRPr="00E74AAC">
          <w:rPr>
            <w:rStyle w:val="Hyperlink"/>
            <w:rFonts w:asciiTheme="majorHAnsi" w:eastAsiaTheme="majorEastAsia" w:hAnsiTheme="majorHAnsi"/>
            <w:i/>
            <w:noProof/>
            <w:color w:val="0070C0"/>
            <w:sz w:val="22"/>
            <w:szCs w:val="22"/>
          </w:rPr>
          <w:t xml:space="preserve">Grafiku 37: </w:t>
        </w:r>
        <w:r w:rsidR="00E74AAC" w:rsidRPr="00E74AAC">
          <w:rPr>
            <w:rStyle w:val="Hyperlink"/>
            <w:rFonts w:asciiTheme="majorHAnsi" w:eastAsiaTheme="majorEastAsia" w:hAnsiTheme="majorHAnsi"/>
            <w:i/>
            <w:noProof/>
            <w:color w:val="0070C0"/>
            <w:sz w:val="18"/>
            <w:szCs w:val="22"/>
          </w:rPr>
          <w:t>Kompozimi i borxhit të brendshëm shtetëror sipas maturitetit të titujve dhe tipit të interesit (2017-Mars 2022)</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_Toc107498128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32</w:t>
        </w:r>
        <w:r w:rsidR="00E74AAC" w:rsidRPr="00E74AAC">
          <w:rPr>
            <w:rFonts w:asciiTheme="majorHAnsi" w:hAnsiTheme="majorHAnsi"/>
            <w:noProof/>
            <w:webHidden/>
            <w:color w:val="0070C0"/>
            <w:sz w:val="22"/>
            <w:szCs w:val="22"/>
          </w:rPr>
          <w:fldChar w:fldCharType="end"/>
        </w:r>
      </w:hyperlink>
    </w:p>
    <w:p w14:paraId="7454E0C2" w14:textId="6CF2E738"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29" w:history="1">
        <w:r w:rsidR="00E74AAC" w:rsidRPr="00E74AAC">
          <w:rPr>
            <w:rStyle w:val="Hyperlink"/>
            <w:rFonts w:asciiTheme="majorHAnsi" w:eastAsiaTheme="majorEastAsia" w:hAnsiTheme="majorHAnsi"/>
            <w:i/>
            <w:noProof/>
            <w:color w:val="0070C0"/>
            <w:sz w:val="22"/>
            <w:szCs w:val="22"/>
          </w:rPr>
          <w:t>Grafiku 38: Kompozimi i borxhit të jashtëm shtetëror sipas interesit&amp;instrumenteve (2017-Mars 2022)</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_Toc107498129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33</w:t>
        </w:r>
        <w:r w:rsidR="00E74AAC" w:rsidRPr="00E74AAC">
          <w:rPr>
            <w:rFonts w:asciiTheme="majorHAnsi" w:hAnsiTheme="majorHAnsi"/>
            <w:noProof/>
            <w:webHidden/>
            <w:color w:val="0070C0"/>
            <w:sz w:val="22"/>
            <w:szCs w:val="22"/>
          </w:rPr>
          <w:fldChar w:fldCharType="end"/>
        </w:r>
      </w:hyperlink>
    </w:p>
    <w:p w14:paraId="773F766C" w14:textId="5361094D"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30" w:history="1">
        <w:r w:rsidR="00E74AAC" w:rsidRPr="00E74AAC">
          <w:rPr>
            <w:rStyle w:val="Hyperlink"/>
            <w:rFonts w:asciiTheme="majorHAnsi" w:eastAsiaTheme="majorEastAsia" w:hAnsiTheme="majorHAnsi"/>
            <w:i/>
            <w:noProof/>
            <w:color w:val="0070C0"/>
            <w:sz w:val="22"/>
            <w:szCs w:val="22"/>
          </w:rPr>
          <w:t>Grafiku 39: Huamarrja e brendshme në raport me të ardhurat tatimore (TM. I 2017-TM. I 2022)</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_Toc107498130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34</w:t>
        </w:r>
        <w:r w:rsidR="00E74AAC" w:rsidRPr="00E74AAC">
          <w:rPr>
            <w:rFonts w:asciiTheme="majorHAnsi" w:hAnsiTheme="majorHAnsi"/>
            <w:noProof/>
            <w:webHidden/>
            <w:color w:val="0070C0"/>
            <w:sz w:val="22"/>
            <w:szCs w:val="22"/>
          </w:rPr>
          <w:fldChar w:fldCharType="end"/>
        </w:r>
      </w:hyperlink>
    </w:p>
    <w:p w14:paraId="58AF087E" w14:textId="677FF7D7"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31" w:history="1">
        <w:r w:rsidR="00E74AAC" w:rsidRPr="00E74AAC">
          <w:rPr>
            <w:rStyle w:val="Hyperlink"/>
            <w:rFonts w:asciiTheme="majorHAnsi" w:eastAsiaTheme="majorEastAsia" w:hAnsiTheme="majorHAnsi"/>
            <w:i/>
            <w:noProof/>
            <w:color w:val="0070C0"/>
            <w:sz w:val="22"/>
            <w:szCs w:val="22"/>
          </w:rPr>
          <w:t>Grafiku 40: Shpenzimet për interesa të borxhit shtetëror (TM1 2017-TM1 2022)</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_Toc107498131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35</w:t>
        </w:r>
        <w:r w:rsidR="00E74AAC" w:rsidRPr="00E74AAC">
          <w:rPr>
            <w:rFonts w:asciiTheme="majorHAnsi" w:hAnsiTheme="majorHAnsi"/>
            <w:noProof/>
            <w:webHidden/>
            <w:color w:val="0070C0"/>
            <w:sz w:val="22"/>
            <w:szCs w:val="22"/>
          </w:rPr>
          <w:fldChar w:fldCharType="end"/>
        </w:r>
      </w:hyperlink>
    </w:p>
    <w:p w14:paraId="4DE59BF8" w14:textId="328AFED6"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32" w:history="1">
        <w:r w:rsidR="00E74AAC" w:rsidRPr="00E74AAC">
          <w:rPr>
            <w:rStyle w:val="Hyperlink"/>
            <w:rFonts w:asciiTheme="majorHAnsi" w:eastAsiaTheme="majorEastAsia" w:hAnsiTheme="majorHAnsi"/>
            <w:i/>
            <w:noProof/>
            <w:color w:val="0070C0"/>
            <w:sz w:val="22"/>
            <w:szCs w:val="22"/>
          </w:rPr>
          <w:t xml:space="preserve">Grafiku 41: </w:t>
        </w:r>
        <w:r w:rsidR="00E74AAC" w:rsidRPr="00E74AAC">
          <w:rPr>
            <w:rStyle w:val="Hyperlink"/>
            <w:rFonts w:asciiTheme="majorHAnsi" w:eastAsiaTheme="majorEastAsia" w:hAnsiTheme="majorHAnsi"/>
            <w:i/>
            <w:noProof/>
            <w:color w:val="0070C0"/>
            <w:sz w:val="20"/>
            <w:szCs w:val="22"/>
          </w:rPr>
          <w:t>Jetëgjatësia&amp;kosto mesatare e portofolit të borxhit të brendshëm shtetëror (2017-Mars 2022)</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_Toc107498132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35</w:t>
        </w:r>
        <w:r w:rsidR="00E74AAC" w:rsidRPr="00E74AAC">
          <w:rPr>
            <w:rFonts w:asciiTheme="majorHAnsi" w:hAnsiTheme="majorHAnsi"/>
            <w:noProof/>
            <w:webHidden/>
            <w:color w:val="0070C0"/>
            <w:sz w:val="22"/>
            <w:szCs w:val="22"/>
          </w:rPr>
          <w:fldChar w:fldCharType="end"/>
        </w:r>
      </w:hyperlink>
    </w:p>
    <w:p w14:paraId="7C9D5CE5" w14:textId="709CB9BA"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33" w:history="1">
        <w:r w:rsidR="00E74AAC" w:rsidRPr="00E74AAC">
          <w:rPr>
            <w:rStyle w:val="Hyperlink"/>
            <w:rFonts w:asciiTheme="majorHAnsi" w:eastAsiaTheme="majorEastAsia" w:hAnsiTheme="majorHAnsi"/>
            <w:i/>
            <w:noProof/>
            <w:color w:val="0070C0"/>
            <w:sz w:val="22"/>
            <w:szCs w:val="22"/>
          </w:rPr>
          <w:t>Grafiku 42: Raporti i mbulimit të ankandeve të titujve shtetërorë (Janar–Mars 2022)</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_Toc107498133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36</w:t>
        </w:r>
        <w:r w:rsidR="00E74AAC" w:rsidRPr="00E74AAC">
          <w:rPr>
            <w:rFonts w:asciiTheme="majorHAnsi" w:hAnsiTheme="majorHAnsi"/>
            <w:noProof/>
            <w:webHidden/>
            <w:color w:val="0070C0"/>
            <w:sz w:val="22"/>
            <w:szCs w:val="22"/>
          </w:rPr>
          <w:fldChar w:fldCharType="end"/>
        </w:r>
      </w:hyperlink>
    </w:p>
    <w:p w14:paraId="3C01BB4C" w14:textId="2CDA4E7B"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34" w:history="1">
        <w:r w:rsidR="00E74AAC" w:rsidRPr="00E74AAC">
          <w:rPr>
            <w:rStyle w:val="Hyperlink"/>
            <w:rFonts w:asciiTheme="majorHAnsi" w:eastAsiaTheme="majorEastAsia" w:hAnsiTheme="majorHAnsi"/>
            <w:i/>
            <w:noProof/>
            <w:color w:val="0070C0"/>
            <w:sz w:val="22"/>
            <w:szCs w:val="22"/>
          </w:rPr>
          <w:t>Grafiku 43: Norma mesatare e ponderuar e titujve shtetërorë (Shtator 2021 - Mars 2022)</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_Toc107498134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37</w:t>
        </w:r>
        <w:r w:rsidR="00E74AAC" w:rsidRPr="00E74AAC">
          <w:rPr>
            <w:rFonts w:asciiTheme="majorHAnsi" w:hAnsiTheme="majorHAnsi"/>
            <w:noProof/>
            <w:webHidden/>
            <w:color w:val="0070C0"/>
            <w:sz w:val="22"/>
            <w:szCs w:val="22"/>
          </w:rPr>
          <w:fldChar w:fldCharType="end"/>
        </w:r>
      </w:hyperlink>
    </w:p>
    <w:p w14:paraId="297B2110" w14:textId="2AEF9D1C"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35" w:history="1">
        <w:r w:rsidR="00E74AAC" w:rsidRPr="00E74AAC">
          <w:rPr>
            <w:rStyle w:val="Hyperlink"/>
            <w:rFonts w:asciiTheme="majorHAnsi" w:eastAsiaTheme="majorEastAsia" w:hAnsiTheme="majorHAnsi"/>
            <w:bCs/>
            <w:i/>
            <w:noProof/>
            <w:color w:val="0070C0"/>
            <w:sz w:val="22"/>
            <w:szCs w:val="22"/>
          </w:rPr>
          <w:t>Grafiku 44</w:t>
        </w:r>
        <w:r w:rsidR="00E74AAC" w:rsidRPr="00E74AAC">
          <w:rPr>
            <w:rStyle w:val="Hyperlink"/>
            <w:rFonts w:asciiTheme="majorHAnsi" w:eastAsiaTheme="majorEastAsia" w:hAnsiTheme="majorHAnsi"/>
            <w:i/>
            <w:noProof/>
            <w:color w:val="0070C0"/>
            <w:sz w:val="22"/>
            <w:szCs w:val="22"/>
          </w:rPr>
          <w:t>:Sektori quasi publik sipas numrit të ndërmarrjeve Burimi: INSTAT (2022)</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_Toc107498135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39</w:t>
        </w:r>
        <w:r w:rsidR="00E74AAC" w:rsidRPr="00E74AAC">
          <w:rPr>
            <w:rFonts w:asciiTheme="majorHAnsi" w:hAnsiTheme="majorHAnsi"/>
            <w:noProof/>
            <w:webHidden/>
            <w:color w:val="0070C0"/>
            <w:sz w:val="22"/>
            <w:szCs w:val="22"/>
          </w:rPr>
          <w:fldChar w:fldCharType="end"/>
        </w:r>
      </w:hyperlink>
    </w:p>
    <w:p w14:paraId="73B01D1B" w14:textId="351DE7C6"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36" w:history="1">
        <w:r w:rsidR="00E74AAC" w:rsidRPr="00E74AAC">
          <w:rPr>
            <w:rStyle w:val="Hyperlink"/>
            <w:rFonts w:asciiTheme="majorHAnsi" w:eastAsiaTheme="majorEastAsia" w:hAnsiTheme="majorHAnsi"/>
            <w:bCs/>
            <w:i/>
            <w:noProof/>
            <w:color w:val="0070C0"/>
            <w:sz w:val="22"/>
            <w:szCs w:val="22"/>
          </w:rPr>
          <w:t>Grafiku 45</w:t>
        </w:r>
        <w:r w:rsidR="00E74AAC" w:rsidRPr="00E74AAC">
          <w:rPr>
            <w:rStyle w:val="Hyperlink"/>
            <w:rFonts w:asciiTheme="majorHAnsi" w:eastAsiaTheme="majorEastAsia" w:hAnsiTheme="majorHAnsi"/>
            <w:i/>
            <w:noProof/>
            <w:color w:val="0070C0"/>
            <w:sz w:val="22"/>
            <w:szCs w:val="22"/>
          </w:rPr>
          <w:t xml:space="preserve">: </w:t>
        </w:r>
        <w:r w:rsidR="00E74AAC" w:rsidRPr="00E74AAC">
          <w:rPr>
            <w:rStyle w:val="Hyperlink"/>
            <w:rFonts w:asciiTheme="majorHAnsi" w:eastAsiaTheme="majorEastAsia" w:hAnsiTheme="majorHAnsi" w:cstheme="minorHAnsi"/>
            <w:i/>
            <w:iCs/>
            <w:noProof/>
            <w:color w:val="0070C0"/>
            <w:sz w:val="22"/>
            <w:szCs w:val="22"/>
            <w:lang w:val="sq-AL"/>
          </w:rPr>
          <w:t>Ecuria e nivelit të arkëtimeve të OSHEE Group sh.a (në miliardë LEK)</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_Toc107498136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43</w:t>
        </w:r>
        <w:r w:rsidR="00E74AAC" w:rsidRPr="00E74AAC">
          <w:rPr>
            <w:rFonts w:asciiTheme="majorHAnsi" w:hAnsiTheme="majorHAnsi"/>
            <w:noProof/>
            <w:webHidden/>
            <w:color w:val="0070C0"/>
            <w:sz w:val="22"/>
            <w:szCs w:val="22"/>
          </w:rPr>
          <w:fldChar w:fldCharType="end"/>
        </w:r>
      </w:hyperlink>
    </w:p>
    <w:p w14:paraId="46597AC9" w14:textId="6BC19754"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37" w:history="1">
        <w:r w:rsidR="00E74AAC" w:rsidRPr="00E74AAC">
          <w:rPr>
            <w:rStyle w:val="Hyperlink"/>
            <w:rFonts w:asciiTheme="majorHAnsi" w:eastAsiaTheme="majorEastAsia" w:hAnsiTheme="majorHAnsi"/>
            <w:bCs/>
            <w:i/>
            <w:noProof/>
            <w:color w:val="0070C0"/>
            <w:sz w:val="22"/>
            <w:szCs w:val="22"/>
          </w:rPr>
          <w:t>Grafiku 46</w:t>
        </w:r>
        <w:r w:rsidR="00E74AAC" w:rsidRPr="00E74AAC">
          <w:rPr>
            <w:rStyle w:val="Hyperlink"/>
            <w:rFonts w:asciiTheme="majorHAnsi" w:eastAsiaTheme="majorEastAsia" w:hAnsiTheme="majorHAnsi"/>
            <w:i/>
            <w:noProof/>
            <w:color w:val="0070C0"/>
            <w:sz w:val="22"/>
            <w:szCs w:val="22"/>
          </w:rPr>
          <w:t>:</w:t>
        </w:r>
        <w:r w:rsidR="00E74AAC" w:rsidRPr="00E74AAC">
          <w:rPr>
            <w:rStyle w:val="Hyperlink"/>
            <w:rFonts w:asciiTheme="majorHAnsi" w:eastAsiaTheme="majorEastAsia" w:hAnsiTheme="majorHAnsi" w:cstheme="minorHAnsi"/>
            <w:i/>
            <w:iCs/>
            <w:noProof/>
            <w:color w:val="0070C0"/>
            <w:sz w:val="22"/>
            <w:szCs w:val="22"/>
            <w:lang w:val="sq-AL"/>
          </w:rPr>
          <w:t>Ecuria e nivelit të humbjeve në rrjet për OSHEE Group sh.a (në %)</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_Toc107498137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44</w:t>
        </w:r>
        <w:r w:rsidR="00E74AAC" w:rsidRPr="00E74AAC">
          <w:rPr>
            <w:rFonts w:asciiTheme="majorHAnsi" w:hAnsiTheme="majorHAnsi"/>
            <w:noProof/>
            <w:webHidden/>
            <w:color w:val="0070C0"/>
            <w:sz w:val="22"/>
            <w:szCs w:val="22"/>
          </w:rPr>
          <w:fldChar w:fldCharType="end"/>
        </w:r>
      </w:hyperlink>
    </w:p>
    <w:p w14:paraId="71C85319" w14:textId="6EE7E063"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38" w:history="1">
        <w:r w:rsidR="00E74AAC" w:rsidRPr="00E74AAC">
          <w:rPr>
            <w:rStyle w:val="Hyperlink"/>
            <w:rFonts w:asciiTheme="majorHAnsi" w:eastAsiaTheme="majorEastAsia" w:hAnsiTheme="majorHAnsi"/>
            <w:bCs/>
            <w:i/>
            <w:noProof/>
            <w:color w:val="0070C0"/>
            <w:sz w:val="22"/>
            <w:szCs w:val="22"/>
          </w:rPr>
          <w:t>Grafiku 47:Stoku i detyrimeve të prapambetura të qeverisjes së përgjithshme, në mln LEK</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_Toc107498138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46</w:t>
        </w:r>
        <w:r w:rsidR="00E74AAC" w:rsidRPr="00E74AAC">
          <w:rPr>
            <w:rFonts w:asciiTheme="majorHAnsi" w:hAnsiTheme="majorHAnsi"/>
            <w:noProof/>
            <w:webHidden/>
            <w:color w:val="0070C0"/>
            <w:sz w:val="22"/>
            <w:szCs w:val="22"/>
          </w:rPr>
          <w:fldChar w:fldCharType="end"/>
        </w:r>
      </w:hyperlink>
    </w:p>
    <w:p w14:paraId="2D28DD5F" w14:textId="769D0CD1"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39" w:history="1">
        <w:r w:rsidR="00E74AAC" w:rsidRPr="00E74AAC">
          <w:rPr>
            <w:rStyle w:val="Hyperlink"/>
            <w:rFonts w:asciiTheme="majorHAnsi" w:eastAsiaTheme="majorEastAsia" w:hAnsiTheme="majorHAnsi"/>
            <w:bCs/>
            <w:i/>
            <w:noProof/>
            <w:color w:val="0070C0"/>
            <w:sz w:val="22"/>
            <w:szCs w:val="22"/>
          </w:rPr>
          <w:t xml:space="preserve"> Grafiku 48</w:t>
        </w:r>
        <w:r w:rsidR="00E74AAC" w:rsidRPr="00E74AAC">
          <w:rPr>
            <w:rStyle w:val="Hyperlink"/>
            <w:rFonts w:asciiTheme="majorHAnsi" w:eastAsiaTheme="majorEastAsia" w:hAnsiTheme="majorHAnsi"/>
            <w:i/>
            <w:noProof/>
            <w:color w:val="0070C0"/>
            <w:sz w:val="22"/>
            <w:szCs w:val="22"/>
          </w:rPr>
          <w:t xml:space="preserve">: </w:t>
        </w:r>
        <w:r w:rsidR="00E74AAC" w:rsidRPr="00E74AAC">
          <w:rPr>
            <w:rStyle w:val="Hyperlink"/>
            <w:rFonts w:asciiTheme="majorHAnsi" w:eastAsiaTheme="majorEastAsia" w:hAnsiTheme="majorHAnsi"/>
            <w:bCs/>
            <w:i/>
            <w:noProof/>
            <w:color w:val="0070C0"/>
            <w:sz w:val="22"/>
            <w:szCs w:val="22"/>
          </w:rPr>
          <w:t>Stoku i detyrimeve të prapambetura qendrore sipas zërave kryesorë</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_Toc107498139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48</w:t>
        </w:r>
        <w:r w:rsidR="00E74AAC" w:rsidRPr="00E74AAC">
          <w:rPr>
            <w:rFonts w:asciiTheme="majorHAnsi" w:hAnsiTheme="majorHAnsi"/>
            <w:noProof/>
            <w:webHidden/>
            <w:color w:val="0070C0"/>
            <w:sz w:val="22"/>
            <w:szCs w:val="22"/>
          </w:rPr>
          <w:fldChar w:fldCharType="end"/>
        </w:r>
      </w:hyperlink>
    </w:p>
    <w:p w14:paraId="13C13F96" w14:textId="1706085B"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40" w:history="1">
        <w:r w:rsidR="00E74AAC" w:rsidRPr="00E74AAC">
          <w:rPr>
            <w:rStyle w:val="Hyperlink"/>
            <w:rFonts w:asciiTheme="majorHAnsi" w:eastAsiaTheme="majorEastAsia" w:hAnsiTheme="majorHAnsi"/>
            <w:i/>
            <w:noProof/>
            <w:color w:val="0070C0"/>
            <w:sz w:val="22"/>
            <w:szCs w:val="22"/>
          </w:rPr>
          <w:t>Grafiku 49: Stoku i detyrimeve të prapambetura vendore (bashki+qarqe) sipas zerave kryesorë</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_Toc107498140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49</w:t>
        </w:r>
        <w:r w:rsidR="00E74AAC" w:rsidRPr="00E74AAC">
          <w:rPr>
            <w:rFonts w:asciiTheme="majorHAnsi" w:hAnsiTheme="majorHAnsi"/>
            <w:noProof/>
            <w:webHidden/>
            <w:color w:val="0070C0"/>
            <w:sz w:val="22"/>
            <w:szCs w:val="22"/>
          </w:rPr>
          <w:fldChar w:fldCharType="end"/>
        </w:r>
      </w:hyperlink>
    </w:p>
    <w:p w14:paraId="77B10833" w14:textId="5B3DA067"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41" w:history="1">
        <w:r w:rsidR="00E74AAC" w:rsidRPr="00E74AAC">
          <w:rPr>
            <w:rStyle w:val="Hyperlink"/>
            <w:rFonts w:asciiTheme="majorHAnsi" w:eastAsiaTheme="majorEastAsia" w:hAnsiTheme="majorHAnsi"/>
            <w:i/>
            <w:noProof/>
            <w:color w:val="0070C0"/>
            <w:sz w:val="22"/>
            <w:szCs w:val="22"/>
          </w:rPr>
          <w:t>Grafiku 50: Rritja mujore e totalit të eksporteve, në përqindje</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_Toc107498141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58</w:t>
        </w:r>
        <w:r w:rsidR="00E74AAC" w:rsidRPr="00E74AAC">
          <w:rPr>
            <w:rFonts w:asciiTheme="majorHAnsi" w:hAnsiTheme="majorHAnsi"/>
            <w:noProof/>
            <w:webHidden/>
            <w:color w:val="0070C0"/>
            <w:sz w:val="22"/>
            <w:szCs w:val="22"/>
          </w:rPr>
          <w:fldChar w:fldCharType="end"/>
        </w:r>
      </w:hyperlink>
    </w:p>
    <w:p w14:paraId="5D947AE5" w14:textId="29D85919"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42" w:history="1">
        <w:r w:rsidR="00E74AAC" w:rsidRPr="00E74AAC">
          <w:rPr>
            <w:rStyle w:val="Hyperlink"/>
            <w:rFonts w:asciiTheme="majorHAnsi" w:eastAsiaTheme="majorEastAsia" w:hAnsiTheme="majorHAnsi"/>
            <w:i/>
            <w:noProof/>
            <w:color w:val="0070C0"/>
            <w:sz w:val="22"/>
            <w:szCs w:val="22"/>
            <w:lang w:val="sq-AL"/>
          </w:rPr>
          <w:t>Grafiku 51: Rritja mujore e totalit të importeve, në përqindje</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_Toc107498142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58</w:t>
        </w:r>
        <w:r w:rsidR="00E74AAC" w:rsidRPr="00E74AAC">
          <w:rPr>
            <w:rFonts w:asciiTheme="majorHAnsi" w:hAnsiTheme="majorHAnsi"/>
            <w:noProof/>
            <w:webHidden/>
            <w:color w:val="0070C0"/>
            <w:sz w:val="22"/>
            <w:szCs w:val="22"/>
          </w:rPr>
          <w:fldChar w:fldCharType="end"/>
        </w:r>
      </w:hyperlink>
    </w:p>
    <w:p w14:paraId="243B9276" w14:textId="609F9C52"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43" w:history="1">
        <w:r w:rsidR="00E74AAC" w:rsidRPr="00E74AAC">
          <w:rPr>
            <w:rStyle w:val="Hyperlink"/>
            <w:rFonts w:asciiTheme="majorHAnsi" w:eastAsiaTheme="majorEastAsia" w:hAnsiTheme="majorHAnsi"/>
            <w:i/>
            <w:noProof/>
            <w:color w:val="0070C0"/>
            <w:sz w:val="22"/>
            <w:szCs w:val="22"/>
            <w:lang w:val="sq-AL"/>
          </w:rPr>
          <w:t>Grafiku 52: Ndryshimi vjetor i Inflacionit, në përqindje</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_Toc107498143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59</w:t>
        </w:r>
        <w:r w:rsidR="00E74AAC" w:rsidRPr="00E74AAC">
          <w:rPr>
            <w:rFonts w:asciiTheme="majorHAnsi" w:hAnsiTheme="majorHAnsi"/>
            <w:noProof/>
            <w:webHidden/>
            <w:color w:val="0070C0"/>
            <w:sz w:val="22"/>
            <w:szCs w:val="22"/>
          </w:rPr>
          <w:fldChar w:fldCharType="end"/>
        </w:r>
      </w:hyperlink>
    </w:p>
    <w:p w14:paraId="1C6E8898" w14:textId="490401FC" w:rsidR="00E74AAC" w:rsidRPr="00E74AAC" w:rsidRDefault="00E3360A">
      <w:pPr>
        <w:pStyle w:val="TableofFigures"/>
        <w:tabs>
          <w:tab w:val="right" w:leader="dot" w:pos="9623"/>
        </w:tabs>
        <w:rPr>
          <w:rFonts w:asciiTheme="majorHAnsi" w:eastAsiaTheme="minorEastAsia" w:hAnsiTheme="majorHAnsi" w:cstheme="minorBidi"/>
          <w:noProof/>
          <w:color w:val="0070C0"/>
          <w:sz w:val="22"/>
          <w:szCs w:val="22"/>
        </w:rPr>
      </w:pPr>
      <w:hyperlink w:anchor="_Toc107498144" w:history="1">
        <w:r w:rsidR="00E74AAC" w:rsidRPr="00E74AAC">
          <w:rPr>
            <w:rStyle w:val="Hyperlink"/>
            <w:rFonts w:asciiTheme="majorHAnsi" w:eastAsiaTheme="majorEastAsia" w:hAnsiTheme="majorHAnsi"/>
            <w:i/>
            <w:noProof/>
            <w:color w:val="0070C0"/>
            <w:sz w:val="22"/>
            <w:szCs w:val="22"/>
            <w:lang w:val="sq-AL"/>
          </w:rPr>
          <w:t>Grafiku 53: Ecuria e stokut të depozitave 2021-2022, në përqindje</w:t>
        </w:r>
        <w:r w:rsidR="00E74AAC" w:rsidRPr="00E74AAC">
          <w:rPr>
            <w:rFonts w:asciiTheme="majorHAnsi" w:hAnsiTheme="majorHAnsi"/>
            <w:noProof/>
            <w:webHidden/>
            <w:color w:val="0070C0"/>
            <w:sz w:val="22"/>
            <w:szCs w:val="22"/>
          </w:rPr>
          <w:tab/>
        </w:r>
        <w:r w:rsidR="00E74AAC" w:rsidRPr="00E74AAC">
          <w:rPr>
            <w:rFonts w:asciiTheme="majorHAnsi" w:hAnsiTheme="majorHAnsi"/>
            <w:noProof/>
            <w:webHidden/>
            <w:color w:val="0070C0"/>
            <w:sz w:val="22"/>
            <w:szCs w:val="22"/>
          </w:rPr>
          <w:fldChar w:fldCharType="begin"/>
        </w:r>
        <w:r w:rsidR="00E74AAC" w:rsidRPr="00E74AAC">
          <w:rPr>
            <w:rFonts w:asciiTheme="majorHAnsi" w:hAnsiTheme="majorHAnsi"/>
            <w:noProof/>
            <w:webHidden/>
            <w:color w:val="0070C0"/>
            <w:sz w:val="22"/>
            <w:szCs w:val="22"/>
          </w:rPr>
          <w:instrText xml:space="preserve"> PAGEREF _Toc107498144 \h </w:instrText>
        </w:r>
        <w:r w:rsidR="00E74AAC" w:rsidRPr="00E74AAC">
          <w:rPr>
            <w:rFonts w:asciiTheme="majorHAnsi" w:hAnsiTheme="majorHAnsi"/>
            <w:noProof/>
            <w:webHidden/>
            <w:color w:val="0070C0"/>
            <w:sz w:val="22"/>
            <w:szCs w:val="22"/>
          </w:rPr>
        </w:r>
        <w:r w:rsidR="00E74AAC" w:rsidRPr="00E74AAC">
          <w:rPr>
            <w:rFonts w:asciiTheme="majorHAnsi" w:hAnsiTheme="majorHAnsi"/>
            <w:noProof/>
            <w:webHidden/>
            <w:color w:val="0070C0"/>
            <w:sz w:val="22"/>
            <w:szCs w:val="22"/>
          </w:rPr>
          <w:fldChar w:fldCharType="separate"/>
        </w:r>
        <w:r w:rsidR="00C153A9">
          <w:rPr>
            <w:rFonts w:asciiTheme="majorHAnsi" w:hAnsiTheme="majorHAnsi"/>
            <w:noProof/>
            <w:webHidden/>
            <w:color w:val="0070C0"/>
            <w:sz w:val="22"/>
            <w:szCs w:val="22"/>
          </w:rPr>
          <w:t>60</w:t>
        </w:r>
        <w:r w:rsidR="00E74AAC" w:rsidRPr="00E74AAC">
          <w:rPr>
            <w:rFonts w:asciiTheme="majorHAnsi" w:hAnsiTheme="majorHAnsi"/>
            <w:noProof/>
            <w:webHidden/>
            <w:color w:val="0070C0"/>
            <w:sz w:val="22"/>
            <w:szCs w:val="22"/>
          </w:rPr>
          <w:fldChar w:fldCharType="end"/>
        </w:r>
      </w:hyperlink>
    </w:p>
    <w:p w14:paraId="577AECE2" w14:textId="77777777" w:rsidR="007A09E2" w:rsidRPr="002E5970" w:rsidRDefault="005D4A49" w:rsidP="00C371C2">
      <w:pPr>
        <w:pStyle w:val="TableofFigures"/>
        <w:tabs>
          <w:tab w:val="right" w:leader="dot" w:pos="9620"/>
        </w:tabs>
        <w:rPr>
          <w:rStyle w:val="Hyperlink"/>
          <w:rFonts w:asciiTheme="majorHAnsi" w:eastAsiaTheme="majorEastAsia" w:hAnsiTheme="majorHAnsi"/>
          <w:i/>
          <w:noProof/>
          <w:color w:val="0070C0"/>
          <w:sz w:val="22"/>
          <w:szCs w:val="22"/>
          <w:lang w:val="sq-AL"/>
        </w:rPr>
        <w:sectPr w:rsidR="007A09E2" w:rsidRPr="002E5970" w:rsidSect="0093243B">
          <w:footerReference w:type="default" r:id="rId9"/>
          <w:footerReference w:type="first" r:id="rId10"/>
          <w:pgSz w:w="11907" w:h="16839" w:code="9"/>
          <w:pgMar w:top="851" w:right="1106" w:bottom="737" w:left="1168" w:header="720" w:footer="0" w:gutter="0"/>
          <w:cols w:space="720"/>
          <w:titlePg/>
          <w:docGrid w:linePitch="360"/>
        </w:sectPr>
      </w:pPr>
      <w:r w:rsidRPr="00E74AAC">
        <w:rPr>
          <w:rStyle w:val="Hyperlink"/>
          <w:rFonts w:asciiTheme="majorHAnsi" w:eastAsiaTheme="majorEastAsia" w:hAnsiTheme="majorHAnsi"/>
          <w:i/>
          <w:noProof/>
          <w:color w:val="0070C0"/>
          <w:sz w:val="22"/>
          <w:szCs w:val="22"/>
          <w:lang w:val="sq-AL"/>
        </w:rPr>
        <w:fldChar w:fldCharType="end"/>
      </w:r>
    </w:p>
    <w:p w14:paraId="21DE86C0" w14:textId="77777777" w:rsidR="00685257" w:rsidRPr="00317567" w:rsidRDefault="00685257" w:rsidP="00B95810">
      <w:pPr>
        <w:pStyle w:val="Heading1"/>
        <w:numPr>
          <w:ilvl w:val="0"/>
          <w:numId w:val="1"/>
        </w:numPr>
        <w:spacing w:before="0"/>
        <w:ind w:left="720"/>
        <w:rPr>
          <w:sz w:val="32"/>
          <w:u w:val="none"/>
        </w:rPr>
      </w:pPr>
      <w:bookmarkStart w:id="4" w:name="_Toc107496980"/>
      <w:r w:rsidRPr="00317567">
        <w:rPr>
          <w:sz w:val="32"/>
          <w:u w:val="none"/>
        </w:rPr>
        <w:lastRenderedPageBreak/>
        <w:t>ZHVILLIMET NË EKONOMINË SHQIPTARE</w:t>
      </w:r>
      <w:bookmarkEnd w:id="4"/>
      <w:r w:rsidR="00FD3DF0" w:rsidRPr="00317567">
        <w:rPr>
          <w:sz w:val="32"/>
          <w:u w:val="none"/>
        </w:rPr>
        <w:t xml:space="preserve"> </w:t>
      </w:r>
    </w:p>
    <w:p w14:paraId="70E435C2" w14:textId="77777777" w:rsidR="000F540A" w:rsidRPr="0065598A" w:rsidRDefault="009216BE" w:rsidP="002334F6">
      <w:pPr>
        <w:pStyle w:val="Heading2"/>
      </w:pPr>
      <w:bookmarkStart w:id="5" w:name="_Toc107496981"/>
      <w:r w:rsidRPr="0065598A">
        <w:t>I.1</w:t>
      </w:r>
      <w:r w:rsidRPr="0065598A">
        <w:tab/>
      </w:r>
      <w:r w:rsidR="0094558D" w:rsidRPr="0065598A">
        <w:t>Ecuria e treguesve makroekonomikë</w:t>
      </w:r>
      <w:r w:rsidR="00DD1580" w:rsidRPr="0065598A">
        <w:t xml:space="preserve"> p</w:t>
      </w:r>
      <w:r w:rsidR="00AA2D73" w:rsidRPr="0065598A">
        <w:t>ë</w:t>
      </w:r>
      <w:r w:rsidR="00DD1580" w:rsidRPr="0065598A">
        <w:t>r periudh</w:t>
      </w:r>
      <w:r w:rsidR="00AA2D73" w:rsidRPr="0065598A">
        <w:t>ë</w:t>
      </w:r>
      <w:r w:rsidR="002E5970">
        <w:t>n J</w:t>
      </w:r>
      <w:r w:rsidR="00DD1580" w:rsidRPr="0065598A">
        <w:t>anar-</w:t>
      </w:r>
      <w:r w:rsidR="002E5970">
        <w:t>M</w:t>
      </w:r>
      <w:r w:rsidR="00D90476" w:rsidRPr="0065598A">
        <w:t>aj</w:t>
      </w:r>
      <w:r w:rsidR="00971C15" w:rsidRPr="0065598A">
        <w:rPr>
          <w:rStyle w:val="FootnoteReference"/>
        </w:rPr>
        <w:footnoteReference w:id="1"/>
      </w:r>
      <w:r w:rsidR="00DD1580" w:rsidRPr="0065598A">
        <w:t xml:space="preserve"> 20</w:t>
      </w:r>
      <w:r w:rsidR="008507F6" w:rsidRPr="0065598A">
        <w:t>2</w:t>
      </w:r>
      <w:bookmarkEnd w:id="5"/>
      <w:r w:rsidR="00367A15">
        <w:t>3</w:t>
      </w:r>
      <w:r w:rsidR="00685257" w:rsidRPr="0065598A">
        <w:t xml:space="preserve"> </w:t>
      </w:r>
    </w:p>
    <w:p w14:paraId="7DEF54A6" w14:textId="77777777" w:rsidR="00404DBA" w:rsidRDefault="009C2068" w:rsidP="00404DBA">
      <w:pPr>
        <w:spacing w:before="120" w:after="120" w:line="276" w:lineRule="auto"/>
        <w:jc w:val="both"/>
        <w:rPr>
          <w:rFonts w:asciiTheme="minorHAnsi" w:hAnsiTheme="minorHAnsi" w:cstheme="minorHAnsi"/>
          <w:lang w:val="sq-AL"/>
        </w:rPr>
      </w:pPr>
      <w:r w:rsidRPr="002C2CFB">
        <w:rPr>
          <w:rFonts w:asciiTheme="minorHAnsi" w:hAnsiTheme="minorHAnsi" w:cstheme="minorHAnsi"/>
          <w:lang w:val="sq-AL"/>
        </w:rPr>
        <w:t>Ekonomia e vendit i ka rezistuar relativisht mirë goditjeve të fundit, përfshirë tërmetin në fund të vitit 2019, pandeminë Covid-19 si dhe krizën e vazhdueshme evropiane të energjisë</w:t>
      </w:r>
      <w:r>
        <w:rPr>
          <w:rFonts w:asciiTheme="minorHAnsi" w:hAnsiTheme="minorHAnsi" w:cstheme="minorHAnsi"/>
          <w:lang w:val="sq-AL"/>
        </w:rPr>
        <w:t xml:space="preserve">. </w:t>
      </w:r>
      <w:r w:rsidRPr="002C2CFB">
        <w:rPr>
          <w:rFonts w:asciiTheme="minorHAnsi" w:hAnsiTheme="minorHAnsi" w:cstheme="minorHAnsi"/>
          <w:lang w:val="sq-AL"/>
        </w:rPr>
        <w:t>Përgjatë vitit 2020, ekonomia u tkurr me 3.3</w:t>
      </w:r>
      <w:r w:rsidR="00404DBA">
        <w:rPr>
          <w:rFonts w:asciiTheme="minorHAnsi" w:hAnsiTheme="minorHAnsi" w:cstheme="minorHAnsi"/>
          <w:lang w:val="sq-AL"/>
        </w:rPr>
        <w:t>%</w:t>
      </w:r>
      <w:r>
        <w:rPr>
          <w:rFonts w:asciiTheme="minorHAnsi" w:hAnsiTheme="minorHAnsi" w:cstheme="minorHAnsi"/>
          <w:lang w:val="sq-AL"/>
        </w:rPr>
        <w:t>,</w:t>
      </w:r>
      <w:r w:rsidRPr="00D65EF9">
        <w:rPr>
          <w:rFonts w:asciiTheme="minorHAnsi" w:hAnsiTheme="minorHAnsi" w:cstheme="minorHAnsi"/>
          <w:lang w:val="sq-AL"/>
        </w:rPr>
        <w:t xml:space="preserve"> dukshëm më i butë se pritshmëritë fillestare dhe rimëkëmbja gjatë v</w:t>
      </w:r>
      <w:r>
        <w:rPr>
          <w:rFonts w:asciiTheme="minorHAnsi" w:hAnsiTheme="minorHAnsi" w:cstheme="minorHAnsi"/>
          <w:lang w:val="sq-AL"/>
        </w:rPr>
        <w:t>itit 2021 ishte konsiderueshëm</w:t>
      </w:r>
      <w:r w:rsidRPr="00D65EF9">
        <w:rPr>
          <w:rFonts w:asciiTheme="minorHAnsi" w:hAnsiTheme="minorHAnsi" w:cstheme="minorHAnsi"/>
          <w:lang w:val="sq-AL"/>
        </w:rPr>
        <w:t xml:space="preserve"> më e fortë se sa p</w:t>
      </w:r>
      <w:r>
        <w:rPr>
          <w:rFonts w:asciiTheme="minorHAnsi" w:hAnsiTheme="minorHAnsi" w:cstheme="minorHAnsi"/>
          <w:lang w:val="sq-AL"/>
        </w:rPr>
        <w:t>arashikohej, në normën 8.9</w:t>
      </w:r>
      <w:r w:rsidR="00404DBA">
        <w:rPr>
          <w:rFonts w:asciiTheme="minorHAnsi" w:hAnsiTheme="minorHAnsi" w:cstheme="minorHAnsi"/>
          <w:lang w:val="sq-AL"/>
        </w:rPr>
        <w:t>%</w:t>
      </w:r>
      <w:r>
        <w:rPr>
          <w:rFonts w:asciiTheme="minorHAnsi" w:hAnsiTheme="minorHAnsi" w:cstheme="minorHAnsi"/>
          <w:lang w:val="sq-AL"/>
        </w:rPr>
        <w:t>.</w:t>
      </w:r>
      <w:r w:rsidRPr="00D65EF9">
        <w:rPr>
          <w:rFonts w:asciiTheme="minorHAnsi" w:hAnsiTheme="minorHAnsi" w:cstheme="minorHAnsi"/>
          <w:lang w:val="sq-AL"/>
        </w:rPr>
        <w:t xml:space="preserve"> </w:t>
      </w:r>
      <w:r>
        <w:rPr>
          <w:rFonts w:asciiTheme="minorHAnsi" w:hAnsiTheme="minorHAnsi" w:cstheme="minorHAnsi"/>
          <w:lang w:val="sq-AL"/>
        </w:rPr>
        <w:t>Ritmi pozitiv i</w:t>
      </w:r>
      <w:r w:rsidRPr="002C2CFB">
        <w:rPr>
          <w:rFonts w:asciiTheme="minorHAnsi" w:hAnsiTheme="minorHAnsi" w:cstheme="minorHAnsi"/>
          <w:lang w:val="sq-AL"/>
        </w:rPr>
        <w:t xml:space="preserve"> rritjes </w:t>
      </w:r>
      <w:r>
        <w:rPr>
          <w:rFonts w:asciiTheme="minorHAnsi" w:hAnsiTheme="minorHAnsi" w:cstheme="minorHAnsi"/>
          <w:lang w:val="sq-AL"/>
        </w:rPr>
        <w:t xml:space="preserve">ka vijuar </w:t>
      </w:r>
      <w:r w:rsidRPr="002C2CFB">
        <w:rPr>
          <w:rFonts w:asciiTheme="minorHAnsi" w:hAnsiTheme="minorHAnsi" w:cstheme="minorHAnsi"/>
          <w:lang w:val="sq-AL"/>
        </w:rPr>
        <w:t>edhe përgjatë vitit 2022, pavarësisht goditjes më të fundit të jashtme që rezultoi si pasojë e luftës në</w:t>
      </w:r>
      <w:r>
        <w:rPr>
          <w:rFonts w:asciiTheme="minorHAnsi" w:hAnsiTheme="minorHAnsi" w:cstheme="minorHAnsi"/>
          <w:lang w:val="sq-AL"/>
        </w:rPr>
        <w:t xml:space="preserve"> Ukrainë, e cila reflektoi në rënie</w:t>
      </w:r>
      <w:r w:rsidRPr="002C2CFB">
        <w:rPr>
          <w:rFonts w:asciiTheme="minorHAnsi" w:hAnsiTheme="minorHAnsi" w:cstheme="minorHAnsi"/>
          <w:lang w:val="sq-AL"/>
        </w:rPr>
        <w:t xml:space="preserve"> të ofertës globale të disa mallrave bazë duke sjellë norma të larta inflacioni, rritje të pasigurisë si dhe shtrëngim të kushteve financiare.</w:t>
      </w:r>
      <w:r>
        <w:rPr>
          <w:rFonts w:asciiTheme="minorHAnsi" w:hAnsiTheme="minorHAnsi" w:cstheme="minorHAnsi"/>
          <w:lang w:val="sq-AL"/>
        </w:rPr>
        <w:t xml:space="preserve"> </w:t>
      </w:r>
      <w:r w:rsidRPr="00D65EF9">
        <w:rPr>
          <w:rFonts w:asciiTheme="minorHAnsi" w:hAnsiTheme="minorHAnsi" w:cstheme="minorHAnsi"/>
          <w:lang w:val="sq-AL"/>
        </w:rPr>
        <w:t>Megjithatë, deri më tani, ekonomia e ka përballuar relativisht mirë këtë goditje të fundit globale të furnizimit me energji dhe mallra, veçanërisht duke e parë atë në kontekstin e problemeve që po kalon pjesa më e madhe e ekonomive në botë</w:t>
      </w:r>
      <w:r w:rsidRPr="00E7612F">
        <w:rPr>
          <w:rFonts w:asciiTheme="minorHAnsi" w:hAnsiTheme="minorHAnsi" w:cstheme="minorHAnsi"/>
          <w:lang w:val="sq-AL"/>
        </w:rPr>
        <w:t>.</w:t>
      </w:r>
      <w:r w:rsidR="00404DBA" w:rsidRPr="00E7612F">
        <w:rPr>
          <w:rFonts w:asciiTheme="minorHAnsi" w:hAnsiTheme="minorHAnsi" w:cstheme="minorHAnsi"/>
          <w:lang w:val="sq-AL"/>
        </w:rPr>
        <w:t xml:space="preserve"> </w:t>
      </w:r>
      <w:r w:rsidRPr="00E7612F">
        <w:rPr>
          <w:rFonts w:asciiTheme="minorHAnsi" w:hAnsiTheme="minorHAnsi" w:cstheme="minorHAnsi"/>
          <w:lang w:val="sq-AL"/>
        </w:rPr>
        <w:t>Ekonomia në vitin 2022, në</w:t>
      </w:r>
      <w:r w:rsidRPr="00D65EF9">
        <w:rPr>
          <w:rFonts w:asciiTheme="minorHAnsi" w:hAnsiTheme="minorHAnsi" w:cstheme="minorHAnsi"/>
          <w:lang w:val="sq-AL"/>
        </w:rPr>
        <w:t xml:space="preserve"> terma kumulativ shënoi një rritje ekonomike prej 4.84</w:t>
      </w:r>
      <w:r w:rsidR="00404DBA">
        <w:rPr>
          <w:rFonts w:asciiTheme="minorHAnsi" w:hAnsiTheme="minorHAnsi" w:cstheme="minorHAnsi"/>
          <w:lang w:val="sq-AL"/>
        </w:rPr>
        <w:t>%</w:t>
      </w:r>
      <w:r w:rsidRPr="00D65EF9">
        <w:rPr>
          <w:rFonts w:asciiTheme="minorHAnsi" w:hAnsiTheme="minorHAnsi" w:cstheme="minorHAnsi"/>
          <w:lang w:val="sq-AL"/>
        </w:rPr>
        <w:t>. Kjo rritje ishte e shpërndarë në të gjithë sektorët e ekonomisë, ku sektori i ndërtimit është rritur me 14.5%, industria me 6.2%, tregtia me shumicë me 5.6%, informacioni dhe komunikimi me 13.8% dhe aktiviteti financiar i sigurimeve me 12.97%. I vetmi sektor që pati një ecuri më të ngadaltë ishte bujqësia, rezultat i së cilës u ndikua kryesisht nga rritja e çmimeve në tregjet ndërkombëtare dhe vendase.</w:t>
      </w:r>
      <w:r w:rsidR="00404DBA">
        <w:rPr>
          <w:rFonts w:asciiTheme="minorHAnsi" w:hAnsiTheme="minorHAnsi" w:cstheme="minorHAnsi"/>
          <w:lang w:val="sq-AL"/>
        </w:rPr>
        <w:t xml:space="preserve"> </w:t>
      </w:r>
      <w:r w:rsidRPr="00D65EF9">
        <w:rPr>
          <w:rFonts w:asciiTheme="minorHAnsi" w:hAnsiTheme="minorHAnsi" w:cstheme="minorHAnsi"/>
          <w:lang w:val="sq-AL"/>
        </w:rPr>
        <w:t xml:space="preserve">Nga krahu i shpenzimeve, rritja ekonomike pasqyroi zgjerimin e konsumit dhe investimeve, duke reflektuar fuqizimin e kërkesës së brendshme si dhe rritje të eksporteve. Ajo u nxit kryesisht nga përmirësimi i besimit të biznesit dhe konsumatorit, nga rikuperimi i ekonomive partnere si dhe nga stimujt makroekonomikë, veçanërisht të fortë gjatë dy viteve të fundit. </w:t>
      </w:r>
      <w:r w:rsidRPr="008C40B4">
        <w:rPr>
          <w:rFonts w:asciiTheme="minorHAnsi" w:hAnsiTheme="minorHAnsi" w:cstheme="minorHAnsi"/>
          <w:lang w:val="sq-AL"/>
        </w:rPr>
        <w:t xml:space="preserve">Zhvillimet në tregun e punës kanë qenë pozitive dhe në rikuperim të vijueshëm pas valës së rënies së aktivitetit ekonomik shkaktuar nga pandemia. Tregu i punës ka shënuar trend rënës të shkallës së papunësisë dhe nivel më të lartë të punësimit. Ky trend pasqyron dinamikën pozitive të situatës së përgjithshme ekonomike në Shqipëri. </w:t>
      </w:r>
    </w:p>
    <w:p w14:paraId="618F6A33" w14:textId="77777777" w:rsidR="009C2068" w:rsidRDefault="009C2068" w:rsidP="00404DBA">
      <w:pPr>
        <w:spacing w:before="120" w:after="120" w:line="276" w:lineRule="auto"/>
        <w:jc w:val="both"/>
        <w:rPr>
          <w:rFonts w:asciiTheme="minorHAnsi" w:hAnsiTheme="minorHAnsi" w:cstheme="minorHAnsi"/>
          <w:lang w:val="sq-AL"/>
        </w:rPr>
      </w:pPr>
      <w:r w:rsidRPr="008C40B4">
        <w:rPr>
          <w:rFonts w:asciiTheme="minorHAnsi" w:hAnsiTheme="minorHAnsi" w:cstheme="minorHAnsi"/>
          <w:lang w:val="sq-AL"/>
        </w:rPr>
        <w:t xml:space="preserve">Të dhënat më të fundit të INSTAT sipas Anketës Tremujore të Forcave Punëtore (ATFP) për </w:t>
      </w:r>
      <w:r w:rsidR="00404DBA">
        <w:rPr>
          <w:rFonts w:asciiTheme="minorHAnsi" w:hAnsiTheme="minorHAnsi" w:cstheme="minorHAnsi"/>
          <w:lang w:val="sq-AL"/>
        </w:rPr>
        <w:t>T1</w:t>
      </w:r>
      <w:r w:rsidRPr="008C40B4">
        <w:rPr>
          <w:rFonts w:asciiTheme="minorHAnsi" w:hAnsiTheme="minorHAnsi" w:cstheme="minorHAnsi"/>
          <w:lang w:val="sq-AL"/>
        </w:rPr>
        <w:t xml:space="preserve"> 202</w:t>
      </w:r>
      <w:r>
        <w:rPr>
          <w:rFonts w:asciiTheme="minorHAnsi" w:hAnsiTheme="minorHAnsi" w:cstheme="minorHAnsi"/>
          <w:lang w:val="sq-AL"/>
        </w:rPr>
        <w:t>3</w:t>
      </w:r>
      <w:r w:rsidRPr="008C40B4">
        <w:rPr>
          <w:rFonts w:asciiTheme="minorHAnsi" w:hAnsiTheme="minorHAnsi" w:cstheme="minorHAnsi"/>
          <w:lang w:val="sq-AL"/>
        </w:rPr>
        <w:t>, tregojnë se shkalla zyr</w:t>
      </w:r>
      <w:r>
        <w:rPr>
          <w:rFonts w:asciiTheme="minorHAnsi" w:hAnsiTheme="minorHAnsi" w:cstheme="minorHAnsi"/>
          <w:lang w:val="sq-AL"/>
        </w:rPr>
        <w:t xml:space="preserve">tare e papunësisë për grupmoshën </w:t>
      </w:r>
      <w:r w:rsidRPr="008C40B4">
        <w:rPr>
          <w:rFonts w:asciiTheme="minorHAnsi" w:hAnsiTheme="minorHAnsi" w:cstheme="minorHAnsi"/>
          <w:lang w:val="sq-AL"/>
        </w:rPr>
        <w:t xml:space="preserve"> </w:t>
      </w:r>
      <w:r>
        <w:rPr>
          <w:rFonts w:asciiTheme="minorHAnsi" w:hAnsiTheme="minorHAnsi" w:cstheme="minorHAnsi"/>
          <w:lang w:val="sq-AL"/>
        </w:rPr>
        <w:t xml:space="preserve">mbi </w:t>
      </w:r>
      <w:r w:rsidRPr="008C40B4">
        <w:rPr>
          <w:rFonts w:asciiTheme="minorHAnsi" w:hAnsiTheme="minorHAnsi" w:cstheme="minorHAnsi"/>
          <w:lang w:val="sq-AL"/>
        </w:rPr>
        <w:t xml:space="preserve">15 vjeç </w:t>
      </w:r>
      <w:r>
        <w:rPr>
          <w:rFonts w:asciiTheme="minorHAnsi" w:hAnsiTheme="minorHAnsi" w:cstheme="minorHAnsi"/>
          <w:lang w:val="sq-AL"/>
        </w:rPr>
        <w:t>ka shënuar nivelin 10.9%, duke  u ulur me 0.4</w:t>
      </w:r>
      <w:r w:rsidRPr="00157E9F">
        <w:rPr>
          <w:rFonts w:asciiTheme="minorHAnsi" w:hAnsiTheme="minorHAnsi" w:cstheme="minorHAnsi"/>
          <w:lang w:val="sq-AL"/>
        </w:rPr>
        <w:t xml:space="preserve"> pikë</w:t>
      </w:r>
      <w:r w:rsidR="00404DBA">
        <w:rPr>
          <w:rFonts w:asciiTheme="minorHAnsi" w:hAnsiTheme="minorHAnsi" w:cstheme="minorHAnsi"/>
          <w:lang w:val="sq-AL"/>
        </w:rPr>
        <w:t>%</w:t>
      </w:r>
      <w:r w:rsidRPr="00157E9F">
        <w:rPr>
          <w:rFonts w:asciiTheme="minorHAnsi" w:hAnsiTheme="minorHAnsi" w:cstheme="minorHAnsi"/>
          <w:lang w:val="sq-AL"/>
        </w:rPr>
        <w:t xml:space="preserve"> në terma v</w:t>
      </w:r>
      <w:r>
        <w:rPr>
          <w:rFonts w:asciiTheme="minorHAnsi" w:hAnsiTheme="minorHAnsi" w:cstheme="minorHAnsi"/>
          <w:lang w:val="sq-AL"/>
        </w:rPr>
        <w:t>jetorë dhe duke u rritur me 0.1</w:t>
      </w:r>
      <w:r w:rsidRPr="00157E9F">
        <w:rPr>
          <w:rFonts w:asciiTheme="minorHAnsi" w:hAnsiTheme="minorHAnsi" w:cstheme="minorHAnsi"/>
          <w:lang w:val="sq-AL"/>
        </w:rPr>
        <w:t xml:space="preserve"> pikë</w:t>
      </w:r>
      <w:r w:rsidR="00404DBA">
        <w:rPr>
          <w:rFonts w:asciiTheme="minorHAnsi" w:hAnsiTheme="minorHAnsi" w:cstheme="minorHAnsi"/>
          <w:lang w:val="sq-AL"/>
        </w:rPr>
        <w:t>%</w:t>
      </w:r>
      <w:r>
        <w:rPr>
          <w:rFonts w:asciiTheme="minorHAnsi" w:hAnsiTheme="minorHAnsi" w:cstheme="minorHAnsi"/>
          <w:lang w:val="sq-AL"/>
        </w:rPr>
        <w:t xml:space="preserve"> krahasuar me </w:t>
      </w:r>
      <w:r w:rsidR="00404DBA">
        <w:rPr>
          <w:rFonts w:asciiTheme="minorHAnsi" w:hAnsiTheme="minorHAnsi" w:cstheme="minorHAnsi"/>
          <w:lang w:val="sq-AL"/>
        </w:rPr>
        <w:t>T4</w:t>
      </w:r>
      <w:r w:rsidRPr="00157E9F">
        <w:rPr>
          <w:rFonts w:asciiTheme="minorHAnsi" w:hAnsiTheme="minorHAnsi" w:cstheme="minorHAnsi"/>
          <w:lang w:val="sq-AL"/>
        </w:rPr>
        <w:t xml:space="preserve"> 2022. </w:t>
      </w:r>
      <w:r w:rsidRPr="008C40B4">
        <w:rPr>
          <w:rFonts w:asciiTheme="minorHAnsi" w:hAnsiTheme="minorHAnsi" w:cstheme="minorHAnsi"/>
          <w:lang w:val="sq-AL"/>
        </w:rPr>
        <w:t xml:space="preserve">Ndërkohë edhe shkalla e punësimit ka vijuar të shënojë </w:t>
      </w:r>
      <w:r>
        <w:rPr>
          <w:rFonts w:asciiTheme="minorHAnsi" w:hAnsiTheme="minorHAnsi" w:cstheme="minorHAnsi"/>
          <w:lang w:val="sq-AL"/>
        </w:rPr>
        <w:t>rritje duke rezultuar në 57</w:t>
      </w:r>
      <w:r w:rsidRPr="008C40B4">
        <w:rPr>
          <w:rFonts w:asciiTheme="minorHAnsi" w:hAnsiTheme="minorHAnsi" w:cstheme="minorHAnsi"/>
          <w:lang w:val="sq-AL"/>
        </w:rPr>
        <w:t xml:space="preserve">% për popullsinë mbi 15 vjeç. Ritmi vjetor i ndryshimit të punësimit për popullsinë 15 vjeç e lart, nga </w:t>
      </w:r>
      <w:r w:rsidR="00404DBA">
        <w:rPr>
          <w:rFonts w:asciiTheme="minorHAnsi" w:hAnsiTheme="minorHAnsi" w:cstheme="minorHAnsi"/>
          <w:lang w:val="sq-AL"/>
        </w:rPr>
        <w:t xml:space="preserve">T1 </w:t>
      </w:r>
      <w:r w:rsidRPr="008C40B4">
        <w:rPr>
          <w:rFonts w:asciiTheme="minorHAnsi" w:hAnsiTheme="minorHAnsi" w:cstheme="minorHAnsi"/>
          <w:lang w:val="sq-AL"/>
        </w:rPr>
        <w:t>202</w:t>
      </w:r>
      <w:r>
        <w:rPr>
          <w:rFonts w:asciiTheme="minorHAnsi" w:hAnsiTheme="minorHAnsi" w:cstheme="minorHAnsi"/>
          <w:lang w:val="sq-AL"/>
        </w:rPr>
        <w:t>2</w:t>
      </w:r>
      <w:r w:rsidRPr="008C40B4">
        <w:rPr>
          <w:rFonts w:asciiTheme="minorHAnsi" w:hAnsiTheme="minorHAnsi" w:cstheme="minorHAnsi"/>
          <w:lang w:val="sq-AL"/>
        </w:rPr>
        <w:t xml:space="preserve"> në </w:t>
      </w:r>
      <w:r w:rsidR="00404DBA">
        <w:rPr>
          <w:rFonts w:asciiTheme="minorHAnsi" w:hAnsiTheme="minorHAnsi" w:cstheme="minorHAnsi"/>
          <w:lang w:val="sq-AL"/>
        </w:rPr>
        <w:t>T1</w:t>
      </w:r>
      <w:r w:rsidRPr="008C40B4">
        <w:rPr>
          <w:rFonts w:asciiTheme="minorHAnsi" w:hAnsiTheme="minorHAnsi" w:cstheme="minorHAnsi"/>
          <w:lang w:val="sq-AL"/>
        </w:rPr>
        <w:t xml:space="preserve"> 202</w:t>
      </w:r>
      <w:r>
        <w:rPr>
          <w:rFonts w:asciiTheme="minorHAnsi" w:hAnsiTheme="minorHAnsi" w:cstheme="minorHAnsi"/>
          <w:lang w:val="sq-AL"/>
        </w:rPr>
        <w:t>3</w:t>
      </w:r>
      <w:r w:rsidRPr="008C40B4">
        <w:rPr>
          <w:rFonts w:asciiTheme="minorHAnsi" w:hAnsiTheme="minorHAnsi" w:cstheme="minorHAnsi"/>
          <w:lang w:val="sq-AL"/>
        </w:rPr>
        <w:t xml:space="preserve"> është +2.8 pikë</w:t>
      </w:r>
      <w:r w:rsidR="00404DBA">
        <w:rPr>
          <w:rFonts w:asciiTheme="minorHAnsi" w:hAnsiTheme="minorHAnsi" w:cstheme="minorHAnsi"/>
          <w:lang w:val="sq-AL"/>
        </w:rPr>
        <w:t>%</w:t>
      </w:r>
      <w:r w:rsidRPr="008C40B4">
        <w:rPr>
          <w:rFonts w:asciiTheme="minorHAnsi" w:hAnsiTheme="minorHAnsi" w:cstheme="minorHAnsi"/>
          <w:lang w:val="sq-AL"/>
        </w:rPr>
        <w:t xml:space="preserve">, ndërsa krahasuar me </w:t>
      </w:r>
      <w:r w:rsidR="00404DBA">
        <w:rPr>
          <w:rFonts w:asciiTheme="minorHAnsi" w:hAnsiTheme="minorHAnsi" w:cstheme="minorHAnsi"/>
          <w:lang w:val="sq-AL"/>
        </w:rPr>
        <w:t>T4</w:t>
      </w:r>
      <w:r w:rsidRPr="008C40B4">
        <w:rPr>
          <w:rFonts w:asciiTheme="minorHAnsi" w:hAnsiTheme="minorHAnsi" w:cstheme="minorHAnsi"/>
          <w:lang w:val="sq-AL"/>
        </w:rPr>
        <w:t xml:space="preserve"> 2022 punësimi</w:t>
      </w:r>
      <w:r>
        <w:rPr>
          <w:rFonts w:asciiTheme="minorHAnsi" w:hAnsiTheme="minorHAnsi" w:cstheme="minorHAnsi"/>
          <w:lang w:val="sq-AL"/>
        </w:rPr>
        <w:t xml:space="preserve"> është rritur </w:t>
      </w:r>
      <w:r w:rsidRPr="008C40B4">
        <w:rPr>
          <w:rFonts w:asciiTheme="minorHAnsi" w:hAnsiTheme="minorHAnsi" w:cstheme="minorHAnsi"/>
          <w:lang w:val="sq-AL"/>
        </w:rPr>
        <w:t>me 0.</w:t>
      </w:r>
      <w:r>
        <w:rPr>
          <w:rFonts w:asciiTheme="minorHAnsi" w:hAnsiTheme="minorHAnsi" w:cstheme="minorHAnsi"/>
          <w:lang w:val="sq-AL"/>
        </w:rPr>
        <w:t>7</w:t>
      </w:r>
      <w:r w:rsidRPr="008C40B4">
        <w:rPr>
          <w:rFonts w:asciiTheme="minorHAnsi" w:hAnsiTheme="minorHAnsi" w:cstheme="minorHAnsi"/>
          <w:lang w:val="sq-AL"/>
        </w:rPr>
        <w:t xml:space="preserve"> pikë</w:t>
      </w:r>
      <w:r w:rsidR="00404DBA">
        <w:rPr>
          <w:rFonts w:asciiTheme="minorHAnsi" w:hAnsiTheme="minorHAnsi" w:cstheme="minorHAnsi"/>
          <w:lang w:val="sq-AL"/>
        </w:rPr>
        <w:t>%</w:t>
      </w:r>
      <w:r w:rsidRPr="008C40B4">
        <w:rPr>
          <w:rFonts w:asciiTheme="minorHAnsi" w:hAnsiTheme="minorHAnsi" w:cstheme="minorHAnsi"/>
          <w:lang w:val="sq-AL"/>
        </w:rPr>
        <w:t>. Në terma vjetorë, punësim</w:t>
      </w:r>
      <w:r>
        <w:rPr>
          <w:rFonts w:asciiTheme="minorHAnsi" w:hAnsiTheme="minorHAnsi" w:cstheme="minorHAnsi"/>
          <w:lang w:val="sq-AL"/>
        </w:rPr>
        <w:t xml:space="preserve">i </w:t>
      </w:r>
      <w:r w:rsidRPr="00B039DF">
        <w:rPr>
          <w:rFonts w:asciiTheme="minorHAnsi" w:hAnsiTheme="minorHAnsi" w:cstheme="minorHAnsi"/>
          <w:lang w:val="sq-AL"/>
        </w:rPr>
        <w:t xml:space="preserve">është </w:t>
      </w:r>
      <w:r>
        <w:rPr>
          <w:rFonts w:asciiTheme="minorHAnsi" w:hAnsiTheme="minorHAnsi" w:cstheme="minorHAnsi"/>
          <w:lang w:val="sq-AL"/>
        </w:rPr>
        <w:t>ulur</w:t>
      </w:r>
      <w:r w:rsidRPr="00B039DF">
        <w:rPr>
          <w:rFonts w:asciiTheme="minorHAnsi" w:hAnsiTheme="minorHAnsi" w:cstheme="minorHAnsi"/>
          <w:lang w:val="sq-AL"/>
        </w:rPr>
        <w:t xml:space="preserve"> me </w:t>
      </w:r>
      <w:r>
        <w:rPr>
          <w:rFonts w:asciiTheme="minorHAnsi" w:hAnsiTheme="minorHAnsi" w:cstheme="minorHAnsi"/>
          <w:lang w:val="sq-AL"/>
        </w:rPr>
        <w:t>2.7</w:t>
      </w:r>
      <w:r w:rsidRPr="00B039DF">
        <w:rPr>
          <w:rFonts w:asciiTheme="minorHAnsi" w:hAnsiTheme="minorHAnsi" w:cstheme="minorHAnsi"/>
          <w:lang w:val="sq-AL"/>
        </w:rPr>
        <w:t xml:space="preserve">% në sektorin e industrisë, </w:t>
      </w:r>
      <w:r>
        <w:rPr>
          <w:rFonts w:asciiTheme="minorHAnsi" w:hAnsiTheme="minorHAnsi" w:cstheme="minorHAnsi"/>
          <w:lang w:val="sq-AL"/>
        </w:rPr>
        <w:t>është rritur me 11%</w:t>
      </w:r>
      <w:r w:rsidRPr="00B039DF">
        <w:rPr>
          <w:rFonts w:asciiTheme="minorHAnsi" w:hAnsiTheme="minorHAnsi" w:cstheme="minorHAnsi"/>
          <w:lang w:val="sq-AL"/>
        </w:rPr>
        <w:t xml:space="preserve"> në sektorin e shërbimeve, dhe me </w:t>
      </w:r>
      <w:r>
        <w:rPr>
          <w:rFonts w:asciiTheme="minorHAnsi" w:hAnsiTheme="minorHAnsi" w:cstheme="minorHAnsi"/>
          <w:lang w:val="sq-AL"/>
        </w:rPr>
        <w:t>0.4</w:t>
      </w:r>
      <w:r w:rsidRPr="00B039DF">
        <w:rPr>
          <w:rFonts w:asciiTheme="minorHAnsi" w:hAnsiTheme="minorHAnsi" w:cstheme="minorHAnsi"/>
          <w:lang w:val="sq-AL"/>
        </w:rPr>
        <w:t>% në sektorin e bujqësisë</w:t>
      </w:r>
      <w:r w:rsidRPr="008C40B4">
        <w:rPr>
          <w:rFonts w:asciiTheme="minorHAnsi" w:hAnsiTheme="minorHAnsi" w:cstheme="minorHAnsi"/>
          <w:lang w:val="sq-AL"/>
        </w:rPr>
        <w:t>.</w:t>
      </w:r>
    </w:p>
    <w:p w14:paraId="55EA1725" w14:textId="77777777" w:rsidR="009C2068" w:rsidRDefault="009C2068" w:rsidP="00404DBA">
      <w:pPr>
        <w:spacing w:before="120" w:line="276" w:lineRule="auto"/>
        <w:jc w:val="both"/>
        <w:rPr>
          <w:rFonts w:asciiTheme="minorHAnsi" w:hAnsiTheme="minorHAnsi" w:cstheme="minorHAnsi"/>
          <w:lang w:val="sq-AL"/>
        </w:rPr>
      </w:pPr>
      <w:r w:rsidRPr="00157E9F">
        <w:rPr>
          <w:rFonts w:asciiTheme="minorHAnsi" w:hAnsiTheme="minorHAnsi" w:cstheme="minorHAnsi"/>
          <w:lang w:val="sq-AL"/>
        </w:rPr>
        <w:t xml:space="preserve">Një tjetër tregues i rëndësishëm që jep sinjale mbi rritjen ekonomike është treguesi i ndjesisë ekonomike (TNE) i cili shënoi nivelin 118.6 në muajin maj 2023, duke shënuar një rritje prej 3.9 pikë nga muaji </w:t>
      </w:r>
      <w:r w:rsidR="00AF40CC">
        <w:rPr>
          <w:rFonts w:asciiTheme="minorHAnsi" w:hAnsiTheme="minorHAnsi" w:cstheme="minorHAnsi"/>
          <w:lang w:val="sq-AL"/>
        </w:rPr>
        <w:t>prill</w:t>
      </w:r>
      <w:r w:rsidRPr="00157E9F">
        <w:rPr>
          <w:rFonts w:asciiTheme="minorHAnsi" w:hAnsiTheme="minorHAnsi" w:cstheme="minorHAnsi"/>
          <w:lang w:val="sq-AL"/>
        </w:rPr>
        <w:t xml:space="preserve"> dhe një rritje me 12.2 pikë përqindje në krahasim me të njëtën periudhë </w:t>
      </w:r>
      <w:r w:rsidR="00AF40CC">
        <w:rPr>
          <w:rFonts w:asciiTheme="minorHAnsi" w:hAnsiTheme="minorHAnsi" w:cstheme="minorHAnsi"/>
          <w:lang w:val="sq-AL"/>
        </w:rPr>
        <w:t>2022</w:t>
      </w:r>
      <w:r w:rsidRPr="00157E9F">
        <w:rPr>
          <w:rFonts w:asciiTheme="minorHAnsi" w:hAnsiTheme="minorHAnsi" w:cstheme="minorHAnsi"/>
          <w:lang w:val="sq-AL"/>
        </w:rPr>
        <w:t>. Niveli aktual i TNE-së qëndron 18 pikë mbi mesataren afatgjatë (në nivelin 100) dhe rreth 18.6 pikë përqindje mbi mesataren historike (maj</w:t>
      </w:r>
      <w:r w:rsidR="00AF40CC">
        <w:rPr>
          <w:rFonts w:asciiTheme="minorHAnsi" w:hAnsiTheme="minorHAnsi" w:cstheme="minorHAnsi"/>
          <w:lang w:val="sq-AL"/>
        </w:rPr>
        <w:t xml:space="preserve"> </w:t>
      </w:r>
      <w:r w:rsidRPr="00157E9F">
        <w:rPr>
          <w:rFonts w:asciiTheme="minorHAnsi" w:hAnsiTheme="minorHAnsi" w:cstheme="minorHAnsi"/>
          <w:lang w:val="sq-AL"/>
        </w:rPr>
        <w:t>2017</w:t>
      </w:r>
      <w:r w:rsidR="00AF40CC">
        <w:rPr>
          <w:rFonts w:asciiTheme="minorHAnsi" w:hAnsiTheme="minorHAnsi" w:cstheme="minorHAnsi"/>
          <w:lang w:val="sq-AL"/>
        </w:rPr>
        <w:t>-</w:t>
      </w:r>
      <w:r w:rsidRPr="00157E9F">
        <w:rPr>
          <w:rFonts w:asciiTheme="minorHAnsi" w:hAnsiTheme="minorHAnsi" w:cstheme="minorHAnsi"/>
          <w:lang w:val="sq-AL"/>
        </w:rPr>
        <w:t>maj</w:t>
      </w:r>
      <w:r w:rsidR="00AF40CC">
        <w:rPr>
          <w:rFonts w:asciiTheme="minorHAnsi" w:hAnsiTheme="minorHAnsi" w:cstheme="minorHAnsi"/>
          <w:lang w:val="sq-AL"/>
        </w:rPr>
        <w:t xml:space="preserve"> </w:t>
      </w:r>
      <w:r w:rsidRPr="00157E9F">
        <w:rPr>
          <w:rFonts w:asciiTheme="minorHAnsi" w:hAnsiTheme="minorHAnsi" w:cstheme="minorHAnsi"/>
          <w:lang w:val="sq-AL"/>
        </w:rPr>
        <w:t>2023). Rritja e treguesit të agreguar TNE reflekton kryesisht rritjen e besimit në sektorin e shërbimeve</w:t>
      </w:r>
      <w:r w:rsidR="00AF40CC">
        <w:rPr>
          <w:rFonts w:asciiTheme="minorHAnsi" w:hAnsiTheme="minorHAnsi" w:cstheme="minorHAnsi"/>
          <w:lang w:val="sq-AL"/>
        </w:rPr>
        <w:t>, si dhe</w:t>
      </w:r>
      <w:r w:rsidRPr="00157E9F">
        <w:rPr>
          <w:rFonts w:asciiTheme="minorHAnsi" w:hAnsiTheme="minorHAnsi" w:cstheme="minorHAnsi"/>
          <w:lang w:val="sq-AL"/>
        </w:rPr>
        <w:t xml:space="preserve"> në sektorët e industrisë, të ndërtimit dhe të tregtisë. Nga ana tjetër, besimi konsumator ka regjistruar rënie të lehtë këtë muaj.</w:t>
      </w:r>
    </w:p>
    <w:p w14:paraId="1086C082" w14:textId="77777777" w:rsidR="009C2068" w:rsidRDefault="009C2068" w:rsidP="00404DBA">
      <w:pPr>
        <w:spacing w:before="120" w:after="120" w:line="276" w:lineRule="auto"/>
        <w:jc w:val="both"/>
        <w:rPr>
          <w:rFonts w:asciiTheme="minorHAnsi" w:hAnsiTheme="minorHAnsi" w:cstheme="minorHAnsi"/>
          <w:lang w:val="sq-AL"/>
        </w:rPr>
      </w:pPr>
      <w:r w:rsidRPr="00D65EF9">
        <w:rPr>
          <w:rFonts w:asciiTheme="minorHAnsi" w:hAnsiTheme="minorHAnsi" w:cstheme="minorHAnsi"/>
          <w:lang w:val="sq-AL"/>
        </w:rPr>
        <w:lastRenderedPageBreak/>
        <w:t>Të dhënat e tregtisë së jashtme të mallrave për muajin maj 2023 reflektojnë situatën e fundit si në eksporte ashtu edhe në importe. Eksportet e mallrave përgjatë muajin maj 2023 shënuan rënie vjetore prej -5.2% krahasuar me të njëjtin muaj të një viti më parë, gjithashtu importet e mallrave shënuan rënie prej –0.3%. Këto zhvillime në tregtinë e jashtme tё mallrave janë reflektuar dhe tek deficiti tregtar, i cili për muajin maj 2023 ёshtё rritur me rreth 6.0% krahasuar me një vit më parë. Ndërsa, norma e mbulimit të eksporteve ndaj importeve për këtë periudhë është 54.0%.</w:t>
      </w:r>
    </w:p>
    <w:p w14:paraId="1C93FB71" w14:textId="77777777" w:rsidR="009C2068" w:rsidRDefault="009C2068" w:rsidP="00404DBA">
      <w:pPr>
        <w:spacing w:before="120" w:after="120" w:line="276" w:lineRule="auto"/>
        <w:jc w:val="both"/>
        <w:rPr>
          <w:rFonts w:asciiTheme="minorHAnsi" w:hAnsiTheme="minorHAnsi" w:cstheme="minorHAnsi"/>
          <w:lang w:val="sq-AL"/>
        </w:rPr>
      </w:pPr>
      <w:r w:rsidRPr="00157E9F">
        <w:rPr>
          <w:rFonts w:asciiTheme="minorHAnsi" w:hAnsiTheme="minorHAnsi" w:cstheme="minorHAnsi"/>
          <w:lang w:val="sq-AL"/>
        </w:rPr>
        <w:t xml:space="preserve">Inflacioni mesatar për periudhën janar-maj 2023 </w:t>
      </w:r>
      <w:r>
        <w:rPr>
          <w:rFonts w:asciiTheme="minorHAnsi" w:hAnsiTheme="minorHAnsi" w:cstheme="minorHAnsi"/>
          <w:lang w:val="sq-AL"/>
        </w:rPr>
        <w:t>është</w:t>
      </w:r>
      <w:r w:rsidRPr="00157E9F">
        <w:rPr>
          <w:rFonts w:asciiTheme="minorHAnsi" w:hAnsiTheme="minorHAnsi" w:cstheme="minorHAnsi"/>
          <w:lang w:val="sq-AL"/>
        </w:rPr>
        <w:t xml:space="preserve"> +5.8%, nga +5.2% që rezultonte një vit më parë gjatë së njëjtës periudhë. Rritja e inflacionit, vjen si shkak i presioneve të forta të ofertës, të cilat rezultuan kryesisht nga rritja globale e çmimeve të mallrave energjitike, të lëndëve të para dhe mallrave bazë ushqimore, duke shkaktuar një rritje të përgjithshme të çmimeve. Pёrgjatё kёsaj periudhe, nga tërësia e mallrave dhe shërbimeve që përbëjnë shportën e konsumit, kontributin dhe rritjen mё tё lartё nё inflacionin e pёrgjithshёm e ka pasur zёri i ushqimeve dhe pijeve jo alkoolike</w:t>
      </w:r>
      <w:r>
        <w:rPr>
          <w:rFonts w:asciiTheme="minorHAnsi" w:hAnsiTheme="minorHAnsi" w:cstheme="minorHAnsi"/>
          <w:lang w:val="sq-AL"/>
        </w:rPr>
        <w:t>.</w:t>
      </w:r>
    </w:p>
    <w:p w14:paraId="7421EB13" w14:textId="77777777" w:rsidR="009C2068" w:rsidRPr="00D65EF9" w:rsidRDefault="009C2068" w:rsidP="00404DBA">
      <w:pPr>
        <w:spacing w:before="120" w:after="120" w:line="276" w:lineRule="auto"/>
        <w:jc w:val="both"/>
        <w:rPr>
          <w:rFonts w:asciiTheme="minorHAnsi" w:hAnsiTheme="minorHAnsi" w:cstheme="minorHAnsi"/>
          <w:lang w:val="sq-AL"/>
        </w:rPr>
      </w:pPr>
      <w:r w:rsidRPr="00D65EF9">
        <w:rPr>
          <w:rFonts w:asciiTheme="minorHAnsi" w:hAnsiTheme="minorHAnsi" w:cstheme="minorHAnsi"/>
          <w:lang w:val="sq-AL"/>
        </w:rPr>
        <w:t xml:space="preserve">Në muajin prill 2023, stoku total i kredive bankare pati një rritje </w:t>
      </w:r>
      <w:r w:rsidR="00623440">
        <w:rPr>
          <w:rFonts w:asciiTheme="minorHAnsi" w:hAnsiTheme="minorHAnsi" w:cstheme="minorHAnsi"/>
          <w:lang w:val="sq-AL"/>
        </w:rPr>
        <w:t xml:space="preserve">me </w:t>
      </w:r>
      <w:r w:rsidRPr="00D65EF9">
        <w:rPr>
          <w:rFonts w:asciiTheme="minorHAnsi" w:hAnsiTheme="minorHAnsi" w:cstheme="minorHAnsi"/>
          <w:lang w:val="sq-AL"/>
        </w:rPr>
        <w:t xml:space="preserve">3% krahasuar me prill 2022. Stoku i kredive në lekë shënoi rritje prej 4.6% ndërsa ai në valutë rritje 1.3%, </w:t>
      </w:r>
      <w:r w:rsidR="00623440">
        <w:rPr>
          <w:rFonts w:asciiTheme="minorHAnsi" w:hAnsiTheme="minorHAnsi" w:cstheme="minorHAnsi"/>
          <w:lang w:val="sq-AL"/>
        </w:rPr>
        <w:t>ndaj</w:t>
      </w:r>
      <w:r w:rsidRPr="00D65EF9">
        <w:rPr>
          <w:rFonts w:asciiTheme="minorHAnsi" w:hAnsiTheme="minorHAnsi" w:cstheme="minorHAnsi"/>
          <w:lang w:val="sq-AL"/>
        </w:rPr>
        <w:t xml:space="preserve"> </w:t>
      </w:r>
      <w:r w:rsidR="00623440">
        <w:rPr>
          <w:rFonts w:asciiTheme="minorHAnsi" w:hAnsiTheme="minorHAnsi" w:cstheme="minorHAnsi"/>
          <w:lang w:val="sq-AL"/>
        </w:rPr>
        <w:t>p</w:t>
      </w:r>
      <w:r w:rsidRPr="00D65EF9">
        <w:rPr>
          <w:rFonts w:asciiTheme="minorHAnsi" w:hAnsiTheme="minorHAnsi" w:cstheme="minorHAnsi"/>
          <w:lang w:val="sq-AL"/>
        </w:rPr>
        <w:t>rill</w:t>
      </w:r>
      <w:r w:rsidR="00623440">
        <w:rPr>
          <w:rFonts w:asciiTheme="minorHAnsi" w:hAnsiTheme="minorHAnsi" w:cstheme="minorHAnsi"/>
          <w:lang w:val="sq-AL"/>
        </w:rPr>
        <w:t>it</w:t>
      </w:r>
      <w:r w:rsidRPr="00D65EF9">
        <w:rPr>
          <w:rFonts w:asciiTheme="minorHAnsi" w:hAnsiTheme="minorHAnsi" w:cstheme="minorHAnsi"/>
          <w:lang w:val="sq-AL"/>
        </w:rPr>
        <w:t xml:space="preserve"> </w:t>
      </w:r>
      <w:r w:rsidR="00623440">
        <w:rPr>
          <w:rFonts w:asciiTheme="minorHAnsi" w:hAnsiTheme="minorHAnsi" w:cstheme="minorHAnsi"/>
          <w:lang w:val="sq-AL"/>
        </w:rPr>
        <w:t>2022</w:t>
      </w:r>
      <w:r w:rsidRPr="00D65EF9">
        <w:rPr>
          <w:rFonts w:asciiTheme="minorHAnsi" w:hAnsiTheme="minorHAnsi" w:cstheme="minorHAnsi"/>
          <w:lang w:val="sq-AL"/>
        </w:rPr>
        <w:t>. Stoku i kredive akorduar individëve ka shënuar rritje prej 10.2% krahasuar me prillin 2022, duke kontribuar pozitivisht në ndryshimin e stokut total të kredisë me 3.6 pikë</w:t>
      </w:r>
      <w:r w:rsidR="00623440">
        <w:rPr>
          <w:rFonts w:asciiTheme="minorHAnsi" w:hAnsiTheme="minorHAnsi" w:cstheme="minorHAnsi"/>
          <w:lang w:val="sq-AL"/>
        </w:rPr>
        <w:t>%</w:t>
      </w:r>
      <w:r w:rsidRPr="00D65EF9">
        <w:rPr>
          <w:rFonts w:asciiTheme="minorHAnsi" w:hAnsiTheme="minorHAnsi" w:cstheme="minorHAnsi"/>
          <w:lang w:val="sq-AL"/>
        </w:rPr>
        <w:t xml:space="preserve">. Në prill 2023 rezulton se rreth 52.3% e totalit të stokut të kredive përbëhet nga kreditë në Lekë, </w:t>
      </w:r>
      <w:r w:rsidR="00623440">
        <w:rPr>
          <w:rFonts w:asciiTheme="minorHAnsi" w:hAnsiTheme="minorHAnsi" w:cstheme="minorHAnsi"/>
          <w:lang w:val="sq-AL"/>
        </w:rPr>
        <w:t>dhe</w:t>
      </w:r>
      <w:r w:rsidRPr="00D65EF9">
        <w:rPr>
          <w:rFonts w:asciiTheme="minorHAnsi" w:hAnsiTheme="minorHAnsi" w:cstheme="minorHAnsi"/>
          <w:lang w:val="sq-AL"/>
        </w:rPr>
        <w:t xml:space="preserve"> 47.7% nga kreditë në valutë. Stoku total i depozitave bankare gjatë prill</w:t>
      </w:r>
      <w:r w:rsidR="00623440">
        <w:rPr>
          <w:rFonts w:asciiTheme="minorHAnsi" w:hAnsiTheme="minorHAnsi" w:cstheme="minorHAnsi"/>
          <w:lang w:val="sq-AL"/>
        </w:rPr>
        <w:t xml:space="preserve"> 2023</w:t>
      </w:r>
      <w:r w:rsidRPr="00D65EF9">
        <w:rPr>
          <w:rFonts w:asciiTheme="minorHAnsi" w:hAnsiTheme="minorHAnsi" w:cstheme="minorHAnsi"/>
          <w:lang w:val="sq-AL"/>
        </w:rPr>
        <w:t xml:space="preserve"> ka shënuar rritje me 2.1% krahasuar me </w:t>
      </w:r>
      <w:r w:rsidR="00623440">
        <w:rPr>
          <w:rFonts w:asciiTheme="minorHAnsi" w:hAnsiTheme="minorHAnsi" w:cstheme="minorHAnsi"/>
          <w:lang w:val="sq-AL"/>
        </w:rPr>
        <w:t>prill 2022</w:t>
      </w:r>
      <w:r w:rsidRPr="00D65EF9">
        <w:rPr>
          <w:rFonts w:asciiTheme="minorHAnsi" w:hAnsiTheme="minorHAnsi" w:cstheme="minorHAnsi"/>
          <w:lang w:val="sq-AL"/>
        </w:rPr>
        <w:t xml:space="preserve">. Stoku total i depozitave në Lekë pësoi rritje 1%, ndërsa ai në valutë është rritur me 3% krahasuar me </w:t>
      </w:r>
      <w:r w:rsidR="00623440">
        <w:rPr>
          <w:rFonts w:asciiTheme="minorHAnsi" w:hAnsiTheme="minorHAnsi" w:cstheme="minorHAnsi"/>
          <w:lang w:val="sq-AL"/>
        </w:rPr>
        <w:t>prill</w:t>
      </w:r>
      <w:r w:rsidRPr="00D65EF9">
        <w:rPr>
          <w:rFonts w:asciiTheme="minorHAnsi" w:hAnsiTheme="minorHAnsi" w:cstheme="minorHAnsi"/>
          <w:lang w:val="sq-AL"/>
        </w:rPr>
        <w:t xml:space="preserve"> 2022. Në prill 2023 rreth 43.3% e totalit të stokut të depozitave përbëhet nga depozitat në Lekë, ndërsa 56.7% nga depozitimet në valutë të huaj. Stoku total i depozitave të bizneseve shënoi rritje prej 13.3% krahasuar me prill </w:t>
      </w:r>
      <w:r w:rsidR="00AF40CC">
        <w:rPr>
          <w:rFonts w:asciiTheme="minorHAnsi" w:hAnsiTheme="minorHAnsi" w:cstheme="minorHAnsi"/>
          <w:lang w:val="sq-AL"/>
        </w:rPr>
        <w:t>2022</w:t>
      </w:r>
      <w:r w:rsidRPr="00D65EF9">
        <w:rPr>
          <w:rFonts w:asciiTheme="minorHAnsi" w:hAnsiTheme="minorHAnsi" w:cstheme="minorHAnsi"/>
          <w:lang w:val="sq-AL"/>
        </w:rPr>
        <w:t xml:space="preserve">, ndërsa stoku total i depozitave të individëve ka shënuar rënie -0.6% krahasuar me </w:t>
      </w:r>
      <w:r w:rsidR="00623440">
        <w:rPr>
          <w:rFonts w:asciiTheme="minorHAnsi" w:hAnsiTheme="minorHAnsi" w:cstheme="minorHAnsi"/>
          <w:lang w:val="sq-AL"/>
        </w:rPr>
        <w:t>prill</w:t>
      </w:r>
      <w:r w:rsidRPr="00D65EF9">
        <w:rPr>
          <w:rFonts w:asciiTheme="minorHAnsi" w:hAnsiTheme="minorHAnsi" w:cstheme="minorHAnsi"/>
          <w:lang w:val="sq-AL"/>
        </w:rPr>
        <w:t xml:space="preserve"> </w:t>
      </w:r>
      <w:r w:rsidR="00AF40CC">
        <w:rPr>
          <w:rFonts w:asciiTheme="minorHAnsi" w:hAnsiTheme="minorHAnsi" w:cstheme="minorHAnsi"/>
          <w:lang w:val="sq-AL"/>
        </w:rPr>
        <w:t>2022</w:t>
      </w:r>
      <w:r w:rsidRPr="00D65EF9">
        <w:rPr>
          <w:rFonts w:asciiTheme="minorHAnsi" w:hAnsiTheme="minorHAnsi" w:cstheme="minorHAnsi"/>
          <w:lang w:val="sq-AL"/>
        </w:rPr>
        <w:t>.</w:t>
      </w:r>
    </w:p>
    <w:p w14:paraId="54442D9D" w14:textId="77777777" w:rsidR="00404DBA" w:rsidRDefault="009C2068" w:rsidP="00404DBA">
      <w:pPr>
        <w:spacing w:before="120" w:after="120" w:line="276" w:lineRule="auto"/>
        <w:jc w:val="both"/>
        <w:rPr>
          <w:rFonts w:asciiTheme="minorHAnsi" w:hAnsiTheme="minorHAnsi" w:cstheme="minorHAnsi"/>
          <w:lang w:val="sq-AL"/>
        </w:rPr>
      </w:pPr>
      <w:r w:rsidRPr="00D65EF9">
        <w:rPr>
          <w:rFonts w:asciiTheme="minorHAnsi" w:hAnsiTheme="minorHAnsi" w:cstheme="minorHAnsi"/>
          <w:lang w:val="sq-AL"/>
        </w:rPr>
        <w:t xml:space="preserve">Në tregun valutor mbizotërojnë presionet mbiçmuese të kursit të këmbimit të lekut ndaj euros, si pasojë e ofertës së shtuar valutore, ndërkohë që kushtet e tregtimit paraqiten normale. </w:t>
      </w:r>
      <w:r w:rsidR="00623440">
        <w:rPr>
          <w:rFonts w:asciiTheme="minorHAnsi" w:hAnsiTheme="minorHAnsi" w:cstheme="minorHAnsi"/>
          <w:lang w:val="sq-AL"/>
        </w:rPr>
        <w:t>T1</w:t>
      </w:r>
      <w:r w:rsidRPr="00D65EF9">
        <w:rPr>
          <w:rFonts w:asciiTheme="minorHAnsi" w:hAnsiTheme="minorHAnsi" w:cstheme="minorHAnsi"/>
          <w:lang w:val="sq-AL"/>
        </w:rPr>
        <w:t xml:space="preserve"> të vitit dhe në muajin prill, ndërsa kushtet e tregtimit në këtë treg mbeten brenda parametrave normalë. Mbiçmimi i lekut është intensifikuar në mars</w:t>
      </w:r>
      <w:r w:rsidR="00623440">
        <w:rPr>
          <w:rFonts w:asciiTheme="minorHAnsi" w:hAnsiTheme="minorHAnsi" w:cstheme="minorHAnsi"/>
          <w:lang w:val="sq-AL"/>
        </w:rPr>
        <w:t>-</w:t>
      </w:r>
      <w:r w:rsidRPr="00D65EF9">
        <w:rPr>
          <w:rFonts w:asciiTheme="minorHAnsi" w:hAnsiTheme="minorHAnsi" w:cstheme="minorHAnsi"/>
          <w:lang w:val="sq-AL"/>
        </w:rPr>
        <w:t>prill. Euro u kuotua me mesatarisht 114.4 lekë dhe 1</w:t>
      </w:r>
      <w:r>
        <w:rPr>
          <w:rFonts w:asciiTheme="minorHAnsi" w:hAnsiTheme="minorHAnsi" w:cstheme="minorHAnsi"/>
          <w:lang w:val="sq-AL"/>
        </w:rPr>
        <w:t>12.4</w:t>
      </w:r>
      <w:r w:rsidRPr="00D65EF9">
        <w:rPr>
          <w:rFonts w:asciiTheme="minorHAnsi" w:hAnsiTheme="minorHAnsi" w:cstheme="minorHAnsi"/>
          <w:lang w:val="sq-AL"/>
        </w:rPr>
        <w:t xml:space="preserve"> lekë përkatësisht në këta dy muaj. Niveli mesatar i kursit eur/lek i regjistruar në prill përfaqëson një mbiçmim vjetor të lekut prej 6.7%. Në muajt e parë të </w:t>
      </w:r>
      <w:r w:rsidR="00623440">
        <w:rPr>
          <w:rFonts w:asciiTheme="minorHAnsi" w:hAnsiTheme="minorHAnsi" w:cstheme="minorHAnsi"/>
          <w:lang w:val="sq-AL"/>
        </w:rPr>
        <w:t>2023</w:t>
      </w:r>
      <w:r w:rsidRPr="00D65EF9">
        <w:rPr>
          <w:rFonts w:asciiTheme="minorHAnsi" w:hAnsiTheme="minorHAnsi" w:cstheme="minorHAnsi"/>
          <w:lang w:val="sq-AL"/>
        </w:rPr>
        <w:t xml:space="preserve">, leku është forcuar edhe kundrejt dollarit amerikan. Dollari është kuotuar mesatarisht me 106.9 lekë dhe 103.1 lekë në </w:t>
      </w:r>
      <w:r w:rsidR="00623440">
        <w:rPr>
          <w:rFonts w:asciiTheme="minorHAnsi" w:hAnsiTheme="minorHAnsi" w:cstheme="minorHAnsi"/>
          <w:lang w:val="sq-AL"/>
        </w:rPr>
        <w:t xml:space="preserve">             </w:t>
      </w:r>
      <w:r w:rsidRPr="00D65EF9">
        <w:rPr>
          <w:rFonts w:asciiTheme="minorHAnsi" w:hAnsiTheme="minorHAnsi" w:cstheme="minorHAnsi"/>
          <w:lang w:val="sq-AL"/>
        </w:rPr>
        <w:t>mars</w:t>
      </w:r>
      <w:r w:rsidR="00623440">
        <w:rPr>
          <w:rFonts w:asciiTheme="minorHAnsi" w:hAnsiTheme="minorHAnsi" w:cstheme="minorHAnsi"/>
          <w:lang w:val="sq-AL"/>
        </w:rPr>
        <w:t>-</w:t>
      </w:r>
      <w:r w:rsidRPr="00D65EF9">
        <w:rPr>
          <w:rFonts w:asciiTheme="minorHAnsi" w:hAnsiTheme="minorHAnsi" w:cstheme="minorHAnsi"/>
          <w:lang w:val="sq-AL"/>
        </w:rPr>
        <w:t xml:space="preserve">prill. Kjo ecuri, përtej dobësimit të dollarit ndaj euros në tregun ndërkombëtar, reflekton në një masë të madhe edhe mbiçmimin e lekut kundrejt kësaj të fundit. Në muajin prill, </w:t>
      </w:r>
      <w:r w:rsidR="00623440">
        <w:rPr>
          <w:rFonts w:asciiTheme="minorHAnsi" w:hAnsiTheme="minorHAnsi" w:cstheme="minorHAnsi"/>
          <w:lang w:val="sq-AL"/>
        </w:rPr>
        <w:t xml:space="preserve">1 </w:t>
      </w:r>
      <w:r w:rsidRPr="00D65EF9">
        <w:rPr>
          <w:rFonts w:asciiTheme="minorHAnsi" w:hAnsiTheme="minorHAnsi" w:cstheme="minorHAnsi"/>
          <w:lang w:val="sq-AL"/>
        </w:rPr>
        <w:t>dollar është kuotuar mesatarisht 7.7% më poshtë se përpara një viti</w:t>
      </w:r>
      <w:r w:rsidR="00B31CF7" w:rsidRPr="005C5B2F">
        <w:rPr>
          <w:rFonts w:asciiTheme="minorHAnsi" w:hAnsiTheme="minorHAnsi" w:cstheme="minorHAnsi"/>
          <w:lang w:val="sq-AL"/>
        </w:rPr>
        <w:t>.</w:t>
      </w:r>
      <w:r w:rsidR="00B31CF7" w:rsidRPr="00C0650B">
        <w:rPr>
          <w:rFonts w:asciiTheme="minorHAnsi" w:hAnsiTheme="minorHAnsi" w:cstheme="minorHAnsi"/>
          <w:lang w:val="sq-AL"/>
        </w:rPr>
        <w:t xml:space="preserve"> </w:t>
      </w:r>
    </w:p>
    <w:p w14:paraId="5696C7A9" w14:textId="77777777" w:rsidR="00404DBA" w:rsidRDefault="00404DBA" w:rsidP="00404DBA">
      <w:pPr>
        <w:spacing w:before="120" w:after="120" w:line="276" w:lineRule="auto"/>
        <w:jc w:val="both"/>
        <w:rPr>
          <w:rFonts w:ascii="Calibri" w:hAnsi="Calibri"/>
          <w:noProof/>
          <w:sz w:val="4"/>
          <w:lang w:val="sq-AL"/>
        </w:rPr>
      </w:pPr>
    </w:p>
    <w:p w14:paraId="71768040" w14:textId="77777777" w:rsidR="00404DBA" w:rsidRDefault="00404DBA" w:rsidP="00404DBA">
      <w:pPr>
        <w:spacing w:before="120" w:after="120" w:line="276" w:lineRule="auto"/>
        <w:jc w:val="both"/>
        <w:rPr>
          <w:rFonts w:ascii="Calibri" w:hAnsi="Calibri"/>
          <w:noProof/>
          <w:sz w:val="4"/>
          <w:lang w:val="sq-AL"/>
        </w:rPr>
      </w:pPr>
    </w:p>
    <w:p w14:paraId="6A22F9A1" w14:textId="77777777" w:rsidR="00404DBA" w:rsidRDefault="00404DBA" w:rsidP="00404DBA">
      <w:pPr>
        <w:spacing w:before="120" w:after="120" w:line="276" w:lineRule="auto"/>
        <w:jc w:val="both"/>
        <w:rPr>
          <w:rFonts w:ascii="Calibri" w:hAnsi="Calibri"/>
          <w:noProof/>
          <w:sz w:val="4"/>
          <w:lang w:val="sq-AL"/>
        </w:rPr>
      </w:pPr>
    </w:p>
    <w:p w14:paraId="5ACF825C" w14:textId="77777777" w:rsidR="00404DBA" w:rsidRDefault="00404DBA" w:rsidP="00404DBA">
      <w:pPr>
        <w:spacing w:before="120" w:after="120" w:line="276" w:lineRule="auto"/>
        <w:jc w:val="both"/>
        <w:rPr>
          <w:rFonts w:ascii="Calibri" w:hAnsi="Calibri"/>
          <w:noProof/>
          <w:sz w:val="4"/>
          <w:lang w:val="sq-AL"/>
        </w:rPr>
      </w:pPr>
    </w:p>
    <w:p w14:paraId="65C8DA56" w14:textId="77777777" w:rsidR="00404DBA" w:rsidRDefault="00404DBA" w:rsidP="00404DBA">
      <w:pPr>
        <w:spacing w:before="120" w:after="120" w:line="276" w:lineRule="auto"/>
        <w:jc w:val="both"/>
        <w:rPr>
          <w:rFonts w:ascii="Calibri" w:hAnsi="Calibri"/>
          <w:noProof/>
          <w:sz w:val="4"/>
          <w:lang w:val="sq-AL"/>
        </w:rPr>
      </w:pPr>
    </w:p>
    <w:p w14:paraId="656D0A0E" w14:textId="77777777" w:rsidR="00404DBA" w:rsidRDefault="00404DBA" w:rsidP="00404DBA">
      <w:pPr>
        <w:spacing w:before="120" w:after="120" w:line="276" w:lineRule="auto"/>
        <w:jc w:val="both"/>
        <w:rPr>
          <w:rFonts w:ascii="Calibri" w:hAnsi="Calibri"/>
          <w:noProof/>
          <w:sz w:val="4"/>
          <w:lang w:val="sq-AL"/>
        </w:rPr>
      </w:pPr>
    </w:p>
    <w:p w14:paraId="23279BBF" w14:textId="77777777" w:rsidR="00404DBA" w:rsidRDefault="00404DBA" w:rsidP="00404DBA">
      <w:pPr>
        <w:spacing w:before="120" w:after="120" w:line="276" w:lineRule="auto"/>
        <w:jc w:val="both"/>
        <w:rPr>
          <w:rFonts w:ascii="Calibri" w:hAnsi="Calibri"/>
          <w:noProof/>
          <w:sz w:val="4"/>
          <w:lang w:val="sq-AL"/>
        </w:rPr>
      </w:pPr>
    </w:p>
    <w:p w14:paraId="418EAE00" w14:textId="77777777" w:rsidR="00404DBA" w:rsidRDefault="00404DBA" w:rsidP="00404DBA">
      <w:pPr>
        <w:spacing w:before="120" w:after="120" w:line="276" w:lineRule="auto"/>
        <w:jc w:val="both"/>
        <w:rPr>
          <w:rFonts w:ascii="Calibri" w:hAnsi="Calibri"/>
          <w:noProof/>
          <w:sz w:val="4"/>
          <w:lang w:val="sq-AL"/>
        </w:rPr>
      </w:pPr>
    </w:p>
    <w:p w14:paraId="19B61802" w14:textId="77777777" w:rsidR="00404DBA" w:rsidRDefault="00404DBA" w:rsidP="00404DBA">
      <w:pPr>
        <w:spacing w:before="120" w:after="120" w:line="276" w:lineRule="auto"/>
        <w:jc w:val="both"/>
        <w:rPr>
          <w:rFonts w:ascii="Calibri" w:hAnsi="Calibri"/>
          <w:noProof/>
          <w:sz w:val="4"/>
          <w:lang w:val="sq-AL"/>
        </w:rPr>
      </w:pPr>
    </w:p>
    <w:p w14:paraId="79C3CEAD" w14:textId="77777777" w:rsidR="00404DBA" w:rsidRDefault="00404DBA" w:rsidP="00404DBA">
      <w:pPr>
        <w:spacing w:before="120" w:after="120" w:line="276" w:lineRule="auto"/>
        <w:jc w:val="both"/>
        <w:rPr>
          <w:rFonts w:ascii="Calibri" w:hAnsi="Calibri"/>
          <w:noProof/>
          <w:sz w:val="4"/>
          <w:lang w:val="sq-AL"/>
        </w:rPr>
      </w:pPr>
    </w:p>
    <w:p w14:paraId="67DCCDC3" w14:textId="77777777" w:rsidR="00404DBA" w:rsidRDefault="00404DBA" w:rsidP="00404DBA">
      <w:pPr>
        <w:spacing w:before="120" w:after="120" w:line="276" w:lineRule="auto"/>
        <w:jc w:val="both"/>
        <w:rPr>
          <w:rFonts w:ascii="Calibri" w:hAnsi="Calibri"/>
          <w:noProof/>
          <w:sz w:val="4"/>
          <w:lang w:val="sq-AL"/>
        </w:rPr>
      </w:pPr>
    </w:p>
    <w:p w14:paraId="1CCEA90E" w14:textId="77777777" w:rsidR="00404DBA" w:rsidRDefault="00404DBA" w:rsidP="00404DBA">
      <w:pPr>
        <w:spacing w:before="120" w:after="120" w:line="276" w:lineRule="auto"/>
        <w:jc w:val="both"/>
        <w:rPr>
          <w:rFonts w:ascii="Calibri" w:hAnsi="Calibri"/>
          <w:noProof/>
          <w:sz w:val="4"/>
          <w:lang w:val="sq-AL"/>
        </w:rPr>
      </w:pPr>
    </w:p>
    <w:p w14:paraId="3F383130" w14:textId="77777777" w:rsidR="009216BE" w:rsidRPr="0065598A" w:rsidRDefault="009216BE" w:rsidP="002334F6">
      <w:pPr>
        <w:pStyle w:val="Heading2"/>
      </w:pPr>
      <w:bookmarkStart w:id="6" w:name="_Toc107496982"/>
      <w:r w:rsidRPr="0065598A">
        <w:lastRenderedPageBreak/>
        <w:t>I.2</w:t>
      </w:r>
      <w:r w:rsidRPr="0065598A">
        <w:tab/>
      </w:r>
      <w:r w:rsidR="00BD7B2B" w:rsidRPr="0065598A">
        <w:t>Pritshmëritë e treguesve makroekonomikë deri n</w:t>
      </w:r>
      <w:r w:rsidR="00AA2D73" w:rsidRPr="0065598A">
        <w:t>ë</w:t>
      </w:r>
      <w:r w:rsidR="00BD7B2B" w:rsidRPr="0065598A">
        <w:t xml:space="preserve"> fund t</w:t>
      </w:r>
      <w:r w:rsidR="00AA2D73" w:rsidRPr="0065598A">
        <w:t>ë</w:t>
      </w:r>
      <w:r w:rsidR="00BD7B2B" w:rsidRPr="0065598A">
        <w:t xml:space="preserve"> vitit 20</w:t>
      </w:r>
      <w:r w:rsidR="008507F6" w:rsidRPr="0065598A">
        <w:t>2</w:t>
      </w:r>
      <w:bookmarkEnd w:id="6"/>
      <w:r w:rsidR="00367A15">
        <w:t>3</w:t>
      </w:r>
    </w:p>
    <w:p w14:paraId="69C3D3A1" w14:textId="77777777" w:rsidR="00551446" w:rsidRPr="00F60B38" w:rsidRDefault="00551446" w:rsidP="00404DBA">
      <w:pPr>
        <w:spacing w:before="120" w:after="120" w:line="276" w:lineRule="auto"/>
        <w:jc w:val="both"/>
        <w:rPr>
          <w:rFonts w:asciiTheme="minorHAnsi" w:hAnsiTheme="minorHAnsi" w:cstheme="minorHAnsi"/>
          <w:noProof/>
          <w:lang w:val="sq-AL"/>
        </w:rPr>
      </w:pPr>
      <w:r w:rsidRPr="00F60B38">
        <w:rPr>
          <w:rFonts w:asciiTheme="minorHAnsi" w:hAnsiTheme="minorHAnsi" w:cstheme="minorHAnsi"/>
          <w:noProof/>
          <w:lang w:val="sq-AL"/>
        </w:rPr>
        <w:t>Prodhimi i Brendshëm Bruto (PBB)</w:t>
      </w:r>
      <w:r>
        <w:rPr>
          <w:rFonts w:asciiTheme="minorHAnsi" w:hAnsiTheme="minorHAnsi" w:cstheme="minorHAnsi"/>
          <w:noProof/>
          <w:lang w:val="sq-AL"/>
        </w:rPr>
        <w:t xml:space="preserve"> real</w:t>
      </w:r>
      <w:r w:rsidRPr="00F60B38">
        <w:rPr>
          <w:rFonts w:asciiTheme="minorHAnsi" w:hAnsiTheme="minorHAnsi" w:cstheme="minorHAnsi"/>
          <w:noProof/>
          <w:lang w:val="sq-AL"/>
        </w:rPr>
        <w:t xml:space="preserve">  pati një zgjerim të konsiderueshëm prej </w:t>
      </w:r>
      <w:r>
        <w:rPr>
          <w:rFonts w:asciiTheme="minorHAnsi" w:hAnsiTheme="minorHAnsi" w:cstheme="minorHAnsi"/>
          <w:noProof/>
          <w:lang w:val="sq-AL"/>
        </w:rPr>
        <w:t>4.84</w:t>
      </w:r>
      <w:r w:rsidRPr="00F60B38">
        <w:rPr>
          <w:rFonts w:asciiTheme="minorHAnsi" w:hAnsiTheme="minorHAnsi" w:cstheme="minorHAnsi"/>
          <w:noProof/>
          <w:lang w:val="sq-AL"/>
        </w:rPr>
        <w:t>% në vitin 202</w:t>
      </w:r>
      <w:r>
        <w:rPr>
          <w:rFonts w:asciiTheme="minorHAnsi" w:hAnsiTheme="minorHAnsi" w:cstheme="minorHAnsi"/>
          <w:noProof/>
          <w:lang w:val="sq-AL"/>
        </w:rPr>
        <w:t>2</w:t>
      </w:r>
      <w:r w:rsidRPr="00F60B38">
        <w:rPr>
          <w:rFonts w:asciiTheme="minorHAnsi" w:hAnsiTheme="minorHAnsi" w:cstheme="minorHAnsi"/>
          <w:noProof/>
          <w:lang w:val="sq-AL"/>
        </w:rPr>
        <w:t xml:space="preserve"> krahasuar me vitin 202</w:t>
      </w:r>
      <w:r>
        <w:rPr>
          <w:rFonts w:asciiTheme="minorHAnsi" w:hAnsiTheme="minorHAnsi" w:cstheme="minorHAnsi"/>
          <w:noProof/>
          <w:lang w:val="sq-AL"/>
        </w:rPr>
        <w:t>1</w:t>
      </w:r>
      <w:r w:rsidRPr="00F60B38">
        <w:rPr>
          <w:rFonts w:asciiTheme="minorHAnsi" w:hAnsiTheme="minorHAnsi" w:cstheme="minorHAnsi"/>
          <w:noProof/>
          <w:lang w:val="sq-AL"/>
        </w:rPr>
        <w:t xml:space="preserve">, duke shënuar vlerën </w:t>
      </w:r>
      <w:r>
        <w:rPr>
          <w:rFonts w:asciiTheme="minorHAnsi" w:hAnsiTheme="minorHAnsi" w:cstheme="minorHAnsi"/>
          <w:noProof/>
          <w:lang w:val="sq-AL"/>
        </w:rPr>
        <w:t>në terma nominal 2,134.5</w:t>
      </w:r>
      <w:r w:rsidRPr="00F60B38">
        <w:rPr>
          <w:rFonts w:asciiTheme="minorHAnsi" w:hAnsiTheme="minorHAnsi" w:cstheme="minorHAnsi"/>
          <w:noProof/>
          <w:lang w:val="sq-AL"/>
        </w:rPr>
        <w:t xml:space="preserve"> miliardë lekë, çka rezultoi më e fortë dhe me një bazë më të gjerë nga sa pritej, në sajë të rikthimit të fortë të shifrave të turizmit, ashtu si dhe rritjes të lartë të investimeve dhe rimëkëmbjes së konsumit privat. </w:t>
      </w:r>
      <w:r w:rsidRPr="00DD1817">
        <w:rPr>
          <w:rFonts w:asciiTheme="minorHAnsi" w:hAnsiTheme="minorHAnsi" w:cstheme="minorHAnsi"/>
          <w:noProof/>
          <w:lang w:val="sq-AL"/>
        </w:rPr>
        <w:t xml:space="preserve">Ritmi pozitiv i rritjes </w:t>
      </w:r>
      <w:r>
        <w:rPr>
          <w:rFonts w:asciiTheme="minorHAnsi" w:hAnsiTheme="minorHAnsi" w:cstheme="minorHAnsi"/>
          <w:noProof/>
          <w:lang w:val="sq-AL"/>
        </w:rPr>
        <w:t xml:space="preserve">vijoi </w:t>
      </w:r>
      <w:r w:rsidRPr="00DD1817">
        <w:rPr>
          <w:rFonts w:asciiTheme="minorHAnsi" w:hAnsiTheme="minorHAnsi" w:cstheme="minorHAnsi"/>
          <w:noProof/>
          <w:lang w:val="sq-AL"/>
        </w:rPr>
        <w:t>edhe përgjatë vitit 2022, pavarësisht goditjes më të fundit të jashtme që rezultoi nga lufta në Ukrainë, duke shkaktuar rritje të fortë të inflacionit, shtrëngim të kushteve financiare si dhe rritje të pasigurisë</w:t>
      </w:r>
      <w:r>
        <w:rPr>
          <w:rFonts w:asciiTheme="minorHAnsi" w:hAnsiTheme="minorHAnsi" w:cstheme="minorHAnsi"/>
          <w:noProof/>
          <w:lang w:val="sq-AL"/>
        </w:rPr>
        <w:t>. Megjithatë sërish deri më tani,</w:t>
      </w:r>
      <w:r w:rsidRPr="00DC3393">
        <w:rPr>
          <w:lang w:val="sq-AL"/>
        </w:rPr>
        <w:t xml:space="preserve"> </w:t>
      </w:r>
      <w:r w:rsidRPr="00DD1817">
        <w:rPr>
          <w:rFonts w:asciiTheme="minorHAnsi" w:hAnsiTheme="minorHAnsi" w:cstheme="minorHAnsi"/>
          <w:noProof/>
          <w:lang w:val="sq-AL"/>
        </w:rPr>
        <w:t xml:space="preserve">fondamentet kryesore ekonomike dhe financiare dhe stabiliteti i përgjithshëm makroekonomik i vendit ka rezistuar relativisht mjaft mirë ndaj të gjitha këtyre goditjeve. </w:t>
      </w:r>
      <w:r w:rsidRPr="00F60B38">
        <w:rPr>
          <w:rFonts w:asciiTheme="minorHAnsi" w:hAnsiTheme="minorHAnsi" w:cstheme="minorHAnsi"/>
          <w:noProof/>
          <w:lang w:val="sq-AL"/>
        </w:rPr>
        <w:t xml:space="preserve">Kjo vjen pas recesionit të parë në Shqipëri për më shumë se dy dekada </w:t>
      </w:r>
      <w:r>
        <w:rPr>
          <w:rFonts w:asciiTheme="minorHAnsi" w:hAnsiTheme="minorHAnsi" w:cstheme="minorHAnsi"/>
          <w:noProof/>
          <w:lang w:val="sq-AL"/>
        </w:rPr>
        <w:t xml:space="preserve">në normën </w:t>
      </w:r>
      <w:r w:rsidRPr="00F60B38">
        <w:rPr>
          <w:rFonts w:asciiTheme="minorHAnsi" w:hAnsiTheme="minorHAnsi" w:cstheme="minorHAnsi"/>
          <w:noProof/>
          <w:lang w:val="sq-AL"/>
        </w:rPr>
        <w:t>prej -3.</w:t>
      </w:r>
      <w:r>
        <w:rPr>
          <w:rFonts w:asciiTheme="minorHAnsi" w:hAnsiTheme="minorHAnsi" w:cstheme="minorHAnsi"/>
          <w:noProof/>
          <w:lang w:val="sq-AL"/>
        </w:rPr>
        <w:t>3%</w:t>
      </w:r>
      <w:r w:rsidRPr="00F60B38">
        <w:rPr>
          <w:rFonts w:asciiTheme="minorHAnsi" w:hAnsiTheme="minorHAnsi" w:cstheme="minorHAnsi"/>
          <w:noProof/>
          <w:lang w:val="sq-AL"/>
        </w:rPr>
        <w:t xml:space="preserve"> në vitin 2020, ku ekonomia shqiptare dëshmoi qendrueshmëri dhe rënia ekonomike rezultoi shumë më e përmbajtur</w:t>
      </w:r>
      <w:r>
        <w:rPr>
          <w:rFonts w:asciiTheme="minorHAnsi" w:hAnsiTheme="minorHAnsi" w:cstheme="minorHAnsi"/>
          <w:noProof/>
          <w:lang w:val="sq-AL"/>
        </w:rPr>
        <w:t xml:space="preserve"> dhe rimarrja e ritmit të ekonomisë gjatë vitit 2021 në normën 8.9% ishte konsiderueshëm më e fortë se sa pritej fillimisht. </w:t>
      </w:r>
      <w:r w:rsidRPr="00F60B38">
        <w:rPr>
          <w:rFonts w:asciiTheme="minorHAnsi" w:hAnsiTheme="minorHAnsi" w:cstheme="minorHAnsi"/>
          <w:noProof/>
          <w:lang w:val="sq-AL"/>
        </w:rPr>
        <w:t xml:space="preserve">Pas një stimuli të lartë, të domosdoshëm dhe njëkohësisht të paevitueshëm gjatë viteve </w:t>
      </w:r>
      <w:r>
        <w:rPr>
          <w:rFonts w:asciiTheme="minorHAnsi" w:hAnsiTheme="minorHAnsi" w:cstheme="minorHAnsi"/>
          <w:noProof/>
          <w:lang w:val="sq-AL"/>
        </w:rPr>
        <w:t>të fundit</w:t>
      </w:r>
      <w:r w:rsidRPr="00F60B38">
        <w:rPr>
          <w:rFonts w:asciiTheme="minorHAnsi" w:hAnsiTheme="minorHAnsi" w:cstheme="minorHAnsi"/>
          <w:noProof/>
          <w:lang w:val="sq-AL"/>
        </w:rPr>
        <w:t xml:space="preserve"> me qëllim amortiz</w:t>
      </w:r>
      <w:r>
        <w:rPr>
          <w:rFonts w:asciiTheme="minorHAnsi" w:hAnsiTheme="minorHAnsi" w:cstheme="minorHAnsi"/>
          <w:noProof/>
          <w:lang w:val="sq-AL"/>
        </w:rPr>
        <w:t>i</w:t>
      </w:r>
      <w:r w:rsidRPr="00F60B38">
        <w:rPr>
          <w:rFonts w:asciiTheme="minorHAnsi" w:hAnsiTheme="minorHAnsi" w:cstheme="minorHAnsi"/>
          <w:noProof/>
          <w:lang w:val="sq-AL"/>
        </w:rPr>
        <w:t xml:space="preserve">min e goditjeve negative, politika fiskale për periudhën afatmesme do të </w:t>
      </w:r>
      <w:r>
        <w:rPr>
          <w:rFonts w:asciiTheme="minorHAnsi" w:hAnsiTheme="minorHAnsi" w:cstheme="minorHAnsi"/>
          <w:noProof/>
          <w:lang w:val="sq-AL"/>
        </w:rPr>
        <w:t xml:space="preserve">vijojë </w:t>
      </w:r>
      <w:r w:rsidRPr="00F60B38">
        <w:rPr>
          <w:rFonts w:asciiTheme="minorHAnsi" w:hAnsiTheme="minorHAnsi" w:cstheme="minorHAnsi"/>
          <w:noProof/>
          <w:lang w:val="sq-AL"/>
        </w:rPr>
        <w:t>sërisht drejt konsolidimit fiskal, ndërkohë që do sigurojë një nivel investimesh publike relativisht të lartë. Konsolidimi fiskal dhe reduktimi i borxhit publik është thelbësor për uljen e risqeve makroekonomike, të cilat pengojnë rritjen ekonomike dhe shkaktojnë paqëndrueshmëri makroekonomike.</w:t>
      </w:r>
    </w:p>
    <w:p w14:paraId="189AB57C" w14:textId="77777777" w:rsidR="00551446" w:rsidRPr="00F60B38" w:rsidRDefault="00551446" w:rsidP="00404DBA">
      <w:pPr>
        <w:spacing w:before="120" w:after="120" w:line="276" w:lineRule="auto"/>
        <w:jc w:val="both"/>
        <w:rPr>
          <w:rFonts w:asciiTheme="minorHAnsi" w:hAnsiTheme="minorHAnsi" w:cstheme="minorHAnsi"/>
          <w:noProof/>
          <w:lang w:val="sq-AL"/>
        </w:rPr>
      </w:pPr>
      <w:r w:rsidRPr="00404DBA">
        <w:rPr>
          <w:rFonts w:asciiTheme="minorHAnsi" w:hAnsiTheme="minorHAnsi" w:cstheme="minorHAnsi"/>
          <w:b/>
          <w:noProof/>
          <w:lang w:val="sq-AL"/>
        </w:rPr>
        <w:t>Parashikimi per vitin aktual 2023 është pozitiv</w:t>
      </w:r>
      <w:r w:rsidRPr="00F60B38">
        <w:rPr>
          <w:rFonts w:asciiTheme="minorHAnsi" w:hAnsiTheme="minorHAnsi" w:cstheme="minorHAnsi"/>
          <w:noProof/>
          <w:lang w:val="sq-AL"/>
        </w:rPr>
        <w:t xml:space="preserve"> dhe pritet që ekonomia të vazhdojë në ritmet pozitive të rritjes dhe pse më një normë më të përmbajtur në krahasim me vitin e kaluar, në nivelin prej 3.</w:t>
      </w:r>
      <w:r>
        <w:rPr>
          <w:rFonts w:asciiTheme="minorHAnsi" w:hAnsiTheme="minorHAnsi" w:cstheme="minorHAnsi"/>
          <w:noProof/>
          <w:lang w:val="sq-AL"/>
        </w:rPr>
        <w:t>7</w:t>
      </w:r>
      <w:r w:rsidRPr="00F60B38">
        <w:rPr>
          <w:rFonts w:asciiTheme="minorHAnsi" w:hAnsiTheme="minorHAnsi" w:cstheme="minorHAnsi"/>
          <w:noProof/>
          <w:lang w:val="sq-AL"/>
        </w:rPr>
        <w:t>%</w:t>
      </w:r>
      <w:r>
        <w:rPr>
          <w:rFonts w:asciiTheme="minorHAnsi" w:hAnsiTheme="minorHAnsi" w:cstheme="minorHAnsi"/>
          <w:noProof/>
          <w:lang w:val="sq-AL"/>
        </w:rPr>
        <w:t xml:space="preserve">. </w:t>
      </w:r>
      <w:r w:rsidRPr="00F60B38">
        <w:rPr>
          <w:rFonts w:asciiTheme="minorHAnsi" w:hAnsiTheme="minorHAnsi" w:cstheme="minorHAnsi"/>
          <w:noProof/>
          <w:lang w:val="sq-AL"/>
        </w:rPr>
        <w:t xml:space="preserve">Gjatë periudhës afatmesme rritja pritet të gjenerohet kryesisht nga kërkesa e brendshme, si konsumi ashtu edhe investimet. Ndërkohë kërkesa e huaj neto (eksport – import) pritet të ketë një efekt të moderuar pozitiv. </w:t>
      </w:r>
    </w:p>
    <w:p w14:paraId="02312267" w14:textId="77777777" w:rsidR="00551446" w:rsidRPr="00F60B38" w:rsidRDefault="00551446" w:rsidP="00404DBA">
      <w:pPr>
        <w:spacing w:before="120" w:after="120" w:line="276" w:lineRule="auto"/>
        <w:jc w:val="both"/>
        <w:rPr>
          <w:rFonts w:asciiTheme="minorHAnsi" w:hAnsiTheme="minorHAnsi" w:cstheme="minorHAnsi"/>
          <w:noProof/>
          <w:lang w:val="sq-AL"/>
        </w:rPr>
      </w:pPr>
      <w:r w:rsidRPr="00F60B38">
        <w:rPr>
          <w:rFonts w:asciiTheme="minorHAnsi" w:hAnsiTheme="minorHAnsi" w:cstheme="minorHAnsi"/>
          <w:noProof/>
          <w:lang w:val="sq-AL"/>
        </w:rPr>
        <w:t>Konsumi privat parashikohet të jetë sërish nxitësi kryesor i rritjes së PBB-së, stimuluar kryesisht nga përmirësimi i besimit të konsumatorit, si dhe nga përmirësimi në tregun e punës. Këto të fundit priten të transmetohen në një rritje graduale të pagave të cilat më tej pritet të stimulojnë të ardhurat reale të disponueshme të individëve, duke krijuar efektin e raundit të dytë në nxitjen e konsumit, si dhe duke intensifikuar prirjen e konsumatorëve për financimin e mëtejshëm të konsumit nëpërmjet një kredi-marrje më të lartë.</w:t>
      </w:r>
    </w:p>
    <w:p w14:paraId="3201806B" w14:textId="77777777" w:rsidR="00551446" w:rsidRPr="00F60B38" w:rsidRDefault="00551446" w:rsidP="00404DBA">
      <w:pPr>
        <w:spacing w:before="120" w:after="120" w:line="276" w:lineRule="auto"/>
        <w:jc w:val="both"/>
        <w:rPr>
          <w:rFonts w:asciiTheme="minorHAnsi" w:hAnsiTheme="minorHAnsi" w:cstheme="minorHAnsi"/>
          <w:noProof/>
          <w:lang w:val="sq-AL"/>
        </w:rPr>
      </w:pPr>
      <w:r w:rsidRPr="00F60B38">
        <w:rPr>
          <w:rFonts w:asciiTheme="minorHAnsi" w:hAnsiTheme="minorHAnsi" w:cstheme="minorHAnsi"/>
          <w:noProof/>
          <w:lang w:val="sq-AL"/>
        </w:rPr>
        <w:t>Ndërkohë, kredimarrja për konsum parashikohet të nxitet edhe nga përmirësimi i pritshëm i kushteve financiare të individëve, ashtu edhe nga lehtësimi i pritshëm i standardeve të huadhënies nga sistemi bankar në periudhën afatmesme, pas kapërcimit të efektit negativ nga goditja e pandemisë.</w:t>
      </w:r>
    </w:p>
    <w:p w14:paraId="7EA848C9" w14:textId="77777777" w:rsidR="00B31CF7" w:rsidRPr="00404DBA" w:rsidRDefault="00551446" w:rsidP="00404DBA">
      <w:pPr>
        <w:spacing w:before="120" w:after="120" w:line="276" w:lineRule="auto"/>
        <w:jc w:val="both"/>
        <w:rPr>
          <w:rFonts w:asciiTheme="minorHAnsi" w:hAnsiTheme="minorHAnsi" w:cstheme="minorHAnsi"/>
          <w:noProof/>
          <w:lang w:val="sq-AL"/>
        </w:rPr>
      </w:pPr>
      <w:r w:rsidRPr="00F60B38">
        <w:rPr>
          <w:rFonts w:asciiTheme="minorHAnsi" w:hAnsiTheme="minorHAnsi" w:cstheme="minorHAnsi"/>
          <w:noProof/>
          <w:lang w:val="sq-AL"/>
        </w:rPr>
        <w:t>Në përputhje me parashikimet afatmesme të rritjes, punësimi pritet të rritet me një mesatare prej rreth 0.</w:t>
      </w:r>
      <w:r>
        <w:rPr>
          <w:rFonts w:asciiTheme="minorHAnsi" w:hAnsiTheme="minorHAnsi" w:cstheme="minorHAnsi"/>
          <w:noProof/>
          <w:lang w:val="sq-AL"/>
        </w:rPr>
        <w:t>5</w:t>
      </w:r>
      <w:r w:rsidR="00404DBA">
        <w:rPr>
          <w:rFonts w:asciiTheme="minorHAnsi" w:hAnsiTheme="minorHAnsi" w:cstheme="minorHAnsi"/>
          <w:noProof/>
          <w:lang w:val="sq-AL"/>
        </w:rPr>
        <w:t>%</w:t>
      </w:r>
      <w:r w:rsidRPr="00F60B38">
        <w:rPr>
          <w:rFonts w:asciiTheme="minorHAnsi" w:hAnsiTheme="minorHAnsi" w:cstheme="minorHAnsi"/>
          <w:noProof/>
          <w:lang w:val="sq-AL"/>
        </w:rPr>
        <w:t xml:space="preserve"> në vit gjatë 202</w:t>
      </w:r>
      <w:r>
        <w:rPr>
          <w:rFonts w:asciiTheme="minorHAnsi" w:hAnsiTheme="minorHAnsi" w:cstheme="minorHAnsi"/>
          <w:noProof/>
          <w:lang w:val="sq-AL"/>
        </w:rPr>
        <w:t>3</w:t>
      </w:r>
      <w:r w:rsidRPr="00F60B38">
        <w:rPr>
          <w:rFonts w:asciiTheme="minorHAnsi" w:hAnsiTheme="minorHAnsi" w:cstheme="minorHAnsi"/>
          <w:noProof/>
          <w:lang w:val="sq-AL"/>
        </w:rPr>
        <w:t>-202</w:t>
      </w:r>
      <w:r>
        <w:rPr>
          <w:rFonts w:asciiTheme="minorHAnsi" w:hAnsiTheme="minorHAnsi" w:cstheme="minorHAnsi"/>
          <w:noProof/>
          <w:lang w:val="sq-AL"/>
        </w:rPr>
        <w:t>5</w:t>
      </w:r>
      <w:r w:rsidRPr="00F60B38">
        <w:rPr>
          <w:rFonts w:asciiTheme="minorHAnsi" w:hAnsiTheme="minorHAnsi" w:cstheme="minorHAnsi"/>
          <w:noProof/>
          <w:lang w:val="sq-AL"/>
        </w:rPr>
        <w:t>. Shkalla më e lartë e pjesëmarrjes në forcat e punës do të jetë gjeneruesi kryesor i rritjes së ofertës së punës. Ndërsa rritja e kërkesës për punë pritet të reflektojë pothuajse të</w:t>
      </w:r>
      <w:r w:rsidR="00404DBA">
        <w:rPr>
          <w:rFonts w:asciiTheme="minorHAnsi" w:hAnsiTheme="minorHAnsi" w:cstheme="minorHAnsi"/>
          <w:noProof/>
          <w:lang w:val="sq-AL"/>
        </w:rPr>
        <w:t xml:space="preserve"> </w:t>
      </w:r>
      <w:r w:rsidRPr="00F60B38">
        <w:rPr>
          <w:rFonts w:asciiTheme="minorHAnsi" w:hAnsiTheme="minorHAnsi" w:cstheme="minorHAnsi"/>
          <w:noProof/>
          <w:lang w:val="sq-AL"/>
        </w:rPr>
        <w:t>njëjtën strukturë të perspektivës së ofertës agregate të aktivitetit ekonomik. Rrjedhimisht, pritet që shërbimet të kontribuojnë më shumë në rritjen e kërkesës për punë në krahasim me sektorët e tjerë të ekonomisë. Krahas zgjerimit të pritshëm të punësimit në afatin e mesëm, pritet që edhe produktiviteti i përgjithshëm i punës të vijojë një përmirësim gradual gjatë kësaj periudhe</w:t>
      </w:r>
      <w:r w:rsidR="00B31CF7" w:rsidRPr="00404DBA">
        <w:rPr>
          <w:rFonts w:asciiTheme="minorHAnsi" w:hAnsiTheme="minorHAnsi" w:cstheme="minorHAnsi"/>
          <w:noProof/>
          <w:lang w:val="sq-AL"/>
        </w:rPr>
        <w:t>.</w:t>
      </w:r>
    </w:p>
    <w:p w14:paraId="18FD358B" w14:textId="77777777" w:rsidR="00AB4E09" w:rsidRPr="00C12D8A" w:rsidRDefault="00AB4E09" w:rsidP="00B95810">
      <w:pPr>
        <w:pStyle w:val="Heading1"/>
        <w:numPr>
          <w:ilvl w:val="0"/>
          <w:numId w:val="1"/>
        </w:numPr>
        <w:spacing w:line="276" w:lineRule="auto"/>
        <w:ind w:left="720"/>
        <w:rPr>
          <w:sz w:val="32"/>
          <w:u w:val="none"/>
        </w:rPr>
      </w:pPr>
      <w:bookmarkStart w:id="7" w:name="_Toc107496983"/>
      <w:r w:rsidRPr="00C12D8A">
        <w:rPr>
          <w:sz w:val="32"/>
          <w:u w:val="none"/>
        </w:rPr>
        <w:lastRenderedPageBreak/>
        <w:t>POLITIKA FISKALE</w:t>
      </w:r>
      <w:bookmarkEnd w:id="7"/>
      <w:r w:rsidRPr="00C12D8A">
        <w:rPr>
          <w:sz w:val="32"/>
          <w:u w:val="none"/>
        </w:rPr>
        <w:t xml:space="preserve"> </w:t>
      </w:r>
    </w:p>
    <w:p w14:paraId="44FBC5FA" w14:textId="77777777" w:rsidR="00AB4E09" w:rsidRPr="0065598A" w:rsidRDefault="005F249C" w:rsidP="002334F6">
      <w:pPr>
        <w:pStyle w:val="Heading2"/>
      </w:pPr>
      <w:bookmarkStart w:id="8" w:name="_Toc107496984"/>
      <w:r w:rsidRPr="0065598A">
        <w:t>II.1</w:t>
      </w:r>
      <w:r w:rsidRPr="0065598A">
        <w:tab/>
      </w:r>
      <w:r w:rsidR="0094558D" w:rsidRPr="0065598A">
        <w:t xml:space="preserve">Performanca </w:t>
      </w:r>
      <w:r w:rsidR="00AB4E09" w:rsidRPr="0065598A">
        <w:t xml:space="preserve">fiskale </w:t>
      </w:r>
      <w:r w:rsidR="00027D74">
        <w:t>për periudhën J</w:t>
      </w:r>
      <w:r w:rsidR="00E40045" w:rsidRPr="0065598A">
        <w:t>anar-</w:t>
      </w:r>
      <w:r w:rsidR="00027D74">
        <w:t>M</w:t>
      </w:r>
      <w:r w:rsidR="00E40045" w:rsidRPr="0065598A">
        <w:t>aj 20</w:t>
      </w:r>
      <w:r w:rsidR="00F720EE">
        <w:t>2</w:t>
      </w:r>
      <w:bookmarkEnd w:id="8"/>
      <w:r w:rsidR="00367A15">
        <w:t>3</w:t>
      </w:r>
    </w:p>
    <w:p w14:paraId="09E6CF4E" w14:textId="77777777" w:rsidR="0034657E" w:rsidRPr="00DD6D17" w:rsidRDefault="0034657E" w:rsidP="0034657E">
      <w:pPr>
        <w:spacing w:before="240" w:line="276" w:lineRule="auto"/>
        <w:jc w:val="both"/>
        <w:rPr>
          <w:rFonts w:asciiTheme="minorHAnsi" w:hAnsiTheme="minorHAnsi"/>
          <w:lang w:val="sq-AL"/>
        </w:rPr>
      </w:pPr>
      <w:r w:rsidRPr="004E355C">
        <w:rPr>
          <w:rFonts w:asciiTheme="minorHAnsi" w:eastAsiaTheme="minorEastAsia" w:hAnsiTheme="minorHAnsi" w:cstheme="minorHAnsi"/>
          <w:b/>
          <w:lang w:val="sq-AL"/>
        </w:rPr>
        <w:t>Të ardhurat nga “Tatime dhe Dogana”</w:t>
      </w:r>
      <w:r w:rsidRPr="004E355C">
        <w:rPr>
          <w:rFonts w:asciiTheme="minorHAnsi" w:eastAsiaTheme="minorEastAsia" w:hAnsiTheme="minorHAnsi" w:cstheme="minorHAnsi"/>
          <w:lang w:val="sq-AL"/>
        </w:rPr>
        <w:t xml:space="preserve"> </w:t>
      </w:r>
      <w:r w:rsidR="00613E43" w:rsidRPr="00853EB9">
        <w:rPr>
          <w:rFonts w:asciiTheme="minorHAnsi" w:eastAsiaTheme="minorEastAsia" w:hAnsiTheme="minorHAnsi" w:cstheme="minorHAnsi"/>
          <w:lang w:val="sq-AL"/>
        </w:rPr>
        <w:t>(përfshirë kontributet e mbledhura nga DPT) për 5</w:t>
      </w:r>
      <w:r w:rsidR="00193978">
        <w:rPr>
          <w:rFonts w:asciiTheme="minorHAnsi" w:eastAsiaTheme="minorEastAsia" w:hAnsiTheme="minorHAnsi" w:cstheme="minorHAnsi"/>
          <w:lang w:val="sq-AL"/>
        </w:rPr>
        <w:t>M</w:t>
      </w:r>
      <w:r w:rsidR="00613E43" w:rsidRPr="00853EB9">
        <w:rPr>
          <w:rFonts w:asciiTheme="minorHAnsi" w:eastAsiaTheme="minorEastAsia" w:hAnsiTheme="minorHAnsi" w:cstheme="minorHAnsi"/>
          <w:lang w:val="sq-AL"/>
        </w:rPr>
        <w:t xml:space="preserve"> 2023, u realizuan në </w:t>
      </w:r>
      <w:r w:rsidR="00613E43" w:rsidRPr="00853EB9">
        <w:rPr>
          <w:rFonts w:asciiTheme="minorHAnsi" w:eastAsiaTheme="minorEastAsia" w:hAnsiTheme="minorHAnsi" w:cstheme="minorHAnsi"/>
          <w:color w:val="000000" w:themeColor="text1"/>
          <w:lang w:val="sq-AL"/>
        </w:rPr>
        <w:t>vlerën 224.2 miliardë lekë, 9.5% ose 19.5 miliardë lekë më shumë se 5</w:t>
      </w:r>
      <w:r w:rsidR="00193978">
        <w:rPr>
          <w:rFonts w:asciiTheme="minorHAnsi" w:eastAsiaTheme="minorEastAsia" w:hAnsiTheme="minorHAnsi" w:cstheme="minorHAnsi"/>
          <w:color w:val="000000" w:themeColor="text1"/>
          <w:lang w:val="sq-AL"/>
        </w:rPr>
        <w:t>M</w:t>
      </w:r>
      <w:r w:rsidR="00613E43" w:rsidRPr="00853EB9">
        <w:rPr>
          <w:rFonts w:asciiTheme="minorHAnsi" w:eastAsiaTheme="minorEastAsia" w:hAnsiTheme="minorHAnsi" w:cstheme="minorHAnsi"/>
          <w:color w:val="000000" w:themeColor="text1"/>
          <w:lang w:val="sq-AL"/>
        </w:rPr>
        <w:t xml:space="preserve"> 2022 </w:t>
      </w:r>
      <w:r w:rsidR="00613E43" w:rsidRPr="00853EB9">
        <w:rPr>
          <w:rFonts w:asciiTheme="minorHAnsi" w:eastAsiaTheme="minorEastAsia" w:hAnsiTheme="minorHAnsi" w:cstheme="minorHAnsi"/>
          <w:lang w:val="sq-AL"/>
        </w:rPr>
        <w:t>me realizim kundrejt planit të periudhës në masën 10</w:t>
      </w:r>
      <w:r w:rsidR="00613E43" w:rsidRPr="00853EB9">
        <w:rPr>
          <w:rFonts w:asciiTheme="minorHAnsi" w:eastAsiaTheme="minorEastAsia" w:hAnsiTheme="minorHAnsi" w:cstheme="minorHAnsi"/>
          <w:color w:val="000000" w:themeColor="text1"/>
          <w:lang w:val="sq-AL"/>
        </w:rPr>
        <w:t>4.1% ose 8.8 miliardë lekë më shumë</w:t>
      </w:r>
      <w:r w:rsidR="00613E43" w:rsidRPr="00853EB9">
        <w:rPr>
          <w:rFonts w:asciiTheme="minorHAnsi" w:eastAsiaTheme="minorEastAsia" w:hAnsiTheme="minorHAnsi" w:cstheme="minorHAnsi"/>
          <w:lang w:val="sq-AL"/>
        </w:rPr>
        <w:t xml:space="preserve">. </w:t>
      </w:r>
      <w:r w:rsidR="00613E43" w:rsidRPr="00853EB9">
        <w:rPr>
          <w:rFonts w:asciiTheme="minorHAnsi" w:hAnsiTheme="minorHAnsi" w:cstheme="minorHAnsi"/>
          <w:noProof/>
          <w:lang w:val="sq-AL"/>
        </w:rPr>
        <w:t>Në këtë realizim kanë ndikuar faktorët të cilët do të shpjegohen në analizën specifike të secilit prej tatimeve</w:t>
      </w:r>
      <w:r>
        <w:rPr>
          <w:rFonts w:asciiTheme="minorHAnsi" w:hAnsiTheme="minorHAnsi" w:cstheme="minorHAnsi"/>
          <w:noProof/>
          <w:lang w:val="sq-AL"/>
        </w:rPr>
        <w:t>.</w:t>
      </w:r>
    </w:p>
    <w:p w14:paraId="76ABA1C0" w14:textId="1D9E1C5D" w:rsidR="0034657E" w:rsidRPr="0034657E" w:rsidRDefault="0034657E" w:rsidP="0034657E">
      <w:pPr>
        <w:spacing w:before="240" w:line="276" w:lineRule="auto"/>
        <w:jc w:val="both"/>
        <w:rPr>
          <w:rFonts w:asciiTheme="minorHAnsi" w:hAnsiTheme="minorHAnsi"/>
          <w:bCs/>
          <w:i/>
          <w:sz w:val="22"/>
          <w:lang w:val="sq-AL"/>
        </w:rPr>
      </w:pPr>
      <w:bookmarkStart w:id="9" w:name="_Toc107496737"/>
      <w:r w:rsidRPr="0034657E">
        <w:rPr>
          <w:rFonts w:asciiTheme="minorHAnsi" w:hAnsiTheme="minorHAnsi"/>
          <w:bCs/>
          <w:i/>
          <w:sz w:val="22"/>
          <w:lang w:val="sq-AL"/>
        </w:rPr>
        <w:t xml:space="preserve">Tabela </w:t>
      </w:r>
      <w:r w:rsidRPr="0034657E">
        <w:rPr>
          <w:rFonts w:asciiTheme="minorHAnsi" w:hAnsiTheme="minorHAnsi"/>
          <w:bCs/>
          <w:i/>
          <w:sz w:val="22"/>
          <w:lang w:val="sq-AL"/>
        </w:rPr>
        <w:fldChar w:fldCharType="begin"/>
      </w:r>
      <w:r w:rsidRPr="0034657E">
        <w:rPr>
          <w:rFonts w:asciiTheme="minorHAnsi" w:hAnsiTheme="minorHAnsi"/>
          <w:bCs/>
          <w:i/>
          <w:sz w:val="22"/>
          <w:lang w:val="sq-AL"/>
        </w:rPr>
        <w:instrText xml:space="preserve"> SEQ Tabela \* ARABIC </w:instrText>
      </w:r>
      <w:r w:rsidRPr="0034657E">
        <w:rPr>
          <w:rFonts w:asciiTheme="minorHAnsi" w:hAnsiTheme="minorHAnsi"/>
          <w:bCs/>
          <w:i/>
          <w:sz w:val="22"/>
          <w:lang w:val="sq-AL"/>
        </w:rPr>
        <w:fldChar w:fldCharType="separate"/>
      </w:r>
      <w:r w:rsidR="00C153A9">
        <w:rPr>
          <w:rFonts w:asciiTheme="minorHAnsi" w:hAnsiTheme="minorHAnsi"/>
          <w:bCs/>
          <w:i/>
          <w:noProof/>
          <w:sz w:val="22"/>
          <w:lang w:val="sq-AL"/>
        </w:rPr>
        <w:t>1</w:t>
      </w:r>
      <w:r w:rsidRPr="0034657E">
        <w:rPr>
          <w:rFonts w:asciiTheme="minorHAnsi" w:hAnsiTheme="minorHAnsi"/>
          <w:bCs/>
          <w:i/>
          <w:sz w:val="22"/>
          <w:lang w:val="sq-AL"/>
        </w:rPr>
        <w:fldChar w:fldCharType="end"/>
      </w:r>
      <w:r w:rsidRPr="0034657E">
        <w:rPr>
          <w:rFonts w:asciiTheme="minorHAnsi" w:hAnsiTheme="minorHAnsi"/>
          <w:bCs/>
          <w:i/>
          <w:sz w:val="22"/>
          <w:lang w:val="sq-AL"/>
        </w:rPr>
        <w:t>: Të ardhurat Tatime &amp; Dogana për periudhën Janar – Maj 202</w:t>
      </w:r>
      <w:r w:rsidR="00193978">
        <w:rPr>
          <w:rFonts w:asciiTheme="minorHAnsi" w:hAnsiTheme="minorHAnsi"/>
          <w:bCs/>
          <w:i/>
          <w:sz w:val="22"/>
          <w:lang w:val="sq-AL"/>
        </w:rPr>
        <w:t>3</w:t>
      </w:r>
      <w:r w:rsidRPr="0034657E">
        <w:rPr>
          <w:rFonts w:asciiTheme="minorHAnsi" w:hAnsiTheme="minorHAnsi"/>
          <w:bCs/>
          <w:i/>
          <w:sz w:val="22"/>
          <w:lang w:val="sq-AL"/>
        </w:rPr>
        <w:t xml:space="preserve"> (në milionë lekë)</w:t>
      </w:r>
      <w:bookmarkEnd w:id="9"/>
    </w:p>
    <w:tbl>
      <w:tblPr>
        <w:tblW w:w="9728" w:type="dxa"/>
        <w:jc w:val="center"/>
        <w:tblLook w:val="04A0" w:firstRow="1" w:lastRow="0" w:firstColumn="1" w:lastColumn="0" w:noHBand="0" w:noVBand="1"/>
      </w:tblPr>
      <w:tblGrid>
        <w:gridCol w:w="1569"/>
        <w:gridCol w:w="774"/>
        <w:gridCol w:w="1183"/>
        <w:gridCol w:w="1147"/>
        <w:gridCol w:w="1113"/>
        <w:gridCol w:w="1260"/>
        <w:gridCol w:w="1423"/>
        <w:gridCol w:w="1259"/>
      </w:tblGrid>
      <w:tr w:rsidR="00193978" w:rsidRPr="00853EB9" w14:paraId="5BC2D563" w14:textId="77777777" w:rsidTr="00193978">
        <w:trPr>
          <w:trHeight w:val="741"/>
          <w:jc w:val="center"/>
        </w:trPr>
        <w:tc>
          <w:tcPr>
            <w:tcW w:w="1569" w:type="dxa"/>
            <w:vMerge w:val="restart"/>
            <w:tcBorders>
              <w:top w:val="single" w:sz="8" w:space="0" w:color="4BACC6"/>
              <w:left w:val="single" w:sz="8" w:space="0" w:color="4BACC6"/>
              <w:bottom w:val="single" w:sz="8" w:space="0" w:color="4BACC6"/>
              <w:right w:val="nil"/>
            </w:tcBorders>
            <w:shd w:val="clear" w:color="000000" w:fill="4BACC6"/>
            <w:vAlign w:val="center"/>
            <w:hideMark/>
          </w:tcPr>
          <w:p w14:paraId="3169285B" w14:textId="77777777" w:rsidR="00193978" w:rsidRPr="00853EB9" w:rsidRDefault="00193978" w:rsidP="007976CE">
            <w:pPr>
              <w:rPr>
                <w:rFonts w:ascii="Calibri" w:hAnsi="Calibri" w:cs="Calibri"/>
                <w:b/>
                <w:bCs/>
                <w:color w:val="FFFFFF"/>
                <w:sz w:val="16"/>
                <w:szCs w:val="16"/>
              </w:rPr>
            </w:pPr>
            <w:r w:rsidRPr="00853EB9">
              <w:rPr>
                <w:rFonts w:ascii="Calibri" w:hAnsi="Calibri" w:cs="Calibri"/>
                <w:b/>
                <w:bCs/>
                <w:color w:val="FFFFFF"/>
                <w:sz w:val="16"/>
                <w:szCs w:val="16"/>
              </w:rPr>
              <w:t>Lloji i taksave</w:t>
            </w:r>
          </w:p>
        </w:tc>
        <w:tc>
          <w:tcPr>
            <w:tcW w:w="774" w:type="dxa"/>
            <w:vMerge w:val="restart"/>
            <w:tcBorders>
              <w:top w:val="single" w:sz="8" w:space="0" w:color="4BACC6"/>
              <w:left w:val="nil"/>
              <w:bottom w:val="single" w:sz="8" w:space="0" w:color="4BACC6"/>
              <w:right w:val="nil"/>
            </w:tcBorders>
            <w:shd w:val="clear" w:color="000000" w:fill="4BACC6"/>
            <w:vAlign w:val="center"/>
            <w:hideMark/>
          </w:tcPr>
          <w:p w14:paraId="2A3DEA3A" w14:textId="77777777" w:rsidR="00193978" w:rsidRPr="00853EB9" w:rsidRDefault="00193978" w:rsidP="007976CE">
            <w:pPr>
              <w:jc w:val="center"/>
              <w:rPr>
                <w:rFonts w:ascii="Calibri" w:hAnsi="Calibri" w:cs="Calibri"/>
                <w:b/>
                <w:bCs/>
                <w:color w:val="FFFFFF"/>
                <w:sz w:val="16"/>
                <w:szCs w:val="16"/>
              </w:rPr>
            </w:pPr>
            <w:r w:rsidRPr="00853EB9">
              <w:rPr>
                <w:rFonts w:ascii="Calibri" w:hAnsi="Calibri" w:cs="Calibri"/>
                <w:b/>
                <w:bCs/>
                <w:color w:val="FFFFFF"/>
                <w:sz w:val="16"/>
                <w:szCs w:val="16"/>
              </w:rPr>
              <w:t>Fakt 5 mujor 2022</w:t>
            </w:r>
          </w:p>
        </w:tc>
        <w:tc>
          <w:tcPr>
            <w:tcW w:w="1183" w:type="dxa"/>
            <w:tcBorders>
              <w:top w:val="single" w:sz="8" w:space="0" w:color="4BACC6"/>
              <w:left w:val="nil"/>
              <w:bottom w:val="nil"/>
              <w:right w:val="nil"/>
            </w:tcBorders>
            <w:shd w:val="clear" w:color="000000" w:fill="4BACC6"/>
            <w:vAlign w:val="center"/>
            <w:hideMark/>
          </w:tcPr>
          <w:p w14:paraId="244F6B45" w14:textId="77777777" w:rsidR="00193978" w:rsidRPr="00853EB9" w:rsidRDefault="00193978" w:rsidP="007976CE">
            <w:pPr>
              <w:jc w:val="center"/>
              <w:rPr>
                <w:rFonts w:ascii="Calibri" w:hAnsi="Calibri" w:cs="Calibri"/>
                <w:b/>
                <w:bCs/>
                <w:color w:val="FFFFFF"/>
                <w:sz w:val="16"/>
                <w:szCs w:val="16"/>
              </w:rPr>
            </w:pPr>
            <w:r w:rsidRPr="00853EB9">
              <w:rPr>
                <w:rFonts w:ascii="Calibri" w:hAnsi="Calibri" w:cs="Calibri"/>
                <w:b/>
                <w:bCs/>
                <w:color w:val="FFFFFF"/>
                <w:sz w:val="16"/>
                <w:szCs w:val="16"/>
              </w:rPr>
              <w:t xml:space="preserve"> Fakt 5 mujor </w:t>
            </w:r>
          </w:p>
        </w:tc>
        <w:tc>
          <w:tcPr>
            <w:tcW w:w="1147" w:type="dxa"/>
            <w:tcBorders>
              <w:top w:val="single" w:sz="8" w:space="0" w:color="4BACC6"/>
              <w:left w:val="nil"/>
              <w:bottom w:val="nil"/>
              <w:right w:val="nil"/>
            </w:tcBorders>
            <w:shd w:val="clear" w:color="000000" w:fill="4BACC6"/>
            <w:vAlign w:val="center"/>
            <w:hideMark/>
          </w:tcPr>
          <w:p w14:paraId="15D2F263" w14:textId="77777777" w:rsidR="00193978" w:rsidRPr="00853EB9" w:rsidRDefault="00193978" w:rsidP="007976CE">
            <w:pPr>
              <w:jc w:val="center"/>
              <w:rPr>
                <w:rFonts w:ascii="Calibri" w:hAnsi="Calibri" w:cs="Calibri"/>
                <w:b/>
                <w:bCs/>
                <w:color w:val="FFFFFF"/>
                <w:sz w:val="16"/>
                <w:szCs w:val="16"/>
              </w:rPr>
            </w:pPr>
            <w:r w:rsidRPr="00853EB9">
              <w:rPr>
                <w:rFonts w:ascii="Calibri" w:hAnsi="Calibri" w:cs="Calibri"/>
                <w:b/>
                <w:bCs/>
                <w:color w:val="FFFFFF"/>
                <w:sz w:val="16"/>
                <w:szCs w:val="16"/>
              </w:rPr>
              <w:t>Plan 5 mujor</w:t>
            </w:r>
          </w:p>
        </w:tc>
        <w:tc>
          <w:tcPr>
            <w:tcW w:w="1113" w:type="dxa"/>
            <w:vMerge w:val="restart"/>
            <w:tcBorders>
              <w:top w:val="single" w:sz="8" w:space="0" w:color="4BACC6"/>
              <w:left w:val="nil"/>
              <w:bottom w:val="single" w:sz="8" w:space="0" w:color="4BACC6"/>
              <w:right w:val="nil"/>
            </w:tcBorders>
            <w:shd w:val="clear" w:color="000000" w:fill="4BACC6"/>
            <w:vAlign w:val="center"/>
            <w:hideMark/>
          </w:tcPr>
          <w:p w14:paraId="58A97BE8" w14:textId="77777777" w:rsidR="00193978" w:rsidRPr="00853EB9" w:rsidRDefault="00193978" w:rsidP="007976CE">
            <w:pPr>
              <w:jc w:val="center"/>
              <w:rPr>
                <w:rFonts w:ascii="Calibri" w:hAnsi="Calibri" w:cs="Calibri"/>
                <w:b/>
                <w:bCs/>
                <w:color w:val="FFFFFF"/>
                <w:sz w:val="16"/>
                <w:szCs w:val="16"/>
              </w:rPr>
            </w:pPr>
            <w:r w:rsidRPr="00853EB9">
              <w:rPr>
                <w:rFonts w:ascii="Calibri" w:hAnsi="Calibri" w:cs="Calibri"/>
                <w:b/>
                <w:bCs/>
                <w:color w:val="FFFFFF"/>
                <w:sz w:val="16"/>
                <w:szCs w:val="16"/>
              </w:rPr>
              <w:t>Diferenca 2023/2022</w:t>
            </w:r>
          </w:p>
        </w:tc>
        <w:tc>
          <w:tcPr>
            <w:tcW w:w="1260" w:type="dxa"/>
            <w:vMerge w:val="restart"/>
            <w:tcBorders>
              <w:top w:val="single" w:sz="8" w:space="0" w:color="4BACC6"/>
              <w:left w:val="nil"/>
              <w:bottom w:val="single" w:sz="8" w:space="0" w:color="4BACC6"/>
              <w:right w:val="nil"/>
            </w:tcBorders>
            <w:shd w:val="clear" w:color="000000" w:fill="4BACC6"/>
            <w:vAlign w:val="center"/>
            <w:hideMark/>
          </w:tcPr>
          <w:p w14:paraId="7903591B" w14:textId="77777777" w:rsidR="00193978" w:rsidRPr="00853EB9" w:rsidRDefault="00193978" w:rsidP="007976CE">
            <w:pPr>
              <w:jc w:val="center"/>
              <w:rPr>
                <w:rFonts w:ascii="Calibri" w:hAnsi="Calibri" w:cs="Calibri"/>
                <w:b/>
                <w:bCs/>
                <w:color w:val="FFFFFF"/>
                <w:sz w:val="16"/>
                <w:szCs w:val="16"/>
              </w:rPr>
            </w:pPr>
            <w:r w:rsidRPr="00853EB9">
              <w:rPr>
                <w:rFonts w:ascii="Calibri" w:hAnsi="Calibri" w:cs="Calibri"/>
                <w:b/>
                <w:bCs/>
                <w:color w:val="FFFFFF"/>
                <w:sz w:val="16"/>
                <w:szCs w:val="16"/>
              </w:rPr>
              <w:t>Ndryshimi në % 2023/2022</w:t>
            </w:r>
          </w:p>
        </w:tc>
        <w:tc>
          <w:tcPr>
            <w:tcW w:w="1423" w:type="dxa"/>
            <w:vMerge w:val="restart"/>
            <w:tcBorders>
              <w:top w:val="single" w:sz="8" w:space="0" w:color="4BACC6"/>
              <w:left w:val="nil"/>
              <w:bottom w:val="single" w:sz="8" w:space="0" w:color="4BACC6"/>
              <w:right w:val="nil"/>
            </w:tcBorders>
            <w:shd w:val="clear" w:color="000000" w:fill="4BACC6"/>
            <w:vAlign w:val="center"/>
            <w:hideMark/>
          </w:tcPr>
          <w:p w14:paraId="107E5B3F" w14:textId="77777777" w:rsidR="00193978" w:rsidRPr="00853EB9" w:rsidRDefault="00193978" w:rsidP="007976CE">
            <w:pPr>
              <w:jc w:val="center"/>
              <w:rPr>
                <w:rFonts w:ascii="Calibri" w:hAnsi="Calibri" w:cs="Calibri"/>
                <w:b/>
                <w:bCs/>
                <w:color w:val="FFFFFF"/>
                <w:sz w:val="16"/>
                <w:szCs w:val="16"/>
              </w:rPr>
            </w:pPr>
            <w:r w:rsidRPr="00853EB9">
              <w:rPr>
                <w:rFonts w:ascii="Calibri" w:hAnsi="Calibri" w:cs="Calibri"/>
                <w:b/>
                <w:bCs/>
                <w:color w:val="FFFFFF"/>
                <w:sz w:val="16"/>
                <w:szCs w:val="16"/>
              </w:rPr>
              <w:t>Diferenca Fakt/ Plan 2023</w:t>
            </w:r>
          </w:p>
        </w:tc>
        <w:tc>
          <w:tcPr>
            <w:tcW w:w="1259" w:type="dxa"/>
            <w:vMerge w:val="restart"/>
            <w:tcBorders>
              <w:top w:val="single" w:sz="8" w:space="0" w:color="4BACC6"/>
              <w:left w:val="nil"/>
              <w:bottom w:val="single" w:sz="8" w:space="0" w:color="4BACC6"/>
              <w:right w:val="single" w:sz="8" w:space="0" w:color="4BACC6"/>
            </w:tcBorders>
            <w:shd w:val="clear" w:color="000000" w:fill="4BACC6"/>
            <w:vAlign w:val="center"/>
            <w:hideMark/>
          </w:tcPr>
          <w:p w14:paraId="5A7F2BDE" w14:textId="77777777" w:rsidR="00193978" w:rsidRPr="00853EB9" w:rsidRDefault="00193978" w:rsidP="007976CE">
            <w:pPr>
              <w:jc w:val="center"/>
              <w:rPr>
                <w:rFonts w:ascii="Calibri" w:hAnsi="Calibri" w:cs="Calibri"/>
                <w:b/>
                <w:bCs/>
                <w:color w:val="FFFFFF"/>
                <w:sz w:val="16"/>
                <w:szCs w:val="16"/>
              </w:rPr>
            </w:pPr>
            <w:r w:rsidRPr="00853EB9">
              <w:rPr>
                <w:rFonts w:ascii="Calibri" w:hAnsi="Calibri" w:cs="Calibri"/>
                <w:b/>
                <w:bCs/>
                <w:color w:val="FFFFFF"/>
                <w:sz w:val="16"/>
                <w:szCs w:val="16"/>
              </w:rPr>
              <w:t>Ndryshimi në % Fakt/Plan 2023</w:t>
            </w:r>
          </w:p>
        </w:tc>
      </w:tr>
      <w:tr w:rsidR="00193978" w:rsidRPr="00853EB9" w14:paraId="6FFB8D1A" w14:textId="77777777" w:rsidTr="00193978">
        <w:trPr>
          <w:trHeight w:val="399"/>
          <w:jc w:val="center"/>
        </w:trPr>
        <w:tc>
          <w:tcPr>
            <w:tcW w:w="1569" w:type="dxa"/>
            <w:vMerge/>
            <w:tcBorders>
              <w:top w:val="single" w:sz="8" w:space="0" w:color="4BACC6"/>
              <w:left w:val="single" w:sz="8" w:space="0" w:color="4BACC6"/>
              <w:bottom w:val="single" w:sz="8" w:space="0" w:color="4BACC6"/>
              <w:right w:val="nil"/>
            </w:tcBorders>
            <w:vAlign w:val="center"/>
            <w:hideMark/>
          </w:tcPr>
          <w:p w14:paraId="5C812CD3" w14:textId="77777777" w:rsidR="00193978" w:rsidRPr="00853EB9" w:rsidRDefault="00193978" w:rsidP="007976CE">
            <w:pPr>
              <w:rPr>
                <w:rFonts w:ascii="Calibri" w:hAnsi="Calibri" w:cs="Calibri"/>
                <w:b/>
                <w:bCs/>
                <w:color w:val="FFFFFF"/>
                <w:sz w:val="16"/>
                <w:szCs w:val="16"/>
              </w:rPr>
            </w:pPr>
          </w:p>
        </w:tc>
        <w:tc>
          <w:tcPr>
            <w:tcW w:w="774" w:type="dxa"/>
            <w:vMerge/>
            <w:tcBorders>
              <w:top w:val="single" w:sz="8" w:space="0" w:color="4BACC6"/>
              <w:left w:val="nil"/>
              <w:bottom w:val="single" w:sz="8" w:space="0" w:color="4BACC6"/>
              <w:right w:val="nil"/>
            </w:tcBorders>
            <w:vAlign w:val="center"/>
            <w:hideMark/>
          </w:tcPr>
          <w:p w14:paraId="62A19023" w14:textId="77777777" w:rsidR="00193978" w:rsidRPr="00853EB9" w:rsidRDefault="00193978" w:rsidP="007976CE">
            <w:pPr>
              <w:rPr>
                <w:rFonts w:ascii="Calibri" w:hAnsi="Calibri" w:cs="Calibri"/>
                <w:b/>
                <w:bCs/>
                <w:color w:val="FFFFFF"/>
                <w:sz w:val="16"/>
                <w:szCs w:val="16"/>
              </w:rPr>
            </w:pPr>
          </w:p>
        </w:tc>
        <w:tc>
          <w:tcPr>
            <w:tcW w:w="1183" w:type="dxa"/>
            <w:tcBorders>
              <w:top w:val="nil"/>
              <w:left w:val="nil"/>
              <w:bottom w:val="single" w:sz="8" w:space="0" w:color="4BACC6"/>
              <w:right w:val="nil"/>
            </w:tcBorders>
            <w:shd w:val="clear" w:color="000000" w:fill="4BACC6"/>
            <w:vAlign w:val="center"/>
            <w:hideMark/>
          </w:tcPr>
          <w:p w14:paraId="6B2387B9" w14:textId="77777777" w:rsidR="00193978" w:rsidRPr="00853EB9" w:rsidRDefault="00193978" w:rsidP="007976CE">
            <w:pPr>
              <w:jc w:val="center"/>
              <w:rPr>
                <w:rFonts w:ascii="Calibri" w:hAnsi="Calibri" w:cs="Calibri"/>
                <w:b/>
                <w:bCs/>
                <w:color w:val="FFFFFF"/>
                <w:sz w:val="16"/>
                <w:szCs w:val="16"/>
              </w:rPr>
            </w:pPr>
            <w:r w:rsidRPr="00853EB9">
              <w:rPr>
                <w:rFonts w:ascii="Calibri" w:hAnsi="Calibri" w:cs="Calibri"/>
                <w:b/>
                <w:bCs/>
                <w:color w:val="FFFFFF"/>
                <w:sz w:val="16"/>
                <w:szCs w:val="16"/>
              </w:rPr>
              <w:t>2023</w:t>
            </w:r>
          </w:p>
        </w:tc>
        <w:tc>
          <w:tcPr>
            <w:tcW w:w="1147" w:type="dxa"/>
            <w:tcBorders>
              <w:top w:val="nil"/>
              <w:left w:val="nil"/>
              <w:bottom w:val="single" w:sz="8" w:space="0" w:color="4BACC6"/>
              <w:right w:val="nil"/>
            </w:tcBorders>
            <w:shd w:val="clear" w:color="000000" w:fill="4BACC6"/>
            <w:vAlign w:val="center"/>
            <w:hideMark/>
          </w:tcPr>
          <w:p w14:paraId="4D1AAB75" w14:textId="77777777" w:rsidR="00193978" w:rsidRPr="00853EB9" w:rsidRDefault="00193978" w:rsidP="007976CE">
            <w:pPr>
              <w:jc w:val="center"/>
              <w:rPr>
                <w:rFonts w:ascii="Calibri" w:hAnsi="Calibri" w:cs="Calibri"/>
                <w:b/>
                <w:bCs/>
                <w:color w:val="FFFFFF"/>
                <w:sz w:val="16"/>
                <w:szCs w:val="16"/>
              </w:rPr>
            </w:pPr>
            <w:r w:rsidRPr="00853EB9">
              <w:rPr>
                <w:rFonts w:ascii="Calibri" w:hAnsi="Calibri" w:cs="Calibri"/>
                <w:b/>
                <w:bCs/>
                <w:color w:val="FFFFFF"/>
                <w:sz w:val="16"/>
                <w:szCs w:val="16"/>
              </w:rPr>
              <w:t>2023</w:t>
            </w:r>
          </w:p>
        </w:tc>
        <w:tc>
          <w:tcPr>
            <w:tcW w:w="1113" w:type="dxa"/>
            <w:vMerge/>
            <w:tcBorders>
              <w:top w:val="single" w:sz="8" w:space="0" w:color="4BACC6"/>
              <w:left w:val="nil"/>
              <w:bottom w:val="single" w:sz="8" w:space="0" w:color="4BACC6"/>
              <w:right w:val="nil"/>
            </w:tcBorders>
            <w:vAlign w:val="center"/>
            <w:hideMark/>
          </w:tcPr>
          <w:p w14:paraId="13308D09" w14:textId="77777777" w:rsidR="00193978" w:rsidRPr="00853EB9" w:rsidRDefault="00193978" w:rsidP="007976CE">
            <w:pPr>
              <w:rPr>
                <w:rFonts w:ascii="Calibri" w:hAnsi="Calibri" w:cs="Calibri"/>
                <w:b/>
                <w:bCs/>
                <w:color w:val="FFFFFF"/>
                <w:sz w:val="16"/>
                <w:szCs w:val="16"/>
              </w:rPr>
            </w:pPr>
          </w:p>
        </w:tc>
        <w:tc>
          <w:tcPr>
            <w:tcW w:w="1260" w:type="dxa"/>
            <w:vMerge/>
            <w:tcBorders>
              <w:top w:val="single" w:sz="8" w:space="0" w:color="4BACC6"/>
              <w:left w:val="nil"/>
              <w:bottom w:val="single" w:sz="8" w:space="0" w:color="4BACC6"/>
              <w:right w:val="nil"/>
            </w:tcBorders>
            <w:vAlign w:val="center"/>
            <w:hideMark/>
          </w:tcPr>
          <w:p w14:paraId="489F4A77" w14:textId="77777777" w:rsidR="00193978" w:rsidRPr="00853EB9" w:rsidRDefault="00193978" w:rsidP="007976CE">
            <w:pPr>
              <w:rPr>
                <w:rFonts w:ascii="Calibri" w:hAnsi="Calibri" w:cs="Calibri"/>
                <w:b/>
                <w:bCs/>
                <w:color w:val="FFFFFF"/>
                <w:sz w:val="16"/>
                <w:szCs w:val="16"/>
              </w:rPr>
            </w:pPr>
          </w:p>
        </w:tc>
        <w:tc>
          <w:tcPr>
            <w:tcW w:w="1423" w:type="dxa"/>
            <w:vMerge/>
            <w:tcBorders>
              <w:top w:val="single" w:sz="8" w:space="0" w:color="4BACC6"/>
              <w:left w:val="nil"/>
              <w:bottom w:val="single" w:sz="8" w:space="0" w:color="4BACC6"/>
              <w:right w:val="nil"/>
            </w:tcBorders>
            <w:vAlign w:val="center"/>
            <w:hideMark/>
          </w:tcPr>
          <w:p w14:paraId="21F899EA" w14:textId="77777777" w:rsidR="00193978" w:rsidRPr="00853EB9" w:rsidRDefault="00193978" w:rsidP="007976CE">
            <w:pPr>
              <w:rPr>
                <w:rFonts w:ascii="Calibri" w:hAnsi="Calibri" w:cs="Calibri"/>
                <w:b/>
                <w:bCs/>
                <w:color w:val="FFFFFF"/>
                <w:sz w:val="16"/>
                <w:szCs w:val="16"/>
              </w:rPr>
            </w:pPr>
          </w:p>
        </w:tc>
        <w:tc>
          <w:tcPr>
            <w:tcW w:w="1259" w:type="dxa"/>
            <w:vMerge/>
            <w:tcBorders>
              <w:top w:val="single" w:sz="8" w:space="0" w:color="4BACC6"/>
              <w:left w:val="nil"/>
              <w:bottom w:val="single" w:sz="8" w:space="0" w:color="4BACC6"/>
              <w:right w:val="single" w:sz="8" w:space="0" w:color="4BACC6"/>
            </w:tcBorders>
            <w:vAlign w:val="center"/>
            <w:hideMark/>
          </w:tcPr>
          <w:p w14:paraId="593561F3" w14:textId="77777777" w:rsidR="00193978" w:rsidRPr="00853EB9" w:rsidRDefault="00193978" w:rsidP="007976CE">
            <w:pPr>
              <w:rPr>
                <w:rFonts w:ascii="Calibri" w:hAnsi="Calibri" w:cs="Calibri"/>
                <w:b/>
                <w:bCs/>
                <w:color w:val="FFFFFF"/>
                <w:sz w:val="16"/>
                <w:szCs w:val="16"/>
              </w:rPr>
            </w:pPr>
          </w:p>
        </w:tc>
      </w:tr>
      <w:tr w:rsidR="00193978" w:rsidRPr="00853EB9" w14:paraId="40E5160D" w14:textId="77777777" w:rsidTr="00193978">
        <w:trPr>
          <w:trHeight w:val="399"/>
          <w:jc w:val="center"/>
        </w:trPr>
        <w:tc>
          <w:tcPr>
            <w:tcW w:w="1569" w:type="dxa"/>
            <w:tcBorders>
              <w:top w:val="nil"/>
              <w:left w:val="single" w:sz="8" w:space="0" w:color="4BACC6"/>
              <w:bottom w:val="nil"/>
              <w:right w:val="nil"/>
            </w:tcBorders>
            <w:shd w:val="clear" w:color="000000" w:fill="FFFFFF"/>
            <w:vAlign w:val="center"/>
            <w:hideMark/>
          </w:tcPr>
          <w:p w14:paraId="206118E1" w14:textId="77777777" w:rsidR="00193978" w:rsidRPr="00853EB9" w:rsidRDefault="00193978" w:rsidP="007976CE">
            <w:pPr>
              <w:rPr>
                <w:rFonts w:ascii="Calibri" w:hAnsi="Calibri" w:cs="Calibri"/>
                <w:b/>
                <w:bCs/>
                <w:color w:val="000000"/>
                <w:sz w:val="16"/>
                <w:szCs w:val="16"/>
              </w:rPr>
            </w:pPr>
            <w:r w:rsidRPr="00853EB9">
              <w:rPr>
                <w:rFonts w:ascii="Calibri" w:hAnsi="Calibri" w:cs="Calibri"/>
                <w:b/>
                <w:bCs/>
                <w:color w:val="000000"/>
                <w:sz w:val="16"/>
                <w:szCs w:val="16"/>
              </w:rPr>
              <w:t>TVSH TOTAL</w:t>
            </w:r>
          </w:p>
        </w:tc>
        <w:tc>
          <w:tcPr>
            <w:tcW w:w="774" w:type="dxa"/>
            <w:tcBorders>
              <w:top w:val="nil"/>
              <w:left w:val="nil"/>
              <w:bottom w:val="nil"/>
              <w:right w:val="nil"/>
            </w:tcBorders>
            <w:shd w:val="clear" w:color="000000" w:fill="FFFFFF"/>
            <w:vAlign w:val="center"/>
            <w:hideMark/>
          </w:tcPr>
          <w:p w14:paraId="48044216"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75,943</w:t>
            </w:r>
          </w:p>
        </w:tc>
        <w:tc>
          <w:tcPr>
            <w:tcW w:w="1183" w:type="dxa"/>
            <w:tcBorders>
              <w:top w:val="nil"/>
              <w:left w:val="nil"/>
              <w:bottom w:val="nil"/>
              <w:right w:val="nil"/>
            </w:tcBorders>
            <w:shd w:val="clear" w:color="000000" w:fill="FFFFFF"/>
            <w:vAlign w:val="center"/>
            <w:hideMark/>
          </w:tcPr>
          <w:p w14:paraId="6668115E"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76,829</w:t>
            </w:r>
          </w:p>
        </w:tc>
        <w:tc>
          <w:tcPr>
            <w:tcW w:w="1147" w:type="dxa"/>
            <w:tcBorders>
              <w:top w:val="nil"/>
              <w:left w:val="nil"/>
              <w:bottom w:val="nil"/>
              <w:right w:val="nil"/>
            </w:tcBorders>
            <w:shd w:val="clear" w:color="000000" w:fill="FFFFFF"/>
            <w:vAlign w:val="center"/>
            <w:hideMark/>
          </w:tcPr>
          <w:p w14:paraId="416F3903"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76,454</w:t>
            </w:r>
          </w:p>
        </w:tc>
        <w:tc>
          <w:tcPr>
            <w:tcW w:w="1113" w:type="dxa"/>
            <w:tcBorders>
              <w:top w:val="nil"/>
              <w:left w:val="nil"/>
              <w:bottom w:val="nil"/>
              <w:right w:val="nil"/>
            </w:tcBorders>
            <w:shd w:val="clear" w:color="000000" w:fill="FFFFFF"/>
            <w:vAlign w:val="center"/>
            <w:hideMark/>
          </w:tcPr>
          <w:p w14:paraId="62EAF736"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886</w:t>
            </w:r>
          </w:p>
        </w:tc>
        <w:tc>
          <w:tcPr>
            <w:tcW w:w="1260" w:type="dxa"/>
            <w:tcBorders>
              <w:top w:val="nil"/>
              <w:left w:val="nil"/>
              <w:bottom w:val="nil"/>
              <w:right w:val="nil"/>
            </w:tcBorders>
            <w:shd w:val="clear" w:color="000000" w:fill="FFFFFF"/>
            <w:vAlign w:val="center"/>
            <w:hideMark/>
          </w:tcPr>
          <w:p w14:paraId="6B1ACBA0"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1.2%</w:t>
            </w:r>
          </w:p>
        </w:tc>
        <w:tc>
          <w:tcPr>
            <w:tcW w:w="1423" w:type="dxa"/>
            <w:tcBorders>
              <w:top w:val="nil"/>
              <w:left w:val="nil"/>
              <w:bottom w:val="nil"/>
              <w:right w:val="nil"/>
            </w:tcBorders>
            <w:shd w:val="clear" w:color="000000" w:fill="FFFFFF"/>
            <w:vAlign w:val="center"/>
            <w:hideMark/>
          </w:tcPr>
          <w:p w14:paraId="7E02A05F"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375</w:t>
            </w:r>
          </w:p>
        </w:tc>
        <w:tc>
          <w:tcPr>
            <w:tcW w:w="1259" w:type="dxa"/>
            <w:tcBorders>
              <w:top w:val="nil"/>
              <w:left w:val="nil"/>
              <w:bottom w:val="nil"/>
              <w:right w:val="single" w:sz="8" w:space="0" w:color="4BACC6"/>
            </w:tcBorders>
            <w:shd w:val="clear" w:color="000000" w:fill="FFFFFF"/>
            <w:vAlign w:val="center"/>
            <w:hideMark/>
          </w:tcPr>
          <w:p w14:paraId="45CF6867"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0.5%</w:t>
            </w:r>
          </w:p>
        </w:tc>
      </w:tr>
      <w:tr w:rsidR="00193978" w:rsidRPr="00853EB9" w14:paraId="38801054" w14:textId="77777777" w:rsidTr="00193978">
        <w:trPr>
          <w:trHeight w:val="282"/>
          <w:jc w:val="center"/>
        </w:trPr>
        <w:tc>
          <w:tcPr>
            <w:tcW w:w="1569" w:type="dxa"/>
            <w:tcBorders>
              <w:top w:val="single" w:sz="8" w:space="0" w:color="4BACC6"/>
              <w:left w:val="single" w:sz="8" w:space="0" w:color="4BACC6"/>
              <w:bottom w:val="single" w:sz="8" w:space="0" w:color="4BACC6"/>
              <w:right w:val="nil"/>
            </w:tcBorders>
            <w:shd w:val="clear" w:color="000000" w:fill="FFFFFF"/>
            <w:vAlign w:val="center"/>
            <w:hideMark/>
          </w:tcPr>
          <w:p w14:paraId="2F8BDA5F" w14:textId="77777777" w:rsidR="00193978" w:rsidRPr="00853EB9" w:rsidRDefault="00193978" w:rsidP="007976CE">
            <w:pPr>
              <w:rPr>
                <w:rFonts w:ascii="Calibri" w:hAnsi="Calibri" w:cs="Calibri"/>
                <w:b/>
                <w:bCs/>
                <w:i/>
                <w:iCs/>
                <w:color w:val="000000"/>
                <w:sz w:val="16"/>
                <w:szCs w:val="16"/>
              </w:rPr>
            </w:pPr>
            <w:r w:rsidRPr="00853EB9">
              <w:rPr>
                <w:rFonts w:ascii="Calibri" w:hAnsi="Calibri" w:cs="Calibri"/>
                <w:b/>
                <w:bCs/>
                <w:i/>
                <w:iCs/>
                <w:color w:val="000000"/>
                <w:sz w:val="16"/>
                <w:szCs w:val="16"/>
              </w:rPr>
              <w:t xml:space="preserve">Tvsh në import </w:t>
            </w:r>
          </w:p>
        </w:tc>
        <w:tc>
          <w:tcPr>
            <w:tcW w:w="774" w:type="dxa"/>
            <w:tcBorders>
              <w:top w:val="single" w:sz="8" w:space="0" w:color="4BACC6"/>
              <w:left w:val="nil"/>
              <w:bottom w:val="single" w:sz="8" w:space="0" w:color="4BACC6"/>
              <w:right w:val="nil"/>
            </w:tcBorders>
            <w:shd w:val="clear" w:color="000000" w:fill="FFFFFF"/>
            <w:vAlign w:val="center"/>
            <w:hideMark/>
          </w:tcPr>
          <w:p w14:paraId="23454CB3"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59,299</w:t>
            </w:r>
          </w:p>
        </w:tc>
        <w:tc>
          <w:tcPr>
            <w:tcW w:w="1183" w:type="dxa"/>
            <w:tcBorders>
              <w:top w:val="single" w:sz="8" w:space="0" w:color="4BACC6"/>
              <w:left w:val="nil"/>
              <w:bottom w:val="single" w:sz="8" w:space="0" w:color="4BACC6"/>
              <w:right w:val="nil"/>
            </w:tcBorders>
            <w:shd w:val="clear" w:color="000000" w:fill="FFFFFF"/>
            <w:vAlign w:val="center"/>
            <w:hideMark/>
          </w:tcPr>
          <w:p w14:paraId="349C2EDE"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58,181</w:t>
            </w:r>
          </w:p>
        </w:tc>
        <w:tc>
          <w:tcPr>
            <w:tcW w:w="1147" w:type="dxa"/>
            <w:tcBorders>
              <w:top w:val="single" w:sz="8" w:space="0" w:color="4BACC6"/>
              <w:left w:val="nil"/>
              <w:bottom w:val="single" w:sz="8" w:space="0" w:color="4BACC6"/>
              <w:right w:val="nil"/>
            </w:tcBorders>
            <w:shd w:val="clear" w:color="000000" w:fill="FFFFFF"/>
            <w:vAlign w:val="center"/>
            <w:hideMark/>
          </w:tcPr>
          <w:p w14:paraId="66BECB32"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58,003</w:t>
            </w:r>
          </w:p>
        </w:tc>
        <w:tc>
          <w:tcPr>
            <w:tcW w:w="1113" w:type="dxa"/>
            <w:tcBorders>
              <w:top w:val="single" w:sz="8" w:space="0" w:color="4BACC6"/>
              <w:left w:val="nil"/>
              <w:bottom w:val="single" w:sz="8" w:space="0" w:color="4BACC6"/>
              <w:right w:val="nil"/>
            </w:tcBorders>
            <w:shd w:val="clear" w:color="000000" w:fill="FFFFFF"/>
            <w:vAlign w:val="center"/>
            <w:hideMark/>
          </w:tcPr>
          <w:p w14:paraId="4086211E"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-1,118</w:t>
            </w:r>
          </w:p>
        </w:tc>
        <w:tc>
          <w:tcPr>
            <w:tcW w:w="1260" w:type="dxa"/>
            <w:tcBorders>
              <w:top w:val="single" w:sz="8" w:space="0" w:color="4BACC6"/>
              <w:left w:val="nil"/>
              <w:bottom w:val="single" w:sz="8" w:space="0" w:color="4BACC6"/>
              <w:right w:val="nil"/>
            </w:tcBorders>
            <w:shd w:val="clear" w:color="000000" w:fill="FFFFFF"/>
            <w:vAlign w:val="center"/>
            <w:hideMark/>
          </w:tcPr>
          <w:p w14:paraId="74B16193"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-1.9%</w:t>
            </w:r>
          </w:p>
        </w:tc>
        <w:tc>
          <w:tcPr>
            <w:tcW w:w="1423" w:type="dxa"/>
            <w:tcBorders>
              <w:top w:val="single" w:sz="8" w:space="0" w:color="4BACC6"/>
              <w:left w:val="nil"/>
              <w:bottom w:val="single" w:sz="8" w:space="0" w:color="4BACC6"/>
              <w:right w:val="nil"/>
            </w:tcBorders>
            <w:shd w:val="clear" w:color="000000" w:fill="FFFFFF"/>
            <w:vAlign w:val="center"/>
            <w:hideMark/>
          </w:tcPr>
          <w:p w14:paraId="53F930E6"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178</w:t>
            </w:r>
          </w:p>
        </w:tc>
        <w:tc>
          <w:tcPr>
            <w:tcW w:w="1259" w:type="dxa"/>
            <w:tcBorders>
              <w:top w:val="single" w:sz="8" w:space="0" w:color="4BACC6"/>
              <w:left w:val="nil"/>
              <w:bottom w:val="single" w:sz="8" w:space="0" w:color="4BACC6"/>
              <w:right w:val="single" w:sz="8" w:space="0" w:color="4BACC6"/>
            </w:tcBorders>
            <w:shd w:val="clear" w:color="000000" w:fill="FFFFFF"/>
            <w:vAlign w:val="center"/>
            <w:hideMark/>
          </w:tcPr>
          <w:p w14:paraId="19D5C1FF"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0.3%</w:t>
            </w:r>
          </w:p>
        </w:tc>
      </w:tr>
      <w:tr w:rsidR="00193978" w:rsidRPr="00853EB9" w14:paraId="1C754450" w14:textId="77777777" w:rsidTr="00193978">
        <w:trPr>
          <w:trHeight w:val="430"/>
          <w:jc w:val="center"/>
        </w:trPr>
        <w:tc>
          <w:tcPr>
            <w:tcW w:w="1569" w:type="dxa"/>
            <w:tcBorders>
              <w:top w:val="nil"/>
              <w:left w:val="single" w:sz="8" w:space="0" w:color="4BACC6"/>
              <w:bottom w:val="nil"/>
              <w:right w:val="nil"/>
            </w:tcBorders>
            <w:shd w:val="clear" w:color="000000" w:fill="FFFFFF"/>
            <w:vAlign w:val="center"/>
            <w:hideMark/>
          </w:tcPr>
          <w:p w14:paraId="23FF454D" w14:textId="77777777" w:rsidR="00193978" w:rsidRPr="00853EB9" w:rsidRDefault="00193978" w:rsidP="007976CE">
            <w:pPr>
              <w:rPr>
                <w:rFonts w:ascii="Calibri" w:hAnsi="Calibri" w:cs="Calibri"/>
                <w:b/>
                <w:bCs/>
                <w:i/>
                <w:iCs/>
                <w:color w:val="000000"/>
                <w:sz w:val="16"/>
                <w:szCs w:val="16"/>
              </w:rPr>
            </w:pPr>
            <w:r w:rsidRPr="00853EB9">
              <w:rPr>
                <w:rFonts w:ascii="Calibri" w:hAnsi="Calibri" w:cs="Calibri"/>
                <w:b/>
                <w:bCs/>
                <w:i/>
                <w:iCs/>
                <w:color w:val="000000"/>
                <w:sz w:val="16"/>
                <w:szCs w:val="16"/>
              </w:rPr>
              <w:t>Tvsh brenda vendit</w:t>
            </w:r>
          </w:p>
        </w:tc>
        <w:tc>
          <w:tcPr>
            <w:tcW w:w="774" w:type="dxa"/>
            <w:tcBorders>
              <w:top w:val="nil"/>
              <w:left w:val="nil"/>
              <w:bottom w:val="nil"/>
              <w:right w:val="nil"/>
            </w:tcBorders>
            <w:shd w:val="clear" w:color="000000" w:fill="FFFFFF"/>
            <w:vAlign w:val="center"/>
            <w:hideMark/>
          </w:tcPr>
          <w:p w14:paraId="13126C33"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16,644</w:t>
            </w:r>
          </w:p>
        </w:tc>
        <w:tc>
          <w:tcPr>
            <w:tcW w:w="1183" w:type="dxa"/>
            <w:tcBorders>
              <w:top w:val="nil"/>
              <w:left w:val="nil"/>
              <w:bottom w:val="nil"/>
              <w:right w:val="nil"/>
            </w:tcBorders>
            <w:shd w:val="clear" w:color="000000" w:fill="FFFFFF"/>
            <w:vAlign w:val="center"/>
            <w:hideMark/>
          </w:tcPr>
          <w:p w14:paraId="44CD901B"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18,647</w:t>
            </w:r>
          </w:p>
        </w:tc>
        <w:tc>
          <w:tcPr>
            <w:tcW w:w="1147" w:type="dxa"/>
            <w:tcBorders>
              <w:top w:val="nil"/>
              <w:left w:val="nil"/>
              <w:bottom w:val="nil"/>
              <w:right w:val="nil"/>
            </w:tcBorders>
            <w:shd w:val="clear" w:color="000000" w:fill="FFFFFF"/>
            <w:vAlign w:val="center"/>
            <w:hideMark/>
          </w:tcPr>
          <w:p w14:paraId="1D1E42C3"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18,451</w:t>
            </w:r>
          </w:p>
        </w:tc>
        <w:tc>
          <w:tcPr>
            <w:tcW w:w="1113" w:type="dxa"/>
            <w:tcBorders>
              <w:top w:val="nil"/>
              <w:left w:val="nil"/>
              <w:bottom w:val="single" w:sz="8" w:space="0" w:color="4BACC6"/>
              <w:right w:val="nil"/>
            </w:tcBorders>
            <w:shd w:val="clear" w:color="000000" w:fill="FFFFFF"/>
            <w:vAlign w:val="center"/>
            <w:hideMark/>
          </w:tcPr>
          <w:p w14:paraId="2CF3FC59"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2,003</w:t>
            </w:r>
          </w:p>
        </w:tc>
        <w:tc>
          <w:tcPr>
            <w:tcW w:w="1260" w:type="dxa"/>
            <w:tcBorders>
              <w:top w:val="nil"/>
              <w:left w:val="nil"/>
              <w:bottom w:val="single" w:sz="8" w:space="0" w:color="4BACC6"/>
              <w:right w:val="nil"/>
            </w:tcBorders>
            <w:shd w:val="clear" w:color="000000" w:fill="FFFFFF"/>
            <w:vAlign w:val="center"/>
            <w:hideMark/>
          </w:tcPr>
          <w:p w14:paraId="27249D14"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12%</w:t>
            </w:r>
          </w:p>
        </w:tc>
        <w:tc>
          <w:tcPr>
            <w:tcW w:w="1423" w:type="dxa"/>
            <w:tcBorders>
              <w:top w:val="nil"/>
              <w:left w:val="nil"/>
              <w:bottom w:val="single" w:sz="8" w:space="0" w:color="4BACC6"/>
              <w:right w:val="nil"/>
            </w:tcBorders>
            <w:shd w:val="clear" w:color="000000" w:fill="FFFFFF"/>
            <w:vAlign w:val="center"/>
            <w:hideMark/>
          </w:tcPr>
          <w:p w14:paraId="42AACB54"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196</w:t>
            </w:r>
          </w:p>
        </w:tc>
        <w:tc>
          <w:tcPr>
            <w:tcW w:w="1259" w:type="dxa"/>
            <w:tcBorders>
              <w:top w:val="nil"/>
              <w:left w:val="nil"/>
              <w:bottom w:val="single" w:sz="8" w:space="0" w:color="4BACC6"/>
              <w:right w:val="single" w:sz="8" w:space="0" w:color="4BACC6"/>
            </w:tcBorders>
            <w:shd w:val="clear" w:color="000000" w:fill="FFFFFF"/>
            <w:vAlign w:val="center"/>
            <w:hideMark/>
          </w:tcPr>
          <w:p w14:paraId="2D471ECC"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1.1%</w:t>
            </w:r>
          </w:p>
        </w:tc>
      </w:tr>
      <w:tr w:rsidR="00193978" w:rsidRPr="00853EB9" w14:paraId="5483019E" w14:textId="77777777" w:rsidTr="00193978">
        <w:trPr>
          <w:trHeight w:val="271"/>
          <w:jc w:val="center"/>
        </w:trPr>
        <w:tc>
          <w:tcPr>
            <w:tcW w:w="1569" w:type="dxa"/>
            <w:tcBorders>
              <w:top w:val="single" w:sz="8" w:space="0" w:color="4BACC6"/>
              <w:left w:val="single" w:sz="8" w:space="0" w:color="4BACC6"/>
              <w:bottom w:val="single" w:sz="8" w:space="0" w:color="4BACC6"/>
              <w:right w:val="nil"/>
            </w:tcBorders>
            <w:shd w:val="clear" w:color="000000" w:fill="FFFFFF"/>
            <w:vAlign w:val="center"/>
            <w:hideMark/>
          </w:tcPr>
          <w:p w14:paraId="59CA807C" w14:textId="77777777" w:rsidR="00193978" w:rsidRPr="00853EB9" w:rsidRDefault="00193978" w:rsidP="007976CE">
            <w:pPr>
              <w:rPr>
                <w:rFonts w:ascii="Calibri" w:hAnsi="Calibri" w:cs="Calibri"/>
                <w:b/>
                <w:bCs/>
                <w:color w:val="000000"/>
                <w:sz w:val="16"/>
                <w:szCs w:val="16"/>
              </w:rPr>
            </w:pPr>
            <w:r w:rsidRPr="00853EB9">
              <w:rPr>
                <w:rFonts w:ascii="Calibri" w:hAnsi="Calibri" w:cs="Calibri"/>
                <w:b/>
                <w:bCs/>
                <w:color w:val="000000"/>
                <w:sz w:val="16"/>
                <w:szCs w:val="16"/>
              </w:rPr>
              <w:t>Rimbursim TVSH</w:t>
            </w:r>
          </w:p>
        </w:tc>
        <w:tc>
          <w:tcPr>
            <w:tcW w:w="774" w:type="dxa"/>
            <w:tcBorders>
              <w:top w:val="single" w:sz="8" w:space="0" w:color="4BACC6"/>
              <w:left w:val="nil"/>
              <w:bottom w:val="single" w:sz="8" w:space="0" w:color="4BACC6"/>
              <w:right w:val="nil"/>
            </w:tcBorders>
            <w:shd w:val="clear" w:color="000000" w:fill="FFFFFF"/>
            <w:vAlign w:val="center"/>
            <w:hideMark/>
          </w:tcPr>
          <w:p w14:paraId="48B00391"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5,580</w:t>
            </w:r>
          </w:p>
        </w:tc>
        <w:tc>
          <w:tcPr>
            <w:tcW w:w="1183" w:type="dxa"/>
            <w:tcBorders>
              <w:top w:val="single" w:sz="8" w:space="0" w:color="4BACC6"/>
              <w:left w:val="nil"/>
              <w:bottom w:val="single" w:sz="8" w:space="0" w:color="4BACC6"/>
              <w:right w:val="nil"/>
            </w:tcBorders>
            <w:shd w:val="clear" w:color="000000" w:fill="FFFFFF"/>
            <w:vAlign w:val="center"/>
            <w:hideMark/>
          </w:tcPr>
          <w:p w14:paraId="2385A872"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7,564</w:t>
            </w:r>
          </w:p>
        </w:tc>
        <w:tc>
          <w:tcPr>
            <w:tcW w:w="1147" w:type="dxa"/>
            <w:tcBorders>
              <w:top w:val="single" w:sz="8" w:space="0" w:color="4BACC6"/>
              <w:left w:val="nil"/>
              <w:bottom w:val="single" w:sz="8" w:space="0" w:color="4BACC6"/>
              <w:right w:val="nil"/>
            </w:tcBorders>
            <w:shd w:val="clear" w:color="000000" w:fill="FFFFFF"/>
            <w:vAlign w:val="center"/>
            <w:hideMark/>
          </w:tcPr>
          <w:p w14:paraId="599BDDED"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6,900</w:t>
            </w:r>
          </w:p>
        </w:tc>
        <w:tc>
          <w:tcPr>
            <w:tcW w:w="1113" w:type="dxa"/>
            <w:tcBorders>
              <w:top w:val="nil"/>
              <w:left w:val="nil"/>
              <w:bottom w:val="single" w:sz="8" w:space="0" w:color="4BACC6"/>
              <w:right w:val="nil"/>
            </w:tcBorders>
            <w:shd w:val="clear" w:color="000000" w:fill="FFFFFF"/>
            <w:vAlign w:val="center"/>
            <w:hideMark/>
          </w:tcPr>
          <w:p w14:paraId="4B9DB5FF"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1,984</w:t>
            </w:r>
          </w:p>
        </w:tc>
        <w:tc>
          <w:tcPr>
            <w:tcW w:w="1260" w:type="dxa"/>
            <w:tcBorders>
              <w:top w:val="nil"/>
              <w:left w:val="nil"/>
              <w:bottom w:val="single" w:sz="8" w:space="0" w:color="4BACC6"/>
              <w:right w:val="nil"/>
            </w:tcBorders>
            <w:shd w:val="clear" w:color="000000" w:fill="FFFFFF"/>
            <w:vAlign w:val="center"/>
            <w:hideMark/>
          </w:tcPr>
          <w:p w14:paraId="7C5BDCDD"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35.6%</w:t>
            </w:r>
          </w:p>
        </w:tc>
        <w:tc>
          <w:tcPr>
            <w:tcW w:w="1423" w:type="dxa"/>
            <w:tcBorders>
              <w:top w:val="nil"/>
              <w:left w:val="nil"/>
              <w:bottom w:val="single" w:sz="8" w:space="0" w:color="4BACC6"/>
              <w:right w:val="nil"/>
            </w:tcBorders>
            <w:shd w:val="clear" w:color="000000" w:fill="FFFFFF"/>
            <w:vAlign w:val="center"/>
            <w:hideMark/>
          </w:tcPr>
          <w:p w14:paraId="6B34F355"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664</w:t>
            </w:r>
          </w:p>
        </w:tc>
        <w:tc>
          <w:tcPr>
            <w:tcW w:w="1259" w:type="dxa"/>
            <w:tcBorders>
              <w:top w:val="nil"/>
              <w:left w:val="nil"/>
              <w:bottom w:val="single" w:sz="8" w:space="0" w:color="4BACC6"/>
              <w:right w:val="single" w:sz="8" w:space="0" w:color="4BACC6"/>
            </w:tcBorders>
            <w:shd w:val="clear" w:color="000000" w:fill="FFFFFF"/>
            <w:vAlign w:val="center"/>
            <w:hideMark/>
          </w:tcPr>
          <w:p w14:paraId="6967F731"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9.6%</w:t>
            </w:r>
          </w:p>
        </w:tc>
      </w:tr>
      <w:tr w:rsidR="00193978" w:rsidRPr="00853EB9" w14:paraId="7F474FC2" w14:textId="77777777" w:rsidTr="00193978">
        <w:trPr>
          <w:trHeight w:val="191"/>
          <w:jc w:val="center"/>
        </w:trPr>
        <w:tc>
          <w:tcPr>
            <w:tcW w:w="1569" w:type="dxa"/>
            <w:tcBorders>
              <w:top w:val="nil"/>
              <w:left w:val="single" w:sz="8" w:space="0" w:color="4BACC6"/>
              <w:bottom w:val="nil"/>
              <w:right w:val="nil"/>
            </w:tcBorders>
            <w:shd w:val="clear" w:color="000000" w:fill="FFFFFF"/>
            <w:vAlign w:val="center"/>
            <w:hideMark/>
          </w:tcPr>
          <w:p w14:paraId="40E1FD0A" w14:textId="77777777" w:rsidR="00193978" w:rsidRPr="00853EB9" w:rsidRDefault="00193978" w:rsidP="007976CE">
            <w:pPr>
              <w:rPr>
                <w:rFonts w:ascii="Calibri" w:hAnsi="Calibri" w:cs="Calibri"/>
                <w:b/>
                <w:bCs/>
                <w:color w:val="000000"/>
                <w:sz w:val="16"/>
                <w:szCs w:val="16"/>
              </w:rPr>
            </w:pPr>
            <w:r w:rsidRPr="00853EB9">
              <w:rPr>
                <w:rFonts w:ascii="Calibri" w:hAnsi="Calibri" w:cs="Calibri"/>
                <w:b/>
                <w:bCs/>
                <w:color w:val="000000"/>
                <w:sz w:val="16"/>
                <w:szCs w:val="16"/>
              </w:rPr>
              <w:t>Tatimi mbi fitimin</w:t>
            </w:r>
          </w:p>
        </w:tc>
        <w:tc>
          <w:tcPr>
            <w:tcW w:w="774" w:type="dxa"/>
            <w:tcBorders>
              <w:top w:val="nil"/>
              <w:left w:val="nil"/>
              <w:bottom w:val="nil"/>
              <w:right w:val="nil"/>
            </w:tcBorders>
            <w:shd w:val="clear" w:color="000000" w:fill="FFFFFF"/>
            <w:vAlign w:val="center"/>
            <w:hideMark/>
          </w:tcPr>
          <w:p w14:paraId="38B53F07"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20,765</w:t>
            </w:r>
          </w:p>
        </w:tc>
        <w:tc>
          <w:tcPr>
            <w:tcW w:w="1183" w:type="dxa"/>
            <w:tcBorders>
              <w:top w:val="nil"/>
              <w:left w:val="nil"/>
              <w:bottom w:val="nil"/>
              <w:right w:val="nil"/>
            </w:tcBorders>
            <w:shd w:val="clear" w:color="000000" w:fill="FFFFFF"/>
            <w:vAlign w:val="center"/>
            <w:hideMark/>
          </w:tcPr>
          <w:p w14:paraId="1C3FB395"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29,262</w:t>
            </w:r>
          </w:p>
        </w:tc>
        <w:tc>
          <w:tcPr>
            <w:tcW w:w="1147" w:type="dxa"/>
            <w:tcBorders>
              <w:top w:val="nil"/>
              <w:left w:val="nil"/>
              <w:bottom w:val="nil"/>
              <w:right w:val="nil"/>
            </w:tcBorders>
            <w:shd w:val="clear" w:color="000000" w:fill="FFFFFF"/>
            <w:vAlign w:val="center"/>
            <w:hideMark/>
          </w:tcPr>
          <w:p w14:paraId="52D90BE8"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22,044</w:t>
            </w:r>
          </w:p>
        </w:tc>
        <w:tc>
          <w:tcPr>
            <w:tcW w:w="1113" w:type="dxa"/>
            <w:tcBorders>
              <w:top w:val="nil"/>
              <w:left w:val="nil"/>
              <w:bottom w:val="single" w:sz="8" w:space="0" w:color="4BACC6"/>
              <w:right w:val="nil"/>
            </w:tcBorders>
            <w:shd w:val="clear" w:color="000000" w:fill="FFFFFF"/>
            <w:vAlign w:val="center"/>
            <w:hideMark/>
          </w:tcPr>
          <w:p w14:paraId="6BAAA6A2"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8,497</w:t>
            </w:r>
          </w:p>
        </w:tc>
        <w:tc>
          <w:tcPr>
            <w:tcW w:w="1260" w:type="dxa"/>
            <w:tcBorders>
              <w:top w:val="nil"/>
              <w:left w:val="nil"/>
              <w:bottom w:val="single" w:sz="8" w:space="0" w:color="4BACC6"/>
              <w:right w:val="nil"/>
            </w:tcBorders>
            <w:shd w:val="clear" w:color="000000" w:fill="FFFFFF"/>
            <w:vAlign w:val="center"/>
            <w:hideMark/>
          </w:tcPr>
          <w:p w14:paraId="0CC78F83"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40.9%</w:t>
            </w:r>
          </w:p>
        </w:tc>
        <w:tc>
          <w:tcPr>
            <w:tcW w:w="1423" w:type="dxa"/>
            <w:tcBorders>
              <w:top w:val="nil"/>
              <w:left w:val="nil"/>
              <w:bottom w:val="single" w:sz="8" w:space="0" w:color="4BACC6"/>
              <w:right w:val="nil"/>
            </w:tcBorders>
            <w:shd w:val="clear" w:color="000000" w:fill="FFFFFF"/>
            <w:vAlign w:val="center"/>
            <w:hideMark/>
          </w:tcPr>
          <w:p w14:paraId="5ED95567"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7,218</w:t>
            </w:r>
          </w:p>
        </w:tc>
        <w:tc>
          <w:tcPr>
            <w:tcW w:w="1259" w:type="dxa"/>
            <w:tcBorders>
              <w:top w:val="nil"/>
              <w:left w:val="nil"/>
              <w:bottom w:val="single" w:sz="8" w:space="0" w:color="4BACC6"/>
              <w:right w:val="single" w:sz="8" w:space="0" w:color="4BACC6"/>
            </w:tcBorders>
            <w:shd w:val="clear" w:color="000000" w:fill="FFFFFF"/>
            <w:vAlign w:val="center"/>
            <w:hideMark/>
          </w:tcPr>
          <w:p w14:paraId="52AE2ED4"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32.7%</w:t>
            </w:r>
          </w:p>
        </w:tc>
      </w:tr>
      <w:tr w:rsidR="00193978" w:rsidRPr="00853EB9" w14:paraId="45CF956F" w14:textId="77777777" w:rsidTr="00193978">
        <w:trPr>
          <w:trHeight w:val="157"/>
          <w:jc w:val="center"/>
        </w:trPr>
        <w:tc>
          <w:tcPr>
            <w:tcW w:w="1569" w:type="dxa"/>
            <w:tcBorders>
              <w:top w:val="single" w:sz="8" w:space="0" w:color="4BACC6"/>
              <w:left w:val="single" w:sz="8" w:space="0" w:color="4BACC6"/>
              <w:bottom w:val="single" w:sz="8" w:space="0" w:color="4BACC6"/>
              <w:right w:val="nil"/>
            </w:tcBorders>
            <w:shd w:val="clear" w:color="000000" w:fill="FFFFFF"/>
            <w:vAlign w:val="center"/>
            <w:hideMark/>
          </w:tcPr>
          <w:p w14:paraId="6DCBB006" w14:textId="77777777" w:rsidR="00193978" w:rsidRPr="00853EB9" w:rsidRDefault="00193978" w:rsidP="007976CE">
            <w:pPr>
              <w:rPr>
                <w:rFonts w:ascii="Calibri" w:hAnsi="Calibri" w:cs="Calibri"/>
                <w:b/>
                <w:bCs/>
                <w:color w:val="000000"/>
                <w:sz w:val="16"/>
                <w:szCs w:val="16"/>
              </w:rPr>
            </w:pPr>
            <w:r w:rsidRPr="00853EB9">
              <w:rPr>
                <w:rFonts w:ascii="Calibri" w:hAnsi="Calibri" w:cs="Calibri"/>
                <w:b/>
                <w:bCs/>
                <w:color w:val="000000"/>
                <w:sz w:val="16"/>
                <w:szCs w:val="16"/>
              </w:rPr>
              <w:t xml:space="preserve">Akciza </w:t>
            </w:r>
          </w:p>
        </w:tc>
        <w:tc>
          <w:tcPr>
            <w:tcW w:w="774" w:type="dxa"/>
            <w:tcBorders>
              <w:top w:val="single" w:sz="8" w:space="0" w:color="4BACC6"/>
              <w:left w:val="nil"/>
              <w:bottom w:val="single" w:sz="8" w:space="0" w:color="4BACC6"/>
              <w:right w:val="nil"/>
            </w:tcBorders>
            <w:shd w:val="clear" w:color="000000" w:fill="FFFFFF"/>
            <w:vAlign w:val="center"/>
            <w:hideMark/>
          </w:tcPr>
          <w:p w14:paraId="3A2CBB69"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19,476</w:t>
            </w:r>
          </w:p>
        </w:tc>
        <w:tc>
          <w:tcPr>
            <w:tcW w:w="1183" w:type="dxa"/>
            <w:tcBorders>
              <w:top w:val="single" w:sz="8" w:space="0" w:color="4BACC6"/>
              <w:left w:val="nil"/>
              <w:bottom w:val="single" w:sz="8" w:space="0" w:color="4BACC6"/>
              <w:right w:val="nil"/>
            </w:tcBorders>
            <w:shd w:val="clear" w:color="000000" w:fill="FFFFFF"/>
            <w:vAlign w:val="center"/>
            <w:hideMark/>
          </w:tcPr>
          <w:p w14:paraId="611E6DE7"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21,134</w:t>
            </w:r>
          </w:p>
        </w:tc>
        <w:tc>
          <w:tcPr>
            <w:tcW w:w="1147" w:type="dxa"/>
            <w:tcBorders>
              <w:top w:val="single" w:sz="8" w:space="0" w:color="4BACC6"/>
              <w:left w:val="nil"/>
              <w:bottom w:val="single" w:sz="8" w:space="0" w:color="4BACC6"/>
              <w:right w:val="nil"/>
            </w:tcBorders>
            <w:shd w:val="clear" w:color="000000" w:fill="FFFFFF"/>
            <w:vAlign w:val="center"/>
            <w:hideMark/>
          </w:tcPr>
          <w:p w14:paraId="676B310D"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21,751</w:t>
            </w:r>
          </w:p>
        </w:tc>
        <w:tc>
          <w:tcPr>
            <w:tcW w:w="1113" w:type="dxa"/>
            <w:tcBorders>
              <w:top w:val="nil"/>
              <w:left w:val="nil"/>
              <w:bottom w:val="single" w:sz="8" w:space="0" w:color="4BACC6"/>
              <w:right w:val="nil"/>
            </w:tcBorders>
            <w:shd w:val="clear" w:color="000000" w:fill="FFFFFF"/>
            <w:vAlign w:val="center"/>
            <w:hideMark/>
          </w:tcPr>
          <w:p w14:paraId="16459C69"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1,658</w:t>
            </w:r>
          </w:p>
        </w:tc>
        <w:tc>
          <w:tcPr>
            <w:tcW w:w="1260" w:type="dxa"/>
            <w:tcBorders>
              <w:top w:val="nil"/>
              <w:left w:val="nil"/>
              <w:bottom w:val="single" w:sz="8" w:space="0" w:color="4BACC6"/>
              <w:right w:val="nil"/>
            </w:tcBorders>
            <w:shd w:val="clear" w:color="000000" w:fill="FFFFFF"/>
            <w:vAlign w:val="center"/>
            <w:hideMark/>
          </w:tcPr>
          <w:p w14:paraId="078E3613"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8.5%</w:t>
            </w:r>
          </w:p>
        </w:tc>
        <w:tc>
          <w:tcPr>
            <w:tcW w:w="1423" w:type="dxa"/>
            <w:tcBorders>
              <w:top w:val="nil"/>
              <w:left w:val="nil"/>
              <w:bottom w:val="single" w:sz="8" w:space="0" w:color="4BACC6"/>
              <w:right w:val="nil"/>
            </w:tcBorders>
            <w:shd w:val="clear" w:color="000000" w:fill="FFFFFF"/>
            <w:vAlign w:val="center"/>
            <w:hideMark/>
          </w:tcPr>
          <w:p w14:paraId="75BD26C7"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-617</w:t>
            </w:r>
          </w:p>
        </w:tc>
        <w:tc>
          <w:tcPr>
            <w:tcW w:w="1259" w:type="dxa"/>
            <w:tcBorders>
              <w:top w:val="nil"/>
              <w:left w:val="nil"/>
              <w:bottom w:val="single" w:sz="8" w:space="0" w:color="4BACC6"/>
              <w:right w:val="single" w:sz="8" w:space="0" w:color="4BACC6"/>
            </w:tcBorders>
            <w:shd w:val="clear" w:color="000000" w:fill="FFFFFF"/>
            <w:vAlign w:val="center"/>
            <w:hideMark/>
          </w:tcPr>
          <w:p w14:paraId="7485A31D"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-2.8%</w:t>
            </w:r>
          </w:p>
        </w:tc>
      </w:tr>
      <w:tr w:rsidR="00193978" w:rsidRPr="00853EB9" w14:paraId="4F4C55E4" w14:textId="77777777" w:rsidTr="00193978">
        <w:trPr>
          <w:trHeight w:val="681"/>
          <w:jc w:val="center"/>
        </w:trPr>
        <w:tc>
          <w:tcPr>
            <w:tcW w:w="1569" w:type="dxa"/>
            <w:tcBorders>
              <w:top w:val="nil"/>
              <w:left w:val="single" w:sz="8" w:space="0" w:color="4BACC6"/>
              <w:bottom w:val="nil"/>
              <w:right w:val="nil"/>
            </w:tcBorders>
            <w:shd w:val="clear" w:color="000000" w:fill="FFFFFF"/>
            <w:vAlign w:val="center"/>
            <w:hideMark/>
          </w:tcPr>
          <w:p w14:paraId="47A48D94" w14:textId="77777777" w:rsidR="00193978" w:rsidRPr="00853EB9" w:rsidRDefault="00193978" w:rsidP="007976CE">
            <w:pPr>
              <w:rPr>
                <w:rFonts w:ascii="Calibri" w:hAnsi="Calibri" w:cs="Calibri"/>
                <w:b/>
                <w:bCs/>
                <w:color w:val="000000"/>
                <w:sz w:val="16"/>
                <w:szCs w:val="16"/>
              </w:rPr>
            </w:pPr>
            <w:r w:rsidRPr="00853EB9">
              <w:rPr>
                <w:rFonts w:ascii="Calibri" w:hAnsi="Calibri" w:cs="Calibri"/>
                <w:b/>
                <w:bCs/>
                <w:color w:val="000000"/>
                <w:sz w:val="16"/>
                <w:szCs w:val="16"/>
              </w:rPr>
              <w:t>Tatimi mbi të ardhurat personale</w:t>
            </w:r>
          </w:p>
        </w:tc>
        <w:tc>
          <w:tcPr>
            <w:tcW w:w="774" w:type="dxa"/>
            <w:tcBorders>
              <w:top w:val="nil"/>
              <w:left w:val="nil"/>
              <w:bottom w:val="nil"/>
              <w:right w:val="nil"/>
            </w:tcBorders>
            <w:shd w:val="clear" w:color="000000" w:fill="FFFFFF"/>
            <w:vAlign w:val="center"/>
            <w:hideMark/>
          </w:tcPr>
          <w:p w14:paraId="0ED840D5"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18,264</w:t>
            </w:r>
          </w:p>
        </w:tc>
        <w:tc>
          <w:tcPr>
            <w:tcW w:w="1183" w:type="dxa"/>
            <w:tcBorders>
              <w:top w:val="nil"/>
              <w:left w:val="nil"/>
              <w:bottom w:val="nil"/>
              <w:right w:val="nil"/>
            </w:tcBorders>
            <w:shd w:val="clear" w:color="000000" w:fill="FFFFFF"/>
            <w:vAlign w:val="center"/>
            <w:hideMark/>
          </w:tcPr>
          <w:p w14:paraId="193BEB98"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22,800</w:t>
            </w:r>
          </w:p>
        </w:tc>
        <w:tc>
          <w:tcPr>
            <w:tcW w:w="1147" w:type="dxa"/>
            <w:tcBorders>
              <w:top w:val="nil"/>
              <w:left w:val="nil"/>
              <w:bottom w:val="nil"/>
              <w:right w:val="nil"/>
            </w:tcBorders>
            <w:shd w:val="clear" w:color="000000" w:fill="FFFFFF"/>
            <w:vAlign w:val="center"/>
            <w:hideMark/>
          </w:tcPr>
          <w:p w14:paraId="2AC9F33F"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20,217</w:t>
            </w:r>
          </w:p>
        </w:tc>
        <w:tc>
          <w:tcPr>
            <w:tcW w:w="1113" w:type="dxa"/>
            <w:tcBorders>
              <w:top w:val="nil"/>
              <w:left w:val="nil"/>
              <w:bottom w:val="single" w:sz="8" w:space="0" w:color="4BACC6"/>
              <w:right w:val="nil"/>
            </w:tcBorders>
            <w:shd w:val="clear" w:color="000000" w:fill="FFFFFF"/>
            <w:vAlign w:val="center"/>
            <w:hideMark/>
          </w:tcPr>
          <w:p w14:paraId="2085873D"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4,536</w:t>
            </w:r>
          </w:p>
        </w:tc>
        <w:tc>
          <w:tcPr>
            <w:tcW w:w="1260" w:type="dxa"/>
            <w:tcBorders>
              <w:top w:val="nil"/>
              <w:left w:val="nil"/>
              <w:bottom w:val="single" w:sz="8" w:space="0" w:color="4BACC6"/>
              <w:right w:val="nil"/>
            </w:tcBorders>
            <w:shd w:val="clear" w:color="000000" w:fill="FFFFFF"/>
            <w:vAlign w:val="center"/>
            <w:hideMark/>
          </w:tcPr>
          <w:p w14:paraId="3DA1F059"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24.8%</w:t>
            </w:r>
          </w:p>
        </w:tc>
        <w:tc>
          <w:tcPr>
            <w:tcW w:w="1423" w:type="dxa"/>
            <w:tcBorders>
              <w:top w:val="nil"/>
              <w:left w:val="nil"/>
              <w:bottom w:val="single" w:sz="8" w:space="0" w:color="4BACC6"/>
              <w:right w:val="nil"/>
            </w:tcBorders>
            <w:shd w:val="clear" w:color="000000" w:fill="FFFFFF"/>
            <w:vAlign w:val="center"/>
            <w:hideMark/>
          </w:tcPr>
          <w:p w14:paraId="088E6139"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2,583</w:t>
            </w:r>
          </w:p>
        </w:tc>
        <w:tc>
          <w:tcPr>
            <w:tcW w:w="1259" w:type="dxa"/>
            <w:tcBorders>
              <w:top w:val="nil"/>
              <w:left w:val="nil"/>
              <w:bottom w:val="single" w:sz="8" w:space="0" w:color="4BACC6"/>
              <w:right w:val="single" w:sz="8" w:space="0" w:color="4BACC6"/>
            </w:tcBorders>
            <w:shd w:val="clear" w:color="000000" w:fill="FFFFFF"/>
            <w:vAlign w:val="center"/>
            <w:hideMark/>
          </w:tcPr>
          <w:p w14:paraId="593487D8"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12.8%</w:t>
            </w:r>
          </w:p>
        </w:tc>
      </w:tr>
      <w:tr w:rsidR="00193978" w:rsidRPr="00853EB9" w14:paraId="687DD08E" w14:textId="77777777" w:rsidTr="00193978">
        <w:trPr>
          <w:trHeight w:val="476"/>
          <w:jc w:val="center"/>
        </w:trPr>
        <w:tc>
          <w:tcPr>
            <w:tcW w:w="1569" w:type="dxa"/>
            <w:tcBorders>
              <w:top w:val="single" w:sz="8" w:space="0" w:color="4BACC6"/>
              <w:left w:val="single" w:sz="8" w:space="0" w:color="4BACC6"/>
              <w:bottom w:val="single" w:sz="8" w:space="0" w:color="4BACC6"/>
              <w:right w:val="nil"/>
            </w:tcBorders>
            <w:shd w:val="clear" w:color="000000" w:fill="FFFFFF"/>
            <w:vAlign w:val="center"/>
            <w:hideMark/>
          </w:tcPr>
          <w:p w14:paraId="3E87DF4C" w14:textId="77777777" w:rsidR="00193978" w:rsidRPr="00853EB9" w:rsidRDefault="00193978" w:rsidP="007976CE">
            <w:pPr>
              <w:rPr>
                <w:rFonts w:ascii="Calibri" w:hAnsi="Calibri" w:cs="Calibri"/>
                <w:b/>
                <w:bCs/>
                <w:color w:val="000000"/>
                <w:sz w:val="16"/>
                <w:szCs w:val="16"/>
              </w:rPr>
            </w:pPr>
            <w:r w:rsidRPr="00853EB9">
              <w:rPr>
                <w:rFonts w:ascii="Calibri" w:hAnsi="Calibri" w:cs="Calibri"/>
                <w:b/>
                <w:bCs/>
                <w:color w:val="000000"/>
                <w:sz w:val="16"/>
                <w:szCs w:val="16"/>
              </w:rPr>
              <w:t>Taksa Nacional dhe të tjera</w:t>
            </w:r>
          </w:p>
        </w:tc>
        <w:tc>
          <w:tcPr>
            <w:tcW w:w="774" w:type="dxa"/>
            <w:tcBorders>
              <w:top w:val="single" w:sz="8" w:space="0" w:color="4BACC6"/>
              <w:left w:val="nil"/>
              <w:bottom w:val="single" w:sz="8" w:space="0" w:color="4BACC6"/>
              <w:right w:val="nil"/>
            </w:tcBorders>
            <w:shd w:val="clear" w:color="000000" w:fill="FFFFFF"/>
            <w:vAlign w:val="center"/>
            <w:hideMark/>
          </w:tcPr>
          <w:p w14:paraId="7D8E4DC8"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19,294</w:t>
            </w:r>
          </w:p>
        </w:tc>
        <w:tc>
          <w:tcPr>
            <w:tcW w:w="1183" w:type="dxa"/>
            <w:tcBorders>
              <w:top w:val="single" w:sz="8" w:space="0" w:color="4BACC6"/>
              <w:left w:val="nil"/>
              <w:bottom w:val="single" w:sz="8" w:space="0" w:color="4BACC6"/>
              <w:right w:val="nil"/>
            </w:tcBorders>
            <w:shd w:val="clear" w:color="000000" w:fill="FFFFFF"/>
            <w:vAlign w:val="center"/>
            <w:hideMark/>
          </w:tcPr>
          <w:p w14:paraId="574AF66E"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15,657</w:t>
            </w:r>
          </w:p>
        </w:tc>
        <w:tc>
          <w:tcPr>
            <w:tcW w:w="1147" w:type="dxa"/>
            <w:tcBorders>
              <w:top w:val="single" w:sz="8" w:space="0" w:color="4BACC6"/>
              <w:left w:val="nil"/>
              <w:bottom w:val="single" w:sz="8" w:space="0" w:color="4BACC6"/>
              <w:right w:val="nil"/>
            </w:tcBorders>
            <w:shd w:val="clear" w:color="000000" w:fill="FFFFFF"/>
            <w:vAlign w:val="center"/>
            <w:hideMark/>
          </w:tcPr>
          <w:p w14:paraId="71DCAEB4"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20,758</w:t>
            </w:r>
          </w:p>
        </w:tc>
        <w:tc>
          <w:tcPr>
            <w:tcW w:w="1113" w:type="dxa"/>
            <w:tcBorders>
              <w:top w:val="nil"/>
              <w:left w:val="nil"/>
              <w:bottom w:val="single" w:sz="8" w:space="0" w:color="4BACC6"/>
              <w:right w:val="nil"/>
            </w:tcBorders>
            <w:shd w:val="clear" w:color="000000" w:fill="FFFFFF"/>
            <w:vAlign w:val="center"/>
            <w:hideMark/>
          </w:tcPr>
          <w:p w14:paraId="3A2719F0"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-3,637</w:t>
            </w:r>
          </w:p>
        </w:tc>
        <w:tc>
          <w:tcPr>
            <w:tcW w:w="1260" w:type="dxa"/>
            <w:tcBorders>
              <w:top w:val="nil"/>
              <w:left w:val="nil"/>
              <w:bottom w:val="single" w:sz="8" w:space="0" w:color="4BACC6"/>
              <w:right w:val="nil"/>
            </w:tcBorders>
            <w:shd w:val="clear" w:color="000000" w:fill="FFFFFF"/>
            <w:vAlign w:val="center"/>
            <w:hideMark/>
          </w:tcPr>
          <w:p w14:paraId="091AF16B"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-18.8%</w:t>
            </w:r>
          </w:p>
        </w:tc>
        <w:tc>
          <w:tcPr>
            <w:tcW w:w="1423" w:type="dxa"/>
            <w:tcBorders>
              <w:top w:val="nil"/>
              <w:left w:val="nil"/>
              <w:bottom w:val="single" w:sz="8" w:space="0" w:color="4BACC6"/>
              <w:right w:val="nil"/>
            </w:tcBorders>
            <w:shd w:val="clear" w:color="000000" w:fill="FFFFFF"/>
            <w:vAlign w:val="center"/>
            <w:hideMark/>
          </w:tcPr>
          <w:p w14:paraId="69AC588E"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-5,101</w:t>
            </w:r>
          </w:p>
        </w:tc>
        <w:tc>
          <w:tcPr>
            <w:tcW w:w="1259" w:type="dxa"/>
            <w:tcBorders>
              <w:top w:val="nil"/>
              <w:left w:val="nil"/>
              <w:bottom w:val="single" w:sz="8" w:space="0" w:color="4BACC6"/>
              <w:right w:val="single" w:sz="8" w:space="0" w:color="4BACC6"/>
            </w:tcBorders>
            <w:shd w:val="clear" w:color="000000" w:fill="FFFFFF"/>
            <w:vAlign w:val="center"/>
            <w:hideMark/>
          </w:tcPr>
          <w:p w14:paraId="13CE32C1"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-24.6%</w:t>
            </w:r>
          </w:p>
        </w:tc>
      </w:tr>
      <w:tr w:rsidR="00193978" w:rsidRPr="00853EB9" w14:paraId="63D1B39E" w14:textId="77777777" w:rsidTr="00193978">
        <w:trPr>
          <w:trHeight w:val="293"/>
          <w:jc w:val="center"/>
        </w:trPr>
        <w:tc>
          <w:tcPr>
            <w:tcW w:w="1569" w:type="dxa"/>
            <w:tcBorders>
              <w:top w:val="nil"/>
              <w:left w:val="single" w:sz="8" w:space="0" w:color="4BACC6"/>
              <w:bottom w:val="nil"/>
              <w:right w:val="nil"/>
            </w:tcBorders>
            <w:shd w:val="clear" w:color="000000" w:fill="FFFFFF"/>
            <w:vAlign w:val="center"/>
            <w:hideMark/>
          </w:tcPr>
          <w:p w14:paraId="3DB6CB80" w14:textId="77777777" w:rsidR="00193978" w:rsidRPr="00853EB9" w:rsidRDefault="00193978" w:rsidP="007976CE">
            <w:pPr>
              <w:rPr>
                <w:rFonts w:ascii="Calibri" w:hAnsi="Calibri" w:cs="Calibri"/>
                <w:b/>
                <w:bCs/>
                <w:i/>
                <w:iCs/>
                <w:color w:val="000000"/>
                <w:sz w:val="16"/>
                <w:szCs w:val="16"/>
              </w:rPr>
            </w:pPr>
            <w:r w:rsidRPr="00853EB9">
              <w:rPr>
                <w:rFonts w:ascii="Calibri" w:hAnsi="Calibri" w:cs="Calibri"/>
                <w:b/>
                <w:bCs/>
                <w:i/>
                <w:iCs/>
                <w:color w:val="000000"/>
                <w:sz w:val="16"/>
                <w:szCs w:val="16"/>
              </w:rPr>
              <w:t>Taksat nacionale</w:t>
            </w:r>
          </w:p>
        </w:tc>
        <w:tc>
          <w:tcPr>
            <w:tcW w:w="774" w:type="dxa"/>
            <w:tcBorders>
              <w:top w:val="nil"/>
              <w:left w:val="nil"/>
              <w:bottom w:val="nil"/>
              <w:right w:val="nil"/>
            </w:tcBorders>
            <w:shd w:val="clear" w:color="000000" w:fill="FFFFFF"/>
            <w:vAlign w:val="center"/>
            <w:hideMark/>
          </w:tcPr>
          <w:p w14:paraId="28A9C744"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17,409</w:t>
            </w:r>
          </w:p>
        </w:tc>
        <w:tc>
          <w:tcPr>
            <w:tcW w:w="1183" w:type="dxa"/>
            <w:tcBorders>
              <w:top w:val="nil"/>
              <w:left w:val="nil"/>
              <w:bottom w:val="nil"/>
              <w:right w:val="nil"/>
            </w:tcBorders>
            <w:shd w:val="clear" w:color="000000" w:fill="FFFFFF"/>
            <w:vAlign w:val="center"/>
            <w:hideMark/>
          </w:tcPr>
          <w:p w14:paraId="144E4669"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14,341</w:t>
            </w:r>
          </w:p>
        </w:tc>
        <w:tc>
          <w:tcPr>
            <w:tcW w:w="1147" w:type="dxa"/>
            <w:tcBorders>
              <w:top w:val="nil"/>
              <w:left w:val="nil"/>
              <w:bottom w:val="nil"/>
              <w:right w:val="nil"/>
            </w:tcBorders>
            <w:shd w:val="clear" w:color="000000" w:fill="FFFFFF"/>
            <w:vAlign w:val="center"/>
            <w:hideMark/>
          </w:tcPr>
          <w:p w14:paraId="19EFE14B"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18,800</w:t>
            </w:r>
          </w:p>
        </w:tc>
        <w:tc>
          <w:tcPr>
            <w:tcW w:w="1113" w:type="dxa"/>
            <w:tcBorders>
              <w:top w:val="nil"/>
              <w:left w:val="nil"/>
              <w:bottom w:val="single" w:sz="8" w:space="0" w:color="4BACC6"/>
              <w:right w:val="nil"/>
            </w:tcBorders>
            <w:shd w:val="clear" w:color="000000" w:fill="FFFFFF"/>
            <w:vAlign w:val="center"/>
            <w:hideMark/>
          </w:tcPr>
          <w:p w14:paraId="22A2C819"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-3,068</w:t>
            </w:r>
          </w:p>
        </w:tc>
        <w:tc>
          <w:tcPr>
            <w:tcW w:w="1260" w:type="dxa"/>
            <w:tcBorders>
              <w:top w:val="nil"/>
              <w:left w:val="nil"/>
              <w:bottom w:val="single" w:sz="8" w:space="0" w:color="4BACC6"/>
              <w:right w:val="nil"/>
            </w:tcBorders>
            <w:shd w:val="clear" w:color="000000" w:fill="FFFFFF"/>
            <w:vAlign w:val="center"/>
            <w:hideMark/>
          </w:tcPr>
          <w:p w14:paraId="59E3365B"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-17.6%</w:t>
            </w:r>
          </w:p>
        </w:tc>
        <w:tc>
          <w:tcPr>
            <w:tcW w:w="1423" w:type="dxa"/>
            <w:tcBorders>
              <w:top w:val="nil"/>
              <w:left w:val="nil"/>
              <w:bottom w:val="single" w:sz="8" w:space="0" w:color="4BACC6"/>
              <w:right w:val="nil"/>
            </w:tcBorders>
            <w:shd w:val="clear" w:color="000000" w:fill="FFFFFF"/>
            <w:vAlign w:val="center"/>
            <w:hideMark/>
          </w:tcPr>
          <w:p w14:paraId="7CA921A3"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-4,459</w:t>
            </w:r>
          </w:p>
        </w:tc>
        <w:tc>
          <w:tcPr>
            <w:tcW w:w="1259" w:type="dxa"/>
            <w:tcBorders>
              <w:top w:val="nil"/>
              <w:left w:val="nil"/>
              <w:bottom w:val="single" w:sz="8" w:space="0" w:color="4BACC6"/>
              <w:right w:val="single" w:sz="8" w:space="0" w:color="4BACC6"/>
            </w:tcBorders>
            <w:shd w:val="clear" w:color="000000" w:fill="FFFFFF"/>
            <w:vAlign w:val="center"/>
            <w:hideMark/>
          </w:tcPr>
          <w:p w14:paraId="7F7C6F95"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-23.7%</w:t>
            </w:r>
          </w:p>
        </w:tc>
      </w:tr>
      <w:tr w:rsidR="00193978" w:rsidRPr="00853EB9" w14:paraId="0B93E542" w14:textId="77777777" w:rsidTr="00193978">
        <w:trPr>
          <w:trHeight w:val="316"/>
          <w:jc w:val="center"/>
        </w:trPr>
        <w:tc>
          <w:tcPr>
            <w:tcW w:w="1569" w:type="dxa"/>
            <w:tcBorders>
              <w:top w:val="single" w:sz="8" w:space="0" w:color="4BACC6"/>
              <w:left w:val="single" w:sz="8" w:space="0" w:color="4BACC6"/>
              <w:bottom w:val="single" w:sz="8" w:space="0" w:color="4BACC6"/>
              <w:right w:val="nil"/>
            </w:tcBorders>
            <w:shd w:val="clear" w:color="000000" w:fill="FFFFFF"/>
            <w:vAlign w:val="center"/>
            <w:hideMark/>
          </w:tcPr>
          <w:p w14:paraId="7EE4A46A" w14:textId="77777777" w:rsidR="00193978" w:rsidRPr="00853EB9" w:rsidRDefault="00193978" w:rsidP="007976CE">
            <w:pPr>
              <w:rPr>
                <w:rFonts w:ascii="Calibri" w:hAnsi="Calibri" w:cs="Calibri"/>
                <w:b/>
                <w:bCs/>
                <w:i/>
                <w:iCs/>
                <w:color w:val="000000"/>
                <w:sz w:val="16"/>
                <w:szCs w:val="16"/>
              </w:rPr>
            </w:pPr>
            <w:r w:rsidRPr="00853EB9">
              <w:rPr>
                <w:rFonts w:ascii="Calibri" w:hAnsi="Calibri" w:cs="Calibri"/>
                <w:b/>
                <w:bCs/>
                <w:i/>
                <w:iCs/>
                <w:color w:val="000000"/>
                <w:sz w:val="16"/>
                <w:szCs w:val="16"/>
              </w:rPr>
              <w:t>Renta Minerare</w:t>
            </w:r>
          </w:p>
        </w:tc>
        <w:tc>
          <w:tcPr>
            <w:tcW w:w="774" w:type="dxa"/>
            <w:tcBorders>
              <w:top w:val="single" w:sz="8" w:space="0" w:color="4BACC6"/>
              <w:left w:val="nil"/>
              <w:bottom w:val="single" w:sz="8" w:space="0" w:color="4BACC6"/>
              <w:right w:val="nil"/>
            </w:tcBorders>
            <w:shd w:val="clear" w:color="000000" w:fill="FFFFFF"/>
            <w:vAlign w:val="center"/>
            <w:hideMark/>
          </w:tcPr>
          <w:p w14:paraId="2484658E"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1,885</w:t>
            </w:r>
          </w:p>
        </w:tc>
        <w:tc>
          <w:tcPr>
            <w:tcW w:w="1183" w:type="dxa"/>
            <w:tcBorders>
              <w:top w:val="single" w:sz="8" w:space="0" w:color="4BACC6"/>
              <w:left w:val="nil"/>
              <w:bottom w:val="single" w:sz="8" w:space="0" w:color="4BACC6"/>
              <w:right w:val="nil"/>
            </w:tcBorders>
            <w:shd w:val="clear" w:color="000000" w:fill="FFFFFF"/>
            <w:vAlign w:val="center"/>
            <w:hideMark/>
          </w:tcPr>
          <w:p w14:paraId="0638B38F"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1,316</w:t>
            </w:r>
          </w:p>
        </w:tc>
        <w:tc>
          <w:tcPr>
            <w:tcW w:w="1147" w:type="dxa"/>
            <w:tcBorders>
              <w:top w:val="single" w:sz="8" w:space="0" w:color="4BACC6"/>
              <w:left w:val="nil"/>
              <w:bottom w:val="single" w:sz="8" w:space="0" w:color="4BACC6"/>
              <w:right w:val="nil"/>
            </w:tcBorders>
            <w:shd w:val="clear" w:color="000000" w:fill="FFFFFF"/>
            <w:vAlign w:val="center"/>
            <w:hideMark/>
          </w:tcPr>
          <w:p w14:paraId="484D268D"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1,958</w:t>
            </w:r>
          </w:p>
        </w:tc>
        <w:tc>
          <w:tcPr>
            <w:tcW w:w="1113" w:type="dxa"/>
            <w:tcBorders>
              <w:top w:val="nil"/>
              <w:left w:val="nil"/>
              <w:bottom w:val="single" w:sz="8" w:space="0" w:color="4BACC6"/>
              <w:right w:val="nil"/>
            </w:tcBorders>
            <w:shd w:val="clear" w:color="000000" w:fill="FFFFFF"/>
            <w:vAlign w:val="center"/>
            <w:hideMark/>
          </w:tcPr>
          <w:p w14:paraId="52CCD280"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-569</w:t>
            </w:r>
          </w:p>
        </w:tc>
        <w:tc>
          <w:tcPr>
            <w:tcW w:w="1260" w:type="dxa"/>
            <w:tcBorders>
              <w:top w:val="nil"/>
              <w:left w:val="nil"/>
              <w:bottom w:val="single" w:sz="8" w:space="0" w:color="4BACC6"/>
              <w:right w:val="nil"/>
            </w:tcBorders>
            <w:shd w:val="clear" w:color="000000" w:fill="FFFFFF"/>
            <w:vAlign w:val="center"/>
            <w:hideMark/>
          </w:tcPr>
          <w:p w14:paraId="16B46C31"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-30.2%</w:t>
            </w:r>
          </w:p>
        </w:tc>
        <w:tc>
          <w:tcPr>
            <w:tcW w:w="1423" w:type="dxa"/>
            <w:tcBorders>
              <w:top w:val="nil"/>
              <w:left w:val="nil"/>
              <w:bottom w:val="single" w:sz="8" w:space="0" w:color="4BACC6"/>
              <w:right w:val="nil"/>
            </w:tcBorders>
            <w:shd w:val="clear" w:color="000000" w:fill="FFFFFF"/>
            <w:vAlign w:val="center"/>
            <w:hideMark/>
          </w:tcPr>
          <w:p w14:paraId="22A758A9"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-642</w:t>
            </w:r>
          </w:p>
        </w:tc>
        <w:tc>
          <w:tcPr>
            <w:tcW w:w="1259" w:type="dxa"/>
            <w:tcBorders>
              <w:top w:val="nil"/>
              <w:left w:val="nil"/>
              <w:bottom w:val="single" w:sz="8" w:space="0" w:color="4BACC6"/>
              <w:right w:val="single" w:sz="8" w:space="0" w:color="4BACC6"/>
            </w:tcBorders>
            <w:shd w:val="clear" w:color="000000" w:fill="FFFFFF"/>
            <w:vAlign w:val="center"/>
            <w:hideMark/>
          </w:tcPr>
          <w:p w14:paraId="09012277" w14:textId="77777777" w:rsidR="00193978" w:rsidRPr="00853EB9" w:rsidRDefault="00193978" w:rsidP="007976CE">
            <w:pPr>
              <w:jc w:val="center"/>
              <w:rPr>
                <w:rFonts w:ascii="Calibri" w:hAnsi="Calibri" w:cs="Calibri"/>
                <w:color w:val="000000"/>
                <w:sz w:val="16"/>
                <w:szCs w:val="16"/>
              </w:rPr>
            </w:pPr>
            <w:r w:rsidRPr="00853EB9">
              <w:rPr>
                <w:rFonts w:ascii="Calibri" w:hAnsi="Calibri" w:cs="Calibri"/>
                <w:color w:val="000000"/>
                <w:sz w:val="16"/>
                <w:szCs w:val="16"/>
              </w:rPr>
              <w:t>-32.8%</w:t>
            </w:r>
          </w:p>
        </w:tc>
      </w:tr>
      <w:tr w:rsidR="00193978" w:rsidRPr="00853EB9" w14:paraId="0A742D09" w14:textId="77777777" w:rsidTr="00193978">
        <w:trPr>
          <w:trHeight w:val="305"/>
          <w:jc w:val="center"/>
        </w:trPr>
        <w:tc>
          <w:tcPr>
            <w:tcW w:w="1569" w:type="dxa"/>
            <w:tcBorders>
              <w:top w:val="nil"/>
              <w:left w:val="single" w:sz="8" w:space="0" w:color="4BACC6"/>
              <w:bottom w:val="nil"/>
              <w:right w:val="nil"/>
            </w:tcBorders>
            <w:shd w:val="clear" w:color="000000" w:fill="FFFFFF"/>
            <w:vAlign w:val="center"/>
            <w:hideMark/>
          </w:tcPr>
          <w:p w14:paraId="43CEC707" w14:textId="77777777" w:rsidR="00193978" w:rsidRPr="00853EB9" w:rsidRDefault="00193978" w:rsidP="007976CE">
            <w:pPr>
              <w:rPr>
                <w:rFonts w:ascii="Calibri" w:hAnsi="Calibri" w:cs="Calibri"/>
                <w:b/>
                <w:bCs/>
                <w:color w:val="000000"/>
                <w:sz w:val="16"/>
                <w:szCs w:val="16"/>
              </w:rPr>
            </w:pPr>
            <w:r w:rsidRPr="00853EB9">
              <w:rPr>
                <w:rFonts w:ascii="Calibri" w:hAnsi="Calibri" w:cs="Calibri"/>
                <w:b/>
                <w:bCs/>
                <w:color w:val="000000"/>
                <w:sz w:val="16"/>
                <w:szCs w:val="16"/>
              </w:rPr>
              <w:t>Taksë Doganore</w:t>
            </w:r>
          </w:p>
        </w:tc>
        <w:tc>
          <w:tcPr>
            <w:tcW w:w="774" w:type="dxa"/>
            <w:tcBorders>
              <w:top w:val="nil"/>
              <w:left w:val="nil"/>
              <w:bottom w:val="nil"/>
              <w:right w:val="nil"/>
            </w:tcBorders>
            <w:shd w:val="clear" w:color="000000" w:fill="FFFFFF"/>
            <w:vAlign w:val="center"/>
            <w:hideMark/>
          </w:tcPr>
          <w:p w14:paraId="6EB63E44"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3,128</w:t>
            </w:r>
          </w:p>
        </w:tc>
        <w:tc>
          <w:tcPr>
            <w:tcW w:w="1183" w:type="dxa"/>
            <w:tcBorders>
              <w:top w:val="nil"/>
              <w:left w:val="nil"/>
              <w:bottom w:val="nil"/>
              <w:right w:val="nil"/>
            </w:tcBorders>
            <w:shd w:val="clear" w:color="000000" w:fill="FFFFFF"/>
            <w:vAlign w:val="center"/>
            <w:hideMark/>
          </w:tcPr>
          <w:p w14:paraId="607FB807"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3,487</w:t>
            </w:r>
          </w:p>
        </w:tc>
        <w:tc>
          <w:tcPr>
            <w:tcW w:w="1147" w:type="dxa"/>
            <w:tcBorders>
              <w:top w:val="nil"/>
              <w:left w:val="nil"/>
              <w:bottom w:val="nil"/>
              <w:right w:val="nil"/>
            </w:tcBorders>
            <w:shd w:val="clear" w:color="000000" w:fill="FFFFFF"/>
            <w:vAlign w:val="center"/>
            <w:hideMark/>
          </w:tcPr>
          <w:p w14:paraId="1EC3D22A"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3,148</w:t>
            </w:r>
          </w:p>
        </w:tc>
        <w:tc>
          <w:tcPr>
            <w:tcW w:w="1113" w:type="dxa"/>
            <w:tcBorders>
              <w:top w:val="nil"/>
              <w:left w:val="nil"/>
              <w:bottom w:val="single" w:sz="8" w:space="0" w:color="4BACC6"/>
              <w:right w:val="nil"/>
            </w:tcBorders>
            <w:shd w:val="clear" w:color="000000" w:fill="FFFFFF"/>
            <w:vAlign w:val="center"/>
            <w:hideMark/>
          </w:tcPr>
          <w:p w14:paraId="59626521"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359</w:t>
            </w:r>
          </w:p>
        </w:tc>
        <w:tc>
          <w:tcPr>
            <w:tcW w:w="1260" w:type="dxa"/>
            <w:tcBorders>
              <w:top w:val="nil"/>
              <w:left w:val="nil"/>
              <w:bottom w:val="single" w:sz="8" w:space="0" w:color="4BACC6"/>
              <w:right w:val="nil"/>
            </w:tcBorders>
            <w:shd w:val="clear" w:color="000000" w:fill="FFFFFF"/>
            <w:vAlign w:val="center"/>
            <w:hideMark/>
          </w:tcPr>
          <w:p w14:paraId="2ECE94F5"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11.5%</w:t>
            </w:r>
          </w:p>
        </w:tc>
        <w:tc>
          <w:tcPr>
            <w:tcW w:w="1423" w:type="dxa"/>
            <w:tcBorders>
              <w:top w:val="nil"/>
              <w:left w:val="nil"/>
              <w:bottom w:val="single" w:sz="8" w:space="0" w:color="4BACC6"/>
              <w:right w:val="nil"/>
            </w:tcBorders>
            <w:shd w:val="clear" w:color="000000" w:fill="FFFFFF"/>
            <w:vAlign w:val="center"/>
            <w:hideMark/>
          </w:tcPr>
          <w:p w14:paraId="4635390B"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339</w:t>
            </w:r>
          </w:p>
        </w:tc>
        <w:tc>
          <w:tcPr>
            <w:tcW w:w="1259" w:type="dxa"/>
            <w:tcBorders>
              <w:top w:val="nil"/>
              <w:left w:val="nil"/>
              <w:bottom w:val="single" w:sz="8" w:space="0" w:color="4BACC6"/>
              <w:right w:val="single" w:sz="8" w:space="0" w:color="4BACC6"/>
            </w:tcBorders>
            <w:shd w:val="clear" w:color="000000" w:fill="FFFFFF"/>
            <w:vAlign w:val="center"/>
            <w:hideMark/>
          </w:tcPr>
          <w:p w14:paraId="02DA4420"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10.8%</w:t>
            </w:r>
          </w:p>
        </w:tc>
      </w:tr>
      <w:tr w:rsidR="00193978" w:rsidRPr="00853EB9" w14:paraId="3645038B" w14:textId="77777777" w:rsidTr="00193978">
        <w:trPr>
          <w:trHeight w:val="544"/>
          <w:jc w:val="center"/>
        </w:trPr>
        <w:tc>
          <w:tcPr>
            <w:tcW w:w="1569" w:type="dxa"/>
            <w:tcBorders>
              <w:top w:val="single" w:sz="8" w:space="0" w:color="4BACC6"/>
              <w:left w:val="single" w:sz="8" w:space="0" w:color="4BACC6"/>
              <w:bottom w:val="single" w:sz="8" w:space="0" w:color="4BACC6"/>
              <w:right w:val="nil"/>
            </w:tcBorders>
            <w:shd w:val="clear" w:color="000000" w:fill="FFFFFF"/>
            <w:vAlign w:val="center"/>
            <w:hideMark/>
          </w:tcPr>
          <w:p w14:paraId="25F06899" w14:textId="77777777" w:rsidR="00193978" w:rsidRPr="00853EB9" w:rsidRDefault="00193978" w:rsidP="007976CE">
            <w:pPr>
              <w:rPr>
                <w:rFonts w:ascii="Calibri" w:hAnsi="Calibri" w:cs="Calibri"/>
                <w:b/>
                <w:bCs/>
                <w:color w:val="000000"/>
                <w:sz w:val="16"/>
                <w:szCs w:val="16"/>
              </w:rPr>
            </w:pPr>
            <w:r w:rsidRPr="00853EB9">
              <w:rPr>
                <w:rFonts w:ascii="Calibri" w:hAnsi="Calibri" w:cs="Calibri"/>
                <w:b/>
                <w:bCs/>
                <w:color w:val="000000"/>
                <w:sz w:val="16"/>
                <w:szCs w:val="16"/>
              </w:rPr>
              <w:t xml:space="preserve">TOTALI TATIME + DOGANA </w:t>
            </w:r>
          </w:p>
        </w:tc>
        <w:tc>
          <w:tcPr>
            <w:tcW w:w="774" w:type="dxa"/>
            <w:tcBorders>
              <w:top w:val="single" w:sz="8" w:space="0" w:color="4BACC6"/>
              <w:left w:val="nil"/>
              <w:bottom w:val="single" w:sz="8" w:space="0" w:color="4BACC6"/>
              <w:right w:val="nil"/>
            </w:tcBorders>
            <w:shd w:val="clear" w:color="000000" w:fill="FFFFFF"/>
            <w:vAlign w:val="center"/>
            <w:hideMark/>
          </w:tcPr>
          <w:p w14:paraId="12E97424"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156,870</w:t>
            </w:r>
          </w:p>
        </w:tc>
        <w:tc>
          <w:tcPr>
            <w:tcW w:w="1183" w:type="dxa"/>
            <w:tcBorders>
              <w:top w:val="single" w:sz="8" w:space="0" w:color="4BACC6"/>
              <w:left w:val="nil"/>
              <w:bottom w:val="single" w:sz="8" w:space="0" w:color="4BACC6"/>
              <w:right w:val="nil"/>
            </w:tcBorders>
            <w:shd w:val="clear" w:color="000000" w:fill="FFFFFF"/>
            <w:vAlign w:val="center"/>
            <w:hideMark/>
          </w:tcPr>
          <w:p w14:paraId="21194702"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169,169</w:t>
            </w:r>
          </w:p>
        </w:tc>
        <w:tc>
          <w:tcPr>
            <w:tcW w:w="1147" w:type="dxa"/>
            <w:tcBorders>
              <w:top w:val="single" w:sz="8" w:space="0" w:color="4BACC6"/>
              <w:left w:val="nil"/>
              <w:bottom w:val="single" w:sz="8" w:space="0" w:color="4BACC6"/>
              <w:right w:val="nil"/>
            </w:tcBorders>
            <w:shd w:val="clear" w:color="000000" w:fill="FFFFFF"/>
            <w:vAlign w:val="center"/>
            <w:hideMark/>
          </w:tcPr>
          <w:p w14:paraId="61C5E337"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164,372</w:t>
            </w:r>
          </w:p>
        </w:tc>
        <w:tc>
          <w:tcPr>
            <w:tcW w:w="1113" w:type="dxa"/>
            <w:tcBorders>
              <w:top w:val="nil"/>
              <w:left w:val="nil"/>
              <w:bottom w:val="single" w:sz="8" w:space="0" w:color="4BACC6"/>
              <w:right w:val="nil"/>
            </w:tcBorders>
            <w:shd w:val="clear" w:color="000000" w:fill="FFFFFF"/>
            <w:vAlign w:val="center"/>
            <w:hideMark/>
          </w:tcPr>
          <w:p w14:paraId="7FAAA21C"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12,299</w:t>
            </w:r>
          </w:p>
        </w:tc>
        <w:tc>
          <w:tcPr>
            <w:tcW w:w="1260" w:type="dxa"/>
            <w:tcBorders>
              <w:top w:val="nil"/>
              <w:left w:val="nil"/>
              <w:bottom w:val="single" w:sz="8" w:space="0" w:color="4BACC6"/>
              <w:right w:val="nil"/>
            </w:tcBorders>
            <w:shd w:val="clear" w:color="000000" w:fill="FFFFFF"/>
            <w:vAlign w:val="center"/>
            <w:hideMark/>
          </w:tcPr>
          <w:p w14:paraId="501A0EB2"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7.8%</w:t>
            </w:r>
          </w:p>
        </w:tc>
        <w:tc>
          <w:tcPr>
            <w:tcW w:w="1423" w:type="dxa"/>
            <w:tcBorders>
              <w:top w:val="nil"/>
              <w:left w:val="nil"/>
              <w:bottom w:val="single" w:sz="8" w:space="0" w:color="4BACC6"/>
              <w:right w:val="nil"/>
            </w:tcBorders>
            <w:shd w:val="clear" w:color="000000" w:fill="FFFFFF"/>
            <w:vAlign w:val="center"/>
            <w:hideMark/>
          </w:tcPr>
          <w:p w14:paraId="12B2ACB1"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4,796</w:t>
            </w:r>
          </w:p>
        </w:tc>
        <w:tc>
          <w:tcPr>
            <w:tcW w:w="1259" w:type="dxa"/>
            <w:tcBorders>
              <w:top w:val="nil"/>
              <w:left w:val="nil"/>
              <w:bottom w:val="single" w:sz="8" w:space="0" w:color="4BACC6"/>
              <w:right w:val="single" w:sz="8" w:space="0" w:color="4BACC6"/>
            </w:tcBorders>
            <w:shd w:val="clear" w:color="000000" w:fill="FFFFFF"/>
            <w:vAlign w:val="center"/>
            <w:hideMark/>
          </w:tcPr>
          <w:p w14:paraId="6B97B699"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2.9%</w:t>
            </w:r>
          </w:p>
        </w:tc>
      </w:tr>
      <w:tr w:rsidR="00193978" w:rsidRPr="00853EB9" w14:paraId="03642611" w14:textId="77777777" w:rsidTr="00193978">
        <w:trPr>
          <w:trHeight w:val="316"/>
          <w:jc w:val="center"/>
        </w:trPr>
        <w:tc>
          <w:tcPr>
            <w:tcW w:w="1569" w:type="dxa"/>
            <w:tcBorders>
              <w:top w:val="nil"/>
              <w:left w:val="single" w:sz="8" w:space="0" w:color="4BACC6"/>
              <w:bottom w:val="single" w:sz="8" w:space="0" w:color="auto"/>
              <w:right w:val="nil"/>
            </w:tcBorders>
            <w:shd w:val="clear" w:color="000000" w:fill="FFFFFF"/>
            <w:vAlign w:val="center"/>
            <w:hideMark/>
          </w:tcPr>
          <w:p w14:paraId="10A5BDFF" w14:textId="77777777" w:rsidR="00193978" w:rsidRPr="00853EB9" w:rsidRDefault="00193978" w:rsidP="007976CE">
            <w:pPr>
              <w:rPr>
                <w:rFonts w:ascii="Calibri" w:hAnsi="Calibri" w:cs="Calibri"/>
                <w:b/>
                <w:bCs/>
                <w:color w:val="000000"/>
                <w:sz w:val="16"/>
                <w:szCs w:val="16"/>
              </w:rPr>
            </w:pPr>
            <w:r w:rsidRPr="00853EB9">
              <w:rPr>
                <w:rFonts w:ascii="Calibri" w:hAnsi="Calibri" w:cs="Calibri"/>
                <w:b/>
                <w:bCs/>
                <w:color w:val="000000"/>
                <w:sz w:val="16"/>
                <w:szCs w:val="16"/>
              </w:rPr>
              <w:t>Kontributet e mbledhura (DPT)</w:t>
            </w:r>
          </w:p>
        </w:tc>
        <w:tc>
          <w:tcPr>
            <w:tcW w:w="774" w:type="dxa"/>
            <w:tcBorders>
              <w:top w:val="nil"/>
              <w:left w:val="nil"/>
              <w:bottom w:val="single" w:sz="8" w:space="0" w:color="000000"/>
              <w:right w:val="nil"/>
            </w:tcBorders>
            <w:shd w:val="clear" w:color="000000" w:fill="FFFFFF"/>
            <w:vAlign w:val="center"/>
            <w:hideMark/>
          </w:tcPr>
          <w:p w14:paraId="41769297"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47,843</w:t>
            </w:r>
          </w:p>
        </w:tc>
        <w:tc>
          <w:tcPr>
            <w:tcW w:w="1183" w:type="dxa"/>
            <w:tcBorders>
              <w:top w:val="nil"/>
              <w:left w:val="nil"/>
              <w:bottom w:val="single" w:sz="8" w:space="0" w:color="000000"/>
              <w:right w:val="nil"/>
            </w:tcBorders>
            <w:shd w:val="clear" w:color="000000" w:fill="FFFFFF"/>
            <w:vAlign w:val="center"/>
            <w:hideMark/>
          </w:tcPr>
          <w:p w14:paraId="7CE2721C"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55,018</w:t>
            </w:r>
          </w:p>
        </w:tc>
        <w:tc>
          <w:tcPr>
            <w:tcW w:w="1147" w:type="dxa"/>
            <w:tcBorders>
              <w:top w:val="nil"/>
              <w:left w:val="nil"/>
              <w:bottom w:val="single" w:sz="8" w:space="0" w:color="000000"/>
              <w:right w:val="nil"/>
            </w:tcBorders>
            <w:shd w:val="clear" w:color="000000" w:fill="FFFFFF"/>
            <w:vAlign w:val="center"/>
            <w:hideMark/>
          </w:tcPr>
          <w:p w14:paraId="16409269"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51,023</w:t>
            </w:r>
          </w:p>
        </w:tc>
        <w:tc>
          <w:tcPr>
            <w:tcW w:w="1113" w:type="dxa"/>
            <w:tcBorders>
              <w:top w:val="nil"/>
              <w:left w:val="nil"/>
              <w:bottom w:val="single" w:sz="8" w:space="0" w:color="000000"/>
              <w:right w:val="nil"/>
            </w:tcBorders>
            <w:shd w:val="clear" w:color="000000" w:fill="FFFFFF"/>
            <w:vAlign w:val="center"/>
            <w:hideMark/>
          </w:tcPr>
          <w:p w14:paraId="463D91E6"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7,175</w:t>
            </w:r>
          </w:p>
        </w:tc>
        <w:tc>
          <w:tcPr>
            <w:tcW w:w="1260" w:type="dxa"/>
            <w:tcBorders>
              <w:top w:val="nil"/>
              <w:left w:val="nil"/>
              <w:bottom w:val="single" w:sz="8" w:space="0" w:color="000000"/>
              <w:right w:val="nil"/>
            </w:tcBorders>
            <w:shd w:val="clear" w:color="000000" w:fill="FFFFFF"/>
            <w:vAlign w:val="center"/>
            <w:hideMark/>
          </w:tcPr>
          <w:p w14:paraId="4312F088"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15%</w:t>
            </w:r>
          </w:p>
        </w:tc>
        <w:tc>
          <w:tcPr>
            <w:tcW w:w="1423" w:type="dxa"/>
            <w:tcBorders>
              <w:top w:val="nil"/>
              <w:left w:val="nil"/>
              <w:bottom w:val="single" w:sz="8" w:space="0" w:color="000000"/>
              <w:right w:val="nil"/>
            </w:tcBorders>
            <w:shd w:val="clear" w:color="000000" w:fill="FFFFFF"/>
            <w:vAlign w:val="center"/>
            <w:hideMark/>
          </w:tcPr>
          <w:p w14:paraId="48A2724A"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3,995</w:t>
            </w:r>
          </w:p>
        </w:tc>
        <w:tc>
          <w:tcPr>
            <w:tcW w:w="1259" w:type="dxa"/>
            <w:tcBorders>
              <w:top w:val="nil"/>
              <w:left w:val="nil"/>
              <w:bottom w:val="single" w:sz="8" w:space="0" w:color="000000"/>
              <w:right w:val="single" w:sz="8" w:space="0" w:color="4BACC6"/>
            </w:tcBorders>
            <w:shd w:val="clear" w:color="000000" w:fill="FFFFFF"/>
            <w:vAlign w:val="center"/>
            <w:hideMark/>
          </w:tcPr>
          <w:p w14:paraId="1B075568"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7.8%</w:t>
            </w:r>
          </w:p>
        </w:tc>
      </w:tr>
      <w:tr w:rsidR="00193978" w:rsidRPr="00853EB9" w14:paraId="2B5F8349" w14:textId="77777777" w:rsidTr="00193978">
        <w:trPr>
          <w:trHeight w:val="818"/>
          <w:jc w:val="center"/>
        </w:trPr>
        <w:tc>
          <w:tcPr>
            <w:tcW w:w="1569" w:type="dxa"/>
            <w:tcBorders>
              <w:top w:val="single" w:sz="8" w:space="0" w:color="4BACC6"/>
              <w:left w:val="single" w:sz="8" w:space="0" w:color="4BACC6"/>
              <w:bottom w:val="single" w:sz="8" w:space="0" w:color="4BACC6"/>
              <w:right w:val="nil"/>
            </w:tcBorders>
            <w:shd w:val="clear" w:color="000000" w:fill="FFFFFF"/>
            <w:vAlign w:val="center"/>
            <w:hideMark/>
          </w:tcPr>
          <w:p w14:paraId="3414FEE4" w14:textId="77777777" w:rsidR="00193978" w:rsidRPr="00853EB9" w:rsidRDefault="00193978" w:rsidP="007976CE">
            <w:pPr>
              <w:rPr>
                <w:rFonts w:ascii="Calibri" w:hAnsi="Calibri" w:cs="Calibri"/>
                <w:b/>
                <w:bCs/>
                <w:color w:val="000000"/>
                <w:sz w:val="16"/>
                <w:szCs w:val="16"/>
              </w:rPr>
            </w:pPr>
            <w:r w:rsidRPr="00853EB9">
              <w:rPr>
                <w:rFonts w:ascii="Calibri" w:hAnsi="Calibri" w:cs="Calibri"/>
                <w:b/>
                <w:bCs/>
                <w:color w:val="000000"/>
                <w:sz w:val="16"/>
                <w:szCs w:val="16"/>
              </w:rPr>
              <w:t>TOTALI TATIME + DOGANA (përfshirë kontributet)</w:t>
            </w:r>
          </w:p>
        </w:tc>
        <w:tc>
          <w:tcPr>
            <w:tcW w:w="774" w:type="dxa"/>
            <w:tcBorders>
              <w:top w:val="single" w:sz="8" w:space="0" w:color="4BACC6"/>
              <w:left w:val="nil"/>
              <w:bottom w:val="single" w:sz="8" w:space="0" w:color="4BACC6"/>
              <w:right w:val="nil"/>
            </w:tcBorders>
            <w:shd w:val="clear" w:color="000000" w:fill="FFFFFF"/>
            <w:vAlign w:val="center"/>
            <w:hideMark/>
          </w:tcPr>
          <w:p w14:paraId="24834AD2"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204,713</w:t>
            </w:r>
          </w:p>
        </w:tc>
        <w:tc>
          <w:tcPr>
            <w:tcW w:w="1183" w:type="dxa"/>
            <w:tcBorders>
              <w:top w:val="single" w:sz="8" w:space="0" w:color="4BACC6"/>
              <w:left w:val="nil"/>
              <w:bottom w:val="single" w:sz="8" w:space="0" w:color="4BACC6"/>
              <w:right w:val="nil"/>
            </w:tcBorders>
            <w:shd w:val="clear" w:color="000000" w:fill="FFFFFF"/>
            <w:vAlign w:val="center"/>
            <w:hideMark/>
          </w:tcPr>
          <w:p w14:paraId="5BDA1388"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224,187</w:t>
            </w:r>
          </w:p>
        </w:tc>
        <w:tc>
          <w:tcPr>
            <w:tcW w:w="1147" w:type="dxa"/>
            <w:tcBorders>
              <w:top w:val="single" w:sz="8" w:space="0" w:color="4BACC6"/>
              <w:left w:val="nil"/>
              <w:bottom w:val="single" w:sz="8" w:space="0" w:color="4BACC6"/>
              <w:right w:val="nil"/>
            </w:tcBorders>
            <w:shd w:val="clear" w:color="000000" w:fill="FFFFFF"/>
            <w:vAlign w:val="center"/>
            <w:hideMark/>
          </w:tcPr>
          <w:p w14:paraId="582C3FEA"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215,395</w:t>
            </w:r>
          </w:p>
        </w:tc>
        <w:tc>
          <w:tcPr>
            <w:tcW w:w="1113" w:type="dxa"/>
            <w:tcBorders>
              <w:top w:val="nil"/>
              <w:left w:val="nil"/>
              <w:bottom w:val="single" w:sz="8" w:space="0" w:color="4BACC6"/>
              <w:right w:val="nil"/>
            </w:tcBorders>
            <w:shd w:val="clear" w:color="000000" w:fill="FFFFFF"/>
            <w:vAlign w:val="center"/>
            <w:hideMark/>
          </w:tcPr>
          <w:p w14:paraId="349CE959"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19,474</w:t>
            </w:r>
          </w:p>
        </w:tc>
        <w:tc>
          <w:tcPr>
            <w:tcW w:w="1260" w:type="dxa"/>
            <w:tcBorders>
              <w:top w:val="nil"/>
              <w:left w:val="nil"/>
              <w:bottom w:val="single" w:sz="8" w:space="0" w:color="4BACC6"/>
              <w:right w:val="nil"/>
            </w:tcBorders>
            <w:shd w:val="clear" w:color="000000" w:fill="FFFFFF"/>
            <w:vAlign w:val="center"/>
            <w:hideMark/>
          </w:tcPr>
          <w:p w14:paraId="02B0C00C"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9.5%</w:t>
            </w:r>
          </w:p>
        </w:tc>
        <w:tc>
          <w:tcPr>
            <w:tcW w:w="1423" w:type="dxa"/>
            <w:tcBorders>
              <w:top w:val="nil"/>
              <w:left w:val="nil"/>
              <w:bottom w:val="single" w:sz="8" w:space="0" w:color="4BACC6"/>
              <w:right w:val="nil"/>
            </w:tcBorders>
            <w:shd w:val="clear" w:color="000000" w:fill="FFFFFF"/>
            <w:vAlign w:val="center"/>
            <w:hideMark/>
          </w:tcPr>
          <w:p w14:paraId="51C42F20"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8,792</w:t>
            </w:r>
          </w:p>
        </w:tc>
        <w:tc>
          <w:tcPr>
            <w:tcW w:w="1259" w:type="dxa"/>
            <w:tcBorders>
              <w:top w:val="single" w:sz="8" w:space="0" w:color="4BACC6"/>
              <w:left w:val="nil"/>
              <w:bottom w:val="single" w:sz="8" w:space="0" w:color="4BACC6"/>
              <w:right w:val="single" w:sz="8" w:space="0" w:color="4BACC6"/>
            </w:tcBorders>
            <w:shd w:val="clear" w:color="000000" w:fill="FFFFFF"/>
            <w:vAlign w:val="center"/>
            <w:hideMark/>
          </w:tcPr>
          <w:p w14:paraId="6E50C341" w14:textId="77777777" w:rsidR="00193978" w:rsidRPr="00853EB9" w:rsidRDefault="00193978" w:rsidP="007976CE">
            <w:pPr>
              <w:jc w:val="center"/>
              <w:rPr>
                <w:rFonts w:ascii="Calibri" w:hAnsi="Calibri" w:cs="Calibri"/>
                <w:b/>
                <w:bCs/>
                <w:color w:val="000000"/>
                <w:sz w:val="16"/>
                <w:szCs w:val="16"/>
              </w:rPr>
            </w:pPr>
            <w:r w:rsidRPr="00853EB9">
              <w:rPr>
                <w:rFonts w:ascii="Calibri" w:hAnsi="Calibri" w:cs="Calibri"/>
                <w:b/>
                <w:bCs/>
                <w:color w:val="000000"/>
                <w:sz w:val="16"/>
                <w:szCs w:val="16"/>
              </w:rPr>
              <w:t>4.1%</w:t>
            </w:r>
          </w:p>
        </w:tc>
      </w:tr>
    </w:tbl>
    <w:p w14:paraId="0A3C45F0" w14:textId="77777777" w:rsidR="0034657E" w:rsidRPr="004E355C" w:rsidRDefault="00FD3343" w:rsidP="0034657E">
      <w:pPr>
        <w:tabs>
          <w:tab w:val="left" w:pos="2511"/>
          <w:tab w:val="center" w:pos="4680"/>
          <w:tab w:val="left" w:pos="9360"/>
        </w:tabs>
        <w:spacing w:line="276" w:lineRule="auto"/>
        <w:jc w:val="both"/>
        <w:rPr>
          <w:rFonts w:asciiTheme="minorHAnsi" w:hAnsiTheme="minorHAnsi"/>
          <w:i/>
          <w:noProof/>
          <w:sz w:val="20"/>
          <w:szCs w:val="20"/>
          <w:lang w:val="sq-AL"/>
        </w:rPr>
      </w:pPr>
      <w:r>
        <w:rPr>
          <w:rFonts w:asciiTheme="minorHAnsi" w:hAnsiTheme="minorHAnsi"/>
          <w:i/>
          <w:noProof/>
          <w:sz w:val="20"/>
          <w:szCs w:val="20"/>
          <w:lang w:val="sq-AL"/>
        </w:rPr>
        <w:t>Burimi: Ministria e Financave dhe Ekonomisë (202</w:t>
      </w:r>
      <w:r w:rsidR="00193978">
        <w:rPr>
          <w:rFonts w:asciiTheme="minorHAnsi" w:hAnsiTheme="minorHAnsi"/>
          <w:i/>
          <w:noProof/>
          <w:sz w:val="20"/>
          <w:szCs w:val="20"/>
          <w:lang w:val="sq-AL"/>
        </w:rPr>
        <w:t>3</w:t>
      </w:r>
      <w:r>
        <w:rPr>
          <w:rFonts w:asciiTheme="minorHAnsi" w:hAnsiTheme="minorHAnsi"/>
          <w:i/>
          <w:noProof/>
          <w:sz w:val="20"/>
          <w:szCs w:val="20"/>
          <w:lang w:val="sq-AL"/>
        </w:rPr>
        <w:t>)</w:t>
      </w:r>
    </w:p>
    <w:p w14:paraId="4553C76D" w14:textId="77777777" w:rsidR="00FD3343" w:rsidRPr="00FD3343" w:rsidRDefault="00FD3343" w:rsidP="00FD3343">
      <w:pPr>
        <w:tabs>
          <w:tab w:val="left" w:pos="2511"/>
          <w:tab w:val="center" w:pos="4680"/>
          <w:tab w:val="left" w:pos="9360"/>
        </w:tabs>
        <w:spacing w:line="276" w:lineRule="auto"/>
        <w:jc w:val="both"/>
        <w:rPr>
          <w:rFonts w:asciiTheme="minorHAnsi" w:eastAsiaTheme="minorEastAsia" w:hAnsiTheme="minorHAnsi" w:cstheme="minorHAnsi"/>
          <w:noProof/>
          <w:sz w:val="12"/>
          <w:lang w:val="sq-AL"/>
        </w:rPr>
      </w:pPr>
      <w:bookmarkStart w:id="10" w:name="_Toc12448427"/>
    </w:p>
    <w:p w14:paraId="3A168620" w14:textId="77777777" w:rsidR="0034657E" w:rsidRDefault="00193978" w:rsidP="00FD3343">
      <w:pPr>
        <w:tabs>
          <w:tab w:val="left" w:pos="2511"/>
          <w:tab w:val="center" w:pos="4680"/>
          <w:tab w:val="left" w:pos="9360"/>
        </w:tabs>
        <w:spacing w:line="276" w:lineRule="auto"/>
        <w:jc w:val="both"/>
        <w:rPr>
          <w:rFonts w:asciiTheme="minorHAnsi" w:eastAsiaTheme="minorEastAsia" w:hAnsiTheme="minorHAnsi" w:cstheme="minorHAnsi"/>
          <w:noProof/>
          <w:lang w:val="sq-AL"/>
        </w:rPr>
      </w:pPr>
      <w:r w:rsidRPr="00853EB9">
        <w:rPr>
          <w:rFonts w:asciiTheme="minorHAnsi" w:eastAsiaTheme="minorEastAsia" w:hAnsiTheme="minorHAnsi" w:cstheme="minorHAnsi"/>
          <w:noProof/>
          <w:lang w:val="sq-AL"/>
        </w:rPr>
        <w:t xml:space="preserve">Krahasuar me 5 mujorin e vitit 2022 performaca e të gjithë zërave kryesor të të ardhurave “Nga Tatimet dhe Doganat” (përfshirë kontributet e mbledhura nga DPT), </w:t>
      </w:r>
      <w:r w:rsidRPr="00853EB9">
        <w:rPr>
          <w:rFonts w:asciiTheme="minorHAnsi" w:eastAsiaTheme="minorEastAsia" w:hAnsiTheme="minorHAnsi" w:cstheme="minorHAnsi"/>
          <w:noProof/>
          <w:color w:val="000000" w:themeColor="text1"/>
          <w:lang w:val="sq-AL"/>
        </w:rPr>
        <w:t>kanë pësuar rritje</w:t>
      </w:r>
      <w:r w:rsidRPr="00853EB9">
        <w:rPr>
          <w:rFonts w:asciiTheme="minorHAnsi" w:eastAsiaTheme="minorEastAsia" w:hAnsiTheme="minorHAnsi" w:cstheme="minorHAnsi"/>
          <w:noProof/>
          <w:lang w:val="sq-AL"/>
        </w:rPr>
        <w:t xml:space="preserve"> si rezultat i ecurisë shumë të mirë ekonomike, rritjes të të ardhurave nga turizmi dhe të gjithë sektorëve të tjerë të ekonomisë që lidhen drejtpërdrejt ose indirekt me turizmin ndikuan pozitivisht</w:t>
      </w:r>
      <w:r w:rsidRPr="00853EB9">
        <w:rPr>
          <w:rFonts w:asciiTheme="minorHAnsi" w:eastAsiaTheme="minorEastAsia" w:hAnsiTheme="minorHAnsi" w:cstheme="minorHAnsi"/>
          <w:noProof/>
          <w:color w:val="000000" w:themeColor="text1"/>
          <w:lang w:val="sq-AL"/>
        </w:rPr>
        <w:t xml:space="preserve">. Konkretisht, TVSH 1.2%, Tatim mbi të ardhurat personale 24.8% ,Tatim mbi fitimin në masën 40.9% , Akciza 8.5%, Kontributet e mbledhura nga DPT 15% dhe Taksat doganore 11.5%. </w:t>
      </w:r>
      <w:r w:rsidRPr="00853EB9">
        <w:rPr>
          <w:rFonts w:asciiTheme="minorHAnsi" w:eastAsiaTheme="minorEastAsia" w:hAnsiTheme="minorHAnsi" w:cstheme="minorHAnsi"/>
          <w:i/>
          <w:noProof/>
          <w:lang w:val="sq-AL"/>
        </w:rPr>
        <w:t>Rimbursimi i Tvsh</w:t>
      </w:r>
      <w:r w:rsidRPr="00853EB9">
        <w:rPr>
          <w:rFonts w:asciiTheme="minorHAnsi" w:eastAsiaTheme="minorEastAsia" w:hAnsiTheme="minorHAnsi" w:cstheme="minorHAnsi"/>
          <w:noProof/>
          <w:lang w:val="sq-AL"/>
        </w:rPr>
        <w:t xml:space="preserve"> është rritur me 35.6% ose 2 miliardë lekë më shumë se 5-mujori 2022. Paraqitet me rënie kundrejt vitit 2022 Taksa Nacionale me 18.8% ose 3.6 miliardë më pak</w:t>
      </w:r>
      <w:r w:rsidR="0034657E">
        <w:rPr>
          <w:rFonts w:asciiTheme="minorHAnsi" w:eastAsiaTheme="minorEastAsia" w:hAnsiTheme="minorHAnsi" w:cstheme="minorHAnsi"/>
          <w:noProof/>
          <w:lang w:val="sq-AL"/>
        </w:rPr>
        <w:t>.</w:t>
      </w:r>
    </w:p>
    <w:p w14:paraId="0D245830" w14:textId="77777777" w:rsidR="00193978" w:rsidRDefault="00193978" w:rsidP="00FD3343">
      <w:pPr>
        <w:tabs>
          <w:tab w:val="left" w:pos="2511"/>
          <w:tab w:val="center" w:pos="4680"/>
          <w:tab w:val="left" w:pos="9360"/>
        </w:tabs>
        <w:spacing w:line="276" w:lineRule="auto"/>
        <w:jc w:val="both"/>
        <w:rPr>
          <w:rFonts w:asciiTheme="minorHAnsi" w:eastAsiaTheme="minorEastAsia" w:hAnsiTheme="minorHAnsi" w:cstheme="minorHAnsi"/>
          <w:noProof/>
          <w:lang w:val="sq-AL"/>
        </w:rPr>
      </w:pPr>
    </w:p>
    <w:p w14:paraId="4657E5C1" w14:textId="77777777" w:rsidR="00193978" w:rsidRDefault="00193978" w:rsidP="00FD3343">
      <w:pPr>
        <w:tabs>
          <w:tab w:val="left" w:pos="2511"/>
          <w:tab w:val="center" w:pos="4680"/>
          <w:tab w:val="left" w:pos="9360"/>
        </w:tabs>
        <w:spacing w:line="276" w:lineRule="auto"/>
        <w:jc w:val="both"/>
        <w:rPr>
          <w:rFonts w:asciiTheme="minorHAnsi" w:eastAsiaTheme="minorEastAsia" w:hAnsiTheme="minorHAnsi" w:cstheme="minorHAnsi"/>
          <w:noProof/>
          <w:lang w:val="sq-AL"/>
        </w:rPr>
      </w:pPr>
    </w:p>
    <w:p w14:paraId="3515FF6C" w14:textId="77777777" w:rsidR="00193978" w:rsidRPr="00193978" w:rsidRDefault="00193978" w:rsidP="00FD3343">
      <w:pPr>
        <w:tabs>
          <w:tab w:val="left" w:pos="2511"/>
          <w:tab w:val="center" w:pos="4680"/>
          <w:tab w:val="left" w:pos="9360"/>
        </w:tabs>
        <w:spacing w:line="276" w:lineRule="auto"/>
        <w:jc w:val="both"/>
        <w:rPr>
          <w:rFonts w:asciiTheme="minorHAnsi" w:eastAsiaTheme="minorEastAsia" w:hAnsiTheme="minorHAnsi" w:cstheme="minorHAnsi"/>
          <w:noProof/>
          <w:lang w:val="sq-AL"/>
        </w:rPr>
      </w:pPr>
    </w:p>
    <w:p w14:paraId="27F491B3" w14:textId="393B852B" w:rsidR="0034657E" w:rsidRPr="0034657E" w:rsidRDefault="0034657E" w:rsidP="00E74AAC">
      <w:pPr>
        <w:pStyle w:val="Caption"/>
        <w:rPr>
          <w:rFonts w:asciiTheme="minorHAnsi" w:hAnsiTheme="minorHAnsi"/>
          <w:i/>
          <w:sz w:val="22"/>
          <w:lang w:val="sq-AL"/>
        </w:rPr>
      </w:pPr>
      <w:r w:rsidRPr="0034657E">
        <w:rPr>
          <w:rFonts w:asciiTheme="minorHAnsi" w:hAnsiTheme="minorHAnsi"/>
          <w:i/>
          <w:color w:val="FF0000"/>
          <w:sz w:val="22"/>
          <w:lang w:val="sq-AL"/>
        </w:rPr>
        <w:lastRenderedPageBreak/>
        <w:t xml:space="preserve"> </w:t>
      </w:r>
      <w:bookmarkStart w:id="11" w:name="_Toc107498092"/>
      <w:r w:rsidR="00E74AAC" w:rsidRPr="00E74AAC">
        <w:rPr>
          <w:rFonts w:asciiTheme="minorHAnsi" w:hAnsiTheme="minorHAnsi"/>
          <w:b w:val="0"/>
          <w:bCs w:val="0"/>
          <w:i/>
          <w:color w:val="auto"/>
          <w:sz w:val="22"/>
          <w:szCs w:val="24"/>
          <w:lang w:val="sq-AL"/>
        </w:rPr>
        <w:t xml:space="preserve">Grafiku </w:t>
      </w:r>
      <w:r w:rsidR="00E74AAC" w:rsidRPr="00E74AAC">
        <w:rPr>
          <w:rFonts w:asciiTheme="minorHAnsi" w:hAnsiTheme="minorHAnsi"/>
          <w:b w:val="0"/>
          <w:bCs w:val="0"/>
          <w:i/>
          <w:color w:val="auto"/>
          <w:sz w:val="22"/>
          <w:szCs w:val="24"/>
          <w:lang w:val="sq-AL"/>
        </w:rPr>
        <w:fldChar w:fldCharType="begin"/>
      </w:r>
      <w:r w:rsidR="00E74AAC" w:rsidRPr="00E74AAC">
        <w:rPr>
          <w:rFonts w:asciiTheme="minorHAnsi" w:hAnsiTheme="minorHAnsi"/>
          <w:b w:val="0"/>
          <w:bCs w:val="0"/>
          <w:i/>
          <w:color w:val="auto"/>
          <w:sz w:val="22"/>
          <w:szCs w:val="24"/>
          <w:lang w:val="sq-AL"/>
        </w:rPr>
        <w:instrText xml:space="preserve"> SEQ Grafiku \* ARABIC </w:instrText>
      </w:r>
      <w:r w:rsidR="00E74AAC" w:rsidRPr="00E74AAC">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1</w:t>
      </w:r>
      <w:r w:rsidR="00E74AAC" w:rsidRPr="00E74AAC">
        <w:rPr>
          <w:rFonts w:asciiTheme="minorHAnsi" w:hAnsiTheme="minorHAnsi"/>
          <w:b w:val="0"/>
          <w:bCs w:val="0"/>
          <w:i/>
          <w:color w:val="auto"/>
          <w:sz w:val="22"/>
          <w:szCs w:val="24"/>
          <w:lang w:val="sq-AL"/>
        </w:rPr>
        <w:fldChar w:fldCharType="end"/>
      </w:r>
      <w:r w:rsidRPr="00E74AAC">
        <w:rPr>
          <w:rFonts w:asciiTheme="minorHAnsi" w:hAnsiTheme="minorHAnsi"/>
          <w:b w:val="0"/>
          <w:bCs w:val="0"/>
          <w:i/>
          <w:color w:val="auto"/>
          <w:sz w:val="22"/>
          <w:szCs w:val="24"/>
          <w:lang w:val="sq-AL"/>
        </w:rPr>
        <w:t>: Totali i të ardhurave Janar- Maj 202</w:t>
      </w:r>
      <w:r w:rsidR="00193978">
        <w:rPr>
          <w:rFonts w:asciiTheme="minorHAnsi" w:hAnsiTheme="minorHAnsi"/>
          <w:b w:val="0"/>
          <w:bCs w:val="0"/>
          <w:i/>
          <w:color w:val="auto"/>
          <w:sz w:val="22"/>
          <w:szCs w:val="24"/>
          <w:lang w:val="sq-AL"/>
        </w:rPr>
        <w:t>3</w:t>
      </w:r>
      <w:r w:rsidRPr="00E74AAC">
        <w:rPr>
          <w:rFonts w:asciiTheme="minorHAnsi" w:hAnsiTheme="minorHAnsi"/>
          <w:b w:val="0"/>
          <w:bCs w:val="0"/>
          <w:i/>
          <w:color w:val="auto"/>
          <w:sz w:val="22"/>
          <w:szCs w:val="24"/>
          <w:lang w:val="sq-AL"/>
        </w:rPr>
        <w:t>/202</w:t>
      </w:r>
      <w:r w:rsidR="00193978">
        <w:rPr>
          <w:rFonts w:asciiTheme="minorHAnsi" w:hAnsiTheme="minorHAnsi"/>
          <w:b w:val="0"/>
          <w:bCs w:val="0"/>
          <w:i/>
          <w:color w:val="auto"/>
          <w:sz w:val="22"/>
          <w:szCs w:val="24"/>
          <w:lang w:val="sq-AL"/>
        </w:rPr>
        <w:t xml:space="preserve">2 </w:t>
      </w:r>
      <w:r w:rsidRPr="00E74AAC">
        <w:rPr>
          <w:rFonts w:asciiTheme="minorHAnsi" w:hAnsiTheme="minorHAnsi"/>
          <w:b w:val="0"/>
          <w:bCs w:val="0"/>
          <w:i/>
          <w:color w:val="auto"/>
          <w:sz w:val="22"/>
          <w:szCs w:val="24"/>
          <w:lang w:val="sq-AL"/>
        </w:rPr>
        <w:t>(në milionë lekë)</w:t>
      </w:r>
      <w:bookmarkEnd w:id="10"/>
      <w:bookmarkEnd w:id="11"/>
    </w:p>
    <w:p w14:paraId="6C865418" w14:textId="77777777" w:rsidR="0034657E" w:rsidRDefault="00FD3343" w:rsidP="0034657E">
      <w:pPr>
        <w:tabs>
          <w:tab w:val="left" w:pos="2511"/>
          <w:tab w:val="center" w:pos="4680"/>
          <w:tab w:val="left" w:pos="9360"/>
        </w:tabs>
        <w:jc w:val="center"/>
        <w:rPr>
          <w:rFonts w:asciiTheme="minorHAnsi" w:hAnsiTheme="minorHAnsi"/>
          <w:i/>
          <w:noProof/>
          <w:sz w:val="20"/>
          <w:szCs w:val="20"/>
          <w:lang w:val="sq-AL"/>
        </w:rPr>
      </w:pPr>
      <w:r>
        <w:rPr>
          <w:noProof/>
        </w:rPr>
        <w:drawing>
          <wp:inline distT="0" distB="0" distL="0" distR="0" wp14:anchorId="2BED6821" wp14:editId="4DC07B7A">
            <wp:extent cx="6115050" cy="2179320"/>
            <wp:effectExtent l="0" t="0" r="0" b="11430"/>
            <wp:docPr id="271" name="Chart 271">
              <a:extLst xmlns:a="http://schemas.openxmlformats.org/drawingml/2006/main">
                <a:ext uri="{FF2B5EF4-FFF2-40B4-BE49-F238E27FC236}">
                  <a16:creationId xmlns:a16="http://schemas.microsoft.com/office/drawing/2014/main" id="{00000000-0008-0000-1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551546" w14:textId="77777777" w:rsidR="0034657E" w:rsidRDefault="00193978" w:rsidP="00FD3343">
      <w:pPr>
        <w:tabs>
          <w:tab w:val="left" w:pos="2511"/>
          <w:tab w:val="center" w:pos="4680"/>
          <w:tab w:val="left" w:pos="9360"/>
        </w:tabs>
        <w:jc w:val="both"/>
        <w:rPr>
          <w:rFonts w:asciiTheme="minorHAnsi" w:hAnsiTheme="minorHAnsi"/>
          <w:i/>
          <w:noProof/>
          <w:sz w:val="20"/>
          <w:szCs w:val="20"/>
          <w:lang w:val="sq-AL"/>
        </w:rPr>
      </w:pPr>
      <w:r>
        <w:rPr>
          <w:rFonts w:asciiTheme="minorHAnsi" w:hAnsiTheme="minorHAnsi"/>
          <w:i/>
          <w:noProof/>
          <w:sz w:val="20"/>
          <w:szCs w:val="20"/>
          <w:lang w:val="sq-AL"/>
        </w:rPr>
        <w:t>Burimi: Ministria e Financave dhe Ekonomisë (2023)</w:t>
      </w:r>
    </w:p>
    <w:p w14:paraId="731E28AB" w14:textId="77777777" w:rsidR="00193978" w:rsidRPr="00BF0ED9" w:rsidRDefault="00193978" w:rsidP="00FD3343">
      <w:pPr>
        <w:tabs>
          <w:tab w:val="left" w:pos="2511"/>
          <w:tab w:val="center" w:pos="4680"/>
          <w:tab w:val="left" w:pos="9360"/>
        </w:tabs>
        <w:jc w:val="both"/>
        <w:rPr>
          <w:rFonts w:asciiTheme="minorHAnsi" w:hAnsiTheme="minorHAnsi"/>
          <w:noProof/>
          <w:color w:val="FF0000"/>
          <w:lang w:val="sq-AL"/>
        </w:rPr>
      </w:pPr>
    </w:p>
    <w:p w14:paraId="670B2D44" w14:textId="77777777" w:rsidR="0034657E" w:rsidRPr="00646CAC" w:rsidRDefault="0034657E" w:rsidP="0034657E">
      <w:pPr>
        <w:tabs>
          <w:tab w:val="left" w:pos="2511"/>
          <w:tab w:val="center" w:pos="4680"/>
          <w:tab w:val="left" w:pos="9360"/>
        </w:tabs>
        <w:spacing w:line="276" w:lineRule="auto"/>
        <w:jc w:val="both"/>
        <w:rPr>
          <w:rFonts w:asciiTheme="minorHAnsi" w:hAnsiTheme="minorHAnsi" w:cstheme="minorHAnsi"/>
          <w:noProof/>
          <w:u w:val="single"/>
          <w:lang w:val="sq-AL"/>
        </w:rPr>
      </w:pPr>
      <w:r w:rsidRPr="00646CAC">
        <w:rPr>
          <w:rFonts w:asciiTheme="minorHAnsi" w:hAnsiTheme="minorHAnsi" w:cstheme="minorHAnsi"/>
          <w:noProof/>
          <w:u w:val="single"/>
          <w:lang w:val="sq-AL"/>
        </w:rPr>
        <w:t>Faktorët kryesorë që kanë ndikuar në performancën e 5 mujorit kundrejt planit janë:</w:t>
      </w:r>
    </w:p>
    <w:p w14:paraId="32D4815D" w14:textId="77777777" w:rsidR="00193978" w:rsidRPr="00853EB9" w:rsidRDefault="00193978" w:rsidP="00056DE5">
      <w:pPr>
        <w:pStyle w:val="ListParagraph"/>
        <w:numPr>
          <w:ilvl w:val="0"/>
          <w:numId w:val="37"/>
        </w:numPr>
        <w:tabs>
          <w:tab w:val="left" w:pos="2511"/>
          <w:tab w:val="center" w:pos="4680"/>
          <w:tab w:val="left" w:pos="9360"/>
        </w:tabs>
        <w:spacing w:line="276" w:lineRule="auto"/>
        <w:jc w:val="both"/>
        <w:rPr>
          <w:rFonts w:eastAsiaTheme="majorEastAsia" w:cstheme="minorHAnsi"/>
          <w:lang w:val="sq-AL"/>
        </w:rPr>
      </w:pPr>
      <w:r w:rsidRPr="00853EB9">
        <w:rPr>
          <w:rFonts w:asciiTheme="minorHAnsi" w:hAnsiTheme="minorHAnsi" w:cstheme="minorHAnsi"/>
          <w:noProof/>
          <w:lang w:val="sq-AL"/>
        </w:rPr>
        <w:t>Përmiresimi i situatës ekonomike të tatimpaguesve.</w:t>
      </w:r>
    </w:p>
    <w:p w14:paraId="1D73A9B3" w14:textId="77777777" w:rsidR="00193978" w:rsidRPr="00853EB9" w:rsidRDefault="00193978" w:rsidP="00056DE5">
      <w:pPr>
        <w:numPr>
          <w:ilvl w:val="0"/>
          <w:numId w:val="37"/>
        </w:numPr>
        <w:spacing w:line="26" w:lineRule="atLeast"/>
        <w:contextualSpacing/>
        <w:jc w:val="both"/>
        <w:textAlignment w:val="baseline"/>
        <w:rPr>
          <w:rFonts w:asciiTheme="minorHAnsi" w:hAnsiTheme="minorHAnsi" w:cstheme="minorHAnsi"/>
          <w:noProof/>
          <w:lang w:val="sq-AL"/>
        </w:rPr>
      </w:pPr>
      <w:r w:rsidRPr="00853EB9">
        <w:rPr>
          <w:rFonts w:asciiTheme="minorHAnsi" w:hAnsiTheme="minorHAnsi" w:cstheme="minorHAnsi"/>
          <w:noProof/>
          <w:lang w:val="sq-AL"/>
        </w:rPr>
        <w:t>TVSH si rezultat i miradminstrimit tatimor.</w:t>
      </w:r>
    </w:p>
    <w:p w14:paraId="7941F47E" w14:textId="77777777" w:rsidR="00193978" w:rsidRPr="00853EB9" w:rsidRDefault="00193978" w:rsidP="00056DE5">
      <w:pPr>
        <w:numPr>
          <w:ilvl w:val="0"/>
          <w:numId w:val="37"/>
        </w:numPr>
        <w:spacing w:line="26" w:lineRule="atLeast"/>
        <w:contextualSpacing/>
        <w:jc w:val="both"/>
        <w:textAlignment w:val="baseline"/>
        <w:rPr>
          <w:rFonts w:asciiTheme="minorHAnsi" w:hAnsiTheme="minorHAnsi" w:cstheme="minorHAnsi"/>
          <w:noProof/>
          <w:lang w:val="sq-AL"/>
        </w:rPr>
      </w:pPr>
      <w:r w:rsidRPr="00853EB9">
        <w:rPr>
          <w:rFonts w:asciiTheme="minorHAnsi" w:hAnsiTheme="minorHAnsi" w:cstheme="minorHAnsi"/>
          <w:noProof/>
          <w:lang w:val="sq-AL"/>
        </w:rPr>
        <w:t>Rritja e çmimeve të të gjithë produkteve dhe shërbimeve.</w:t>
      </w:r>
    </w:p>
    <w:p w14:paraId="724D7603" w14:textId="77777777" w:rsidR="00193978" w:rsidRPr="00853EB9" w:rsidRDefault="00193978" w:rsidP="00056DE5">
      <w:pPr>
        <w:pStyle w:val="ListParagraph"/>
        <w:numPr>
          <w:ilvl w:val="0"/>
          <w:numId w:val="37"/>
        </w:numPr>
        <w:spacing w:after="160" w:line="312" w:lineRule="auto"/>
        <w:jc w:val="both"/>
        <w:rPr>
          <w:rFonts w:asciiTheme="minorHAnsi" w:eastAsiaTheme="majorEastAsia" w:hAnsiTheme="minorHAnsi" w:cstheme="minorHAnsi"/>
          <w:noProof/>
          <w:lang w:val="sq-AL"/>
        </w:rPr>
      </w:pPr>
      <w:r w:rsidRPr="00853EB9">
        <w:rPr>
          <w:rFonts w:asciiTheme="minorHAnsi" w:hAnsiTheme="minorHAnsi" w:cstheme="minorHAnsi"/>
          <w:noProof/>
          <w:lang w:val="sq-AL"/>
        </w:rPr>
        <w:t xml:space="preserve">Forcimi i kontrollit të deklaratave, bazuar në kriteret e riskut. </w:t>
      </w:r>
    </w:p>
    <w:p w14:paraId="20B55531" w14:textId="77777777" w:rsidR="00193978" w:rsidRPr="00853EB9" w:rsidRDefault="00193978" w:rsidP="00056DE5">
      <w:pPr>
        <w:pStyle w:val="ListParagraph"/>
        <w:numPr>
          <w:ilvl w:val="0"/>
          <w:numId w:val="37"/>
        </w:numPr>
        <w:spacing w:line="312" w:lineRule="auto"/>
        <w:jc w:val="both"/>
        <w:textAlignment w:val="baseline"/>
        <w:rPr>
          <w:rFonts w:asciiTheme="minorHAnsi" w:hAnsiTheme="minorHAnsi" w:cstheme="minorHAnsi"/>
          <w:noProof/>
          <w:lang w:val="sq-AL"/>
        </w:rPr>
      </w:pPr>
      <w:r w:rsidRPr="00853EB9">
        <w:rPr>
          <w:rFonts w:asciiTheme="minorHAnsi" w:hAnsiTheme="minorHAnsi" w:cstheme="minorHAnsi"/>
          <w:noProof/>
          <w:lang w:val="sq-AL"/>
        </w:rPr>
        <w:t>Rritja e të punësuarve në sektorin privat, si dhe rritja e deklarimeve të sigurimeve Shoqërore referuar strategjisë për rritjen e pagës mesatare në shkalë vendi.</w:t>
      </w:r>
    </w:p>
    <w:p w14:paraId="6791F544" w14:textId="77777777" w:rsidR="00193978" w:rsidRPr="00853EB9" w:rsidRDefault="00193978" w:rsidP="00056DE5">
      <w:pPr>
        <w:pStyle w:val="ListParagraph"/>
        <w:numPr>
          <w:ilvl w:val="0"/>
          <w:numId w:val="37"/>
        </w:numPr>
        <w:spacing w:line="312" w:lineRule="auto"/>
        <w:jc w:val="both"/>
        <w:textAlignment w:val="baseline"/>
        <w:rPr>
          <w:rFonts w:asciiTheme="minorHAnsi" w:hAnsiTheme="minorHAnsi" w:cstheme="minorHAnsi"/>
          <w:noProof/>
          <w:lang w:val="sq-AL"/>
        </w:rPr>
      </w:pPr>
      <w:r w:rsidRPr="00853EB9">
        <w:rPr>
          <w:rFonts w:asciiTheme="minorHAnsi" w:hAnsiTheme="minorHAnsi" w:cstheme="minorHAnsi"/>
          <w:noProof/>
          <w:lang w:val="sq-AL"/>
        </w:rPr>
        <w:t>Indeksimi i nivelit të pagave në sektorin publik si dhe rritja e pagave në sektorë të veçantë prioritarë.</w:t>
      </w:r>
    </w:p>
    <w:p w14:paraId="657B21F2" w14:textId="77777777" w:rsidR="00193978" w:rsidRPr="00853EB9" w:rsidRDefault="00193978" w:rsidP="00056DE5">
      <w:pPr>
        <w:numPr>
          <w:ilvl w:val="0"/>
          <w:numId w:val="37"/>
        </w:numPr>
        <w:spacing w:line="26" w:lineRule="atLeast"/>
        <w:contextualSpacing/>
        <w:jc w:val="both"/>
        <w:textAlignment w:val="baseline"/>
        <w:rPr>
          <w:rFonts w:asciiTheme="minorHAnsi" w:hAnsiTheme="minorHAnsi" w:cstheme="minorHAnsi"/>
          <w:noProof/>
          <w:lang w:val="sq-AL"/>
        </w:rPr>
      </w:pPr>
      <w:r w:rsidRPr="00853EB9">
        <w:rPr>
          <w:rFonts w:asciiTheme="minorHAnsi" w:hAnsiTheme="minorHAnsi" w:cstheme="minorHAnsi"/>
          <w:noProof/>
          <w:lang w:val="sq-AL"/>
        </w:rPr>
        <w:t xml:space="preserve">Rritja e pagës minimale në shkallë vendi </w:t>
      </w:r>
    </w:p>
    <w:p w14:paraId="3FD21E80" w14:textId="77777777" w:rsidR="0034657E" w:rsidRDefault="0034657E" w:rsidP="0034657E">
      <w:pPr>
        <w:spacing w:before="240" w:line="276" w:lineRule="auto"/>
        <w:rPr>
          <w:rFonts w:asciiTheme="minorHAnsi" w:hAnsiTheme="minorHAnsi"/>
          <w:b/>
          <w:noProof/>
          <w:lang w:val="sq-AL"/>
        </w:rPr>
      </w:pPr>
      <w:r w:rsidRPr="004E355C">
        <w:rPr>
          <w:rFonts w:asciiTheme="minorHAnsi" w:hAnsiTheme="minorHAnsi"/>
          <w:b/>
          <w:noProof/>
          <w:lang w:val="sq-AL"/>
        </w:rPr>
        <w:t>Performanca e të ardhurave tatimore dhe doganore kundrejt planit 20</w:t>
      </w:r>
      <w:r>
        <w:rPr>
          <w:rFonts w:asciiTheme="minorHAnsi" w:hAnsiTheme="minorHAnsi"/>
          <w:b/>
          <w:noProof/>
          <w:lang w:val="sq-AL"/>
        </w:rPr>
        <w:t>2</w:t>
      </w:r>
      <w:r w:rsidR="00193978">
        <w:rPr>
          <w:rFonts w:asciiTheme="minorHAnsi" w:hAnsiTheme="minorHAnsi"/>
          <w:b/>
          <w:noProof/>
          <w:lang w:val="sq-AL"/>
        </w:rPr>
        <w:t>3</w:t>
      </w:r>
    </w:p>
    <w:p w14:paraId="7AE8E951" w14:textId="77777777" w:rsidR="00193978" w:rsidRPr="00853EB9" w:rsidRDefault="00193978" w:rsidP="00193978">
      <w:pPr>
        <w:tabs>
          <w:tab w:val="left" w:pos="2511"/>
          <w:tab w:val="center" w:pos="4680"/>
          <w:tab w:val="left" w:pos="9360"/>
        </w:tabs>
        <w:spacing w:line="276" w:lineRule="auto"/>
        <w:jc w:val="both"/>
        <w:rPr>
          <w:rFonts w:asciiTheme="minorHAnsi" w:hAnsiTheme="minorHAnsi" w:cstheme="minorHAnsi"/>
          <w:noProof/>
          <w:lang w:val="sq-AL"/>
        </w:rPr>
      </w:pPr>
      <w:r w:rsidRPr="00853EB9">
        <w:rPr>
          <w:rFonts w:asciiTheme="minorHAnsi" w:hAnsiTheme="minorHAnsi" w:cstheme="minorHAnsi"/>
          <w:noProof/>
          <w:lang w:val="sq-AL"/>
        </w:rPr>
        <w:t>Të ardhurat nga “Tatimet dhe Doganat” duke përfshirë dhe kontributet e sigurimeve shoqërore të mbledhura nga DPT për periudhën Janar-Maj 2023 paraqiten me një realizim në masën 104.1% ose 8.8 miliardë lekë më shumë se plani i periudhës. Performanca sipas taksave paraqitet si vijon:</w:t>
      </w:r>
    </w:p>
    <w:p w14:paraId="544BB9F1" w14:textId="77777777" w:rsidR="00193978" w:rsidRPr="00193978" w:rsidRDefault="00193978" w:rsidP="00056DE5">
      <w:pPr>
        <w:pStyle w:val="ListParagraph"/>
        <w:numPr>
          <w:ilvl w:val="0"/>
          <w:numId w:val="37"/>
        </w:numPr>
        <w:spacing w:line="276" w:lineRule="auto"/>
        <w:ind w:left="360"/>
        <w:jc w:val="both"/>
        <w:textAlignment w:val="baseline"/>
        <w:rPr>
          <w:rFonts w:asciiTheme="minorHAnsi" w:hAnsiTheme="minorHAnsi" w:cstheme="minorHAnsi"/>
          <w:i/>
          <w:noProof/>
          <w:lang w:val="sq-AL"/>
        </w:rPr>
      </w:pPr>
      <w:r w:rsidRPr="00193978">
        <w:rPr>
          <w:rFonts w:asciiTheme="minorHAnsi" w:hAnsiTheme="minorHAnsi" w:cstheme="minorHAnsi"/>
          <w:i/>
          <w:noProof/>
          <w:lang w:val="sq-AL"/>
        </w:rPr>
        <w:t xml:space="preserve">Të ardhurat nga “T.V.SH-ja” në total, janë realizuar në vlerën 76.8 miliardë lekë, 0.5% ose 375 milionë lekë më shumë se plani i periudhës. </w:t>
      </w:r>
    </w:p>
    <w:p w14:paraId="78293394" w14:textId="77777777" w:rsidR="00193978" w:rsidRPr="00193978" w:rsidRDefault="00193978" w:rsidP="00056DE5">
      <w:pPr>
        <w:pStyle w:val="ListParagraph"/>
        <w:numPr>
          <w:ilvl w:val="0"/>
          <w:numId w:val="37"/>
        </w:numPr>
        <w:spacing w:line="276" w:lineRule="auto"/>
        <w:ind w:left="360"/>
        <w:jc w:val="both"/>
        <w:textAlignment w:val="baseline"/>
        <w:rPr>
          <w:rFonts w:asciiTheme="minorHAnsi" w:hAnsiTheme="minorHAnsi" w:cstheme="minorHAnsi"/>
          <w:i/>
          <w:noProof/>
          <w:lang w:val="sq-AL"/>
        </w:rPr>
      </w:pPr>
      <w:r w:rsidRPr="00193978">
        <w:rPr>
          <w:rFonts w:asciiTheme="minorHAnsi" w:hAnsiTheme="minorHAnsi" w:cstheme="minorHAnsi"/>
          <w:i/>
          <w:noProof/>
          <w:lang w:val="sq-AL"/>
        </w:rPr>
        <w:t>Të ardhurat nga “Tatimi mbi Fitimin”, janë realizuar në vlerën 29.3 miliardë lekë, 32.7% ose 7.2 miliardë lekë më shumë se plani i periudhës.</w:t>
      </w:r>
    </w:p>
    <w:p w14:paraId="5FACBD95" w14:textId="77777777" w:rsidR="00193978" w:rsidRPr="00193978" w:rsidRDefault="00193978" w:rsidP="00056DE5">
      <w:pPr>
        <w:pStyle w:val="ListParagraph"/>
        <w:numPr>
          <w:ilvl w:val="0"/>
          <w:numId w:val="37"/>
        </w:numPr>
        <w:spacing w:line="276" w:lineRule="auto"/>
        <w:ind w:left="360"/>
        <w:jc w:val="both"/>
        <w:textAlignment w:val="baseline"/>
        <w:rPr>
          <w:rFonts w:asciiTheme="minorHAnsi" w:hAnsiTheme="minorHAnsi" w:cstheme="minorHAnsi"/>
          <w:i/>
          <w:noProof/>
          <w:lang w:val="sq-AL"/>
        </w:rPr>
      </w:pPr>
      <w:r w:rsidRPr="00193978">
        <w:rPr>
          <w:rFonts w:asciiTheme="minorHAnsi" w:hAnsiTheme="minorHAnsi" w:cstheme="minorHAnsi"/>
          <w:i/>
          <w:noProof/>
          <w:lang w:val="sq-AL"/>
        </w:rPr>
        <w:t>Të ardhurat nga “Akciza”, janë realizuar në vlerën 21.1 miliardë lekë, 2.8% ose 617 milionë lekë më pak se plani i periudhës.</w:t>
      </w:r>
    </w:p>
    <w:p w14:paraId="00F1F10C" w14:textId="77777777" w:rsidR="00193978" w:rsidRPr="00193978" w:rsidRDefault="00193978" w:rsidP="00056DE5">
      <w:pPr>
        <w:pStyle w:val="ListParagraph"/>
        <w:numPr>
          <w:ilvl w:val="0"/>
          <w:numId w:val="37"/>
        </w:numPr>
        <w:spacing w:line="276" w:lineRule="auto"/>
        <w:ind w:left="360"/>
        <w:jc w:val="both"/>
        <w:textAlignment w:val="baseline"/>
        <w:rPr>
          <w:rFonts w:asciiTheme="minorHAnsi" w:hAnsiTheme="minorHAnsi" w:cstheme="minorHAnsi"/>
          <w:i/>
          <w:noProof/>
          <w:lang w:val="sq-AL"/>
        </w:rPr>
      </w:pPr>
      <w:r w:rsidRPr="00193978">
        <w:rPr>
          <w:rFonts w:asciiTheme="minorHAnsi" w:hAnsiTheme="minorHAnsi" w:cstheme="minorHAnsi"/>
          <w:i/>
          <w:noProof/>
          <w:lang w:val="sq-AL"/>
        </w:rPr>
        <w:t>Të ardhurat nga “Tatimi mbi të Ardhurat Personale”, janë realizuar në vlerën 22.8 miliardë lekë, 12.8% ose 2.6 miliardë lekë më shumë se plani i periudhës.</w:t>
      </w:r>
    </w:p>
    <w:p w14:paraId="5CB90CC2" w14:textId="77777777" w:rsidR="00193978" w:rsidRPr="00193978" w:rsidRDefault="00193978" w:rsidP="00056DE5">
      <w:pPr>
        <w:pStyle w:val="ListParagraph"/>
        <w:numPr>
          <w:ilvl w:val="0"/>
          <w:numId w:val="37"/>
        </w:numPr>
        <w:spacing w:line="276" w:lineRule="auto"/>
        <w:ind w:left="360"/>
        <w:jc w:val="both"/>
        <w:textAlignment w:val="baseline"/>
        <w:rPr>
          <w:rFonts w:asciiTheme="minorHAnsi" w:hAnsiTheme="minorHAnsi" w:cstheme="minorHAnsi"/>
          <w:i/>
          <w:noProof/>
          <w:lang w:val="sq-AL"/>
        </w:rPr>
      </w:pPr>
      <w:r w:rsidRPr="00193978">
        <w:rPr>
          <w:rFonts w:asciiTheme="minorHAnsi" w:hAnsiTheme="minorHAnsi" w:cstheme="minorHAnsi"/>
          <w:i/>
          <w:noProof/>
          <w:lang w:val="sq-AL"/>
        </w:rPr>
        <w:t>Të ardhurat nga “Taksat Nacionale dhe të tjera” janë realizuar në vlerën 15.7 miliardë lekë, 24.6 % ose 5.1 miliardë lekë më pak se plani i periudhës.</w:t>
      </w:r>
    </w:p>
    <w:p w14:paraId="422B5F8B" w14:textId="77777777" w:rsidR="00193978" w:rsidRPr="00193978" w:rsidRDefault="00193978" w:rsidP="00056DE5">
      <w:pPr>
        <w:pStyle w:val="ListParagraph"/>
        <w:numPr>
          <w:ilvl w:val="0"/>
          <w:numId w:val="37"/>
        </w:numPr>
        <w:spacing w:line="276" w:lineRule="auto"/>
        <w:ind w:left="360"/>
        <w:jc w:val="both"/>
        <w:textAlignment w:val="baseline"/>
        <w:rPr>
          <w:rFonts w:asciiTheme="minorHAnsi" w:hAnsiTheme="minorHAnsi" w:cstheme="minorHAnsi"/>
          <w:i/>
          <w:noProof/>
          <w:lang w:val="sq-AL"/>
        </w:rPr>
      </w:pPr>
      <w:r w:rsidRPr="00193978">
        <w:rPr>
          <w:rFonts w:asciiTheme="minorHAnsi" w:hAnsiTheme="minorHAnsi" w:cstheme="minorHAnsi"/>
          <w:i/>
          <w:noProof/>
          <w:lang w:val="sq-AL"/>
        </w:rPr>
        <w:t>Të ardhurat nga “Taksat Doganore” janë realizuar në vlerën 3.5 miliardë lekë, 10.8% ose 339 milionë lekë më shumë se plani i periudhës.</w:t>
      </w:r>
    </w:p>
    <w:p w14:paraId="14FD4079" w14:textId="77777777" w:rsidR="00193978" w:rsidRPr="00193978" w:rsidRDefault="00193978" w:rsidP="00056DE5">
      <w:pPr>
        <w:pStyle w:val="ListParagraph"/>
        <w:numPr>
          <w:ilvl w:val="0"/>
          <w:numId w:val="37"/>
        </w:numPr>
        <w:spacing w:line="276" w:lineRule="auto"/>
        <w:ind w:left="360"/>
        <w:jc w:val="both"/>
        <w:textAlignment w:val="baseline"/>
        <w:rPr>
          <w:rFonts w:asciiTheme="minorHAnsi" w:hAnsiTheme="minorHAnsi" w:cstheme="minorHAnsi"/>
          <w:i/>
          <w:noProof/>
          <w:lang w:val="sq-AL"/>
        </w:rPr>
      </w:pPr>
      <w:r w:rsidRPr="00193978">
        <w:rPr>
          <w:rFonts w:asciiTheme="minorHAnsi" w:hAnsiTheme="minorHAnsi" w:cstheme="minorHAnsi"/>
          <w:i/>
          <w:noProof/>
          <w:lang w:val="sq-AL"/>
        </w:rPr>
        <w:t>Të ardhurat nga “Kontributet e Sigurimeve Shoqërore dhe Shëndetësore” janë realizuar në vlerën 55 miliardë lekë, 7.8% ose 4 miliardë lekë më shumë se plani i periudhës.</w:t>
      </w:r>
    </w:p>
    <w:p w14:paraId="529F27CA" w14:textId="77777777" w:rsidR="00193978" w:rsidRPr="00853EB9" w:rsidRDefault="00193978" w:rsidP="00193978">
      <w:pPr>
        <w:pStyle w:val="NormalWeb"/>
        <w:spacing w:before="0" w:beforeAutospacing="0" w:after="0" w:afterAutospacing="0" w:line="276" w:lineRule="auto"/>
        <w:jc w:val="both"/>
        <w:rPr>
          <w:rFonts w:asciiTheme="minorHAnsi" w:hAnsiTheme="minorHAnsi"/>
          <w:bCs/>
          <w:lang w:val="sq-AL"/>
        </w:rPr>
      </w:pPr>
      <w:r w:rsidRPr="00853EB9">
        <w:rPr>
          <w:rFonts w:asciiTheme="minorHAnsi" w:hAnsiTheme="minorHAnsi" w:cstheme="minorHAnsi"/>
          <w:bCs/>
          <w:lang w:val="sq-AL"/>
        </w:rPr>
        <w:lastRenderedPageBreak/>
        <w:t>Importi i taksuar arriti në vlerën 284.4 miliardë lekë, ndërsa eksportet në total arritën vlerën 196.2 miliardë lekë. Krahasuar me të njëtën periudhë të vitit të kaluar importi i taksuar është rritur me 165 milionë lekë, dhe eksporti total është ulur me 21.3 miliardë lekë ose 10%. Sipas orientimit gjeografik, vendet Europiane, veçanërisht Italia mbeten partnerët kryesorë në shkëmbimet tregtare</w:t>
      </w:r>
      <w:r w:rsidRPr="00853EB9">
        <w:rPr>
          <w:rFonts w:asciiTheme="minorHAnsi" w:hAnsiTheme="minorHAnsi"/>
          <w:bCs/>
          <w:lang w:val="sq-AL"/>
        </w:rPr>
        <w:t xml:space="preserve">. </w:t>
      </w:r>
    </w:p>
    <w:p w14:paraId="3EC65550" w14:textId="77777777" w:rsidR="0034657E" w:rsidRPr="00162793" w:rsidRDefault="0034657E" w:rsidP="0034657E">
      <w:pPr>
        <w:pStyle w:val="NormalWeb"/>
        <w:spacing w:before="0" w:beforeAutospacing="0" w:after="0" w:afterAutospacing="0" w:line="276" w:lineRule="auto"/>
        <w:jc w:val="both"/>
        <w:rPr>
          <w:rFonts w:asciiTheme="minorHAnsi" w:hAnsiTheme="minorHAnsi"/>
          <w:sz w:val="8"/>
          <w:szCs w:val="8"/>
          <w:lang w:val="sq-AL"/>
        </w:rPr>
      </w:pPr>
    </w:p>
    <w:p w14:paraId="59C3AB3D" w14:textId="10E79E13" w:rsidR="0034657E" w:rsidRPr="0034657E" w:rsidRDefault="00C371C2" w:rsidP="00193978">
      <w:pPr>
        <w:pStyle w:val="Caption"/>
        <w:shd w:val="clear" w:color="auto" w:fill="FFFFFF" w:themeFill="background1"/>
        <w:spacing w:after="0"/>
        <w:rPr>
          <w:rFonts w:asciiTheme="minorHAnsi" w:hAnsiTheme="minorHAnsi"/>
          <w:b w:val="0"/>
          <w:bCs w:val="0"/>
          <w:i/>
          <w:color w:val="auto"/>
          <w:sz w:val="22"/>
          <w:szCs w:val="24"/>
          <w:lang w:val="sq-AL"/>
        </w:rPr>
      </w:pPr>
      <w:bookmarkStart w:id="12" w:name="_Toc12448428"/>
      <w:bookmarkStart w:id="13" w:name="_Toc107498093"/>
      <w:r w:rsidRPr="00C371C2">
        <w:rPr>
          <w:rFonts w:asciiTheme="minorHAnsi" w:hAnsiTheme="minorHAnsi"/>
          <w:b w:val="0"/>
          <w:bCs w:val="0"/>
          <w:i/>
          <w:color w:val="auto"/>
          <w:sz w:val="22"/>
          <w:szCs w:val="24"/>
          <w:lang w:val="sq-AL"/>
        </w:rPr>
        <w:t xml:space="preserve">Grafiku </w:t>
      </w:r>
      <w:r w:rsidRPr="00C371C2">
        <w:rPr>
          <w:rFonts w:asciiTheme="minorHAnsi" w:hAnsiTheme="minorHAnsi"/>
          <w:b w:val="0"/>
          <w:bCs w:val="0"/>
          <w:i/>
          <w:color w:val="auto"/>
          <w:sz w:val="22"/>
          <w:szCs w:val="24"/>
          <w:lang w:val="sq-AL"/>
        </w:rPr>
        <w:fldChar w:fldCharType="begin"/>
      </w:r>
      <w:r w:rsidRPr="00C371C2">
        <w:rPr>
          <w:rFonts w:asciiTheme="minorHAnsi" w:hAnsiTheme="minorHAnsi"/>
          <w:b w:val="0"/>
          <w:bCs w:val="0"/>
          <w:i/>
          <w:color w:val="auto"/>
          <w:sz w:val="22"/>
          <w:szCs w:val="24"/>
          <w:lang w:val="sq-AL"/>
        </w:rPr>
        <w:instrText xml:space="preserve"> SEQ Grafiku \* ARABIC </w:instrText>
      </w:r>
      <w:r w:rsidRPr="00C371C2">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2</w:t>
      </w:r>
      <w:r w:rsidRPr="00C371C2">
        <w:rPr>
          <w:rFonts w:asciiTheme="minorHAnsi" w:hAnsiTheme="minorHAnsi"/>
          <w:b w:val="0"/>
          <w:bCs w:val="0"/>
          <w:i/>
          <w:color w:val="auto"/>
          <w:sz w:val="22"/>
          <w:szCs w:val="24"/>
          <w:lang w:val="sq-AL"/>
        </w:rPr>
        <w:fldChar w:fldCharType="end"/>
      </w:r>
      <w:r w:rsidR="0034657E" w:rsidRPr="00C371C2">
        <w:rPr>
          <w:rFonts w:asciiTheme="minorHAnsi" w:hAnsiTheme="minorHAnsi"/>
          <w:b w:val="0"/>
          <w:bCs w:val="0"/>
          <w:i/>
          <w:color w:val="auto"/>
          <w:sz w:val="22"/>
          <w:szCs w:val="24"/>
          <w:lang w:val="sq-AL"/>
        </w:rPr>
        <w:t>: Import i Taksuar dhe Eksport Total 202</w:t>
      </w:r>
      <w:r w:rsidR="00193978">
        <w:rPr>
          <w:rFonts w:asciiTheme="minorHAnsi" w:hAnsiTheme="minorHAnsi"/>
          <w:b w:val="0"/>
          <w:bCs w:val="0"/>
          <w:i/>
          <w:color w:val="auto"/>
          <w:sz w:val="22"/>
          <w:szCs w:val="24"/>
          <w:lang w:val="sq-AL"/>
        </w:rPr>
        <w:t>3</w:t>
      </w:r>
      <w:r w:rsidR="0034657E" w:rsidRPr="00C371C2">
        <w:rPr>
          <w:rFonts w:asciiTheme="minorHAnsi" w:hAnsiTheme="minorHAnsi"/>
          <w:b w:val="0"/>
          <w:bCs w:val="0"/>
          <w:i/>
          <w:color w:val="auto"/>
          <w:sz w:val="22"/>
          <w:szCs w:val="24"/>
          <w:lang w:val="sq-AL"/>
        </w:rPr>
        <w:t>/202</w:t>
      </w:r>
      <w:r w:rsidR="00193978">
        <w:rPr>
          <w:rFonts w:asciiTheme="minorHAnsi" w:hAnsiTheme="minorHAnsi"/>
          <w:b w:val="0"/>
          <w:bCs w:val="0"/>
          <w:i/>
          <w:color w:val="auto"/>
          <w:sz w:val="22"/>
          <w:szCs w:val="24"/>
          <w:lang w:val="sq-AL"/>
        </w:rPr>
        <w:t>2</w:t>
      </w:r>
      <w:r w:rsidR="00FD3343" w:rsidRPr="00C371C2">
        <w:rPr>
          <w:rFonts w:asciiTheme="minorHAnsi" w:hAnsiTheme="minorHAnsi"/>
          <w:b w:val="0"/>
          <w:bCs w:val="0"/>
          <w:i/>
          <w:color w:val="auto"/>
          <w:sz w:val="22"/>
          <w:szCs w:val="24"/>
          <w:lang w:val="sq-AL"/>
        </w:rPr>
        <w:t xml:space="preserve"> </w:t>
      </w:r>
      <w:r w:rsidR="0034657E" w:rsidRPr="00C371C2">
        <w:rPr>
          <w:rFonts w:asciiTheme="minorHAnsi" w:hAnsiTheme="minorHAnsi"/>
          <w:b w:val="0"/>
          <w:bCs w:val="0"/>
          <w:i/>
          <w:color w:val="auto"/>
          <w:sz w:val="22"/>
          <w:szCs w:val="24"/>
          <w:lang w:val="sq-AL"/>
        </w:rPr>
        <w:t>(në miliard lekë)</w:t>
      </w:r>
      <w:bookmarkEnd w:id="12"/>
      <w:bookmarkEnd w:id="13"/>
    </w:p>
    <w:p w14:paraId="428D2072" w14:textId="77777777" w:rsidR="0034657E" w:rsidRPr="0054006E" w:rsidRDefault="00193978" w:rsidP="0034657E">
      <w:pPr>
        <w:jc w:val="center"/>
        <w:rPr>
          <w:lang w:val="sq-AL"/>
        </w:rPr>
      </w:pPr>
      <w:r w:rsidRPr="00853EB9">
        <w:rPr>
          <w:noProof/>
        </w:rPr>
        <w:drawing>
          <wp:inline distT="0" distB="0" distL="0" distR="0" wp14:anchorId="2351B191" wp14:editId="1015C6C5">
            <wp:extent cx="6047105" cy="1226820"/>
            <wp:effectExtent l="0" t="0" r="10795" b="11430"/>
            <wp:docPr id="1312197894" name="Chart 1312197894">
              <a:extLst xmlns:a="http://schemas.openxmlformats.org/drawingml/2006/main">
                <a:ext uri="{FF2B5EF4-FFF2-40B4-BE49-F238E27FC236}">
                  <a16:creationId xmlns:a16="http://schemas.microsoft.com/office/drawing/2014/main" id="{7A10E63F-9585-4221-B723-E233F9A21A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B2294B9" w14:textId="77777777" w:rsidR="0034657E" w:rsidRPr="004E355C" w:rsidRDefault="00193978" w:rsidP="0034657E">
      <w:pPr>
        <w:tabs>
          <w:tab w:val="left" w:pos="1440"/>
          <w:tab w:val="center" w:pos="4680"/>
          <w:tab w:val="left" w:pos="9360"/>
        </w:tabs>
        <w:spacing w:line="276" w:lineRule="auto"/>
        <w:jc w:val="both"/>
        <w:rPr>
          <w:rFonts w:asciiTheme="minorHAnsi" w:hAnsiTheme="minorHAnsi"/>
          <w:i/>
          <w:noProof/>
          <w:sz w:val="20"/>
          <w:szCs w:val="20"/>
          <w:lang w:val="sq-AL"/>
        </w:rPr>
      </w:pPr>
      <w:r>
        <w:rPr>
          <w:rFonts w:asciiTheme="minorHAnsi" w:hAnsiTheme="minorHAnsi"/>
          <w:i/>
          <w:noProof/>
          <w:sz w:val="20"/>
          <w:szCs w:val="20"/>
          <w:lang w:val="sq-AL"/>
        </w:rPr>
        <w:t>Burimi: Ministria e Financave dhe Ekonomisë (2023)</w:t>
      </w:r>
    </w:p>
    <w:p w14:paraId="38B058D8" w14:textId="77777777" w:rsidR="0034657E" w:rsidRDefault="0034657E" w:rsidP="0034657E">
      <w:pPr>
        <w:tabs>
          <w:tab w:val="left" w:pos="2511"/>
          <w:tab w:val="left" w:pos="4500"/>
          <w:tab w:val="left" w:pos="4590"/>
          <w:tab w:val="center" w:pos="4680"/>
          <w:tab w:val="left" w:pos="4770"/>
          <w:tab w:val="left" w:pos="4860"/>
        </w:tabs>
        <w:spacing w:before="240" w:line="276" w:lineRule="auto"/>
        <w:jc w:val="both"/>
        <w:rPr>
          <w:rFonts w:asciiTheme="minorHAnsi" w:eastAsiaTheme="minorEastAsia" w:hAnsiTheme="minorHAnsi" w:cstheme="minorHAnsi"/>
          <w:color w:val="000000" w:themeColor="text1"/>
          <w:kern w:val="24"/>
          <w:lang w:val="it-IT"/>
        </w:rPr>
      </w:pPr>
      <w:r w:rsidRPr="004E355C">
        <w:rPr>
          <w:rFonts w:asciiTheme="minorHAnsi" w:hAnsiTheme="minorHAnsi"/>
          <w:b/>
          <w:bCs/>
          <w:lang w:val="sq-AL"/>
        </w:rPr>
        <w:t>Të Ardhurat Doganore</w:t>
      </w:r>
      <w:r w:rsidRPr="004E355C">
        <w:rPr>
          <w:rFonts w:asciiTheme="minorHAnsi" w:hAnsiTheme="minorHAnsi"/>
          <w:bCs/>
          <w:lang w:val="sq-AL"/>
        </w:rPr>
        <w:t xml:space="preserve"> – </w:t>
      </w:r>
      <w:r w:rsidR="00193978" w:rsidRPr="00853EB9">
        <w:rPr>
          <w:rFonts w:asciiTheme="minorHAnsi" w:hAnsiTheme="minorHAnsi" w:cstheme="minorHAnsi"/>
        </w:rPr>
        <w:t>Të ardhurat e mbledhura nga administrata doganore për 5 mujorin 2023 janë realizuar në vlerën 84,1 miliardë lekë,</w:t>
      </w:r>
      <w:r w:rsidR="00193978" w:rsidRPr="00853EB9">
        <w:rPr>
          <w:rFonts w:asciiTheme="minorHAnsi" w:hAnsiTheme="minorHAnsi" w:cstheme="minorHAnsi"/>
          <w:lang w:val="it-IT"/>
        </w:rPr>
        <w:t xml:space="preserve"> 0.4% ose 327 milionë lekë më shumë se 5 mujori 2022, dhe 743 milionë lekë ose -0.9% më pak se plani i të ardhurave doganore për 5</w:t>
      </w:r>
      <w:r w:rsidR="00193978">
        <w:rPr>
          <w:rFonts w:asciiTheme="minorHAnsi" w:hAnsiTheme="minorHAnsi" w:cstheme="minorHAnsi"/>
          <w:lang w:val="it-IT"/>
        </w:rPr>
        <w:t xml:space="preserve"> </w:t>
      </w:r>
      <w:r w:rsidR="00193978" w:rsidRPr="00853EB9">
        <w:rPr>
          <w:rFonts w:asciiTheme="minorHAnsi" w:hAnsiTheme="minorHAnsi" w:cstheme="minorHAnsi"/>
          <w:lang w:val="it-IT"/>
        </w:rPr>
        <w:t>mujorin 2023</w:t>
      </w:r>
      <w:r w:rsidRPr="004E355C">
        <w:rPr>
          <w:rFonts w:asciiTheme="minorHAnsi" w:hAnsiTheme="minorHAnsi" w:cstheme="minorHAnsi"/>
          <w:lang w:val="it-IT"/>
        </w:rPr>
        <w:t>.</w:t>
      </w:r>
      <w:r w:rsidRPr="004E355C">
        <w:rPr>
          <w:rFonts w:asciiTheme="minorHAnsi" w:eastAsiaTheme="minorEastAsia" w:hAnsiTheme="minorHAnsi" w:cstheme="minorHAnsi"/>
          <w:color w:val="000000" w:themeColor="text1"/>
          <w:kern w:val="24"/>
          <w:lang w:val="it-IT"/>
        </w:rPr>
        <w:t xml:space="preserve"> </w:t>
      </w:r>
    </w:p>
    <w:p w14:paraId="604D35ED" w14:textId="02444253" w:rsidR="00777169" w:rsidRPr="0034657E" w:rsidRDefault="00777169" w:rsidP="003C2780">
      <w:pPr>
        <w:pStyle w:val="Caption"/>
        <w:keepNext/>
        <w:spacing w:before="120" w:after="0"/>
        <w:jc w:val="both"/>
        <w:rPr>
          <w:rFonts w:asciiTheme="minorHAnsi" w:hAnsiTheme="minorHAnsi"/>
          <w:b w:val="0"/>
          <w:bCs w:val="0"/>
          <w:i/>
          <w:color w:val="auto"/>
          <w:sz w:val="22"/>
          <w:szCs w:val="24"/>
          <w:lang w:val="sq-AL"/>
        </w:rPr>
      </w:pPr>
      <w:bookmarkStart w:id="14" w:name="_Toc107498094"/>
      <w:r w:rsidRPr="0034657E">
        <w:rPr>
          <w:rFonts w:asciiTheme="minorHAnsi" w:hAnsiTheme="minorHAnsi"/>
          <w:b w:val="0"/>
          <w:bCs w:val="0"/>
          <w:i/>
          <w:color w:val="auto"/>
          <w:sz w:val="22"/>
          <w:szCs w:val="24"/>
          <w:lang w:val="sq-AL"/>
        </w:rPr>
        <w:t xml:space="preserve">Grafiku </w:t>
      </w:r>
      <w:r w:rsidRPr="0034657E">
        <w:rPr>
          <w:rFonts w:asciiTheme="minorHAnsi" w:hAnsiTheme="minorHAnsi"/>
          <w:b w:val="0"/>
          <w:bCs w:val="0"/>
          <w:i/>
          <w:color w:val="auto"/>
          <w:sz w:val="22"/>
          <w:szCs w:val="24"/>
          <w:lang w:val="sq-AL"/>
        </w:rPr>
        <w:fldChar w:fldCharType="begin"/>
      </w:r>
      <w:r w:rsidRPr="0034657E">
        <w:rPr>
          <w:rFonts w:asciiTheme="minorHAnsi" w:hAnsiTheme="minorHAnsi"/>
          <w:b w:val="0"/>
          <w:bCs w:val="0"/>
          <w:i/>
          <w:color w:val="auto"/>
          <w:sz w:val="22"/>
          <w:szCs w:val="24"/>
          <w:lang w:val="sq-AL"/>
        </w:rPr>
        <w:instrText xml:space="preserve"> SEQ Grafiku \* ARABIC </w:instrText>
      </w:r>
      <w:r w:rsidRPr="0034657E">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3</w:t>
      </w:r>
      <w:r w:rsidRPr="0034657E">
        <w:rPr>
          <w:rFonts w:asciiTheme="minorHAnsi" w:hAnsiTheme="minorHAnsi"/>
          <w:b w:val="0"/>
          <w:bCs w:val="0"/>
          <w:i/>
          <w:color w:val="auto"/>
          <w:sz w:val="22"/>
          <w:szCs w:val="24"/>
          <w:lang w:val="sq-AL"/>
        </w:rPr>
        <w:fldChar w:fldCharType="end"/>
      </w:r>
      <w:r w:rsidRPr="0034657E">
        <w:rPr>
          <w:rFonts w:asciiTheme="minorHAnsi" w:hAnsiTheme="minorHAnsi"/>
          <w:b w:val="0"/>
          <w:bCs w:val="0"/>
          <w:i/>
          <w:color w:val="auto"/>
          <w:sz w:val="22"/>
          <w:szCs w:val="24"/>
          <w:lang w:val="sq-AL"/>
        </w:rPr>
        <w:t>: Të ardhurat Doganore për Janar- Maj 2021, mujore dhe progresive (në milion lekë)</w:t>
      </w:r>
      <w:bookmarkEnd w:id="14"/>
      <w:r w:rsidRPr="0034657E">
        <w:rPr>
          <w:noProof/>
          <w:sz w:val="16"/>
        </w:rPr>
        <w:t xml:space="preserve">                    </w:t>
      </w:r>
    </w:p>
    <w:p w14:paraId="0D1AAEAD" w14:textId="77777777" w:rsidR="003C2780" w:rsidRDefault="003C2780" w:rsidP="0034657E">
      <w:pPr>
        <w:tabs>
          <w:tab w:val="left" w:pos="1260"/>
          <w:tab w:val="center" w:pos="4680"/>
          <w:tab w:val="left" w:pos="9360"/>
        </w:tabs>
        <w:spacing w:line="276" w:lineRule="auto"/>
        <w:jc w:val="both"/>
        <w:rPr>
          <w:rFonts w:asciiTheme="minorHAnsi" w:eastAsia="SimSun" w:hAnsiTheme="minorHAnsi"/>
          <w:i/>
          <w:sz w:val="8"/>
          <w:szCs w:val="8"/>
          <w:lang w:val="sq-AL"/>
        </w:rPr>
      </w:pPr>
      <w:r w:rsidRPr="00853EB9">
        <w:rPr>
          <w:noProof/>
        </w:rPr>
        <w:drawing>
          <wp:anchor distT="0" distB="0" distL="114300" distR="114300" simplePos="0" relativeHeight="251686400" behindDoc="0" locked="0" layoutInCell="1" allowOverlap="1" wp14:anchorId="2E7724CC" wp14:editId="2BCB668D">
            <wp:simplePos x="0" y="0"/>
            <wp:positionH relativeFrom="margin">
              <wp:posOffset>0</wp:posOffset>
            </wp:positionH>
            <wp:positionV relativeFrom="paragraph">
              <wp:posOffset>75565</wp:posOffset>
            </wp:positionV>
            <wp:extent cx="2943225" cy="1862138"/>
            <wp:effectExtent l="0" t="0" r="9525" b="5080"/>
            <wp:wrapSquare wrapText="bothSides"/>
            <wp:docPr id="1087926070" name="Chart 1087926070">
              <a:extLst xmlns:a="http://schemas.openxmlformats.org/drawingml/2006/main">
                <a:ext uri="{FF2B5EF4-FFF2-40B4-BE49-F238E27FC236}">
                  <a16:creationId xmlns:a16="http://schemas.microsoft.com/office/drawing/2014/main" id="{928F6D70-CB68-443E-A8B3-56E10DE8FA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53ABD3B3" w14:textId="77777777" w:rsidR="003C2780" w:rsidRDefault="00777169" w:rsidP="00777169">
      <w:pPr>
        <w:rPr>
          <w:rFonts w:asciiTheme="minorHAnsi" w:hAnsiTheme="minorHAnsi"/>
          <w:i/>
          <w:noProof/>
          <w:sz w:val="20"/>
          <w:szCs w:val="20"/>
          <w:lang w:val="sq-AL"/>
        </w:rPr>
      </w:pPr>
      <w:r w:rsidRPr="004E355C">
        <w:rPr>
          <w:rFonts w:asciiTheme="minorHAnsi" w:eastAsia="SimSun" w:hAnsiTheme="minorHAnsi"/>
          <w:lang w:val="sq-AL"/>
        </w:rPr>
        <w:t xml:space="preserve"> </w:t>
      </w:r>
      <w:r w:rsidRPr="004E355C">
        <w:rPr>
          <w:rFonts w:asciiTheme="minorHAnsi" w:hAnsiTheme="minorHAnsi"/>
          <w:i/>
          <w:noProof/>
          <w:sz w:val="20"/>
          <w:szCs w:val="20"/>
          <w:lang w:val="sq-AL"/>
        </w:rPr>
        <w:t xml:space="preserve">   </w:t>
      </w:r>
      <w:r w:rsidR="003C2780" w:rsidRPr="00853EB9">
        <w:rPr>
          <w:noProof/>
        </w:rPr>
        <w:drawing>
          <wp:inline distT="0" distB="0" distL="0" distR="0" wp14:anchorId="3529EACB" wp14:editId="242130BC">
            <wp:extent cx="2910177" cy="1869771"/>
            <wp:effectExtent l="0" t="0" r="5080" b="16510"/>
            <wp:docPr id="1699187976" name="Chart 1699187976">
              <a:extLst xmlns:a="http://schemas.openxmlformats.org/drawingml/2006/main">
                <a:ext uri="{FF2B5EF4-FFF2-40B4-BE49-F238E27FC236}">
                  <a16:creationId xmlns:a16="http://schemas.microsoft.com/office/drawing/2014/main" id="{49E24131-DFDF-4DFD-B3C1-AEAFC9FB5F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1E5645B" w14:textId="77777777" w:rsidR="00777169" w:rsidRPr="00CE45D4" w:rsidRDefault="00777169" w:rsidP="00777169">
      <w:pPr>
        <w:rPr>
          <w:lang w:val="sq-AL"/>
        </w:rPr>
      </w:pPr>
      <w:r w:rsidRPr="004E355C">
        <w:rPr>
          <w:rFonts w:asciiTheme="minorHAnsi" w:hAnsiTheme="minorHAnsi"/>
          <w:i/>
          <w:noProof/>
          <w:sz w:val="20"/>
          <w:szCs w:val="20"/>
          <w:lang w:val="sq-AL"/>
        </w:rPr>
        <w:t xml:space="preserve"> </w:t>
      </w:r>
      <w:r w:rsidR="00193978">
        <w:rPr>
          <w:rFonts w:asciiTheme="minorHAnsi" w:hAnsiTheme="minorHAnsi"/>
          <w:i/>
          <w:noProof/>
          <w:sz w:val="20"/>
          <w:szCs w:val="20"/>
          <w:lang w:val="sq-AL"/>
        </w:rPr>
        <w:t>Burimi: Ministria e Financave dhe Ekonomisë (2023)</w:t>
      </w:r>
    </w:p>
    <w:p w14:paraId="5847A0DE" w14:textId="77777777" w:rsidR="00777169" w:rsidRPr="004E355C" w:rsidRDefault="00777169" w:rsidP="0034657E">
      <w:pPr>
        <w:tabs>
          <w:tab w:val="left" w:pos="1260"/>
          <w:tab w:val="center" w:pos="4680"/>
          <w:tab w:val="left" w:pos="9360"/>
        </w:tabs>
        <w:spacing w:line="276" w:lineRule="auto"/>
        <w:jc w:val="both"/>
        <w:rPr>
          <w:rFonts w:asciiTheme="minorHAnsi" w:eastAsia="SimSun" w:hAnsiTheme="minorHAnsi"/>
          <w:i/>
          <w:sz w:val="8"/>
          <w:szCs w:val="8"/>
          <w:lang w:val="sq-AL"/>
        </w:rPr>
      </w:pPr>
    </w:p>
    <w:p w14:paraId="4EF34C20" w14:textId="77777777" w:rsidR="0034657E" w:rsidRDefault="003C2780" w:rsidP="0034657E">
      <w:pPr>
        <w:tabs>
          <w:tab w:val="left" w:pos="2511"/>
          <w:tab w:val="center" w:pos="4680"/>
        </w:tabs>
        <w:spacing w:before="240" w:line="276" w:lineRule="auto"/>
        <w:jc w:val="both"/>
        <w:rPr>
          <w:rFonts w:asciiTheme="minorHAnsi" w:hAnsiTheme="minorHAnsi" w:cstheme="minorHAnsi"/>
          <w:lang w:val="sq-AL"/>
        </w:rPr>
      </w:pPr>
      <w:r w:rsidRPr="00853EB9">
        <w:rPr>
          <w:rFonts w:asciiTheme="minorHAnsi" w:hAnsiTheme="minorHAnsi" w:cstheme="minorHAnsi"/>
          <w:lang w:val="sq-AL"/>
        </w:rPr>
        <w:t>Kontribuesit kryesor me efekt pozitiv në të ardhurat doganore janë Automjetet e përdorura me 19% të të ardhurave, Automjetet e reja me 8% të të ardhurave, Detergjentë 7%, Materiale të ndërtimit 6% të të ardhurave etj</w:t>
      </w:r>
      <w:r w:rsidR="0034657E">
        <w:rPr>
          <w:rFonts w:asciiTheme="minorHAnsi" w:hAnsiTheme="minorHAnsi" w:cstheme="minorHAnsi"/>
          <w:lang w:val="sq-AL"/>
        </w:rPr>
        <w:t>.</w:t>
      </w:r>
    </w:p>
    <w:p w14:paraId="66BC528C" w14:textId="6656A6DD" w:rsidR="0034657E" w:rsidRPr="00900B3D" w:rsidRDefault="0034657E" w:rsidP="003C2780">
      <w:pPr>
        <w:pStyle w:val="Caption"/>
        <w:keepNext/>
        <w:spacing w:before="120" w:after="0"/>
        <w:jc w:val="both"/>
        <w:rPr>
          <w:rFonts w:asciiTheme="minorHAnsi" w:hAnsiTheme="minorHAnsi"/>
          <w:b w:val="0"/>
          <w:bCs w:val="0"/>
          <w:i/>
          <w:color w:val="auto"/>
          <w:sz w:val="22"/>
          <w:szCs w:val="24"/>
          <w:lang w:val="sq-AL"/>
        </w:rPr>
      </w:pPr>
      <w:bookmarkStart w:id="15" w:name="_Toc12448430"/>
      <w:bookmarkStart w:id="16" w:name="_Toc107498095"/>
      <w:r w:rsidRPr="00900B3D">
        <w:rPr>
          <w:rFonts w:asciiTheme="minorHAnsi" w:hAnsiTheme="minorHAnsi"/>
          <w:b w:val="0"/>
          <w:bCs w:val="0"/>
          <w:i/>
          <w:color w:val="auto"/>
          <w:sz w:val="22"/>
          <w:szCs w:val="24"/>
          <w:lang w:val="sq-AL"/>
        </w:rPr>
        <w:t xml:space="preserve">Grafiku </w:t>
      </w:r>
      <w:r w:rsidRPr="00900B3D">
        <w:rPr>
          <w:rFonts w:asciiTheme="minorHAnsi" w:hAnsiTheme="minorHAnsi"/>
          <w:b w:val="0"/>
          <w:bCs w:val="0"/>
          <w:i/>
          <w:color w:val="auto"/>
          <w:sz w:val="22"/>
          <w:szCs w:val="24"/>
          <w:lang w:val="sq-AL"/>
        </w:rPr>
        <w:fldChar w:fldCharType="begin"/>
      </w:r>
      <w:r w:rsidRPr="00900B3D">
        <w:rPr>
          <w:rFonts w:asciiTheme="minorHAnsi" w:hAnsiTheme="minorHAnsi"/>
          <w:b w:val="0"/>
          <w:bCs w:val="0"/>
          <w:i/>
          <w:color w:val="auto"/>
          <w:sz w:val="22"/>
          <w:szCs w:val="24"/>
          <w:lang w:val="sq-AL"/>
        </w:rPr>
        <w:instrText xml:space="preserve"> SEQ Grafiku \* ARABIC </w:instrText>
      </w:r>
      <w:r w:rsidRPr="00900B3D">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4</w:t>
      </w:r>
      <w:r w:rsidRPr="00900B3D">
        <w:rPr>
          <w:rFonts w:asciiTheme="minorHAnsi" w:hAnsiTheme="minorHAnsi"/>
          <w:b w:val="0"/>
          <w:bCs w:val="0"/>
          <w:i/>
          <w:color w:val="auto"/>
          <w:sz w:val="22"/>
          <w:szCs w:val="24"/>
          <w:lang w:val="sq-AL"/>
        </w:rPr>
        <w:fldChar w:fldCharType="end"/>
      </w:r>
      <w:r w:rsidRPr="00900B3D">
        <w:rPr>
          <w:rFonts w:asciiTheme="minorHAnsi" w:hAnsiTheme="minorHAnsi"/>
          <w:b w:val="0"/>
          <w:bCs w:val="0"/>
          <w:i/>
          <w:color w:val="auto"/>
          <w:sz w:val="22"/>
          <w:szCs w:val="24"/>
          <w:lang w:val="sq-AL"/>
        </w:rPr>
        <w:t>: Kontribuesit kryesor në të ardhurat doganore Janar- Maj 202</w:t>
      </w:r>
      <w:r w:rsidR="003C2780">
        <w:rPr>
          <w:rFonts w:asciiTheme="minorHAnsi" w:hAnsiTheme="minorHAnsi"/>
          <w:b w:val="0"/>
          <w:bCs w:val="0"/>
          <w:i/>
          <w:color w:val="auto"/>
          <w:sz w:val="22"/>
          <w:szCs w:val="24"/>
          <w:lang w:val="sq-AL"/>
        </w:rPr>
        <w:t>3</w:t>
      </w:r>
      <w:r w:rsidRPr="00900B3D">
        <w:rPr>
          <w:rFonts w:asciiTheme="minorHAnsi" w:hAnsiTheme="minorHAnsi"/>
          <w:b w:val="0"/>
          <w:bCs w:val="0"/>
          <w:i/>
          <w:color w:val="auto"/>
          <w:sz w:val="22"/>
          <w:szCs w:val="24"/>
          <w:lang w:val="sq-AL"/>
        </w:rPr>
        <w:t>/202</w:t>
      </w:r>
      <w:r w:rsidR="003C2780">
        <w:rPr>
          <w:rFonts w:asciiTheme="minorHAnsi" w:hAnsiTheme="minorHAnsi"/>
          <w:b w:val="0"/>
          <w:bCs w:val="0"/>
          <w:i/>
          <w:color w:val="auto"/>
          <w:sz w:val="22"/>
          <w:szCs w:val="24"/>
          <w:lang w:val="sq-AL"/>
        </w:rPr>
        <w:t>2</w:t>
      </w:r>
      <w:r w:rsidRPr="00900B3D">
        <w:rPr>
          <w:rFonts w:asciiTheme="minorHAnsi" w:hAnsiTheme="minorHAnsi"/>
          <w:b w:val="0"/>
          <w:bCs w:val="0"/>
          <w:i/>
          <w:color w:val="auto"/>
          <w:sz w:val="22"/>
          <w:szCs w:val="24"/>
          <w:lang w:val="sq-AL"/>
        </w:rPr>
        <w:t xml:space="preserve"> (në milion lekë)</w:t>
      </w:r>
      <w:bookmarkEnd w:id="15"/>
      <w:bookmarkEnd w:id="16"/>
    </w:p>
    <w:p w14:paraId="61B7A66A" w14:textId="77777777" w:rsidR="0034657E" w:rsidRPr="004E355C" w:rsidRDefault="003C2780" w:rsidP="0034657E">
      <w:pPr>
        <w:tabs>
          <w:tab w:val="left" w:pos="1260"/>
          <w:tab w:val="center" w:pos="4680"/>
          <w:tab w:val="left" w:pos="9360"/>
        </w:tabs>
        <w:spacing w:line="276" w:lineRule="auto"/>
        <w:jc w:val="center"/>
        <w:rPr>
          <w:rFonts w:asciiTheme="minorHAnsi" w:eastAsia="SimSun" w:hAnsiTheme="minorHAnsi"/>
          <w:lang w:val="sq-AL"/>
        </w:rPr>
      </w:pPr>
      <w:r w:rsidRPr="00853EB9">
        <w:rPr>
          <w:noProof/>
        </w:rPr>
        <w:drawing>
          <wp:inline distT="0" distB="0" distL="0" distR="0" wp14:anchorId="28575E9C" wp14:editId="3AD556FF">
            <wp:extent cx="5510613" cy="1889760"/>
            <wp:effectExtent l="19050" t="19050" r="13970" b="15240"/>
            <wp:docPr id="920143827" name="Picture 920143827" descr="A black background with red lin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143827" name="Picture 920143827" descr="A black background with red lines&#10;&#10;Description automatically generated with low confidence"/>
                    <pic:cNvPicPr>
                      <a:picLocks noChangeAspect="1"/>
                    </pic:cNvPicPr>
                  </pic:nvPicPr>
                  <pic:blipFill>
                    <a:blip r:embed="rId15"/>
                    <a:stretch>
                      <a:fillRect/>
                    </a:stretch>
                  </pic:blipFill>
                  <pic:spPr>
                    <a:xfrm>
                      <a:off x="0" y="0"/>
                      <a:ext cx="5579045" cy="1913227"/>
                    </a:xfrm>
                    <a:prstGeom prst="rect">
                      <a:avLst/>
                    </a:prstGeom>
                    <a:ln>
                      <a:solidFill>
                        <a:schemeClr val="accent1"/>
                      </a:solidFill>
                    </a:ln>
                  </pic:spPr>
                </pic:pic>
              </a:graphicData>
            </a:graphic>
          </wp:inline>
        </w:drawing>
      </w:r>
    </w:p>
    <w:p w14:paraId="5D781D61" w14:textId="77777777" w:rsidR="0034657E" w:rsidRPr="004E355C" w:rsidRDefault="0034657E" w:rsidP="003C2780">
      <w:pPr>
        <w:tabs>
          <w:tab w:val="left" w:pos="450"/>
          <w:tab w:val="center" w:pos="4680"/>
          <w:tab w:val="left" w:pos="9360"/>
        </w:tabs>
        <w:spacing w:line="276" w:lineRule="auto"/>
        <w:jc w:val="both"/>
        <w:rPr>
          <w:rStyle w:val="Strong"/>
          <w:rFonts w:asciiTheme="minorHAnsi" w:hAnsiTheme="minorHAnsi"/>
          <w:b w:val="0"/>
          <w:bCs w:val="0"/>
          <w:i/>
          <w:noProof/>
          <w:sz w:val="20"/>
          <w:szCs w:val="20"/>
          <w:lang w:val="sq-AL"/>
        </w:rPr>
      </w:pPr>
      <w:r w:rsidRPr="004E355C">
        <w:rPr>
          <w:rFonts w:asciiTheme="minorHAnsi" w:hAnsiTheme="minorHAnsi"/>
          <w:i/>
          <w:noProof/>
          <w:sz w:val="20"/>
          <w:szCs w:val="20"/>
          <w:lang w:val="sq-AL"/>
        </w:rPr>
        <w:t xml:space="preserve">    </w:t>
      </w:r>
      <w:r w:rsidR="003C2780">
        <w:rPr>
          <w:rFonts w:asciiTheme="minorHAnsi" w:hAnsiTheme="minorHAnsi"/>
          <w:i/>
          <w:noProof/>
          <w:sz w:val="20"/>
          <w:szCs w:val="20"/>
          <w:lang w:val="sq-AL"/>
        </w:rPr>
        <w:tab/>
      </w:r>
      <w:r w:rsidR="00193978">
        <w:rPr>
          <w:rFonts w:asciiTheme="minorHAnsi" w:hAnsiTheme="minorHAnsi"/>
          <w:i/>
          <w:noProof/>
          <w:sz w:val="20"/>
          <w:szCs w:val="20"/>
          <w:lang w:val="sq-AL"/>
        </w:rPr>
        <w:t>Burimi: Ministria e Financave dhe Ekonomisë (2023)</w:t>
      </w:r>
    </w:p>
    <w:p w14:paraId="640BE927" w14:textId="77777777" w:rsidR="00F56B10" w:rsidRPr="00F56B10" w:rsidRDefault="00F56B10" w:rsidP="00F56B10">
      <w:pPr>
        <w:pStyle w:val="NormalWeb"/>
        <w:spacing w:before="0" w:beforeAutospacing="0" w:after="0" w:afterAutospacing="0" w:line="276" w:lineRule="auto"/>
        <w:jc w:val="both"/>
        <w:rPr>
          <w:rStyle w:val="Strong"/>
          <w:rFonts w:asciiTheme="minorHAnsi" w:eastAsia="Calibri" w:hAnsiTheme="minorHAnsi" w:cstheme="minorHAnsi"/>
          <w:b w:val="0"/>
          <w:i/>
          <w:color w:val="000000" w:themeColor="text1"/>
          <w:sz w:val="8"/>
          <w:szCs w:val="8"/>
          <w:lang w:val="it-IT"/>
        </w:rPr>
      </w:pPr>
    </w:p>
    <w:p w14:paraId="37FC71FB" w14:textId="77777777" w:rsidR="003C2780" w:rsidRPr="00853EB9" w:rsidRDefault="003C2780" w:rsidP="003C2780">
      <w:pPr>
        <w:pStyle w:val="NormalWeb"/>
        <w:spacing w:before="240" w:beforeAutospacing="0" w:after="0" w:afterAutospacing="0" w:line="276" w:lineRule="auto"/>
        <w:jc w:val="both"/>
        <w:rPr>
          <w:rFonts w:asciiTheme="minorHAnsi" w:hAnsiTheme="minorHAnsi" w:cstheme="minorHAnsi"/>
          <w:color w:val="000000" w:themeColor="text1"/>
          <w:lang w:val="it-IT"/>
        </w:rPr>
      </w:pPr>
      <w:r w:rsidRPr="00853EB9">
        <w:rPr>
          <w:rStyle w:val="Strong"/>
          <w:rFonts w:asciiTheme="minorHAnsi" w:eastAsia="Calibri" w:hAnsiTheme="minorHAnsi" w:cstheme="minorHAnsi"/>
          <w:b w:val="0"/>
          <w:i/>
          <w:color w:val="000000" w:themeColor="text1"/>
          <w:lang w:val="it-IT"/>
        </w:rPr>
        <w:lastRenderedPageBreak/>
        <w:t>Të ardhurat nga taksa doganore</w:t>
      </w:r>
      <w:r w:rsidRPr="00853EB9">
        <w:rPr>
          <w:rFonts w:asciiTheme="minorHAnsi" w:hAnsiTheme="minorHAnsi" w:cstheme="minorHAnsi"/>
          <w:color w:val="000000" w:themeColor="text1"/>
          <w:lang w:val="it-IT"/>
        </w:rPr>
        <w:t xml:space="preserve"> janë realizuar në vlerën 3.5 miliardë lekë, 11.4% ose 357 milionë lekë më shume se 5</w:t>
      </w:r>
      <w:r>
        <w:rPr>
          <w:rFonts w:asciiTheme="minorHAnsi" w:hAnsiTheme="minorHAnsi" w:cstheme="minorHAnsi"/>
          <w:color w:val="000000" w:themeColor="text1"/>
          <w:lang w:val="it-IT"/>
        </w:rPr>
        <w:t>M</w:t>
      </w:r>
      <w:r w:rsidRPr="00853EB9">
        <w:rPr>
          <w:rFonts w:asciiTheme="minorHAnsi" w:hAnsiTheme="minorHAnsi" w:cstheme="minorHAnsi"/>
          <w:color w:val="000000" w:themeColor="text1"/>
          <w:lang w:val="it-IT"/>
        </w:rPr>
        <w:t xml:space="preserve"> 2022, dhe 10.7% ose 338 milionë lekë më shumë se plani i 5</w:t>
      </w:r>
      <w:r>
        <w:rPr>
          <w:rFonts w:asciiTheme="minorHAnsi" w:hAnsiTheme="minorHAnsi" w:cstheme="minorHAnsi"/>
          <w:color w:val="000000" w:themeColor="text1"/>
          <w:lang w:val="it-IT"/>
        </w:rPr>
        <w:t>M</w:t>
      </w:r>
      <w:r w:rsidRPr="00853EB9">
        <w:rPr>
          <w:rFonts w:asciiTheme="minorHAnsi" w:hAnsiTheme="minorHAnsi" w:cstheme="minorHAnsi"/>
          <w:color w:val="000000" w:themeColor="text1"/>
          <w:lang w:val="it-IT"/>
        </w:rPr>
        <w:t xml:space="preserve"> 2023.</w:t>
      </w:r>
    </w:p>
    <w:p w14:paraId="6AAD8AD7" w14:textId="77777777" w:rsidR="0034657E" w:rsidRPr="00F56B10" w:rsidRDefault="003C2780" w:rsidP="003C2780">
      <w:pPr>
        <w:pStyle w:val="NormalWeb"/>
        <w:spacing w:before="120" w:beforeAutospacing="0" w:after="0" w:afterAutospacing="0" w:line="276" w:lineRule="auto"/>
        <w:jc w:val="both"/>
        <w:rPr>
          <w:rFonts w:asciiTheme="minorHAnsi" w:hAnsiTheme="minorHAnsi" w:cstheme="minorHAnsi"/>
          <w:lang w:val="it-IT"/>
        </w:rPr>
      </w:pPr>
      <w:r w:rsidRPr="00853EB9">
        <w:rPr>
          <w:rFonts w:asciiTheme="minorHAnsi" w:hAnsiTheme="minorHAnsi" w:cstheme="minorHAnsi"/>
          <w:i/>
        </w:rPr>
        <w:t>Të ardhurat nga akciza</w:t>
      </w:r>
      <w:r w:rsidRPr="00853EB9">
        <w:rPr>
          <w:rFonts w:asciiTheme="minorHAnsi" w:hAnsiTheme="minorHAnsi" w:cstheme="minorHAnsi"/>
        </w:rPr>
        <w:t xml:space="preserve"> janë realizuar në vlerën 21.1 miliardë lekë, 8.5% ose 1.7 miliardë lekë më shumë se 5 mujori i vitit 2022, dhe 2.8% ose 617 milionë lekë më pak se plani. Ndikim kryesor pozitiv në të ardhurat nga akciza rezulton </w:t>
      </w:r>
      <w:r w:rsidRPr="00853EB9">
        <w:rPr>
          <w:rFonts w:asciiTheme="minorHAnsi" w:hAnsiTheme="minorHAnsi" w:cstheme="minorHAnsi"/>
          <w:lang w:val="it-IT"/>
        </w:rPr>
        <w:t>Gaz i lëngshëm me rritje prej 6,330 ton ose +241.9% me një efekt +526 milionë lekë më shumë se viti i kaluar. Ndër produktet e akcizueshme që rezultuan me ndikim negativ, janë produktet: Pije Alkoolike Prodhim Vëndi me një rënie prej -125 ton (-32.1%) krahasuar me një vitë më parë duke sjell nje efekt negativ në akcizë me -28 milionë lekë</w:t>
      </w:r>
      <w:r w:rsidR="0034657E" w:rsidRPr="00536465">
        <w:rPr>
          <w:rFonts w:asciiTheme="minorHAnsi" w:hAnsiTheme="minorHAnsi" w:cstheme="minorHAnsi"/>
        </w:rPr>
        <w:t>.</w:t>
      </w:r>
    </w:p>
    <w:p w14:paraId="1EB44016" w14:textId="77777777" w:rsidR="0034657E" w:rsidRDefault="0034657E" w:rsidP="0034657E">
      <w:pPr>
        <w:pStyle w:val="Caption"/>
        <w:keepNext/>
        <w:spacing w:after="0"/>
        <w:jc w:val="both"/>
        <w:rPr>
          <w:rFonts w:asciiTheme="minorHAnsi" w:hAnsiTheme="minorHAnsi"/>
          <w:b w:val="0"/>
          <w:bCs w:val="0"/>
          <w:i/>
          <w:color w:val="FF0000"/>
          <w:sz w:val="8"/>
          <w:szCs w:val="8"/>
          <w:lang w:val="sq-AL"/>
        </w:rPr>
      </w:pPr>
    </w:p>
    <w:p w14:paraId="040B47A4" w14:textId="453F440E" w:rsidR="0034657E" w:rsidRPr="00900B3D" w:rsidRDefault="00C371C2" w:rsidP="003C2780">
      <w:pPr>
        <w:pStyle w:val="Caption"/>
        <w:spacing w:after="0"/>
        <w:rPr>
          <w:rFonts w:asciiTheme="minorHAnsi" w:hAnsiTheme="minorHAnsi"/>
          <w:b w:val="0"/>
          <w:bCs w:val="0"/>
          <w:i/>
          <w:color w:val="auto"/>
          <w:sz w:val="22"/>
          <w:szCs w:val="24"/>
          <w:lang w:val="sq-AL"/>
        </w:rPr>
      </w:pPr>
      <w:bookmarkStart w:id="17" w:name="_Toc12449189"/>
      <w:bookmarkStart w:id="18" w:name="_Toc107496738"/>
      <w:r w:rsidRPr="00C371C2">
        <w:rPr>
          <w:rFonts w:asciiTheme="minorHAnsi" w:hAnsiTheme="minorHAnsi"/>
          <w:b w:val="0"/>
          <w:bCs w:val="0"/>
          <w:i/>
          <w:color w:val="auto"/>
          <w:sz w:val="22"/>
          <w:szCs w:val="24"/>
          <w:lang w:val="sq-AL"/>
        </w:rPr>
        <w:t xml:space="preserve">Tabela </w:t>
      </w:r>
      <w:r w:rsidRPr="00C371C2">
        <w:rPr>
          <w:rFonts w:asciiTheme="minorHAnsi" w:hAnsiTheme="minorHAnsi"/>
          <w:b w:val="0"/>
          <w:bCs w:val="0"/>
          <w:i/>
          <w:color w:val="auto"/>
          <w:sz w:val="22"/>
          <w:szCs w:val="24"/>
          <w:lang w:val="sq-AL"/>
        </w:rPr>
        <w:fldChar w:fldCharType="begin"/>
      </w:r>
      <w:r w:rsidRPr="00C371C2">
        <w:rPr>
          <w:rFonts w:asciiTheme="minorHAnsi" w:hAnsiTheme="minorHAnsi"/>
          <w:b w:val="0"/>
          <w:bCs w:val="0"/>
          <w:i/>
          <w:color w:val="auto"/>
          <w:sz w:val="22"/>
          <w:szCs w:val="24"/>
          <w:lang w:val="sq-AL"/>
        </w:rPr>
        <w:instrText xml:space="preserve"> SEQ Tabela \* ARABIC </w:instrText>
      </w:r>
      <w:r w:rsidRPr="00C371C2">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2</w:t>
      </w:r>
      <w:r w:rsidRPr="00C371C2">
        <w:rPr>
          <w:rFonts w:asciiTheme="minorHAnsi" w:hAnsiTheme="minorHAnsi"/>
          <w:b w:val="0"/>
          <w:bCs w:val="0"/>
          <w:i/>
          <w:color w:val="auto"/>
          <w:sz w:val="22"/>
          <w:szCs w:val="24"/>
          <w:lang w:val="sq-AL"/>
        </w:rPr>
        <w:fldChar w:fldCharType="end"/>
      </w:r>
      <w:r w:rsidR="0034657E" w:rsidRPr="00C371C2">
        <w:rPr>
          <w:rFonts w:asciiTheme="minorHAnsi" w:hAnsiTheme="minorHAnsi"/>
          <w:b w:val="0"/>
          <w:bCs w:val="0"/>
          <w:i/>
          <w:color w:val="auto"/>
          <w:sz w:val="22"/>
          <w:szCs w:val="24"/>
          <w:lang w:val="sq-AL"/>
        </w:rPr>
        <w:t>: Kontribuesit pozitivë në të ardhurat nga Akciza/Diferencat Janar-Maj 202</w:t>
      </w:r>
      <w:r w:rsidR="003C2780">
        <w:rPr>
          <w:rFonts w:asciiTheme="minorHAnsi" w:hAnsiTheme="minorHAnsi"/>
          <w:b w:val="0"/>
          <w:bCs w:val="0"/>
          <w:i/>
          <w:color w:val="auto"/>
          <w:sz w:val="22"/>
          <w:szCs w:val="24"/>
          <w:lang w:val="sq-AL"/>
        </w:rPr>
        <w:t>3</w:t>
      </w:r>
      <w:r w:rsidR="0034657E" w:rsidRPr="00C371C2">
        <w:rPr>
          <w:rFonts w:asciiTheme="minorHAnsi" w:hAnsiTheme="minorHAnsi"/>
          <w:b w:val="0"/>
          <w:bCs w:val="0"/>
          <w:i/>
          <w:color w:val="auto"/>
          <w:sz w:val="22"/>
          <w:szCs w:val="24"/>
          <w:lang w:val="sq-AL"/>
        </w:rPr>
        <w:t>/20</w:t>
      </w:r>
      <w:bookmarkEnd w:id="17"/>
      <w:r w:rsidR="0034657E" w:rsidRPr="00C371C2">
        <w:rPr>
          <w:rFonts w:asciiTheme="minorHAnsi" w:hAnsiTheme="minorHAnsi"/>
          <w:b w:val="0"/>
          <w:bCs w:val="0"/>
          <w:i/>
          <w:color w:val="auto"/>
          <w:sz w:val="22"/>
          <w:szCs w:val="24"/>
          <w:lang w:val="sq-AL"/>
        </w:rPr>
        <w:t>2</w:t>
      </w:r>
      <w:bookmarkEnd w:id="18"/>
      <w:r w:rsidR="003C2780">
        <w:rPr>
          <w:rFonts w:asciiTheme="minorHAnsi" w:hAnsiTheme="minorHAnsi"/>
          <w:b w:val="0"/>
          <w:bCs w:val="0"/>
          <w:i/>
          <w:color w:val="auto"/>
          <w:sz w:val="22"/>
          <w:szCs w:val="24"/>
          <w:lang w:val="sq-AL"/>
        </w:rPr>
        <w:t>2</w:t>
      </w:r>
    </w:p>
    <w:tbl>
      <w:tblPr>
        <w:tblW w:w="9591" w:type="dxa"/>
        <w:jc w:val="center"/>
        <w:tblLook w:val="0600" w:firstRow="0" w:lastRow="0" w:firstColumn="0" w:lastColumn="0" w:noHBand="1" w:noVBand="1"/>
      </w:tblPr>
      <w:tblGrid>
        <w:gridCol w:w="3834"/>
        <w:gridCol w:w="1083"/>
        <w:gridCol w:w="1064"/>
        <w:gridCol w:w="1220"/>
        <w:gridCol w:w="1316"/>
        <w:gridCol w:w="1074"/>
      </w:tblGrid>
      <w:tr w:rsidR="003C2780" w:rsidRPr="007976CE" w14:paraId="7708102C" w14:textId="77777777" w:rsidTr="007976CE">
        <w:trPr>
          <w:trHeight w:val="271"/>
          <w:jc w:val="center"/>
        </w:trPr>
        <w:tc>
          <w:tcPr>
            <w:tcW w:w="9591" w:type="dxa"/>
            <w:gridSpan w:val="6"/>
            <w:tcBorders>
              <w:top w:val="single" w:sz="4" w:space="0" w:color="5B9BD5"/>
              <w:left w:val="single" w:sz="4" w:space="0" w:color="5B9BD5"/>
              <w:bottom w:val="nil"/>
              <w:right w:val="single" w:sz="4" w:space="0" w:color="5B9BD5"/>
            </w:tcBorders>
            <w:shd w:val="clear" w:color="000000" w:fill="BDD7EE"/>
            <w:vAlign w:val="bottom"/>
            <w:hideMark/>
          </w:tcPr>
          <w:p w14:paraId="3FC8022B" w14:textId="77777777" w:rsidR="003C2780" w:rsidRPr="007976CE" w:rsidRDefault="003C2780" w:rsidP="007976CE">
            <w:pPr>
              <w:jc w:val="center"/>
              <w:rPr>
                <w:rFonts w:ascii="Calibri" w:hAnsi="Calibri" w:cs="Calibri"/>
                <w:b/>
                <w:bCs/>
                <w:color w:val="000000"/>
                <w:sz w:val="20"/>
                <w:szCs w:val="20"/>
              </w:rPr>
            </w:pPr>
            <w:r w:rsidRPr="007976CE">
              <w:rPr>
                <w:rFonts w:ascii="Calibri" w:hAnsi="Calibri" w:cs="Calibri"/>
                <w:b/>
                <w:bCs/>
                <w:color w:val="000000"/>
                <w:sz w:val="20"/>
                <w:szCs w:val="20"/>
              </w:rPr>
              <w:t>Diferencat Janar-Maj 2023/2022</w:t>
            </w:r>
          </w:p>
        </w:tc>
      </w:tr>
      <w:tr w:rsidR="003C2780" w:rsidRPr="007976CE" w14:paraId="31881AF7" w14:textId="77777777" w:rsidTr="007976CE">
        <w:trPr>
          <w:trHeight w:val="271"/>
          <w:jc w:val="center"/>
        </w:trPr>
        <w:tc>
          <w:tcPr>
            <w:tcW w:w="9591" w:type="dxa"/>
            <w:gridSpan w:val="6"/>
            <w:tcBorders>
              <w:top w:val="nil"/>
              <w:left w:val="single" w:sz="4" w:space="0" w:color="5B9BD5"/>
              <w:bottom w:val="nil"/>
              <w:right w:val="single" w:sz="4" w:space="0" w:color="5B9BD5"/>
            </w:tcBorders>
            <w:shd w:val="clear" w:color="000000" w:fill="BDD7EE"/>
            <w:vAlign w:val="bottom"/>
            <w:hideMark/>
          </w:tcPr>
          <w:p w14:paraId="0B615F0D" w14:textId="77777777" w:rsidR="003C2780" w:rsidRPr="007976CE" w:rsidRDefault="003C2780" w:rsidP="007976CE">
            <w:pPr>
              <w:jc w:val="center"/>
              <w:rPr>
                <w:rFonts w:ascii="Calibri" w:hAnsi="Calibri" w:cs="Calibri"/>
                <w:b/>
                <w:bCs/>
                <w:color w:val="000000"/>
                <w:sz w:val="20"/>
                <w:szCs w:val="20"/>
              </w:rPr>
            </w:pPr>
            <w:r w:rsidRPr="007976CE">
              <w:rPr>
                <w:rFonts w:ascii="Calibri" w:hAnsi="Calibri" w:cs="Calibri"/>
                <w:b/>
                <w:bCs/>
                <w:color w:val="000000"/>
                <w:sz w:val="20"/>
                <w:szCs w:val="20"/>
              </w:rPr>
              <w:t xml:space="preserve">                                                            Produktet me kontribut Pozitiv</w:t>
            </w:r>
            <w:r w:rsidRPr="007976CE">
              <w:rPr>
                <w:rFonts w:ascii="Calibri" w:hAnsi="Calibri" w:cs="Calibri"/>
                <w:b/>
                <w:bCs/>
                <w:color w:val="00B050"/>
                <w:sz w:val="20"/>
                <w:szCs w:val="20"/>
              </w:rPr>
              <w:t xml:space="preserve">   </w:t>
            </w:r>
            <w:r w:rsidRPr="007976CE">
              <w:rPr>
                <w:rFonts w:ascii="Calibri" w:hAnsi="Calibri" w:cs="Calibri"/>
                <w:b/>
                <w:bCs/>
                <w:color w:val="0070C0"/>
                <w:sz w:val="20"/>
                <w:szCs w:val="20"/>
              </w:rPr>
              <w:t xml:space="preserve">                                     </w:t>
            </w:r>
            <w:r w:rsidRPr="007976CE">
              <w:rPr>
                <w:rFonts w:ascii="Calibri" w:hAnsi="Calibri" w:cs="Calibri"/>
                <w:b/>
                <w:bCs/>
                <w:color w:val="000000"/>
                <w:sz w:val="20"/>
                <w:szCs w:val="20"/>
              </w:rPr>
              <w:t>milionë lekë</w:t>
            </w:r>
          </w:p>
        </w:tc>
      </w:tr>
      <w:tr w:rsidR="003C2780" w:rsidRPr="007976CE" w14:paraId="7DAFF445" w14:textId="77777777" w:rsidTr="007976CE">
        <w:trPr>
          <w:trHeight w:val="271"/>
          <w:jc w:val="center"/>
        </w:trPr>
        <w:tc>
          <w:tcPr>
            <w:tcW w:w="3834" w:type="dxa"/>
            <w:tcBorders>
              <w:top w:val="nil"/>
              <w:left w:val="single" w:sz="4" w:space="0" w:color="5B9BD5"/>
              <w:bottom w:val="single" w:sz="4" w:space="0" w:color="5B9BD5"/>
              <w:right w:val="nil"/>
            </w:tcBorders>
            <w:shd w:val="clear" w:color="000000" w:fill="BDD7EE"/>
            <w:vAlign w:val="bottom"/>
            <w:hideMark/>
          </w:tcPr>
          <w:p w14:paraId="4D7F33C5" w14:textId="77777777" w:rsidR="003C2780" w:rsidRPr="007976CE" w:rsidRDefault="003C2780" w:rsidP="007976CE">
            <w:pPr>
              <w:rPr>
                <w:rFonts w:ascii="Calibri" w:hAnsi="Calibri" w:cs="Calibri"/>
                <w:b/>
                <w:bCs/>
                <w:color w:val="000000"/>
                <w:sz w:val="20"/>
                <w:szCs w:val="20"/>
              </w:rPr>
            </w:pPr>
            <w:r w:rsidRPr="007976CE">
              <w:rPr>
                <w:rFonts w:ascii="Calibri" w:hAnsi="Calibri" w:cs="Calibri"/>
                <w:b/>
                <w:bCs/>
                <w:color w:val="000000"/>
                <w:sz w:val="20"/>
                <w:szCs w:val="20"/>
              </w:rPr>
              <w:t> </w:t>
            </w:r>
          </w:p>
        </w:tc>
        <w:tc>
          <w:tcPr>
            <w:tcW w:w="1083" w:type="dxa"/>
            <w:tcBorders>
              <w:top w:val="nil"/>
              <w:left w:val="nil"/>
              <w:bottom w:val="single" w:sz="4" w:space="0" w:color="5B9BD5"/>
              <w:right w:val="nil"/>
            </w:tcBorders>
            <w:shd w:val="clear" w:color="000000" w:fill="BDD7EE"/>
            <w:vAlign w:val="bottom"/>
            <w:hideMark/>
          </w:tcPr>
          <w:p w14:paraId="23F1F5B1" w14:textId="77777777" w:rsidR="003C2780" w:rsidRPr="007976CE" w:rsidRDefault="003C2780" w:rsidP="007976CE">
            <w:pPr>
              <w:jc w:val="center"/>
              <w:rPr>
                <w:rFonts w:ascii="Calibri" w:hAnsi="Calibri" w:cs="Calibri"/>
                <w:b/>
                <w:bCs/>
                <w:color w:val="000000"/>
                <w:sz w:val="20"/>
                <w:szCs w:val="20"/>
              </w:rPr>
            </w:pPr>
            <w:r w:rsidRPr="007976CE">
              <w:rPr>
                <w:rFonts w:ascii="Calibri" w:hAnsi="Calibri" w:cs="Calibri"/>
                <w:b/>
                <w:bCs/>
                <w:color w:val="000000"/>
                <w:sz w:val="20"/>
                <w:szCs w:val="20"/>
              </w:rPr>
              <w:t>Njësia</w:t>
            </w:r>
          </w:p>
        </w:tc>
        <w:tc>
          <w:tcPr>
            <w:tcW w:w="1064" w:type="dxa"/>
            <w:tcBorders>
              <w:top w:val="nil"/>
              <w:left w:val="nil"/>
              <w:bottom w:val="single" w:sz="4" w:space="0" w:color="5B9BD5"/>
              <w:right w:val="nil"/>
            </w:tcBorders>
            <w:shd w:val="clear" w:color="000000" w:fill="BDD7EE"/>
            <w:vAlign w:val="bottom"/>
            <w:hideMark/>
          </w:tcPr>
          <w:p w14:paraId="146B5B13" w14:textId="77777777" w:rsidR="003C2780" w:rsidRPr="007976CE" w:rsidRDefault="003C2780" w:rsidP="007976CE">
            <w:pPr>
              <w:jc w:val="center"/>
              <w:rPr>
                <w:rFonts w:ascii="Calibri" w:hAnsi="Calibri" w:cs="Calibri"/>
                <w:b/>
                <w:bCs/>
                <w:color w:val="000000"/>
                <w:sz w:val="20"/>
                <w:szCs w:val="20"/>
              </w:rPr>
            </w:pPr>
            <w:r w:rsidRPr="007976CE">
              <w:rPr>
                <w:rFonts w:ascii="Calibri" w:hAnsi="Calibri" w:cs="Calibri"/>
                <w:b/>
                <w:bCs/>
                <w:color w:val="000000"/>
                <w:sz w:val="20"/>
                <w:szCs w:val="20"/>
              </w:rPr>
              <w:t xml:space="preserve">Sasi </w:t>
            </w:r>
          </w:p>
        </w:tc>
        <w:tc>
          <w:tcPr>
            <w:tcW w:w="1220" w:type="dxa"/>
            <w:tcBorders>
              <w:top w:val="nil"/>
              <w:left w:val="nil"/>
              <w:bottom w:val="single" w:sz="4" w:space="0" w:color="5B9BD5"/>
              <w:right w:val="nil"/>
            </w:tcBorders>
            <w:shd w:val="clear" w:color="000000" w:fill="BDD7EE"/>
            <w:vAlign w:val="bottom"/>
            <w:hideMark/>
          </w:tcPr>
          <w:p w14:paraId="75919E39" w14:textId="77777777" w:rsidR="003C2780" w:rsidRPr="007976CE" w:rsidRDefault="003C2780" w:rsidP="007976CE">
            <w:pPr>
              <w:jc w:val="center"/>
              <w:rPr>
                <w:rFonts w:ascii="Calibri" w:hAnsi="Calibri" w:cs="Calibri"/>
                <w:b/>
                <w:bCs/>
                <w:color w:val="000000"/>
                <w:sz w:val="20"/>
                <w:szCs w:val="20"/>
              </w:rPr>
            </w:pPr>
            <w:r w:rsidRPr="007976CE">
              <w:rPr>
                <w:rFonts w:ascii="Calibri" w:hAnsi="Calibri" w:cs="Calibri"/>
                <w:b/>
                <w:bCs/>
                <w:color w:val="000000"/>
                <w:sz w:val="20"/>
                <w:szCs w:val="20"/>
              </w:rPr>
              <w:t>%</w:t>
            </w:r>
          </w:p>
        </w:tc>
        <w:tc>
          <w:tcPr>
            <w:tcW w:w="1316" w:type="dxa"/>
            <w:tcBorders>
              <w:top w:val="nil"/>
              <w:left w:val="nil"/>
              <w:bottom w:val="single" w:sz="4" w:space="0" w:color="5B9BD5"/>
              <w:right w:val="nil"/>
            </w:tcBorders>
            <w:shd w:val="clear" w:color="000000" w:fill="BDD7EE"/>
            <w:vAlign w:val="bottom"/>
            <w:hideMark/>
          </w:tcPr>
          <w:p w14:paraId="6E6FE4FE" w14:textId="77777777" w:rsidR="003C2780" w:rsidRPr="007976CE" w:rsidRDefault="003C2780" w:rsidP="007976CE">
            <w:pPr>
              <w:jc w:val="center"/>
              <w:rPr>
                <w:rFonts w:ascii="Calibri" w:hAnsi="Calibri" w:cs="Calibri"/>
                <w:b/>
                <w:bCs/>
                <w:color w:val="000000"/>
                <w:sz w:val="20"/>
                <w:szCs w:val="20"/>
              </w:rPr>
            </w:pPr>
            <w:r w:rsidRPr="007976CE">
              <w:rPr>
                <w:rFonts w:ascii="Calibri" w:hAnsi="Calibri" w:cs="Calibri"/>
                <w:b/>
                <w:bCs/>
                <w:color w:val="000000"/>
                <w:sz w:val="20"/>
                <w:szCs w:val="20"/>
              </w:rPr>
              <w:t>Akciza</w:t>
            </w:r>
          </w:p>
        </w:tc>
        <w:tc>
          <w:tcPr>
            <w:tcW w:w="1071" w:type="dxa"/>
            <w:tcBorders>
              <w:top w:val="nil"/>
              <w:left w:val="nil"/>
              <w:bottom w:val="single" w:sz="4" w:space="0" w:color="5B9BD5"/>
              <w:right w:val="single" w:sz="4" w:space="0" w:color="5B9BD5"/>
            </w:tcBorders>
            <w:shd w:val="clear" w:color="000000" w:fill="BDD7EE"/>
            <w:vAlign w:val="bottom"/>
            <w:hideMark/>
          </w:tcPr>
          <w:p w14:paraId="55B0E0E1" w14:textId="77777777" w:rsidR="003C2780" w:rsidRPr="007976CE" w:rsidRDefault="003C2780" w:rsidP="007976CE">
            <w:pPr>
              <w:jc w:val="center"/>
              <w:rPr>
                <w:rFonts w:ascii="Calibri" w:hAnsi="Calibri" w:cs="Calibri"/>
                <w:b/>
                <w:bCs/>
                <w:color w:val="000000"/>
                <w:sz w:val="20"/>
                <w:szCs w:val="20"/>
              </w:rPr>
            </w:pPr>
            <w:r w:rsidRPr="007976CE">
              <w:rPr>
                <w:rFonts w:ascii="Calibri" w:hAnsi="Calibri" w:cs="Calibri"/>
                <w:b/>
                <w:bCs/>
                <w:color w:val="000000"/>
                <w:sz w:val="20"/>
                <w:szCs w:val="20"/>
              </w:rPr>
              <w:t>%</w:t>
            </w:r>
          </w:p>
        </w:tc>
      </w:tr>
      <w:tr w:rsidR="003C2780" w:rsidRPr="007976CE" w14:paraId="11EC8198" w14:textId="77777777" w:rsidTr="007976CE">
        <w:trPr>
          <w:trHeight w:val="240"/>
          <w:jc w:val="center"/>
        </w:trPr>
        <w:tc>
          <w:tcPr>
            <w:tcW w:w="3834" w:type="dxa"/>
            <w:tcBorders>
              <w:top w:val="nil"/>
              <w:left w:val="single" w:sz="4" w:space="0" w:color="5B9BD5"/>
              <w:bottom w:val="nil"/>
              <w:right w:val="nil"/>
            </w:tcBorders>
            <w:shd w:val="clear" w:color="auto" w:fill="auto"/>
            <w:vAlign w:val="bottom"/>
            <w:hideMark/>
          </w:tcPr>
          <w:p w14:paraId="623B07C8"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Gaz I lëngshëm</w:t>
            </w:r>
          </w:p>
        </w:tc>
        <w:tc>
          <w:tcPr>
            <w:tcW w:w="1083" w:type="dxa"/>
            <w:tcBorders>
              <w:top w:val="nil"/>
              <w:left w:val="single" w:sz="4" w:space="0" w:color="5B9BD5"/>
              <w:bottom w:val="nil"/>
              <w:right w:val="single" w:sz="4" w:space="0" w:color="5B9BD5"/>
            </w:tcBorders>
            <w:shd w:val="clear" w:color="auto" w:fill="auto"/>
            <w:vAlign w:val="bottom"/>
            <w:hideMark/>
          </w:tcPr>
          <w:p w14:paraId="0DA6624B" w14:textId="77777777" w:rsidR="003C2780" w:rsidRPr="007976CE" w:rsidRDefault="003C2780" w:rsidP="007976CE">
            <w:pPr>
              <w:jc w:val="center"/>
              <w:rPr>
                <w:rFonts w:ascii="Calibri" w:hAnsi="Calibri" w:cs="Calibri"/>
                <w:i/>
                <w:iCs/>
                <w:color w:val="000000"/>
                <w:sz w:val="20"/>
                <w:szCs w:val="20"/>
              </w:rPr>
            </w:pPr>
            <w:r w:rsidRPr="007976CE">
              <w:rPr>
                <w:rFonts w:ascii="Calibri" w:hAnsi="Calibri" w:cs="Calibri"/>
                <w:i/>
                <w:iCs/>
                <w:color w:val="000000"/>
                <w:sz w:val="20"/>
                <w:szCs w:val="20"/>
              </w:rPr>
              <w:t>Ton</w:t>
            </w:r>
          </w:p>
        </w:tc>
        <w:tc>
          <w:tcPr>
            <w:tcW w:w="1064" w:type="dxa"/>
            <w:tcBorders>
              <w:top w:val="nil"/>
              <w:left w:val="nil"/>
              <w:bottom w:val="nil"/>
              <w:right w:val="single" w:sz="4" w:space="0" w:color="5B9BD5"/>
            </w:tcBorders>
            <w:shd w:val="clear" w:color="auto" w:fill="auto"/>
            <w:vAlign w:val="bottom"/>
            <w:hideMark/>
          </w:tcPr>
          <w:p w14:paraId="43159A88"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6,330</w:t>
            </w:r>
          </w:p>
        </w:tc>
        <w:tc>
          <w:tcPr>
            <w:tcW w:w="1220" w:type="dxa"/>
            <w:tcBorders>
              <w:top w:val="nil"/>
              <w:left w:val="nil"/>
              <w:bottom w:val="nil"/>
              <w:right w:val="nil"/>
            </w:tcBorders>
            <w:shd w:val="clear" w:color="auto" w:fill="auto"/>
            <w:vAlign w:val="bottom"/>
            <w:hideMark/>
          </w:tcPr>
          <w:p w14:paraId="2ED63198"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9.7%</w:t>
            </w:r>
          </w:p>
        </w:tc>
        <w:tc>
          <w:tcPr>
            <w:tcW w:w="1316" w:type="dxa"/>
            <w:tcBorders>
              <w:top w:val="nil"/>
              <w:left w:val="single" w:sz="4" w:space="0" w:color="5B9BD5"/>
              <w:bottom w:val="nil"/>
              <w:right w:val="single" w:sz="4" w:space="0" w:color="5B9BD5"/>
            </w:tcBorders>
            <w:shd w:val="clear" w:color="auto" w:fill="auto"/>
            <w:vAlign w:val="bottom"/>
            <w:hideMark/>
          </w:tcPr>
          <w:p w14:paraId="6A39540E"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526</w:t>
            </w:r>
          </w:p>
        </w:tc>
        <w:tc>
          <w:tcPr>
            <w:tcW w:w="1071" w:type="dxa"/>
            <w:tcBorders>
              <w:top w:val="nil"/>
              <w:left w:val="nil"/>
              <w:bottom w:val="nil"/>
              <w:right w:val="single" w:sz="4" w:space="0" w:color="5B9BD5"/>
            </w:tcBorders>
            <w:shd w:val="clear" w:color="auto" w:fill="auto"/>
            <w:vAlign w:val="bottom"/>
            <w:hideMark/>
          </w:tcPr>
          <w:p w14:paraId="345A9400"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241.9%</w:t>
            </w:r>
          </w:p>
        </w:tc>
      </w:tr>
      <w:tr w:rsidR="003C2780" w:rsidRPr="007976CE" w14:paraId="2778DC93" w14:textId="77777777" w:rsidTr="007976CE">
        <w:trPr>
          <w:trHeight w:val="240"/>
          <w:jc w:val="center"/>
        </w:trPr>
        <w:tc>
          <w:tcPr>
            <w:tcW w:w="3834" w:type="dxa"/>
            <w:tcBorders>
              <w:top w:val="single" w:sz="4" w:space="0" w:color="5B9BD5"/>
              <w:left w:val="single" w:sz="4" w:space="0" w:color="5B9BD5"/>
              <w:bottom w:val="single" w:sz="4" w:space="0" w:color="5B9BD5"/>
              <w:right w:val="nil"/>
            </w:tcBorders>
            <w:shd w:val="clear" w:color="auto" w:fill="auto"/>
            <w:vAlign w:val="bottom"/>
            <w:hideMark/>
          </w:tcPr>
          <w:p w14:paraId="39346389"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Karburant Import</w:t>
            </w:r>
          </w:p>
        </w:tc>
        <w:tc>
          <w:tcPr>
            <w:tcW w:w="1083" w:type="dxa"/>
            <w:tcBorders>
              <w:top w:val="single" w:sz="4" w:space="0" w:color="5B9BD5"/>
              <w:left w:val="single" w:sz="4" w:space="0" w:color="5B9BD5"/>
              <w:bottom w:val="single" w:sz="4" w:space="0" w:color="5B9BD5"/>
              <w:right w:val="single" w:sz="4" w:space="0" w:color="5B9BD5"/>
            </w:tcBorders>
            <w:shd w:val="clear" w:color="auto" w:fill="auto"/>
            <w:vAlign w:val="bottom"/>
            <w:hideMark/>
          </w:tcPr>
          <w:p w14:paraId="29DB44E7" w14:textId="77777777" w:rsidR="003C2780" w:rsidRPr="007976CE" w:rsidRDefault="003C2780" w:rsidP="007976CE">
            <w:pPr>
              <w:jc w:val="center"/>
              <w:rPr>
                <w:rFonts w:ascii="Calibri" w:hAnsi="Calibri" w:cs="Calibri"/>
                <w:i/>
                <w:iCs/>
                <w:color w:val="000000"/>
                <w:sz w:val="20"/>
                <w:szCs w:val="20"/>
              </w:rPr>
            </w:pPr>
            <w:r w:rsidRPr="007976CE">
              <w:rPr>
                <w:rFonts w:ascii="Calibri" w:hAnsi="Calibri" w:cs="Calibri"/>
                <w:i/>
                <w:iCs/>
                <w:color w:val="000000"/>
                <w:sz w:val="20"/>
                <w:szCs w:val="20"/>
              </w:rPr>
              <w:t>Ton</w:t>
            </w:r>
          </w:p>
        </w:tc>
        <w:tc>
          <w:tcPr>
            <w:tcW w:w="1064" w:type="dxa"/>
            <w:tcBorders>
              <w:top w:val="single" w:sz="4" w:space="0" w:color="5B9BD5"/>
              <w:left w:val="nil"/>
              <w:bottom w:val="single" w:sz="4" w:space="0" w:color="5B9BD5"/>
              <w:right w:val="single" w:sz="4" w:space="0" w:color="5B9BD5"/>
            </w:tcBorders>
            <w:shd w:val="clear" w:color="auto" w:fill="auto"/>
            <w:vAlign w:val="bottom"/>
            <w:hideMark/>
          </w:tcPr>
          <w:p w14:paraId="5BEF2C5B"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14,560</w:t>
            </w:r>
          </w:p>
        </w:tc>
        <w:tc>
          <w:tcPr>
            <w:tcW w:w="1220" w:type="dxa"/>
            <w:tcBorders>
              <w:top w:val="single" w:sz="4" w:space="0" w:color="5B9BD5"/>
              <w:left w:val="nil"/>
              <w:bottom w:val="single" w:sz="4" w:space="0" w:color="5B9BD5"/>
              <w:right w:val="nil"/>
            </w:tcBorders>
            <w:shd w:val="clear" w:color="auto" w:fill="auto"/>
            <w:vAlign w:val="bottom"/>
            <w:hideMark/>
          </w:tcPr>
          <w:p w14:paraId="0185821E"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6.8%</w:t>
            </w:r>
          </w:p>
        </w:tc>
        <w:tc>
          <w:tcPr>
            <w:tcW w:w="1316" w:type="dxa"/>
            <w:tcBorders>
              <w:top w:val="single" w:sz="4" w:space="0" w:color="5B9BD5"/>
              <w:left w:val="single" w:sz="4" w:space="0" w:color="5B9BD5"/>
              <w:bottom w:val="single" w:sz="4" w:space="0" w:color="5B9BD5"/>
              <w:right w:val="single" w:sz="4" w:space="0" w:color="5B9BD5"/>
            </w:tcBorders>
            <w:shd w:val="clear" w:color="auto" w:fill="auto"/>
            <w:vAlign w:val="bottom"/>
            <w:hideMark/>
          </w:tcPr>
          <w:p w14:paraId="79DD7151"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506</w:t>
            </w:r>
          </w:p>
        </w:tc>
        <w:tc>
          <w:tcPr>
            <w:tcW w:w="1071" w:type="dxa"/>
            <w:tcBorders>
              <w:top w:val="single" w:sz="4" w:space="0" w:color="5B9BD5"/>
              <w:left w:val="nil"/>
              <w:bottom w:val="single" w:sz="4" w:space="0" w:color="5B9BD5"/>
              <w:right w:val="single" w:sz="4" w:space="0" w:color="5B9BD5"/>
            </w:tcBorders>
            <w:shd w:val="clear" w:color="auto" w:fill="auto"/>
            <w:vAlign w:val="bottom"/>
            <w:hideMark/>
          </w:tcPr>
          <w:p w14:paraId="3F512803"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5.3%</w:t>
            </w:r>
          </w:p>
        </w:tc>
      </w:tr>
      <w:tr w:rsidR="003C2780" w:rsidRPr="007976CE" w14:paraId="52AD12E2" w14:textId="77777777" w:rsidTr="007976CE">
        <w:trPr>
          <w:trHeight w:val="240"/>
          <w:jc w:val="center"/>
        </w:trPr>
        <w:tc>
          <w:tcPr>
            <w:tcW w:w="3834" w:type="dxa"/>
            <w:tcBorders>
              <w:top w:val="nil"/>
              <w:left w:val="single" w:sz="4" w:space="0" w:color="5B9BD5"/>
              <w:bottom w:val="nil"/>
              <w:right w:val="nil"/>
            </w:tcBorders>
            <w:shd w:val="clear" w:color="auto" w:fill="auto"/>
            <w:vAlign w:val="bottom"/>
            <w:hideMark/>
          </w:tcPr>
          <w:p w14:paraId="62B2B2F1"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Karburante Prodhim Vendi</w:t>
            </w:r>
          </w:p>
        </w:tc>
        <w:tc>
          <w:tcPr>
            <w:tcW w:w="1083" w:type="dxa"/>
            <w:tcBorders>
              <w:top w:val="nil"/>
              <w:left w:val="single" w:sz="4" w:space="0" w:color="5B9BD5"/>
              <w:bottom w:val="nil"/>
              <w:right w:val="single" w:sz="4" w:space="0" w:color="5B9BD5"/>
            </w:tcBorders>
            <w:shd w:val="clear" w:color="auto" w:fill="auto"/>
            <w:vAlign w:val="bottom"/>
            <w:hideMark/>
          </w:tcPr>
          <w:p w14:paraId="7C87A296" w14:textId="77777777" w:rsidR="003C2780" w:rsidRPr="007976CE" w:rsidRDefault="003C2780" w:rsidP="007976CE">
            <w:pPr>
              <w:jc w:val="center"/>
              <w:rPr>
                <w:rFonts w:ascii="Calibri" w:hAnsi="Calibri" w:cs="Calibri"/>
                <w:i/>
                <w:iCs/>
                <w:color w:val="000000"/>
                <w:sz w:val="20"/>
                <w:szCs w:val="20"/>
              </w:rPr>
            </w:pPr>
            <w:r w:rsidRPr="007976CE">
              <w:rPr>
                <w:rFonts w:ascii="Calibri" w:hAnsi="Calibri" w:cs="Calibri"/>
                <w:i/>
                <w:iCs/>
                <w:color w:val="000000"/>
                <w:sz w:val="20"/>
                <w:szCs w:val="20"/>
              </w:rPr>
              <w:t>Ton</w:t>
            </w:r>
          </w:p>
        </w:tc>
        <w:tc>
          <w:tcPr>
            <w:tcW w:w="1064" w:type="dxa"/>
            <w:tcBorders>
              <w:top w:val="nil"/>
              <w:left w:val="nil"/>
              <w:bottom w:val="nil"/>
              <w:right w:val="single" w:sz="4" w:space="0" w:color="5B9BD5"/>
            </w:tcBorders>
            <w:shd w:val="clear" w:color="auto" w:fill="auto"/>
            <w:vAlign w:val="bottom"/>
            <w:hideMark/>
          </w:tcPr>
          <w:p w14:paraId="7A7548ED"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5,907</w:t>
            </w:r>
          </w:p>
        </w:tc>
        <w:tc>
          <w:tcPr>
            <w:tcW w:w="1220" w:type="dxa"/>
            <w:tcBorders>
              <w:top w:val="nil"/>
              <w:left w:val="nil"/>
              <w:bottom w:val="nil"/>
              <w:right w:val="nil"/>
            </w:tcBorders>
            <w:shd w:val="clear" w:color="auto" w:fill="auto"/>
            <w:vAlign w:val="bottom"/>
            <w:hideMark/>
          </w:tcPr>
          <w:p w14:paraId="007BB6CB"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89.6%</w:t>
            </w:r>
          </w:p>
        </w:tc>
        <w:tc>
          <w:tcPr>
            <w:tcW w:w="1316" w:type="dxa"/>
            <w:tcBorders>
              <w:top w:val="nil"/>
              <w:left w:val="single" w:sz="4" w:space="0" w:color="5B9BD5"/>
              <w:bottom w:val="nil"/>
              <w:right w:val="single" w:sz="4" w:space="0" w:color="5B9BD5"/>
            </w:tcBorders>
            <w:shd w:val="clear" w:color="auto" w:fill="auto"/>
            <w:vAlign w:val="bottom"/>
            <w:hideMark/>
          </w:tcPr>
          <w:p w14:paraId="2520459E"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227</w:t>
            </w:r>
          </w:p>
        </w:tc>
        <w:tc>
          <w:tcPr>
            <w:tcW w:w="1071" w:type="dxa"/>
            <w:tcBorders>
              <w:top w:val="nil"/>
              <w:left w:val="nil"/>
              <w:bottom w:val="nil"/>
              <w:right w:val="single" w:sz="4" w:space="0" w:color="5B9BD5"/>
            </w:tcBorders>
            <w:shd w:val="clear" w:color="auto" w:fill="auto"/>
            <w:vAlign w:val="bottom"/>
            <w:hideMark/>
          </w:tcPr>
          <w:p w14:paraId="621B76E5"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90.7%</w:t>
            </w:r>
          </w:p>
        </w:tc>
      </w:tr>
      <w:tr w:rsidR="003C2780" w:rsidRPr="007976CE" w14:paraId="60031687" w14:textId="77777777" w:rsidTr="007976CE">
        <w:trPr>
          <w:trHeight w:val="240"/>
          <w:jc w:val="center"/>
        </w:trPr>
        <w:tc>
          <w:tcPr>
            <w:tcW w:w="3834" w:type="dxa"/>
            <w:tcBorders>
              <w:top w:val="single" w:sz="4" w:space="0" w:color="5B9BD5"/>
              <w:left w:val="single" w:sz="4" w:space="0" w:color="5B9BD5"/>
              <w:bottom w:val="single" w:sz="4" w:space="0" w:color="5B9BD5"/>
              <w:right w:val="nil"/>
            </w:tcBorders>
            <w:shd w:val="clear" w:color="auto" w:fill="auto"/>
            <w:vAlign w:val="bottom"/>
            <w:hideMark/>
          </w:tcPr>
          <w:p w14:paraId="54BA489C"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Birrë Prodhim Vendi</w:t>
            </w:r>
          </w:p>
        </w:tc>
        <w:tc>
          <w:tcPr>
            <w:tcW w:w="1083" w:type="dxa"/>
            <w:tcBorders>
              <w:top w:val="single" w:sz="4" w:space="0" w:color="5B9BD5"/>
              <w:left w:val="single" w:sz="4" w:space="0" w:color="5B9BD5"/>
              <w:bottom w:val="single" w:sz="4" w:space="0" w:color="5B9BD5"/>
              <w:right w:val="single" w:sz="4" w:space="0" w:color="5B9BD5"/>
            </w:tcBorders>
            <w:shd w:val="clear" w:color="auto" w:fill="auto"/>
            <w:vAlign w:val="bottom"/>
            <w:hideMark/>
          </w:tcPr>
          <w:p w14:paraId="098060B7" w14:textId="77777777" w:rsidR="003C2780" w:rsidRPr="007976CE" w:rsidRDefault="003C2780" w:rsidP="007976CE">
            <w:pPr>
              <w:jc w:val="center"/>
              <w:rPr>
                <w:rFonts w:ascii="Calibri" w:hAnsi="Calibri" w:cs="Calibri"/>
                <w:i/>
                <w:iCs/>
                <w:color w:val="000000"/>
                <w:sz w:val="20"/>
                <w:szCs w:val="20"/>
              </w:rPr>
            </w:pPr>
            <w:r w:rsidRPr="007976CE">
              <w:rPr>
                <w:rFonts w:ascii="Calibri" w:hAnsi="Calibri" w:cs="Calibri"/>
                <w:i/>
                <w:iCs/>
                <w:color w:val="000000"/>
                <w:sz w:val="20"/>
                <w:szCs w:val="20"/>
              </w:rPr>
              <w:t>Mije lit</w:t>
            </w:r>
          </w:p>
        </w:tc>
        <w:tc>
          <w:tcPr>
            <w:tcW w:w="1064" w:type="dxa"/>
            <w:tcBorders>
              <w:top w:val="single" w:sz="4" w:space="0" w:color="5B9BD5"/>
              <w:left w:val="nil"/>
              <w:bottom w:val="single" w:sz="4" w:space="0" w:color="5B9BD5"/>
              <w:right w:val="single" w:sz="4" w:space="0" w:color="5B9BD5"/>
            </w:tcBorders>
            <w:shd w:val="clear" w:color="auto" w:fill="auto"/>
            <w:vAlign w:val="bottom"/>
            <w:hideMark/>
          </w:tcPr>
          <w:p w14:paraId="1D0B105E"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-2,518</w:t>
            </w:r>
          </w:p>
        </w:tc>
        <w:tc>
          <w:tcPr>
            <w:tcW w:w="1220" w:type="dxa"/>
            <w:tcBorders>
              <w:top w:val="single" w:sz="4" w:space="0" w:color="5B9BD5"/>
              <w:left w:val="nil"/>
              <w:bottom w:val="single" w:sz="4" w:space="0" w:color="5B9BD5"/>
              <w:right w:val="nil"/>
            </w:tcBorders>
            <w:shd w:val="clear" w:color="auto" w:fill="auto"/>
            <w:vAlign w:val="bottom"/>
            <w:hideMark/>
          </w:tcPr>
          <w:p w14:paraId="4C7FAF5A"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-18.3%</w:t>
            </w:r>
          </w:p>
        </w:tc>
        <w:tc>
          <w:tcPr>
            <w:tcW w:w="1316" w:type="dxa"/>
            <w:tcBorders>
              <w:top w:val="single" w:sz="4" w:space="0" w:color="5B9BD5"/>
              <w:left w:val="single" w:sz="4" w:space="0" w:color="5B9BD5"/>
              <w:bottom w:val="single" w:sz="4" w:space="0" w:color="5B9BD5"/>
              <w:right w:val="single" w:sz="4" w:space="0" w:color="5B9BD5"/>
            </w:tcBorders>
            <w:shd w:val="clear" w:color="auto" w:fill="auto"/>
            <w:vAlign w:val="bottom"/>
            <w:hideMark/>
          </w:tcPr>
          <w:p w14:paraId="5976FB4B"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128</w:t>
            </w:r>
          </w:p>
        </w:tc>
        <w:tc>
          <w:tcPr>
            <w:tcW w:w="1071" w:type="dxa"/>
            <w:tcBorders>
              <w:top w:val="single" w:sz="4" w:space="0" w:color="5B9BD5"/>
              <w:left w:val="nil"/>
              <w:bottom w:val="single" w:sz="4" w:space="0" w:color="5B9BD5"/>
              <w:right w:val="single" w:sz="4" w:space="0" w:color="5B9BD5"/>
            </w:tcBorders>
            <w:shd w:val="clear" w:color="auto" w:fill="auto"/>
            <w:vAlign w:val="bottom"/>
            <w:hideMark/>
          </w:tcPr>
          <w:p w14:paraId="44933FCB" w14:textId="77777777" w:rsidR="003C2780" w:rsidRPr="007976CE" w:rsidRDefault="003C2780" w:rsidP="007976CE">
            <w:pPr>
              <w:jc w:val="center"/>
              <w:rPr>
                <w:rFonts w:ascii="Calibri" w:hAnsi="Calibri" w:cs="Calibri"/>
                <w:color w:val="000000"/>
                <w:sz w:val="20"/>
                <w:szCs w:val="20"/>
              </w:rPr>
            </w:pPr>
            <w:r w:rsidRPr="007976CE">
              <w:rPr>
                <w:rFonts w:ascii="Calibri" w:hAnsi="Calibri" w:cs="Calibri"/>
                <w:color w:val="000000"/>
                <w:sz w:val="20"/>
                <w:szCs w:val="20"/>
              </w:rPr>
              <w:t>59.9%</w:t>
            </w:r>
          </w:p>
        </w:tc>
      </w:tr>
      <w:tr w:rsidR="003C2780" w:rsidRPr="007976CE" w14:paraId="5E49112F" w14:textId="77777777" w:rsidTr="007976CE">
        <w:trPr>
          <w:trHeight w:val="240"/>
          <w:jc w:val="center"/>
        </w:trPr>
        <w:tc>
          <w:tcPr>
            <w:tcW w:w="3834" w:type="dxa"/>
            <w:tcBorders>
              <w:top w:val="nil"/>
              <w:left w:val="single" w:sz="4" w:space="0" w:color="5B9BD5"/>
              <w:bottom w:val="single" w:sz="4" w:space="0" w:color="5B9BD5"/>
              <w:right w:val="nil"/>
            </w:tcBorders>
            <w:shd w:val="clear" w:color="auto" w:fill="auto"/>
            <w:vAlign w:val="bottom"/>
            <w:hideMark/>
          </w:tcPr>
          <w:p w14:paraId="71841354" w14:textId="77777777" w:rsidR="003C2780" w:rsidRPr="007976CE" w:rsidRDefault="003C2780" w:rsidP="007976CE">
            <w:pPr>
              <w:jc w:val="center"/>
              <w:rPr>
                <w:rFonts w:ascii="Calibri" w:hAnsi="Calibri" w:cs="Calibri"/>
                <w:b/>
                <w:bCs/>
                <w:color w:val="000000"/>
                <w:sz w:val="20"/>
                <w:szCs w:val="20"/>
              </w:rPr>
            </w:pPr>
            <w:r w:rsidRPr="007976CE">
              <w:rPr>
                <w:rFonts w:ascii="Calibri" w:hAnsi="Calibri" w:cs="Calibri"/>
                <w:b/>
                <w:bCs/>
                <w:color w:val="000000"/>
                <w:sz w:val="20"/>
                <w:szCs w:val="20"/>
              </w:rPr>
              <w:t>Efekti</w:t>
            </w:r>
          </w:p>
        </w:tc>
        <w:tc>
          <w:tcPr>
            <w:tcW w:w="1083" w:type="dxa"/>
            <w:tcBorders>
              <w:top w:val="nil"/>
              <w:left w:val="nil"/>
              <w:bottom w:val="single" w:sz="4" w:space="0" w:color="5B9BD5"/>
              <w:right w:val="nil"/>
            </w:tcBorders>
            <w:shd w:val="clear" w:color="auto" w:fill="auto"/>
            <w:vAlign w:val="bottom"/>
            <w:hideMark/>
          </w:tcPr>
          <w:p w14:paraId="72E678FF" w14:textId="77777777" w:rsidR="003C2780" w:rsidRPr="007976CE" w:rsidRDefault="003C2780" w:rsidP="007976CE">
            <w:pPr>
              <w:jc w:val="center"/>
              <w:rPr>
                <w:rFonts w:ascii="Calibri" w:hAnsi="Calibri" w:cs="Calibri"/>
                <w:b/>
                <w:bCs/>
                <w:i/>
                <w:iCs/>
                <w:color w:val="000000"/>
                <w:sz w:val="20"/>
                <w:szCs w:val="20"/>
              </w:rPr>
            </w:pPr>
          </w:p>
        </w:tc>
        <w:tc>
          <w:tcPr>
            <w:tcW w:w="1064" w:type="dxa"/>
            <w:tcBorders>
              <w:top w:val="nil"/>
              <w:left w:val="nil"/>
              <w:bottom w:val="single" w:sz="4" w:space="0" w:color="5B9BD5"/>
              <w:right w:val="nil"/>
            </w:tcBorders>
            <w:shd w:val="clear" w:color="auto" w:fill="auto"/>
            <w:vAlign w:val="bottom"/>
            <w:hideMark/>
          </w:tcPr>
          <w:p w14:paraId="0EBCB5AB" w14:textId="77777777" w:rsidR="003C2780" w:rsidRPr="007976CE" w:rsidRDefault="003C2780" w:rsidP="007976CE">
            <w:pPr>
              <w:jc w:val="center"/>
              <w:rPr>
                <w:rFonts w:ascii="Calibri" w:hAnsi="Calibri" w:cs="Calibri"/>
                <w:color w:val="000000"/>
                <w:sz w:val="20"/>
                <w:szCs w:val="20"/>
              </w:rPr>
            </w:pPr>
          </w:p>
        </w:tc>
        <w:tc>
          <w:tcPr>
            <w:tcW w:w="1220" w:type="dxa"/>
            <w:tcBorders>
              <w:top w:val="nil"/>
              <w:left w:val="nil"/>
              <w:bottom w:val="single" w:sz="4" w:space="0" w:color="5B9BD5"/>
              <w:right w:val="nil"/>
            </w:tcBorders>
            <w:shd w:val="clear" w:color="auto" w:fill="auto"/>
            <w:vAlign w:val="bottom"/>
            <w:hideMark/>
          </w:tcPr>
          <w:p w14:paraId="78920B4D" w14:textId="77777777" w:rsidR="003C2780" w:rsidRPr="007976CE" w:rsidRDefault="003C2780" w:rsidP="007976CE">
            <w:pPr>
              <w:jc w:val="center"/>
              <w:rPr>
                <w:rFonts w:ascii="Calibri" w:hAnsi="Calibri" w:cs="Calibri"/>
                <w:color w:val="000000"/>
                <w:sz w:val="20"/>
                <w:szCs w:val="20"/>
              </w:rPr>
            </w:pPr>
          </w:p>
        </w:tc>
        <w:tc>
          <w:tcPr>
            <w:tcW w:w="1316" w:type="dxa"/>
            <w:tcBorders>
              <w:top w:val="nil"/>
              <w:left w:val="single" w:sz="4" w:space="0" w:color="5B9BD5"/>
              <w:bottom w:val="single" w:sz="4" w:space="0" w:color="5B9BD5"/>
              <w:right w:val="single" w:sz="4" w:space="0" w:color="5B9BD5"/>
            </w:tcBorders>
            <w:shd w:val="clear" w:color="auto" w:fill="auto"/>
            <w:vAlign w:val="bottom"/>
            <w:hideMark/>
          </w:tcPr>
          <w:p w14:paraId="15C8934B" w14:textId="77777777" w:rsidR="003C2780" w:rsidRPr="007976CE" w:rsidRDefault="003C2780" w:rsidP="007976CE">
            <w:pPr>
              <w:jc w:val="center"/>
              <w:rPr>
                <w:rFonts w:ascii="Calibri" w:hAnsi="Calibri" w:cs="Calibri"/>
                <w:b/>
                <w:bCs/>
                <w:color w:val="000000"/>
                <w:sz w:val="20"/>
                <w:szCs w:val="20"/>
              </w:rPr>
            </w:pPr>
            <w:r w:rsidRPr="007976CE">
              <w:rPr>
                <w:rFonts w:ascii="Calibri" w:hAnsi="Calibri" w:cs="Calibri"/>
                <w:b/>
                <w:bCs/>
                <w:color w:val="000000"/>
                <w:sz w:val="20"/>
                <w:szCs w:val="20"/>
              </w:rPr>
              <w:t>1,387</w:t>
            </w:r>
          </w:p>
        </w:tc>
        <w:tc>
          <w:tcPr>
            <w:tcW w:w="1071" w:type="dxa"/>
            <w:tcBorders>
              <w:top w:val="nil"/>
              <w:left w:val="nil"/>
              <w:bottom w:val="single" w:sz="4" w:space="0" w:color="5B9BD5"/>
              <w:right w:val="single" w:sz="4" w:space="0" w:color="5B9BD5"/>
            </w:tcBorders>
            <w:shd w:val="clear" w:color="auto" w:fill="auto"/>
            <w:vAlign w:val="bottom"/>
            <w:hideMark/>
          </w:tcPr>
          <w:p w14:paraId="4AC763B6" w14:textId="77777777" w:rsidR="003C2780" w:rsidRPr="007976CE" w:rsidRDefault="003C2780" w:rsidP="007976CE">
            <w:pPr>
              <w:jc w:val="center"/>
              <w:rPr>
                <w:rFonts w:ascii="Calibri" w:hAnsi="Calibri" w:cs="Calibri"/>
                <w:color w:val="000000"/>
                <w:sz w:val="20"/>
                <w:szCs w:val="20"/>
              </w:rPr>
            </w:pPr>
          </w:p>
        </w:tc>
      </w:tr>
    </w:tbl>
    <w:p w14:paraId="342530A3" w14:textId="77777777" w:rsidR="0034657E" w:rsidRDefault="00193978" w:rsidP="0034657E">
      <w:pPr>
        <w:spacing w:line="276" w:lineRule="auto"/>
        <w:jc w:val="both"/>
        <w:rPr>
          <w:rFonts w:asciiTheme="minorHAnsi" w:hAnsiTheme="minorHAnsi"/>
          <w:sz w:val="20"/>
          <w:szCs w:val="20"/>
          <w:lang w:val="sq-AL"/>
        </w:rPr>
      </w:pPr>
      <w:r>
        <w:rPr>
          <w:rFonts w:asciiTheme="minorHAnsi" w:hAnsiTheme="minorHAnsi"/>
          <w:sz w:val="20"/>
          <w:szCs w:val="20"/>
          <w:lang w:val="sq-AL"/>
        </w:rPr>
        <w:t>Burimi: Ministria e Financave dhe Ekonomisë (2023)</w:t>
      </w:r>
    </w:p>
    <w:p w14:paraId="11C79AA9" w14:textId="0E17126E" w:rsidR="0034657E" w:rsidRPr="0030407F" w:rsidRDefault="0030407F" w:rsidP="003C2780">
      <w:pPr>
        <w:pStyle w:val="Caption"/>
        <w:keepNext/>
        <w:spacing w:before="120" w:after="0"/>
        <w:jc w:val="both"/>
      </w:pPr>
      <w:bookmarkStart w:id="19" w:name="_Toc12449190"/>
      <w:bookmarkStart w:id="20" w:name="_Toc107496739"/>
      <w:r w:rsidRPr="0030407F">
        <w:rPr>
          <w:rFonts w:asciiTheme="minorHAnsi" w:hAnsiTheme="minorHAnsi"/>
          <w:b w:val="0"/>
          <w:bCs w:val="0"/>
          <w:i/>
          <w:color w:val="auto"/>
          <w:sz w:val="22"/>
          <w:szCs w:val="24"/>
          <w:lang w:val="sq-AL"/>
        </w:rPr>
        <w:t xml:space="preserve">Tabela </w:t>
      </w:r>
      <w:r w:rsidRPr="0030407F">
        <w:rPr>
          <w:rFonts w:asciiTheme="minorHAnsi" w:hAnsiTheme="minorHAnsi"/>
          <w:b w:val="0"/>
          <w:bCs w:val="0"/>
          <w:i/>
          <w:color w:val="auto"/>
          <w:sz w:val="22"/>
          <w:szCs w:val="24"/>
          <w:lang w:val="sq-AL"/>
        </w:rPr>
        <w:fldChar w:fldCharType="begin"/>
      </w:r>
      <w:r w:rsidRPr="0030407F">
        <w:rPr>
          <w:rFonts w:asciiTheme="minorHAnsi" w:hAnsiTheme="minorHAnsi"/>
          <w:b w:val="0"/>
          <w:bCs w:val="0"/>
          <w:i/>
          <w:color w:val="auto"/>
          <w:sz w:val="22"/>
          <w:szCs w:val="24"/>
          <w:lang w:val="sq-AL"/>
        </w:rPr>
        <w:instrText xml:space="preserve"> SEQ Tabela \* ARABIC </w:instrText>
      </w:r>
      <w:r w:rsidRPr="0030407F">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3</w:t>
      </w:r>
      <w:r w:rsidRPr="0030407F">
        <w:rPr>
          <w:rFonts w:asciiTheme="minorHAnsi" w:hAnsiTheme="minorHAnsi"/>
          <w:b w:val="0"/>
          <w:bCs w:val="0"/>
          <w:i/>
          <w:color w:val="auto"/>
          <w:sz w:val="22"/>
          <w:szCs w:val="24"/>
          <w:lang w:val="sq-AL"/>
        </w:rPr>
        <w:fldChar w:fldCharType="end"/>
      </w:r>
      <w:r w:rsidR="0034657E" w:rsidRPr="0030407F">
        <w:rPr>
          <w:rFonts w:asciiTheme="minorHAnsi" w:hAnsiTheme="minorHAnsi"/>
          <w:b w:val="0"/>
          <w:bCs w:val="0"/>
          <w:i/>
          <w:color w:val="auto"/>
          <w:sz w:val="22"/>
          <w:szCs w:val="24"/>
          <w:lang w:val="sq-AL"/>
        </w:rPr>
        <w:t>: Kontribuesit negativë në të ardhurat nga Akciza/ Diferencat Janar-Maj 202</w:t>
      </w:r>
      <w:r w:rsidR="003C2780">
        <w:rPr>
          <w:rFonts w:asciiTheme="minorHAnsi" w:hAnsiTheme="minorHAnsi"/>
          <w:b w:val="0"/>
          <w:bCs w:val="0"/>
          <w:i/>
          <w:color w:val="auto"/>
          <w:sz w:val="22"/>
          <w:szCs w:val="24"/>
          <w:lang w:val="sq-AL"/>
        </w:rPr>
        <w:t>3</w:t>
      </w:r>
      <w:r w:rsidR="0034657E" w:rsidRPr="0030407F">
        <w:rPr>
          <w:rFonts w:asciiTheme="minorHAnsi" w:hAnsiTheme="minorHAnsi"/>
          <w:b w:val="0"/>
          <w:bCs w:val="0"/>
          <w:i/>
          <w:color w:val="auto"/>
          <w:sz w:val="22"/>
          <w:szCs w:val="24"/>
          <w:lang w:val="sq-AL"/>
        </w:rPr>
        <w:t>/20</w:t>
      </w:r>
      <w:bookmarkEnd w:id="19"/>
      <w:r w:rsidR="0034657E" w:rsidRPr="0030407F">
        <w:rPr>
          <w:rFonts w:asciiTheme="minorHAnsi" w:hAnsiTheme="minorHAnsi"/>
          <w:b w:val="0"/>
          <w:bCs w:val="0"/>
          <w:i/>
          <w:color w:val="auto"/>
          <w:sz w:val="22"/>
          <w:szCs w:val="24"/>
          <w:lang w:val="sq-AL"/>
        </w:rPr>
        <w:t>2</w:t>
      </w:r>
      <w:bookmarkEnd w:id="20"/>
      <w:r w:rsidR="003C2780">
        <w:rPr>
          <w:rFonts w:asciiTheme="minorHAnsi" w:hAnsiTheme="minorHAnsi"/>
          <w:b w:val="0"/>
          <w:bCs w:val="0"/>
          <w:i/>
          <w:color w:val="auto"/>
          <w:sz w:val="22"/>
          <w:szCs w:val="24"/>
          <w:lang w:val="sq-AL"/>
        </w:rPr>
        <w:t>2</w:t>
      </w:r>
    </w:p>
    <w:tbl>
      <w:tblPr>
        <w:tblW w:w="9616" w:type="dxa"/>
        <w:tblLayout w:type="fixed"/>
        <w:tblLook w:val="04A0" w:firstRow="1" w:lastRow="0" w:firstColumn="1" w:lastColumn="0" w:noHBand="0" w:noVBand="1"/>
      </w:tblPr>
      <w:tblGrid>
        <w:gridCol w:w="3870"/>
        <w:gridCol w:w="1093"/>
        <w:gridCol w:w="1074"/>
        <w:gridCol w:w="1231"/>
        <w:gridCol w:w="1329"/>
        <w:gridCol w:w="1019"/>
      </w:tblGrid>
      <w:tr w:rsidR="007976CE" w:rsidRPr="00853EB9" w14:paraId="54FBD84E" w14:textId="77777777" w:rsidTr="007976CE">
        <w:trPr>
          <w:trHeight w:val="262"/>
        </w:trPr>
        <w:tc>
          <w:tcPr>
            <w:tcW w:w="9616" w:type="dxa"/>
            <w:gridSpan w:val="6"/>
            <w:tcBorders>
              <w:top w:val="single" w:sz="4" w:space="0" w:color="5B9BD5"/>
              <w:left w:val="single" w:sz="4" w:space="0" w:color="5B9BD5"/>
              <w:bottom w:val="nil"/>
              <w:right w:val="single" w:sz="4" w:space="0" w:color="5B9BD5"/>
            </w:tcBorders>
            <w:shd w:val="clear" w:color="000000" w:fill="BDD7EE"/>
            <w:vAlign w:val="bottom"/>
            <w:hideMark/>
          </w:tcPr>
          <w:p w14:paraId="3184F6C6" w14:textId="77777777" w:rsidR="007976CE" w:rsidRPr="00853EB9" w:rsidRDefault="007976CE" w:rsidP="007976CE">
            <w:pPr>
              <w:jc w:val="center"/>
              <w:rPr>
                <w:rFonts w:ascii="Calibri" w:hAnsi="Calibri" w:cs="Calibri"/>
                <w:b/>
                <w:bCs/>
                <w:color w:val="000000"/>
                <w:sz w:val="20"/>
                <w:szCs w:val="20"/>
              </w:rPr>
            </w:pPr>
            <w:r w:rsidRPr="00853EB9">
              <w:rPr>
                <w:rFonts w:ascii="Calibri" w:hAnsi="Calibri" w:cs="Calibri"/>
                <w:b/>
                <w:bCs/>
                <w:color w:val="000000"/>
                <w:sz w:val="20"/>
                <w:szCs w:val="20"/>
              </w:rPr>
              <w:t>Diferencat Janar-Maj 2023/2022</w:t>
            </w:r>
          </w:p>
        </w:tc>
      </w:tr>
      <w:tr w:rsidR="007976CE" w:rsidRPr="00853EB9" w14:paraId="67A88A47" w14:textId="77777777" w:rsidTr="007976CE">
        <w:trPr>
          <w:trHeight w:val="262"/>
        </w:trPr>
        <w:tc>
          <w:tcPr>
            <w:tcW w:w="9616" w:type="dxa"/>
            <w:gridSpan w:val="6"/>
            <w:tcBorders>
              <w:top w:val="nil"/>
              <w:left w:val="single" w:sz="4" w:space="0" w:color="5B9BD5"/>
              <w:bottom w:val="nil"/>
              <w:right w:val="single" w:sz="4" w:space="0" w:color="5B9BD5"/>
            </w:tcBorders>
            <w:shd w:val="clear" w:color="000000" w:fill="BDD7EE"/>
            <w:vAlign w:val="bottom"/>
            <w:hideMark/>
          </w:tcPr>
          <w:p w14:paraId="5CA60206" w14:textId="77777777" w:rsidR="007976CE" w:rsidRPr="00853EB9" w:rsidRDefault="007976CE" w:rsidP="007976CE">
            <w:pPr>
              <w:jc w:val="center"/>
              <w:rPr>
                <w:rFonts w:ascii="Calibri" w:hAnsi="Calibri" w:cs="Calibri"/>
                <w:b/>
                <w:bCs/>
                <w:color w:val="000000"/>
                <w:sz w:val="20"/>
                <w:szCs w:val="20"/>
              </w:rPr>
            </w:pPr>
            <w:r w:rsidRPr="00853EB9">
              <w:rPr>
                <w:rFonts w:ascii="Calibri" w:hAnsi="Calibri" w:cs="Calibri"/>
                <w:b/>
                <w:bCs/>
                <w:color w:val="000000"/>
                <w:sz w:val="20"/>
                <w:szCs w:val="20"/>
              </w:rPr>
              <w:t xml:space="preserve">Produktet me kontribut </w:t>
            </w:r>
            <w:r w:rsidRPr="00853EB9">
              <w:rPr>
                <w:rFonts w:ascii="Calibri" w:hAnsi="Calibri" w:cs="Calibri"/>
                <w:b/>
                <w:bCs/>
                <w:color w:val="000000" w:themeColor="text1"/>
                <w:sz w:val="20"/>
                <w:szCs w:val="20"/>
              </w:rPr>
              <w:t>Negativ</w:t>
            </w:r>
          </w:p>
        </w:tc>
      </w:tr>
      <w:tr w:rsidR="007976CE" w:rsidRPr="00853EB9" w14:paraId="48334F21" w14:textId="77777777" w:rsidTr="007976CE">
        <w:trPr>
          <w:trHeight w:val="262"/>
        </w:trPr>
        <w:tc>
          <w:tcPr>
            <w:tcW w:w="3870" w:type="dxa"/>
            <w:tcBorders>
              <w:top w:val="nil"/>
              <w:left w:val="single" w:sz="4" w:space="0" w:color="5B9BD5"/>
              <w:bottom w:val="nil"/>
              <w:right w:val="nil"/>
            </w:tcBorders>
            <w:shd w:val="clear" w:color="000000" w:fill="BDD7EE"/>
            <w:vAlign w:val="bottom"/>
            <w:hideMark/>
          </w:tcPr>
          <w:p w14:paraId="47CDA76D" w14:textId="77777777" w:rsidR="007976CE" w:rsidRPr="00853EB9" w:rsidRDefault="007976CE" w:rsidP="007976CE">
            <w:pPr>
              <w:rPr>
                <w:rFonts w:ascii="Calibri" w:hAnsi="Calibri" w:cs="Calibri"/>
                <w:b/>
                <w:bCs/>
                <w:color w:val="000000"/>
                <w:sz w:val="20"/>
                <w:szCs w:val="20"/>
              </w:rPr>
            </w:pPr>
            <w:r w:rsidRPr="00853EB9">
              <w:rPr>
                <w:rFonts w:ascii="Calibri" w:hAnsi="Calibri" w:cs="Calibri"/>
                <w:b/>
                <w:bCs/>
                <w:color w:val="000000"/>
                <w:sz w:val="20"/>
                <w:szCs w:val="20"/>
              </w:rPr>
              <w:t> </w:t>
            </w:r>
          </w:p>
        </w:tc>
        <w:tc>
          <w:tcPr>
            <w:tcW w:w="1093" w:type="dxa"/>
            <w:tcBorders>
              <w:top w:val="nil"/>
              <w:left w:val="nil"/>
              <w:bottom w:val="nil"/>
              <w:right w:val="nil"/>
            </w:tcBorders>
            <w:shd w:val="clear" w:color="000000" w:fill="BDD7EE"/>
            <w:vAlign w:val="bottom"/>
            <w:hideMark/>
          </w:tcPr>
          <w:p w14:paraId="379CCE13" w14:textId="77777777" w:rsidR="007976CE" w:rsidRPr="00853EB9" w:rsidRDefault="007976CE" w:rsidP="007976CE">
            <w:pPr>
              <w:jc w:val="center"/>
              <w:rPr>
                <w:rFonts w:ascii="Calibri" w:hAnsi="Calibri" w:cs="Calibri"/>
                <w:b/>
                <w:bCs/>
                <w:color w:val="000000"/>
                <w:sz w:val="20"/>
                <w:szCs w:val="20"/>
              </w:rPr>
            </w:pPr>
            <w:r w:rsidRPr="00853EB9">
              <w:rPr>
                <w:rFonts w:ascii="Calibri" w:hAnsi="Calibri" w:cs="Calibri"/>
                <w:b/>
                <w:bCs/>
                <w:color w:val="000000"/>
                <w:sz w:val="20"/>
                <w:szCs w:val="20"/>
              </w:rPr>
              <w:t>Njësia</w:t>
            </w:r>
          </w:p>
        </w:tc>
        <w:tc>
          <w:tcPr>
            <w:tcW w:w="1074" w:type="dxa"/>
            <w:tcBorders>
              <w:top w:val="nil"/>
              <w:left w:val="nil"/>
              <w:bottom w:val="nil"/>
              <w:right w:val="nil"/>
            </w:tcBorders>
            <w:shd w:val="clear" w:color="000000" w:fill="BDD7EE"/>
            <w:vAlign w:val="bottom"/>
            <w:hideMark/>
          </w:tcPr>
          <w:p w14:paraId="159A81B3" w14:textId="77777777" w:rsidR="007976CE" w:rsidRPr="00853EB9" w:rsidRDefault="007976CE" w:rsidP="007976CE">
            <w:pPr>
              <w:jc w:val="center"/>
              <w:rPr>
                <w:rFonts w:ascii="Calibri" w:hAnsi="Calibri" w:cs="Calibri"/>
                <w:b/>
                <w:bCs/>
                <w:color w:val="000000"/>
                <w:sz w:val="20"/>
                <w:szCs w:val="20"/>
              </w:rPr>
            </w:pPr>
            <w:r w:rsidRPr="00853EB9">
              <w:rPr>
                <w:rFonts w:ascii="Calibri" w:hAnsi="Calibri" w:cs="Calibri"/>
                <w:b/>
                <w:bCs/>
                <w:color w:val="000000"/>
                <w:sz w:val="20"/>
                <w:szCs w:val="20"/>
              </w:rPr>
              <w:t xml:space="preserve">Sasi </w:t>
            </w:r>
          </w:p>
        </w:tc>
        <w:tc>
          <w:tcPr>
            <w:tcW w:w="1231" w:type="dxa"/>
            <w:tcBorders>
              <w:top w:val="nil"/>
              <w:left w:val="nil"/>
              <w:bottom w:val="nil"/>
              <w:right w:val="nil"/>
            </w:tcBorders>
            <w:shd w:val="clear" w:color="000000" w:fill="BDD7EE"/>
            <w:vAlign w:val="bottom"/>
            <w:hideMark/>
          </w:tcPr>
          <w:p w14:paraId="636E7EDA" w14:textId="77777777" w:rsidR="007976CE" w:rsidRPr="00853EB9" w:rsidRDefault="007976CE" w:rsidP="007976CE">
            <w:pPr>
              <w:jc w:val="center"/>
              <w:rPr>
                <w:rFonts w:ascii="Calibri" w:hAnsi="Calibri" w:cs="Calibri"/>
                <w:b/>
                <w:bCs/>
                <w:color w:val="000000"/>
                <w:sz w:val="20"/>
                <w:szCs w:val="20"/>
              </w:rPr>
            </w:pPr>
            <w:r w:rsidRPr="00853EB9">
              <w:rPr>
                <w:rFonts w:ascii="Calibri" w:hAnsi="Calibri" w:cs="Calibri"/>
                <w:b/>
                <w:bCs/>
                <w:color w:val="000000"/>
                <w:sz w:val="20"/>
                <w:szCs w:val="20"/>
              </w:rPr>
              <w:t>%</w:t>
            </w:r>
          </w:p>
        </w:tc>
        <w:tc>
          <w:tcPr>
            <w:tcW w:w="1329" w:type="dxa"/>
            <w:tcBorders>
              <w:top w:val="nil"/>
              <w:left w:val="nil"/>
              <w:bottom w:val="nil"/>
              <w:right w:val="nil"/>
            </w:tcBorders>
            <w:shd w:val="clear" w:color="000000" w:fill="BDD7EE"/>
            <w:vAlign w:val="bottom"/>
            <w:hideMark/>
          </w:tcPr>
          <w:p w14:paraId="21054E55" w14:textId="77777777" w:rsidR="007976CE" w:rsidRPr="00853EB9" w:rsidRDefault="007976CE" w:rsidP="007976CE">
            <w:pPr>
              <w:jc w:val="center"/>
              <w:rPr>
                <w:rFonts w:ascii="Calibri" w:hAnsi="Calibri" w:cs="Calibri"/>
                <w:b/>
                <w:bCs/>
                <w:color w:val="000000"/>
                <w:sz w:val="20"/>
                <w:szCs w:val="20"/>
              </w:rPr>
            </w:pPr>
            <w:r w:rsidRPr="00853EB9">
              <w:rPr>
                <w:rFonts w:ascii="Calibri" w:hAnsi="Calibri" w:cs="Calibri"/>
                <w:b/>
                <w:bCs/>
                <w:color w:val="000000"/>
                <w:sz w:val="20"/>
                <w:szCs w:val="20"/>
              </w:rPr>
              <w:t>Akciza</w:t>
            </w:r>
          </w:p>
        </w:tc>
        <w:tc>
          <w:tcPr>
            <w:tcW w:w="1017" w:type="dxa"/>
            <w:tcBorders>
              <w:top w:val="nil"/>
              <w:left w:val="nil"/>
              <w:bottom w:val="nil"/>
              <w:right w:val="single" w:sz="4" w:space="0" w:color="5B9BD5"/>
            </w:tcBorders>
            <w:shd w:val="clear" w:color="000000" w:fill="BDD7EE"/>
            <w:vAlign w:val="bottom"/>
            <w:hideMark/>
          </w:tcPr>
          <w:p w14:paraId="639AE440" w14:textId="77777777" w:rsidR="007976CE" w:rsidRPr="00853EB9" w:rsidRDefault="007976CE" w:rsidP="007976CE">
            <w:pPr>
              <w:jc w:val="center"/>
              <w:rPr>
                <w:rFonts w:ascii="Calibri" w:hAnsi="Calibri" w:cs="Calibri"/>
                <w:b/>
                <w:bCs/>
                <w:color w:val="000000"/>
                <w:sz w:val="20"/>
                <w:szCs w:val="20"/>
              </w:rPr>
            </w:pPr>
            <w:r w:rsidRPr="00853EB9">
              <w:rPr>
                <w:rFonts w:ascii="Calibri" w:hAnsi="Calibri" w:cs="Calibri"/>
                <w:b/>
                <w:bCs/>
                <w:color w:val="000000"/>
                <w:sz w:val="20"/>
                <w:szCs w:val="20"/>
              </w:rPr>
              <w:t>%</w:t>
            </w:r>
          </w:p>
        </w:tc>
      </w:tr>
      <w:tr w:rsidR="007976CE" w:rsidRPr="00853EB9" w14:paraId="23CC57E6" w14:textId="77777777" w:rsidTr="007976CE">
        <w:trPr>
          <w:trHeight w:val="246"/>
        </w:trPr>
        <w:tc>
          <w:tcPr>
            <w:tcW w:w="3870" w:type="dxa"/>
            <w:tcBorders>
              <w:top w:val="nil"/>
              <w:left w:val="single" w:sz="4" w:space="0" w:color="5B9BD5"/>
              <w:bottom w:val="nil"/>
              <w:right w:val="nil"/>
            </w:tcBorders>
            <w:shd w:val="clear" w:color="auto" w:fill="auto"/>
            <w:vAlign w:val="bottom"/>
            <w:hideMark/>
          </w:tcPr>
          <w:p w14:paraId="736F83B2" w14:textId="77777777" w:rsidR="007976CE" w:rsidRPr="00853EB9" w:rsidRDefault="007976CE" w:rsidP="007976CE">
            <w:pPr>
              <w:jc w:val="center"/>
              <w:rPr>
                <w:rFonts w:ascii="Calibri" w:hAnsi="Calibri" w:cs="Calibri"/>
                <w:color w:val="000000"/>
                <w:sz w:val="20"/>
                <w:szCs w:val="20"/>
              </w:rPr>
            </w:pPr>
            <w:r w:rsidRPr="00853EB9">
              <w:rPr>
                <w:rFonts w:ascii="Calibri" w:hAnsi="Calibri" w:cs="Calibri"/>
                <w:color w:val="000000"/>
                <w:sz w:val="20"/>
                <w:szCs w:val="20"/>
              </w:rPr>
              <w:t>Pije Alkoolike Prodhim Vendi</w:t>
            </w:r>
          </w:p>
        </w:tc>
        <w:tc>
          <w:tcPr>
            <w:tcW w:w="1093" w:type="dxa"/>
            <w:tcBorders>
              <w:top w:val="nil"/>
              <w:left w:val="single" w:sz="4" w:space="0" w:color="5B9BD5"/>
              <w:bottom w:val="nil"/>
              <w:right w:val="single" w:sz="4" w:space="0" w:color="5B9BD5"/>
            </w:tcBorders>
            <w:shd w:val="clear" w:color="auto" w:fill="auto"/>
            <w:vAlign w:val="bottom"/>
            <w:hideMark/>
          </w:tcPr>
          <w:p w14:paraId="181C3449" w14:textId="77777777" w:rsidR="007976CE" w:rsidRPr="00853EB9" w:rsidRDefault="007976CE" w:rsidP="007976CE">
            <w:pPr>
              <w:jc w:val="center"/>
              <w:rPr>
                <w:rFonts w:ascii="Calibri" w:hAnsi="Calibri" w:cs="Calibri"/>
                <w:i/>
                <w:iCs/>
                <w:color w:val="000000"/>
                <w:sz w:val="20"/>
                <w:szCs w:val="20"/>
              </w:rPr>
            </w:pPr>
            <w:r w:rsidRPr="00853EB9">
              <w:rPr>
                <w:rFonts w:ascii="Calibri" w:hAnsi="Calibri" w:cs="Calibri"/>
                <w:i/>
                <w:iCs/>
                <w:color w:val="000000"/>
                <w:sz w:val="20"/>
                <w:szCs w:val="20"/>
              </w:rPr>
              <w:t>Mije lit</w:t>
            </w:r>
          </w:p>
        </w:tc>
        <w:tc>
          <w:tcPr>
            <w:tcW w:w="1074" w:type="dxa"/>
            <w:tcBorders>
              <w:top w:val="nil"/>
              <w:left w:val="nil"/>
              <w:bottom w:val="nil"/>
              <w:right w:val="single" w:sz="4" w:space="0" w:color="5B9BD5"/>
            </w:tcBorders>
            <w:shd w:val="clear" w:color="auto" w:fill="auto"/>
            <w:vAlign w:val="bottom"/>
            <w:hideMark/>
          </w:tcPr>
          <w:p w14:paraId="0D0E884C" w14:textId="77777777" w:rsidR="007976CE" w:rsidRPr="00853EB9" w:rsidRDefault="007976CE" w:rsidP="007976CE">
            <w:pPr>
              <w:jc w:val="center"/>
              <w:rPr>
                <w:rFonts w:ascii="Calibri" w:hAnsi="Calibri" w:cs="Calibri"/>
                <w:color w:val="000000"/>
                <w:sz w:val="20"/>
                <w:szCs w:val="20"/>
              </w:rPr>
            </w:pPr>
            <w:r w:rsidRPr="00853EB9">
              <w:rPr>
                <w:rFonts w:ascii="Calibri" w:hAnsi="Calibri" w:cs="Calibri"/>
                <w:color w:val="000000"/>
                <w:sz w:val="20"/>
                <w:szCs w:val="20"/>
              </w:rPr>
              <w:t>-125</w:t>
            </w:r>
          </w:p>
        </w:tc>
        <w:tc>
          <w:tcPr>
            <w:tcW w:w="1231" w:type="dxa"/>
            <w:tcBorders>
              <w:top w:val="nil"/>
              <w:left w:val="nil"/>
              <w:bottom w:val="nil"/>
              <w:right w:val="nil"/>
            </w:tcBorders>
            <w:shd w:val="clear" w:color="auto" w:fill="auto"/>
            <w:vAlign w:val="bottom"/>
            <w:hideMark/>
          </w:tcPr>
          <w:p w14:paraId="018F92CC" w14:textId="77777777" w:rsidR="007976CE" w:rsidRPr="00853EB9" w:rsidRDefault="007976CE" w:rsidP="007976CE">
            <w:pPr>
              <w:jc w:val="center"/>
              <w:rPr>
                <w:rFonts w:ascii="Calibri" w:hAnsi="Calibri" w:cs="Calibri"/>
                <w:color w:val="000000"/>
                <w:sz w:val="20"/>
                <w:szCs w:val="20"/>
              </w:rPr>
            </w:pPr>
            <w:r w:rsidRPr="00853EB9">
              <w:rPr>
                <w:rFonts w:ascii="Calibri" w:hAnsi="Calibri" w:cs="Calibri"/>
                <w:color w:val="000000"/>
                <w:sz w:val="20"/>
                <w:szCs w:val="20"/>
              </w:rPr>
              <w:t>-37%</w:t>
            </w:r>
          </w:p>
        </w:tc>
        <w:tc>
          <w:tcPr>
            <w:tcW w:w="1329" w:type="dxa"/>
            <w:tcBorders>
              <w:top w:val="nil"/>
              <w:left w:val="single" w:sz="4" w:space="0" w:color="5B9BD5"/>
              <w:bottom w:val="nil"/>
              <w:right w:val="single" w:sz="4" w:space="0" w:color="5B9BD5"/>
            </w:tcBorders>
            <w:shd w:val="clear" w:color="auto" w:fill="auto"/>
            <w:vAlign w:val="bottom"/>
            <w:hideMark/>
          </w:tcPr>
          <w:p w14:paraId="7BFF3EA6" w14:textId="77777777" w:rsidR="007976CE" w:rsidRPr="00853EB9" w:rsidRDefault="007976CE" w:rsidP="007976CE">
            <w:pPr>
              <w:jc w:val="center"/>
              <w:rPr>
                <w:rFonts w:ascii="Calibri" w:hAnsi="Calibri" w:cs="Calibri"/>
                <w:color w:val="000000"/>
                <w:sz w:val="20"/>
                <w:szCs w:val="20"/>
              </w:rPr>
            </w:pPr>
            <w:r w:rsidRPr="00853EB9">
              <w:rPr>
                <w:rFonts w:ascii="Calibri" w:hAnsi="Calibri" w:cs="Calibri"/>
                <w:color w:val="000000"/>
                <w:sz w:val="20"/>
                <w:szCs w:val="20"/>
              </w:rPr>
              <w:t>-28</w:t>
            </w:r>
          </w:p>
        </w:tc>
        <w:tc>
          <w:tcPr>
            <w:tcW w:w="1017" w:type="dxa"/>
            <w:tcBorders>
              <w:top w:val="nil"/>
              <w:left w:val="nil"/>
              <w:bottom w:val="nil"/>
              <w:right w:val="single" w:sz="4" w:space="0" w:color="5B9BD5"/>
            </w:tcBorders>
            <w:shd w:val="clear" w:color="auto" w:fill="auto"/>
            <w:vAlign w:val="bottom"/>
            <w:hideMark/>
          </w:tcPr>
          <w:p w14:paraId="0A135C65" w14:textId="77777777" w:rsidR="007976CE" w:rsidRPr="00853EB9" w:rsidRDefault="007976CE" w:rsidP="007976CE">
            <w:pPr>
              <w:jc w:val="center"/>
              <w:rPr>
                <w:rFonts w:ascii="Calibri" w:hAnsi="Calibri" w:cs="Calibri"/>
                <w:color w:val="000000"/>
                <w:sz w:val="20"/>
                <w:szCs w:val="20"/>
              </w:rPr>
            </w:pPr>
            <w:r w:rsidRPr="00853EB9">
              <w:rPr>
                <w:rFonts w:ascii="Calibri" w:hAnsi="Calibri" w:cs="Calibri"/>
                <w:color w:val="000000"/>
                <w:sz w:val="20"/>
                <w:szCs w:val="20"/>
              </w:rPr>
              <w:t>-32.1%</w:t>
            </w:r>
          </w:p>
        </w:tc>
      </w:tr>
      <w:tr w:rsidR="007976CE" w:rsidRPr="00853EB9" w14:paraId="59027ADF" w14:textId="77777777" w:rsidTr="007976CE">
        <w:trPr>
          <w:trHeight w:val="246"/>
        </w:trPr>
        <w:tc>
          <w:tcPr>
            <w:tcW w:w="3870" w:type="dxa"/>
            <w:tcBorders>
              <w:top w:val="single" w:sz="4" w:space="0" w:color="5B9BD5"/>
              <w:left w:val="single" w:sz="4" w:space="0" w:color="5B9BD5"/>
              <w:bottom w:val="single" w:sz="4" w:space="0" w:color="5B9BD5"/>
              <w:right w:val="nil"/>
            </w:tcBorders>
            <w:shd w:val="clear" w:color="auto" w:fill="auto"/>
            <w:vAlign w:val="bottom"/>
            <w:hideMark/>
          </w:tcPr>
          <w:p w14:paraId="7154D7C9" w14:textId="77777777" w:rsidR="007976CE" w:rsidRPr="00853EB9" w:rsidRDefault="007976CE" w:rsidP="007976CE">
            <w:pPr>
              <w:jc w:val="center"/>
              <w:rPr>
                <w:rFonts w:ascii="Calibri" w:hAnsi="Calibri" w:cs="Calibri"/>
                <w:color w:val="000000"/>
                <w:sz w:val="20"/>
                <w:szCs w:val="20"/>
              </w:rPr>
            </w:pPr>
            <w:r w:rsidRPr="00853EB9">
              <w:rPr>
                <w:rFonts w:ascii="Calibri" w:hAnsi="Calibri" w:cs="Calibri"/>
                <w:color w:val="000000"/>
                <w:sz w:val="20"/>
                <w:szCs w:val="20"/>
              </w:rPr>
              <w:t>Vaj Lubrifikant</w:t>
            </w:r>
          </w:p>
        </w:tc>
        <w:tc>
          <w:tcPr>
            <w:tcW w:w="1093" w:type="dxa"/>
            <w:tcBorders>
              <w:top w:val="single" w:sz="4" w:space="0" w:color="5B9BD5"/>
              <w:left w:val="single" w:sz="4" w:space="0" w:color="5B9BD5"/>
              <w:bottom w:val="single" w:sz="4" w:space="0" w:color="5B9BD5"/>
              <w:right w:val="single" w:sz="4" w:space="0" w:color="5B9BD5"/>
            </w:tcBorders>
            <w:shd w:val="clear" w:color="auto" w:fill="auto"/>
            <w:vAlign w:val="bottom"/>
            <w:hideMark/>
          </w:tcPr>
          <w:p w14:paraId="5EE733ED" w14:textId="77777777" w:rsidR="007976CE" w:rsidRPr="00853EB9" w:rsidRDefault="007976CE" w:rsidP="007976CE">
            <w:pPr>
              <w:jc w:val="center"/>
              <w:rPr>
                <w:rFonts w:ascii="Calibri" w:hAnsi="Calibri" w:cs="Calibri"/>
                <w:i/>
                <w:iCs/>
                <w:color w:val="000000"/>
                <w:sz w:val="20"/>
                <w:szCs w:val="20"/>
              </w:rPr>
            </w:pPr>
            <w:r w:rsidRPr="00853EB9">
              <w:rPr>
                <w:rFonts w:ascii="Calibri" w:hAnsi="Calibri" w:cs="Calibri"/>
                <w:i/>
                <w:iCs/>
                <w:color w:val="000000"/>
                <w:sz w:val="20"/>
                <w:szCs w:val="20"/>
              </w:rPr>
              <w:t>Ton</w:t>
            </w:r>
          </w:p>
        </w:tc>
        <w:tc>
          <w:tcPr>
            <w:tcW w:w="1074" w:type="dxa"/>
            <w:tcBorders>
              <w:top w:val="single" w:sz="4" w:space="0" w:color="5B9BD5"/>
              <w:left w:val="nil"/>
              <w:bottom w:val="single" w:sz="4" w:space="0" w:color="5B9BD5"/>
              <w:right w:val="single" w:sz="4" w:space="0" w:color="5B9BD5"/>
            </w:tcBorders>
            <w:shd w:val="clear" w:color="auto" w:fill="auto"/>
            <w:vAlign w:val="bottom"/>
            <w:hideMark/>
          </w:tcPr>
          <w:p w14:paraId="66BFF951" w14:textId="77777777" w:rsidR="007976CE" w:rsidRPr="00853EB9" w:rsidRDefault="007976CE" w:rsidP="007976CE">
            <w:pPr>
              <w:jc w:val="center"/>
              <w:rPr>
                <w:rFonts w:ascii="Calibri" w:hAnsi="Calibri" w:cs="Calibri"/>
                <w:color w:val="000000"/>
                <w:sz w:val="20"/>
                <w:szCs w:val="20"/>
              </w:rPr>
            </w:pPr>
            <w:r w:rsidRPr="00853EB9">
              <w:rPr>
                <w:rFonts w:ascii="Calibri" w:hAnsi="Calibri" w:cs="Calibri"/>
                <w:color w:val="000000"/>
                <w:sz w:val="20"/>
                <w:szCs w:val="20"/>
              </w:rPr>
              <w:t>518</w:t>
            </w:r>
          </w:p>
        </w:tc>
        <w:tc>
          <w:tcPr>
            <w:tcW w:w="1231" w:type="dxa"/>
            <w:tcBorders>
              <w:top w:val="single" w:sz="4" w:space="0" w:color="5B9BD5"/>
              <w:left w:val="nil"/>
              <w:bottom w:val="single" w:sz="4" w:space="0" w:color="5B9BD5"/>
              <w:right w:val="nil"/>
            </w:tcBorders>
            <w:shd w:val="clear" w:color="auto" w:fill="auto"/>
            <w:vAlign w:val="bottom"/>
            <w:hideMark/>
          </w:tcPr>
          <w:p w14:paraId="6DCC79AE" w14:textId="77777777" w:rsidR="007976CE" w:rsidRPr="00853EB9" w:rsidRDefault="007976CE" w:rsidP="007976CE">
            <w:pPr>
              <w:jc w:val="center"/>
              <w:rPr>
                <w:rFonts w:ascii="Calibri" w:hAnsi="Calibri" w:cs="Calibri"/>
                <w:color w:val="000000"/>
                <w:sz w:val="20"/>
                <w:szCs w:val="20"/>
              </w:rPr>
            </w:pPr>
            <w:r w:rsidRPr="00853EB9">
              <w:rPr>
                <w:rFonts w:ascii="Calibri" w:hAnsi="Calibri" w:cs="Calibri"/>
                <w:color w:val="000000"/>
                <w:sz w:val="20"/>
                <w:szCs w:val="20"/>
              </w:rPr>
              <w:t>11.8%</w:t>
            </w:r>
          </w:p>
        </w:tc>
        <w:tc>
          <w:tcPr>
            <w:tcW w:w="1329" w:type="dxa"/>
            <w:tcBorders>
              <w:top w:val="single" w:sz="4" w:space="0" w:color="5B9BD5"/>
              <w:left w:val="single" w:sz="4" w:space="0" w:color="5B9BD5"/>
              <w:bottom w:val="single" w:sz="4" w:space="0" w:color="5B9BD5"/>
              <w:right w:val="single" w:sz="4" w:space="0" w:color="5B9BD5"/>
            </w:tcBorders>
            <w:shd w:val="clear" w:color="auto" w:fill="auto"/>
            <w:vAlign w:val="bottom"/>
            <w:hideMark/>
          </w:tcPr>
          <w:p w14:paraId="5864FF92" w14:textId="77777777" w:rsidR="007976CE" w:rsidRPr="00853EB9" w:rsidRDefault="007976CE" w:rsidP="007976CE">
            <w:pPr>
              <w:jc w:val="center"/>
              <w:rPr>
                <w:rFonts w:ascii="Calibri" w:hAnsi="Calibri" w:cs="Calibri"/>
                <w:color w:val="000000"/>
                <w:sz w:val="20"/>
                <w:szCs w:val="20"/>
              </w:rPr>
            </w:pPr>
            <w:r w:rsidRPr="00853EB9">
              <w:rPr>
                <w:rFonts w:ascii="Calibri" w:hAnsi="Calibri" w:cs="Calibri"/>
                <w:color w:val="000000"/>
                <w:sz w:val="20"/>
                <w:szCs w:val="20"/>
              </w:rPr>
              <w:t>-10</w:t>
            </w:r>
          </w:p>
        </w:tc>
        <w:tc>
          <w:tcPr>
            <w:tcW w:w="1017" w:type="dxa"/>
            <w:tcBorders>
              <w:top w:val="single" w:sz="4" w:space="0" w:color="5B9BD5"/>
              <w:left w:val="nil"/>
              <w:bottom w:val="single" w:sz="4" w:space="0" w:color="5B9BD5"/>
              <w:right w:val="single" w:sz="4" w:space="0" w:color="5B9BD5"/>
            </w:tcBorders>
            <w:shd w:val="clear" w:color="auto" w:fill="auto"/>
            <w:vAlign w:val="bottom"/>
            <w:hideMark/>
          </w:tcPr>
          <w:p w14:paraId="35AD6B84" w14:textId="77777777" w:rsidR="007976CE" w:rsidRPr="00853EB9" w:rsidRDefault="007976CE" w:rsidP="007976CE">
            <w:pPr>
              <w:jc w:val="center"/>
              <w:rPr>
                <w:rFonts w:ascii="Calibri" w:hAnsi="Calibri" w:cs="Calibri"/>
                <w:color w:val="000000"/>
                <w:sz w:val="20"/>
                <w:szCs w:val="20"/>
              </w:rPr>
            </w:pPr>
            <w:r w:rsidRPr="00853EB9">
              <w:rPr>
                <w:rFonts w:ascii="Calibri" w:hAnsi="Calibri" w:cs="Calibri"/>
                <w:color w:val="000000"/>
                <w:sz w:val="20"/>
                <w:szCs w:val="20"/>
              </w:rPr>
              <w:t>-7.8%</w:t>
            </w:r>
          </w:p>
        </w:tc>
      </w:tr>
      <w:tr w:rsidR="007976CE" w:rsidRPr="00853EB9" w14:paraId="2B8D0622" w14:textId="77777777" w:rsidTr="007976CE">
        <w:trPr>
          <w:trHeight w:val="246"/>
        </w:trPr>
        <w:tc>
          <w:tcPr>
            <w:tcW w:w="3870" w:type="dxa"/>
            <w:tcBorders>
              <w:top w:val="nil"/>
              <w:left w:val="single" w:sz="4" w:space="0" w:color="5B9BD5"/>
              <w:bottom w:val="single" w:sz="4" w:space="0" w:color="5B9BD5"/>
              <w:right w:val="nil"/>
            </w:tcBorders>
            <w:shd w:val="clear" w:color="auto" w:fill="auto"/>
            <w:vAlign w:val="bottom"/>
            <w:hideMark/>
          </w:tcPr>
          <w:p w14:paraId="4F30A7A2" w14:textId="77777777" w:rsidR="007976CE" w:rsidRPr="00853EB9" w:rsidRDefault="007976CE" w:rsidP="007976CE">
            <w:pPr>
              <w:jc w:val="center"/>
              <w:rPr>
                <w:rFonts w:ascii="Calibri" w:hAnsi="Calibri" w:cs="Calibri"/>
                <w:color w:val="000000"/>
                <w:sz w:val="20"/>
                <w:szCs w:val="20"/>
              </w:rPr>
            </w:pPr>
            <w:r w:rsidRPr="00853EB9">
              <w:rPr>
                <w:rFonts w:ascii="Calibri" w:hAnsi="Calibri" w:cs="Calibri"/>
                <w:color w:val="000000"/>
                <w:sz w:val="20"/>
                <w:szCs w:val="20"/>
              </w:rPr>
              <w:t>Verë Import</w:t>
            </w:r>
          </w:p>
        </w:tc>
        <w:tc>
          <w:tcPr>
            <w:tcW w:w="1093" w:type="dxa"/>
            <w:tcBorders>
              <w:top w:val="nil"/>
              <w:left w:val="single" w:sz="4" w:space="0" w:color="5B9BD5"/>
              <w:bottom w:val="single" w:sz="4" w:space="0" w:color="5B9BD5"/>
              <w:right w:val="single" w:sz="4" w:space="0" w:color="5B9BD5"/>
            </w:tcBorders>
            <w:shd w:val="clear" w:color="auto" w:fill="auto"/>
            <w:vAlign w:val="bottom"/>
            <w:hideMark/>
          </w:tcPr>
          <w:p w14:paraId="189BDDE7" w14:textId="77777777" w:rsidR="007976CE" w:rsidRPr="00853EB9" w:rsidRDefault="007976CE" w:rsidP="007976CE">
            <w:pPr>
              <w:jc w:val="center"/>
              <w:rPr>
                <w:rFonts w:ascii="Calibri" w:hAnsi="Calibri" w:cs="Calibri"/>
                <w:i/>
                <w:iCs/>
                <w:color w:val="000000"/>
                <w:sz w:val="20"/>
                <w:szCs w:val="20"/>
              </w:rPr>
            </w:pPr>
            <w:r w:rsidRPr="00853EB9">
              <w:rPr>
                <w:rFonts w:ascii="Calibri" w:hAnsi="Calibri" w:cs="Calibri"/>
                <w:i/>
                <w:iCs/>
                <w:color w:val="000000"/>
                <w:sz w:val="20"/>
                <w:szCs w:val="20"/>
              </w:rPr>
              <w:t>Mije lit</w:t>
            </w:r>
          </w:p>
        </w:tc>
        <w:tc>
          <w:tcPr>
            <w:tcW w:w="1074" w:type="dxa"/>
            <w:tcBorders>
              <w:top w:val="nil"/>
              <w:left w:val="nil"/>
              <w:bottom w:val="single" w:sz="4" w:space="0" w:color="5B9BD5"/>
              <w:right w:val="single" w:sz="4" w:space="0" w:color="5B9BD5"/>
            </w:tcBorders>
            <w:shd w:val="clear" w:color="auto" w:fill="auto"/>
            <w:vAlign w:val="bottom"/>
            <w:hideMark/>
          </w:tcPr>
          <w:p w14:paraId="2E9C978C" w14:textId="77777777" w:rsidR="007976CE" w:rsidRPr="00853EB9" w:rsidRDefault="007976CE" w:rsidP="007976CE">
            <w:pPr>
              <w:jc w:val="center"/>
              <w:rPr>
                <w:rFonts w:ascii="Calibri" w:hAnsi="Calibri" w:cs="Calibri"/>
                <w:color w:val="000000"/>
                <w:sz w:val="20"/>
                <w:szCs w:val="20"/>
              </w:rPr>
            </w:pPr>
            <w:r w:rsidRPr="00853EB9">
              <w:rPr>
                <w:rFonts w:ascii="Calibri" w:hAnsi="Calibri" w:cs="Calibri"/>
                <w:color w:val="000000"/>
                <w:sz w:val="20"/>
                <w:szCs w:val="20"/>
              </w:rPr>
              <w:t>-20</w:t>
            </w:r>
          </w:p>
        </w:tc>
        <w:tc>
          <w:tcPr>
            <w:tcW w:w="1231" w:type="dxa"/>
            <w:tcBorders>
              <w:top w:val="nil"/>
              <w:left w:val="nil"/>
              <w:bottom w:val="single" w:sz="4" w:space="0" w:color="5B9BD5"/>
              <w:right w:val="nil"/>
            </w:tcBorders>
            <w:shd w:val="clear" w:color="auto" w:fill="auto"/>
            <w:vAlign w:val="bottom"/>
            <w:hideMark/>
          </w:tcPr>
          <w:p w14:paraId="486EAB47" w14:textId="77777777" w:rsidR="007976CE" w:rsidRPr="00853EB9" w:rsidRDefault="007976CE" w:rsidP="007976CE">
            <w:pPr>
              <w:jc w:val="center"/>
              <w:rPr>
                <w:rFonts w:ascii="Calibri" w:hAnsi="Calibri" w:cs="Calibri"/>
                <w:color w:val="000000"/>
                <w:sz w:val="20"/>
                <w:szCs w:val="20"/>
              </w:rPr>
            </w:pPr>
            <w:r w:rsidRPr="00853EB9">
              <w:rPr>
                <w:rFonts w:ascii="Calibri" w:hAnsi="Calibri" w:cs="Calibri"/>
                <w:color w:val="000000"/>
                <w:sz w:val="20"/>
                <w:szCs w:val="20"/>
              </w:rPr>
              <w:t>-0.8%</w:t>
            </w:r>
          </w:p>
        </w:tc>
        <w:tc>
          <w:tcPr>
            <w:tcW w:w="1329" w:type="dxa"/>
            <w:tcBorders>
              <w:top w:val="nil"/>
              <w:left w:val="single" w:sz="4" w:space="0" w:color="5B9BD5"/>
              <w:bottom w:val="single" w:sz="4" w:space="0" w:color="5B9BD5"/>
              <w:right w:val="single" w:sz="4" w:space="0" w:color="5B9BD5"/>
            </w:tcBorders>
            <w:shd w:val="clear" w:color="auto" w:fill="auto"/>
            <w:vAlign w:val="bottom"/>
            <w:hideMark/>
          </w:tcPr>
          <w:p w14:paraId="58AD9F54" w14:textId="77777777" w:rsidR="007976CE" w:rsidRPr="00853EB9" w:rsidRDefault="007976CE" w:rsidP="007976CE">
            <w:pPr>
              <w:jc w:val="center"/>
              <w:rPr>
                <w:rFonts w:ascii="Calibri" w:hAnsi="Calibri" w:cs="Calibri"/>
                <w:color w:val="000000"/>
                <w:sz w:val="20"/>
                <w:szCs w:val="20"/>
              </w:rPr>
            </w:pPr>
            <w:r w:rsidRPr="00853EB9">
              <w:rPr>
                <w:rFonts w:ascii="Calibri" w:hAnsi="Calibri" w:cs="Calibri"/>
                <w:color w:val="000000"/>
                <w:sz w:val="20"/>
                <w:szCs w:val="20"/>
              </w:rPr>
              <w:t>-7</w:t>
            </w:r>
          </w:p>
        </w:tc>
        <w:tc>
          <w:tcPr>
            <w:tcW w:w="1017" w:type="dxa"/>
            <w:tcBorders>
              <w:top w:val="nil"/>
              <w:left w:val="nil"/>
              <w:bottom w:val="single" w:sz="4" w:space="0" w:color="5B9BD5"/>
              <w:right w:val="single" w:sz="4" w:space="0" w:color="5B9BD5"/>
            </w:tcBorders>
            <w:shd w:val="clear" w:color="auto" w:fill="auto"/>
            <w:vAlign w:val="bottom"/>
            <w:hideMark/>
          </w:tcPr>
          <w:p w14:paraId="17C63FDF" w14:textId="77777777" w:rsidR="007976CE" w:rsidRPr="00853EB9" w:rsidRDefault="007976CE" w:rsidP="007976CE">
            <w:pPr>
              <w:jc w:val="center"/>
              <w:rPr>
                <w:rFonts w:ascii="Calibri" w:hAnsi="Calibri" w:cs="Calibri"/>
                <w:color w:val="000000"/>
                <w:sz w:val="20"/>
                <w:szCs w:val="20"/>
              </w:rPr>
            </w:pPr>
            <w:r w:rsidRPr="00853EB9">
              <w:rPr>
                <w:rFonts w:ascii="Calibri" w:hAnsi="Calibri" w:cs="Calibri"/>
                <w:color w:val="000000"/>
                <w:sz w:val="20"/>
                <w:szCs w:val="20"/>
              </w:rPr>
              <w:t>-4.6%</w:t>
            </w:r>
          </w:p>
        </w:tc>
      </w:tr>
      <w:tr w:rsidR="007976CE" w:rsidRPr="00853EB9" w14:paraId="6142C0E4" w14:textId="77777777" w:rsidTr="007976CE">
        <w:trPr>
          <w:trHeight w:val="246"/>
        </w:trPr>
        <w:tc>
          <w:tcPr>
            <w:tcW w:w="3870" w:type="dxa"/>
            <w:tcBorders>
              <w:top w:val="nil"/>
              <w:left w:val="single" w:sz="4" w:space="0" w:color="5B9BD5"/>
              <w:bottom w:val="single" w:sz="4" w:space="0" w:color="5B9BD5"/>
              <w:right w:val="nil"/>
            </w:tcBorders>
            <w:shd w:val="clear" w:color="auto" w:fill="auto"/>
            <w:vAlign w:val="bottom"/>
            <w:hideMark/>
          </w:tcPr>
          <w:p w14:paraId="5C312210" w14:textId="77777777" w:rsidR="007976CE" w:rsidRPr="00853EB9" w:rsidRDefault="007976CE" w:rsidP="007976CE">
            <w:pPr>
              <w:jc w:val="center"/>
              <w:rPr>
                <w:rFonts w:ascii="Calibri" w:hAnsi="Calibri" w:cs="Calibri"/>
                <w:b/>
                <w:bCs/>
                <w:color w:val="000000"/>
                <w:sz w:val="20"/>
                <w:szCs w:val="20"/>
              </w:rPr>
            </w:pPr>
            <w:r w:rsidRPr="00853EB9">
              <w:rPr>
                <w:rFonts w:ascii="Calibri" w:hAnsi="Calibri" w:cs="Calibri"/>
                <w:b/>
                <w:bCs/>
                <w:color w:val="000000"/>
                <w:sz w:val="20"/>
                <w:szCs w:val="20"/>
              </w:rPr>
              <w:t>Efekti</w:t>
            </w:r>
          </w:p>
        </w:tc>
        <w:tc>
          <w:tcPr>
            <w:tcW w:w="1093" w:type="dxa"/>
            <w:tcBorders>
              <w:top w:val="nil"/>
              <w:left w:val="nil"/>
              <w:bottom w:val="single" w:sz="4" w:space="0" w:color="5B9BD5"/>
              <w:right w:val="nil"/>
            </w:tcBorders>
            <w:shd w:val="clear" w:color="auto" w:fill="auto"/>
            <w:vAlign w:val="bottom"/>
            <w:hideMark/>
          </w:tcPr>
          <w:p w14:paraId="63F4A63D" w14:textId="77777777" w:rsidR="007976CE" w:rsidRPr="00853EB9" w:rsidRDefault="007976CE" w:rsidP="007976CE">
            <w:pPr>
              <w:jc w:val="center"/>
              <w:rPr>
                <w:rFonts w:ascii="Calibri" w:hAnsi="Calibri" w:cs="Calibri"/>
                <w:b/>
                <w:bCs/>
                <w:i/>
                <w:iCs/>
                <w:color w:val="000000"/>
                <w:sz w:val="20"/>
                <w:szCs w:val="20"/>
              </w:rPr>
            </w:pPr>
          </w:p>
        </w:tc>
        <w:tc>
          <w:tcPr>
            <w:tcW w:w="1074" w:type="dxa"/>
            <w:tcBorders>
              <w:top w:val="nil"/>
              <w:left w:val="nil"/>
              <w:bottom w:val="single" w:sz="4" w:space="0" w:color="5B9BD5"/>
              <w:right w:val="nil"/>
            </w:tcBorders>
            <w:shd w:val="clear" w:color="auto" w:fill="auto"/>
            <w:vAlign w:val="bottom"/>
            <w:hideMark/>
          </w:tcPr>
          <w:p w14:paraId="3B9A579D" w14:textId="77777777" w:rsidR="007976CE" w:rsidRPr="00853EB9" w:rsidRDefault="007976CE" w:rsidP="007976CE">
            <w:pPr>
              <w:jc w:val="center"/>
              <w:rPr>
                <w:rFonts w:ascii="Calibri" w:hAnsi="Calibri" w:cs="Calibri"/>
                <w:color w:val="000000"/>
                <w:sz w:val="20"/>
                <w:szCs w:val="20"/>
              </w:rPr>
            </w:pPr>
          </w:p>
        </w:tc>
        <w:tc>
          <w:tcPr>
            <w:tcW w:w="1231" w:type="dxa"/>
            <w:tcBorders>
              <w:top w:val="nil"/>
              <w:left w:val="nil"/>
              <w:bottom w:val="single" w:sz="4" w:space="0" w:color="5B9BD5"/>
              <w:right w:val="nil"/>
            </w:tcBorders>
            <w:shd w:val="clear" w:color="auto" w:fill="auto"/>
            <w:vAlign w:val="bottom"/>
            <w:hideMark/>
          </w:tcPr>
          <w:p w14:paraId="2B1FF9A1" w14:textId="77777777" w:rsidR="007976CE" w:rsidRPr="00853EB9" w:rsidRDefault="007976CE" w:rsidP="007976CE">
            <w:pPr>
              <w:jc w:val="center"/>
              <w:rPr>
                <w:rFonts w:ascii="Calibri" w:hAnsi="Calibri" w:cs="Calibri"/>
                <w:color w:val="000000"/>
                <w:sz w:val="20"/>
                <w:szCs w:val="20"/>
              </w:rPr>
            </w:pPr>
          </w:p>
        </w:tc>
        <w:tc>
          <w:tcPr>
            <w:tcW w:w="1329" w:type="dxa"/>
            <w:tcBorders>
              <w:top w:val="nil"/>
              <w:left w:val="single" w:sz="4" w:space="0" w:color="5B9BD5"/>
              <w:bottom w:val="single" w:sz="4" w:space="0" w:color="5B9BD5"/>
              <w:right w:val="single" w:sz="4" w:space="0" w:color="5B9BD5"/>
            </w:tcBorders>
            <w:shd w:val="clear" w:color="auto" w:fill="auto"/>
            <w:vAlign w:val="bottom"/>
            <w:hideMark/>
          </w:tcPr>
          <w:p w14:paraId="04B855EE" w14:textId="77777777" w:rsidR="007976CE" w:rsidRPr="00853EB9" w:rsidRDefault="007976CE" w:rsidP="007976CE">
            <w:pPr>
              <w:jc w:val="center"/>
              <w:rPr>
                <w:rFonts w:ascii="Calibri" w:hAnsi="Calibri" w:cs="Calibri"/>
                <w:b/>
                <w:bCs/>
                <w:color w:val="000000"/>
                <w:sz w:val="20"/>
                <w:szCs w:val="20"/>
              </w:rPr>
            </w:pPr>
            <w:r w:rsidRPr="00853EB9">
              <w:rPr>
                <w:rFonts w:ascii="Calibri" w:hAnsi="Calibri" w:cs="Calibri"/>
                <w:b/>
                <w:bCs/>
                <w:color w:val="000000"/>
                <w:sz w:val="20"/>
                <w:szCs w:val="20"/>
              </w:rPr>
              <w:t>-45</w:t>
            </w:r>
          </w:p>
        </w:tc>
        <w:tc>
          <w:tcPr>
            <w:tcW w:w="1017" w:type="dxa"/>
            <w:tcBorders>
              <w:top w:val="nil"/>
              <w:left w:val="nil"/>
              <w:bottom w:val="single" w:sz="4" w:space="0" w:color="5B9BD5"/>
              <w:right w:val="single" w:sz="4" w:space="0" w:color="5B9BD5"/>
            </w:tcBorders>
            <w:shd w:val="clear" w:color="auto" w:fill="auto"/>
            <w:vAlign w:val="bottom"/>
            <w:hideMark/>
          </w:tcPr>
          <w:p w14:paraId="2EC54708" w14:textId="77777777" w:rsidR="007976CE" w:rsidRPr="00853EB9" w:rsidRDefault="007976CE" w:rsidP="007976CE">
            <w:pPr>
              <w:jc w:val="center"/>
              <w:rPr>
                <w:rFonts w:ascii="Calibri" w:hAnsi="Calibri" w:cs="Calibri"/>
                <w:color w:val="000000"/>
                <w:sz w:val="20"/>
                <w:szCs w:val="20"/>
              </w:rPr>
            </w:pPr>
          </w:p>
        </w:tc>
      </w:tr>
    </w:tbl>
    <w:p w14:paraId="58EED380" w14:textId="77777777" w:rsidR="0034657E" w:rsidRPr="004E355C" w:rsidRDefault="00193978" w:rsidP="0034657E">
      <w:pPr>
        <w:spacing w:line="276" w:lineRule="auto"/>
        <w:jc w:val="both"/>
        <w:rPr>
          <w:rFonts w:asciiTheme="minorHAnsi" w:hAnsiTheme="minorHAnsi"/>
          <w:sz w:val="20"/>
          <w:szCs w:val="20"/>
          <w:lang w:val="sq-AL"/>
        </w:rPr>
      </w:pPr>
      <w:r>
        <w:rPr>
          <w:rFonts w:asciiTheme="minorHAnsi" w:hAnsiTheme="minorHAnsi"/>
          <w:sz w:val="20"/>
          <w:szCs w:val="20"/>
          <w:lang w:val="sq-AL"/>
        </w:rPr>
        <w:t>Burimi: Ministria e Financave dhe Ekonomisë (2023)</w:t>
      </w:r>
    </w:p>
    <w:p w14:paraId="5D34CC2F" w14:textId="77777777" w:rsidR="0034657E" w:rsidRDefault="007976CE" w:rsidP="007976CE">
      <w:pPr>
        <w:tabs>
          <w:tab w:val="left" w:pos="2511"/>
          <w:tab w:val="center" w:pos="4680"/>
        </w:tabs>
        <w:spacing w:before="120" w:line="276" w:lineRule="auto"/>
        <w:jc w:val="both"/>
        <w:rPr>
          <w:rFonts w:asciiTheme="minorHAnsi" w:hAnsiTheme="minorHAnsi"/>
          <w:iCs/>
          <w:color w:val="000000" w:themeColor="text1"/>
          <w:lang w:val="sq-AL"/>
        </w:rPr>
      </w:pPr>
      <w:r w:rsidRPr="00853EB9">
        <w:rPr>
          <w:rFonts w:asciiTheme="minorHAnsi" w:hAnsiTheme="minorHAnsi" w:cstheme="minorHAnsi"/>
          <w:i/>
        </w:rPr>
        <w:t>Të ardhurat nga TVSH-ja në import</w:t>
      </w:r>
      <w:r w:rsidRPr="00853EB9">
        <w:rPr>
          <w:rFonts w:asciiTheme="minorHAnsi" w:hAnsiTheme="minorHAnsi" w:cstheme="minorHAnsi"/>
        </w:rPr>
        <w:t xml:space="preserve"> janë realizuar në vlerën 58.2 miliardë lekë, 1.9% ose 1.1</w:t>
      </w:r>
      <w:r>
        <w:rPr>
          <w:rFonts w:asciiTheme="minorHAnsi" w:hAnsiTheme="minorHAnsi" w:cstheme="minorHAnsi"/>
        </w:rPr>
        <w:t xml:space="preserve">mld </w:t>
      </w:r>
      <w:r w:rsidRPr="00853EB9">
        <w:rPr>
          <w:rFonts w:asciiTheme="minorHAnsi" w:hAnsiTheme="minorHAnsi" w:cstheme="minorHAnsi"/>
        </w:rPr>
        <w:t>lekë më pak se 5</w:t>
      </w:r>
      <w:r>
        <w:rPr>
          <w:rFonts w:asciiTheme="minorHAnsi" w:hAnsiTheme="minorHAnsi" w:cstheme="minorHAnsi"/>
        </w:rPr>
        <w:t>M</w:t>
      </w:r>
      <w:r w:rsidRPr="00853EB9">
        <w:rPr>
          <w:rFonts w:asciiTheme="minorHAnsi" w:hAnsiTheme="minorHAnsi" w:cstheme="minorHAnsi"/>
        </w:rPr>
        <w:t xml:space="preserve"> 2022, 0.3% ose 178 milionë lekë më shumë se plani. Gjate 5</w:t>
      </w:r>
      <w:r>
        <w:rPr>
          <w:rFonts w:asciiTheme="minorHAnsi" w:hAnsiTheme="minorHAnsi" w:cstheme="minorHAnsi"/>
        </w:rPr>
        <w:t>M</w:t>
      </w:r>
      <w:r w:rsidRPr="00853EB9">
        <w:rPr>
          <w:rFonts w:asciiTheme="minorHAnsi" w:hAnsiTheme="minorHAnsi" w:cstheme="minorHAnsi"/>
        </w:rPr>
        <w:t xml:space="preserve"> 2023 rënia e Energjisë Elektrike  në -273,253 </w:t>
      </w:r>
      <w:r>
        <w:rPr>
          <w:rFonts w:asciiTheme="minorHAnsi" w:hAnsiTheme="minorHAnsi" w:cstheme="minorHAnsi"/>
        </w:rPr>
        <w:t>M</w:t>
      </w:r>
      <w:r w:rsidR="00683D76">
        <w:rPr>
          <w:rFonts w:asciiTheme="minorHAnsi" w:hAnsiTheme="minorHAnsi" w:cstheme="minorHAnsi"/>
        </w:rPr>
        <w:t>Ë</w:t>
      </w:r>
      <w:r>
        <w:rPr>
          <w:rFonts w:asciiTheme="minorHAnsi" w:hAnsiTheme="minorHAnsi" w:cstheme="minorHAnsi"/>
        </w:rPr>
        <w:t>/h</w:t>
      </w:r>
      <w:r w:rsidRPr="00853EB9">
        <w:rPr>
          <w:rFonts w:asciiTheme="minorHAnsi" w:hAnsiTheme="minorHAnsi" w:cstheme="minorHAnsi"/>
        </w:rPr>
        <w:t>, krahasuar me 2022 ka sjellë mungesë</w:t>
      </w:r>
      <w:r>
        <w:rPr>
          <w:rFonts w:asciiTheme="minorHAnsi" w:hAnsiTheme="minorHAnsi" w:cstheme="minorHAnsi"/>
        </w:rPr>
        <w:t xml:space="preserve"> </w:t>
      </w:r>
      <w:r w:rsidRPr="00853EB9">
        <w:rPr>
          <w:rFonts w:asciiTheme="minorHAnsi" w:hAnsiTheme="minorHAnsi" w:cstheme="minorHAnsi"/>
        </w:rPr>
        <w:t>-1,715 miliardë lekë në të ardhura për tvsh</w:t>
      </w:r>
      <w:r w:rsidRPr="00853EB9">
        <w:rPr>
          <w:rFonts w:asciiTheme="minorHAnsi" w:hAnsiTheme="minorHAnsi" w:cstheme="minorHAnsi"/>
          <w:color w:val="000000" w:themeColor="text1"/>
        </w:rPr>
        <w:t>. Grup-produktet me kontribut pozitiv në të ardhurat nga TVSH në import rezultuan: Automjeteve të përdorura, automjeteve të reja, detergjentë, parfumeri dhe ushqime të përgatitura. Energji elektrike, Metalet bazë dhe artikujt prej tyre, Karburant import, Dhjamra, vajra shtazore vegjetale dhe gaz i lëngshëm</w:t>
      </w:r>
      <w:r>
        <w:rPr>
          <w:rFonts w:asciiTheme="minorHAnsi" w:hAnsiTheme="minorHAnsi" w:cstheme="minorHAnsi"/>
          <w:color w:val="000000" w:themeColor="text1"/>
        </w:rPr>
        <w:t>,</w:t>
      </w:r>
      <w:r w:rsidRPr="00853EB9">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që </w:t>
      </w:r>
      <w:r w:rsidRPr="00853EB9">
        <w:rPr>
          <w:rFonts w:asciiTheme="minorHAnsi" w:hAnsiTheme="minorHAnsi" w:cstheme="minorHAnsi"/>
          <w:color w:val="000000" w:themeColor="text1"/>
        </w:rPr>
        <w:t>ka</w:t>
      </w:r>
      <w:r>
        <w:rPr>
          <w:rFonts w:asciiTheme="minorHAnsi" w:hAnsiTheme="minorHAnsi" w:cstheme="minorHAnsi"/>
          <w:color w:val="000000" w:themeColor="text1"/>
        </w:rPr>
        <w:t>në</w:t>
      </w:r>
      <w:r w:rsidRPr="00853EB9">
        <w:rPr>
          <w:rFonts w:asciiTheme="minorHAnsi" w:hAnsiTheme="minorHAnsi" w:cstheme="minorHAnsi"/>
          <w:color w:val="000000" w:themeColor="text1"/>
        </w:rPr>
        <w:t xml:space="preserve"> dhënë efektin kryesor negativ me</w:t>
      </w:r>
      <w:r>
        <w:rPr>
          <w:rFonts w:asciiTheme="minorHAnsi" w:hAnsiTheme="minorHAnsi" w:cstheme="minorHAnsi"/>
          <w:color w:val="000000" w:themeColor="text1"/>
        </w:rPr>
        <w:t xml:space="preserve"> </w:t>
      </w:r>
      <w:r w:rsidRPr="00853EB9">
        <w:rPr>
          <w:rFonts w:asciiTheme="minorHAnsi" w:hAnsiTheme="minorHAnsi" w:cstheme="minorHAnsi"/>
          <w:color w:val="000000" w:themeColor="text1"/>
        </w:rPr>
        <w:t>-3,610 miliardë lekë</w:t>
      </w:r>
      <w:r w:rsidR="0034657E" w:rsidRPr="00FF0225">
        <w:rPr>
          <w:rFonts w:asciiTheme="minorHAnsi" w:hAnsiTheme="minorHAnsi"/>
          <w:iCs/>
          <w:color w:val="000000" w:themeColor="text1"/>
          <w:lang w:val="sq-AL"/>
        </w:rPr>
        <w:t>.</w:t>
      </w:r>
    </w:p>
    <w:p w14:paraId="4D8A1C7D" w14:textId="77777777" w:rsidR="0034657E" w:rsidRPr="00B11317" w:rsidRDefault="0034657E" w:rsidP="00900B3D">
      <w:pPr>
        <w:tabs>
          <w:tab w:val="left" w:pos="2511"/>
          <w:tab w:val="center" w:pos="4680"/>
        </w:tabs>
        <w:spacing w:line="276" w:lineRule="auto"/>
        <w:jc w:val="both"/>
        <w:rPr>
          <w:rFonts w:asciiTheme="minorHAnsi" w:hAnsiTheme="minorHAnsi"/>
          <w:color w:val="000000" w:themeColor="text1"/>
          <w:sz w:val="4"/>
          <w:lang w:val="sq-AL"/>
        </w:rPr>
      </w:pPr>
    </w:p>
    <w:p w14:paraId="4673B316" w14:textId="3BC32600" w:rsidR="00F56B10" w:rsidRPr="00900B3D" w:rsidRDefault="00F56B10" w:rsidP="007976CE">
      <w:pPr>
        <w:pStyle w:val="Caption"/>
        <w:keepNext/>
        <w:spacing w:before="120" w:after="0"/>
        <w:jc w:val="both"/>
        <w:rPr>
          <w:rFonts w:asciiTheme="minorHAnsi" w:hAnsiTheme="minorHAnsi"/>
          <w:b w:val="0"/>
          <w:bCs w:val="0"/>
          <w:i/>
          <w:color w:val="auto"/>
          <w:sz w:val="22"/>
          <w:szCs w:val="24"/>
          <w:lang w:val="sq-AL"/>
        </w:rPr>
      </w:pPr>
      <w:bookmarkStart w:id="21" w:name="_Toc12449191"/>
      <w:bookmarkStart w:id="22" w:name="_Toc107496740"/>
      <w:r w:rsidRPr="00900B3D">
        <w:rPr>
          <w:rFonts w:asciiTheme="minorHAnsi" w:hAnsiTheme="minorHAnsi"/>
          <w:b w:val="0"/>
          <w:bCs w:val="0"/>
          <w:i/>
          <w:color w:val="auto"/>
          <w:sz w:val="22"/>
          <w:szCs w:val="24"/>
          <w:lang w:val="sq-AL"/>
        </w:rPr>
        <w:t xml:space="preserve">Tabela </w:t>
      </w:r>
      <w:r w:rsidRPr="00900B3D">
        <w:rPr>
          <w:rFonts w:asciiTheme="minorHAnsi" w:hAnsiTheme="minorHAnsi"/>
          <w:b w:val="0"/>
          <w:bCs w:val="0"/>
          <w:i/>
          <w:color w:val="auto"/>
          <w:sz w:val="22"/>
          <w:szCs w:val="24"/>
          <w:lang w:val="sq-AL"/>
        </w:rPr>
        <w:fldChar w:fldCharType="begin"/>
      </w:r>
      <w:r w:rsidRPr="00900B3D">
        <w:rPr>
          <w:rFonts w:asciiTheme="minorHAnsi" w:hAnsiTheme="minorHAnsi"/>
          <w:b w:val="0"/>
          <w:bCs w:val="0"/>
          <w:i/>
          <w:color w:val="auto"/>
          <w:sz w:val="22"/>
          <w:szCs w:val="24"/>
          <w:lang w:val="sq-AL"/>
        </w:rPr>
        <w:instrText xml:space="preserve"> SEQ Tabela \* ARABIC </w:instrText>
      </w:r>
      <w:r w:rsidRPr="00900B3D">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4</w:t>
      </w:r>
      <w:r w:rsidRPr="00900B3D">
        <w:rPr>
          <w:rFonts w:asciiTheme="minorHAnsi" w:hAnsiTheme="minorHAnsi"/>
          <w:b w:val="0"/>
          <w:bCs w:val="0"/>
          <w:i/>
          <w:color w:val="auto"/>
          <w:sz w:val="22"/>
          <w:szCs w:val="24"/>
          <w:lang w:val="sq-AL"/>
        </w:rPr>
        <w:fldChar w:fldCharType="end"/>
      </w:r>
      <w:r w:rsidRPr="00900B3D">
        <w:rPr>
          <w:rFonts w:asciiTheme="minorHAnsi" w:hAnsiTheme="minorHAnsi"/>
          <w:b w:val="0"/>
          <w:bCs w:val="0"/>
          <w:i/>
          <w:color w:val="auto"/>
          <w:sz w:val="22"/>
          <w:szCs w:val="24"/>
          <w:lang w:val="sq-AL"/>
        </w:rPr>
        <w:t>: Kontribuesit pozitivë në të ardhurat ng</w:t>
      </w:r>
      <w:r>
        <w:rPr>
          <w:rFonts w:asciiTheme="minorHAnsi" w:hAnsiTheme="minorHAnsi"/>
          <w:b w:val="0"/>
          <w:bCs w:val="0"/>
          <w:i/>
          <w:color w:val="auto"/>
          <w:sz w:val="22"/>
          <w:szCs w:val="24"/>
          <w:lang w:val="sq-AL"/>
        </w:rPr>
        <w:t>a TVSH/Diferencat Janar-Maj 202</w:t>
      </w:r>
      <w:r w:rsidR="007976CE">
        <w:rPr>
          <w:rFonts w:asciiTheme="minorHAnsi" w:hAnsiTheme="minorHAnsi"/>
          <w:b w:val="0"/>
          <w:bCs w:val="0"/>
          <w:i/>
          <w:color w:val="auto"/>
          <w:sz w:val="22"/>
          <w:szCs w:val="24"/>
          <w:lang w:val="sq-AL"/>
        </w:rPr>
        <w:t>3</w:t>
      </w:r>
      <w:r w:rsidRPr="00900B3D">
        <w:rPr>
          <w:rFonts w:asciiTheme="minorHAnsi" w:hAnsiTheme="minorHAnsi"/>
          <w:b w:val="0"/>
          <w:bCs w:val="0"/>
          <w:i/>
          <w:color w:val="auto"/>
          <w:sz w:val="22"/>
          <w:szCs w:val="24"/>
          <w:lang w:val="sq-AL"/>
        </w:rPr>
        <w:t>/20</w:t>
      </w:r>
      <w:bookmarkEnd w:id="21"/>
      <w:r w:rsidRPr="00900B3D">
        <w:rPr>
          <w:rFonts w:asciiTheme="minorHAnsi" w:hAnsiTheme="minorHAnsi"/>
          <w:b w:val="0"/>
          <w:bCs w:val="0"/>
          <w:i/>
          <w:color w:val="auto"/>
          <w:sz w:val="22"/>
          <w:szCs w:val="24"/>
          <w:lang w:val="sq-AL"/>
        </w:rPr>
        <w:t>2</w:t>
      </w:r>
      <w:bookmarkEnd w:id="22"/>
      <w:r w:rsidR="007976CE">
        <w:rPr>
          <w:rFonts w:asciiTheme="minorHAnsi" w:hAnsiTheme="minorHAnsi"/>
          <w:b w:val="0"/>
          <w:bCs w:val="0"/>
          <w:i/>
          <w:color w:val="auto"/>
          <w:sz w:val="22"/>
          <w:szCs w:val="24"/>
          <w:lang w:val="sq-AL"/>
        </w:rPr>
        <w:t>2</w:t>
      </w:r>
    </w:p>
    <w:tbl>
      <w:tblPr>
        <w:tblStyle w:val="ListTable3-Accent52"/>
        <w:tblW w:w="9404" w:type="dxa"/>
        <w:jc w:val="center"/>
        <w:tblLook w:val="04A0" w:firstRow="1" w:lastRow="0" w:firstColumn="1" w:lastColumn="0" w:noHBand="0" w:noVBand="1"/>
      </w:tblPr>
      <w:tblGrid>
        <w:gridCol w:w="3880"/>
        <w:gridCol w:w="1154"/>
        <w:gridCol w:w="1188"/>
        <w:gridCol w:w="753"/>
        <w:gridCol w:w="1676"/>
        <w:gridCol w:w="753"/>
      </w:tblGrid>
      <w:tr w:rsidR="007976CE" w:rsidRPr="00853EB9" w14:paraId="21275ACA" w14:textId="77777777" w:rsidTr="007976CE">
        <w:trPr>
          <w:cnfStyle w:val="100000000000" w:firstRow="1" w:lastRow="0" w:firstColumn="0" w:lastColumn="0" w:oddVBand="0" w:evenVBand="0" w:oddHBand="0" w:evenHBand="0" w:firstRowFirstColumn="0" w:firstRowLastColumn="0" w:lastRowFirstColumn="0" w:lastRowLastColumn="0"/>
          <w:trHeight w:val="323"/>
          <w:jc w:val="center"/>
        </w:trPr>
        <w:tc>
          <w:tcPr>
            <w:cnfStyle w:val="001000000100" w:firstRow="0" w:lastRow="0" w:firstColumn="1" w:lastColumn="0" w:oddVBand="0" w:evenVBand="0" w:oddHBand="0" w:evenHBand="0" w:firstRowFirstColumn="1" w:firstRowLastColumn="0" w:lastRowFirstColumn="0" w:lastRowLastColumn="0"/>
            <w:tcW w:w="9404" w:type="dxa"/>
            <w:gridSpan w:val="6"/>
            <w:hideMark/>
          </w:tcPr>
          <w:p w14:paraId="5FAA3E5D" w14:textId="77777777" w:rsidR="007976CE" w:rsidRPr="00853EB9" w:rsidRDefault="007976CE" w:rsidP="007976CE">
            <w:pPr>
              <w:jc w:val="center"/>
              <w:rPr>
                <w:rFonts w:asciiTheme="minorHAnsi" w:hAnsiTheme="minorHAnsi" w:cstheme="minorHAnsi"/>
                <w:color w:val="auto"/>
                <w:sz w:val="18"/>
                <w:szCs w:val="18"/>
              </w:rPr>
            </w:pPr>
            <w:r w:rsidRPr="00853EB9">
              <w:rPr>
                <w:rFonts w:asciiTheme="minorHAnsi" w:hAnsiTheme="minorHAnsi" w:cstheme="minorHAnsi"/>
                <w:color w:val="auto"/>
                <w:sz w:val="20"/>
                <w:szCs w:val="18"/>
              </w:rPr>
              <w:t>Produktet me kontribut pozitiv</w:t>
            </w:r>
          </w:p>
        </w:tc>
      </w:tr>
      <w:tr w:rsidR="007976CE" w:rsidRPr="00853EB9" w14:paraId="611D69CF" w14:textId="77777777" w:rsidTr="007976CE">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3880" w:type="dxa"/>
            <w:hideMark/>
          </w:tcPr>
          <w:p w14:paraId="7DD2CB86" w14:textId="77777777" w:rsidR="007976CE" w:rsidRPr="00853EB9" w:rsidRDefault="007976CE" w:rsidP="007976CE">
            <w:pPr>
              <w:rPr>
                <w:rFonts w:asciiTheme="minorHAnsi" w:hAnsiTheme="minorHAnsi" w:cstheme="minorHAnsi"/>
                <w:b w:val="0"/>
                <w:bCs w:val="0"/>
                <w:sz w:val="18"/>
                <w:szCs w:val="18"/>
              </w:rPr>
            </w:pPr>
            <w:r w:rsidRPr="00853EB9">
              <w:rPr>
                <w:rFonts w:asciiTheme="minorHAnsi" w:hAnsiTheme="minorHAnsi" w:cstheme="minorHAnsi"/>
                <w:sz w:val="18"/>
                <w:szCs w:val="18"/>
              </w:rPr>
              <w:t> </w:t>
            </w:r>
          </w:p>
        </w:tc>
        <w:tc>
          <w:tcPr>
            <w:tcW w:w="1154" w:type="dxa"/>
            <w:hideMark/>
          </w:tcPr>
          <w:p w14:paraId="1AD6D336" w14:textId="77777777" w:rsidR="007976CE" w:rsidRPr="00853EB9" w:rsidRDefault="007976CE" w:rsidP="00797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853EB9">
              <w:rPr>
                <w:rFonts w:asciiTheme="minorHAnsi" w:hAnsiTheme="minorHAnsi" w:cstheme="minorHAnsi"/>
                <w:b/>
                <w:bCs/>
                <w:sz w:val="18"/>
                <w:szCs w:val="18"/>
              </w:rPr>
              <w:t>Njësia</w:t>
            </w:r>
          </w:p>
        </w:tc>
        <w:tc>
          <w:tcPr>
            <w:tcW w:w="1188" w:type="dxa"/>
            <w:hideMark/>
          </w:tcPr>
          <w:p w14:paraId="3E717816" w14:textId="77777777" w:rsidR="007976CE" w:rsidRPr="00853EB9" w:rsidRDefault="007976CE" w:rsidP="00797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853EB9">
              <w:rPr>
                <w:rFonts w:asciiTheme="minorHAnsi" w:hAnsiTheme="minorHAnsi" w:cstheme="minorHAnsi"/>
                <w:b/>
                <w:bCs/>
                <w:sz w:val="18"/>
                <w:szCs w:val="18"/>
              </w:rPr>
              <w:t>Sasi</w:t>
            </w:r>
          </w:p>
        </w:tc>
        <w:tc>
          <w:tcPr>
            <w:tcW w:w="753" w:type="dxa"/>
            <w:hideMark/>
          </w:tcPr>
          <w:p w14:paraId="2218CA0C" w14:textId="77777777" w:rsidR="007976CE" w:rsidRPr="00853EB9" w:rsidRDefault="007976CE" w:rsidP="00797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853EB9">
              <w:rPr>
                <w:rFonts w:asciiTheme="minorHAnsi" w:hAnsiTheme="minorHAnsi" w:cstheme="minorHAnsi"/>
                <w:b/>
                <w:bCs/>
                <w:sz w:val="18"/>
                <w:szCs w:val="18"/>
              </w:rPr>
              <w:t>%</w:t>
            </w:r>
          </w:p>
        </w:tc>
        <w:tc>
          <w:tcPr>
            <w:tcW w:w="1676" w:type="dxa"/>
            <w:hideMark/>
          </w:tcPr>
          <w:p w14:paraId="2C0BF0F9" w14:textId="77777777" w:rsidR="007976CE" w:rsidRPr="00853EB9" w:rsidRDefault="007976CE" w:rsidP="00797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853EB9">
              <w:rPr>
                <w:rFonts w:asciiTheme="minorHAnsi" w:hAnsiTheme="minorHAnsi" w:cstheme="minorHAnsi"/>
                <w:b/>
                <w:bCs/>
                <w:sz w:val="18"/>
                <w:szCs w:val="18"/>
              </w:rPr>
              <w:t>TVSH/milionë lekë</w:t>
            </w:r>
          </w:p>
        </w:tc>
        <w:tc>
          <w:tcPr>
            <w:tcW w:w="753" w:type="dxa"/>
            <w:hideMark/>
          </w:tcPr>
          <w:p w14:paraId="6128464A" w14:textId="77777777" w:rsidR="007976CE" w:rsidRPr="00853EB9" w:rsidRDefault="007976CE" w:rsidP="00797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853EB9">
              <w:rPr>
                <w:rFonts w:asciiTheme="minorHAnsi" w:hAnsiTheme="minorHAnsi" w:cstheme="minorHAnsi"/>
                <w:b/>
                <w:bCs/>
                <w:sz w:val="18"/>
                <w:szCs w:val="18"/>
              </w:rPr>
              <w:t>%</w:t>
            </w:r>
          </w:p>
        </w:tc>
      </w:tr>
      <w:tr w:rsidR="007976CE" w:rsidRPr="00853EB9" w14:paraId="44240233" w14:textId="77777777" w:rsidTr="007976CE">
        <w:trPr>
          <w:trHeight w:val="151"/>
          <w:jc w:val="center"/>
        </w:trPr>
        <w:tc>
          <w:tcPr>
            <w:cnfStyle w:val="001000000000" w:firstRow="0" w:lastRow="0" w:firstColumn="1" w:lastColumn="0" w:oddVBand="0" w:evenVBand="0" w:oddHBand="0" w:evenHBand="0" w:firstRowFirstColumn="0" w:firstRowLastColumn="0" w:lastRowFirstColumn="0" w:lastRowLastColumn="0"/>
            <w:tcW w:w="3880" w:type="dxa"/>
            <w:hideMark/>
          </w:tcPr>
          <w:p w14:paraId="40711DBD" w14:textId="77777777" w:rsidR="007976CE" w:rsidRPr="00853EB9" w:rsidRDefault="007976CE" w:rsidP="007976CE">
            <w:pPr>
              <w:pStyle w:val="NormalWeb"/>
              <w:spacing w:before="0" w:beforeAutospacing="0" w:after="0" w:afterAutospacing="0"/>
              <w:jc w:val="center"/>
              <w:textAlignment w:val="bottom"/>
              <w:rPr>
                <w:rFonts w:asciiTheme="minorHAnsi" w:hAnsiTheme="minorHAnsi" w:cstheme="minorHAnsi"/>
                <w:b w:val="0"/>
                <w:sz w:val="18"/>
                <w:szCs w:val="18"/>
              </w:rPr>
            </w:pPr>
            <w:r w:rsidRPr="00853EB9">
              <w:rPr>
                <w:rFonts w:asciiTheme="minorHAnsi" w:hAnsiTheme="minorHAnsi" w:cstheme="minorHAnsi"/>
                <w:b w:val="0"/>
                <w:sz w:val="18"/>
                <w:szCs w:val="18"/>
              </w:rPr>
              <w:t>Automjeteve të përdorura</w:t>
            </w:r>
          </w:p>
        </w:tc>
        <w:tc>
          <w:tcPr>
            <w:tcW w:w="1154" w:type="dxa"/>
            <w:hideMark/>
          </w:tcPr>
          <w:p w14:paraId="4E8EB8F2" w14:textId="77777777" w:rsidR="007976CE" w:rsidRPr="00853EB9" w:rsidRDefault="007976CE" w:rsidP="007976CE">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Copë</w:t>
            </w:r>
          </w:p>
        </w:tc>
        <w:tc>
          <w:tcPr>
            <w:tcW w:w="1188" w:type="dxa"/>
            <w:hideMark/>
          </w:tcPr>
          <w:p w14:paraId="5459FB39" w14:textId="77777777" w:rsidR="007976CE" w:rsidRPr="00853EB9" w:rsidRDefault="007976CE" w:rsidP="007976CE">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4,272</w:t>
            </w:r>
          </w:p>
        </w:tc>
        <w:tc>
          <w:tcPr>
            <w:tcW w:w="753" w:type="dxa"/>
            <w:hideMark/>
          </w:tcPr>
          <w:p w14:paraId="1B079559" w14:textId="77777777" w:rsidR="007976CE" w:rsidRPr="00853EB9" w:rsidRDefault="007976CE" w:rsidP="007976CE">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kern w:val="24"/>
                <w:sz w:val="18"/>
                <w:szCs w:val="18"/>
              </w:rPr>
              <w:t>20%</w:t>
            </w:r>
          </w:p>
        </w:tc>
        <w:tc>
          <w:tcPr>
            <w:tcW w:w="1676" w:type="dxa"/>
          </w:tcPr>
          <w:p w14:paraId="0CF9306E" w14:textId="77777777" w:rsidR="007976CE" w:rsidRPr="00853EB9" w:rsidRDefault="007976CE" w:rsidP="007976CE">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711</w:t>
            </w:r>
          </w:p>
        </w:tc>
        <w:tc>
          <w:tcPr>
            <w:tcW w:w="753" w:type="dxa"/>
            <w:hideMark/>
          </w:tcPr>
          <w:p w14:paraId="4EC3AF2C" w14:textId="77777777" w:rsidR="007976CE" w:rsidRPr="00853EB9" w:rsidRDefault="007976CE" w:rsidP="007976CE">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kern w:val="24"/>
                <w:sz w:val="18"/>
                <w:szCs w:val="18"/>
              </w:rPr>
              <w:t>26%</w:t>
            </w:r>
          </w:p>
        </w:tc>
      </w:tr>
      <w:tr w:rsidR="007976CE" w:rsidRPr="00853EB9" w14:paraId="7FBD0B67" w14:textId="77777777" w:rsidTr="007976CE">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3880" w:type="dxa"/>
            <w:hideMark/>
          </w:tcPr>
          <w:p w14:paraId="347548DA" w14:textId="77777777" w:rsidR="007976CE" w:rsidRPr="00853EB9" w:rsidRDefault="007976CE" w:rsidP="007976CE">
            <w:pPr>
              <w:pStyle w:val="NormalWeb"/>
              <w:spacing w:before="0" w:beforeAutospacing="0" w:after="0" w:afterAutospacing="0"/>
              <w:jc w:val="center"/>
              <w:textAlignment w:val="bottom"/>
              <w:rPr>
                <w:rFonts w:asciiTheme="minorHAnsi" w:hAnsiTheme="minorHAnsi" w:cstheme="minorHAnsi"/>
                <w:b w:val="0"/>
                <w:sz w:val="18"/>
                <w:szCs w:val="18"/>
              </w:rPr>
            </w:pPr>
            <w:r w:rsidRPr="00853EB9">
              <w:rPr>
                <w:rFonts w:asciiTheme="minorHAnsi" w:hAnsiTheme="minorHAnsi" w:cstheme="minorHAnsi"/>
                <w:b w:val="0"/>
                <w:sz w:val="18"/>
                <w:szCs w:val="18"/>
              </w:rPr>
              <w:t>Automjeteve të reja</w:t>
            </w:r>
          </w:p>
        </w:tc>
        <w:tc>
          <w:tcPr>
            <w:tcW w:w="1154" w:type="dxa"/>
            <w:hideMark/>
          </w:tcPr>
          <w:p w14:paraId="1278A35F" w14:textId="77777777" w:rsidR="007976CE" w:rsidRPr="00853EB9" w:rsidRDefault="007976CE" w:rsidP="007976CE">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i/>
                <w:iCs/>
                <w:kern w:val="24"/>
                <w:sz w:val="18"/>
                <w:szCs w:val="18"/>
              </w:rPr>
              <w:t>Copë</w:t>
            </w:r>
          </w:p>
        </w:tc>
        <w:tc>
          <w:tcPr>
            <w:tcW w:w="1188" w:type="dxa"/>
            <w:hideMark/>
          </w:tcPr>
          <w:p w14:paraId="392034A0" w14:textId="77777777" w:rsidR="007976CE" w:rsidRPr="00853EB9" w:rsidRDefault="007976CE" w:rsidP="007976CE">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782</w:t>
            </w:r>
          </w:p>
        </w:tc>
        <w:tc>
          <w:tcPr>
            <w:tcW w:w="753" w:type="dxa"/>
            <w:hideMark/>
          </w:tcPr>
          <w:p w14:paraId="238FB20C" w14:textId="77777777" w:rsidR="007976CE" w:rsidRPr="00853EB9" w:rsidRDefault="007976CE" w:rsidP="007976CE">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kern w:val="24"/>
                <w:sz w:val="18"/>
                <w:szCs w:val="18"/>
              </w:rPr>
              <w:t>83%</w:t>
            </w:r>
          </w:p>
        </w:tc>
        <w:tc>
          <w:tcPr>
            <w:tcW w:w="1676" w:type="dxa"/>
          </w:tcPr>
          <w:p w14:paraId="5AAE3A9E" w14:textId="77777777" w:rsidR="007976CE" w:rsidRPr="00853EB9" w:rsidRDefault="007976CE" w:rsidP="007976CE">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310</w:t>
            </w:r>
          </w:p>
        </w:tc>
        <w:tc>
          <w:tcPr>
            <w:tcW w:w="753" w:type="dxa"/>
            <w:hideMark/>
          </w:tcPr>
          <w:p w14:paraId="690BAB71" w14:textId="77777777" w:rsidR="007976CE" w:rsidRPr="00853EB9" w:rsidRDefault="007976CE" w:rsidP="007976CE">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kern w:val="24"/>
                <w:sz w:val="18"/>
                <w:szCs w:val="18"/>
              </w:rPr>
              <w:t>60%</w:t>
            </w:r>
          </w:p>
        </w:tc>
      </w:tr>
      <w:tr w:rsidR="007976CE" w:rsidRPr="00853EB9" w14:paraId="1104BCAA" w14:textId="77777777" w:rsidTr="007976CE">
        <w:trPr>
          <w:trHeight w:val="187"/>
          <w:jc w:val="center"/>
        </w:trPr>
        <w:tc>
          <w:tcPr>
            <w:cnfStyle w:val="001000000000" w:firstRow="0" w:lastRow="0" w:firstColumn="1" w:lastColumn="0" w:oddVBand="0" w:evenVBand="0" w:oddHBand="0" w:evenHBand="0" w:firstRowFirstColumn="0" w:firstRowLastColumn="0" w:lastRowFirstColumn="0" w:lastRowLastColumn="0"/>
            <w:tcW w:w="3880" w:type="dxa"/>
            <w:hideMark/>
          </w:tcPr>
          <w:p w14:paraId="126B6A34" w14:textId="77777777" w:rsidR="007976CE" w:rsidRPr="00853EB9" w:rsidRDefault="007976CE" w:rsidP="007976CE">
            <w:pPr>
              <w:pStyle w:val="NormalWeb"/>
              <w:spacing w:before="0" w:beforeAutospacing="0" w:after="0" w:afterAutospacing="0"/>
              <w:jc w:val="center"/>
              <w:textAlignment w:val="bottom"/>
              <w:rPr>
                <w:rFonts w:asciiTheme="minorHAnsi" w:hAnsiTheme="minorHAnsi" w:cstheme="minorHAnsi"/>
                <w:b w:val="0"/>
                <w:sz w:val="18"/>
                <w:szCs w:val="18"/>
              </w:rPr>
            </w:pPr>
            <w:r w:rsidRPr="00853EB9">
              <w:rPr>
                <w:rFonts w:asciiTheme="minorHAnsi" w:hAnsiTheme="minorHAnsi" w:cstheme="minorHAnsi"/>
                <w:b w:val="0"/>
                <w:sz w:val="18"/>
                <w:szCs w:val="18"/>
              </w:rPr>
              <w:t>Detergjentë, parfumeri</w:t>
            </w:r>
          </w:p>
        </w:tc>
        <w:tc>
          <w:tcPr>
            <w:tcW w:w="1154" w:type="dxa"/>
            <w:hideMark/>
          </w:tcPr>
          <w:p w14:paraId="3DD60310" w14:textId="77777777" w:rsidR="007976CE" w:rsidRPr="00853EB9" w:rsidRDefault="007976CE" w:rsidP="007976CE">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i/>
                <w:iCs/>
                <w:kern w:val="24"/>
                <w:sz w:val="18"/>
                <w:szCs w:val="18"/>
              </w:rPr>
              <w:t xml:space="preserve">Ton </w:t>
            </w:r>
          </w:p>
        </w:tc>
        <w:tc>
          <w:tcPr>
            <w:tcW w:w="1188" w:type="dxa"/>
            <w:hideMark/>
          </w:tcPr>
          <w:p w14:paraId="5640632A" w14:textId="77777777" w:rsidR="007976CE" w:rsidRPr="00853EB9" w:rsidRDefault="007976CE" w:rsidP="007976CE">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532</w:t>
            </w:r>
          </w:p>
        </w:tc>
        <w:tc>
          <w:tcPr>
            <w:tcW w:w="753" w:type="dxa"/>
            <w:hideMark/>
          </w:tcPr>
          <w:p w14:paraId="7F2920BD" w14:textId="77777777" w:rsidR="007976CE" w:rsidRPr="00853EB9" w:rsidRDefault="007976CE" w:rsidP="007976CE">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kern w:val="24"/>
                <w:sz w:val="18"/>
                <w:szCs w:val="18"/>
              </w:rPr>
              <w:t>2%</w:t>
            </w:r>
          </w:p>
        </w:tc>
        <w:tc>
          <w:tcPr>
            <w:tcW w:w="1676" w:type="dxa"/>
          </w:tcPr>
          <w:p w14:paraId="67D9F4BC" w14:textId="77777777" w:rsidR="007976CE" w:rsidRPr="00853EB9" w:rsidRDefault="007976CE" w:rsidP="007976CE">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241</w:t>
            </w:r>
          </w:p>
        </w:tc>
        <w:tc>
          <w:tcPr>
            <w:tcW w:w="753" w:type="dxa"/>
            <w:hideMark/>
          </w:tcPr>
          <w:p w14:paraId="2F8EB6BA" w14:textId="77777777" w:rsidR="007976CE" w:rsidRPr="00853EB9" w:rsidRDefault="007976CE" w:rsidP="007976CE">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kern w:val="24"/>
                <w:sz w:val="18"/>
                <w:szCs w:val="18"/>
              </w:rPr>
              <w:t>16%</w:t>
            </w:r>
          </w:p>
        </w:tc>
      </w:tr>
      <w:tr w:rsidR="007976CE" w:rsidRPr="00853EB9" w14:paraId="16731A79" w14:textId="77777777" w:rsidTr="007976CE">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3880" w:type="dxa"/>
            <w:hideMark/>
          </w:tcPr>
          <w:p w14:paraId="7DC676FB" w14:textId="77777777" w:rsidR="007976CE" w:rsidRPr="00853EB9" w:rsidRDefault="007976CE" w:rsidP="007976CE">
            <w:pPr>
              <w:pStyle w:val="NormalWeb"/>
              <w:spacing w:before="0" w:beforeAutospacing="0" w:after="0" w:afterAutospacing="0"/>
              <w:jc w:val="center"/>
              <w:textAlignment w:val="bottom"/>
              <w:rPr>
                <w:rFonts w:asciiTheme="minorHAnsi" w:hAnsiTheme="minorHAnsi" w:cstheme="minorHAnsi"/>
                <w:b w:val="0"/>
                <w:sz w:val="18"/>
                <w:szCs w:val="18"/>
              </w:rPr>
            </w:pPr>
            <w:r w:rsidRPr="00853EB9">
              <w:rPr>
                <w:rFonts w:asciiTheme="minorHAnsi" w:hAnsiTheme="minorHAnsi" w:cstheme="minorHAnsi"/>
                <w:b w:val="0"/>
                <w:sz w:val="18"/>
                <w:szCs w:val="18"/>
              </w:rPr>
              <w:t>Ushqime të përgatitura</w:t>
            </w:r>
          </w:p>
        </w:tc>
        <w:tc>
          <w:tcPr>
            <w:tcW w:w="1154" w:type="dxa"/>
            <w:hideMark/>
          </w:tcPr>
          <w:p w14:paraId="41CF8859" w14:textId="77777777" w:rsidR="007976CE" w:rsidRPr="00853EB9" w:rsidRDefault="007976CE" w:rsidP="007976CE">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i/>
                <w:iCs/>
                <w:kern w:val="24"/>
                <w:sz w:val="18"/>
                <w:szCs w:val="18"/>
              </w:rPr>
              <w:t xml:space="preserve">Ton </w:t>
            </w:r>
          </w:p>
        </w:tc>
        <w:tc>
          <w:tcPr>
            <w:tcW w:w="1188" w:type="dxa"/>
            <w:hideMark/>
          </w:tcPr>
          <w:p w14:paraId="51AEA043" w14:textId="77777777" w:rsidR="007976CE" w:rsidRPr="00853EB9" w:rsidRDefault="007976CE" w:rsidP="007976CE">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7,743</w:t>
            </w:r>
          </w:p>
        </w:tc>
        <w:tc>
          <w:tcPr>
            <w:tcW w:w="753" w:type="dxa"/>
            <w:hideMark/>
          </w:tcPr>
          <w:p w14:paraId="334713B1" w14:textId="77777777" w:rsidR="007976CE" w:rsidRPr="00853EB9" w:rsidRDefault="007976CE" w:rsidP="007976CE">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kern w:val="24"/>
                <w:sz w:val="18"/>
                <w:szCs w:val="18"/>
              </w:rPr>
              <w:t>21%</w:t>
            </w:r>
          </w:p>
        </w:tc>
        <w:tc>
          <w:tcPr>
            <w:tcW w:w="1676" w:type="dxa"/>
          </w:tcPr>
          <w:p w14:paraId="48CB2F9D" w14:textId="77777777" w:rsidR="007976CE" w:rsidRPr="00853EB9" w:rsidRDefault="007976CE" w:rsidP="007976CE">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187</w:t>
            </w:r>
          </w:p>
        </w:tc>
        <w:tc>
          <w:tcPr>
            <w:tcW w:w="753" w:type="dxa"/>
            <w:hideMark/>
          </w:tcPr>
          <w:p w14:paraId="35EE6A5C" w14:textId="77777777" w:rsidR="007976CE" w:rsidRPr="00853EB9" w:rsidRDefault="007976CE" w:rsidP="007976CE">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kern w:val="24"/>
                <w:sz w:val="18"/>
                <w:szCs w:val="18"/>
              </w:rPr>
              <w:t>10%</w:t>
            </w:r>
          </w:p>
        </w:tc>
      </w:tr>
      <w:tr w:rsidR="007976CE" w:rsidRPr="00853EB9" w14:paraId="5D90A3F9" w14:textId="77777777" w:rsidTr="007976CE">
        <w:trPr>
          <w:trHeight w:val="224"/>
          <w:jc w:val="center"/>
        </w:trPr>
        <w:tc>
          <w:tcPr>
            <w:cnfStyle w:val="001000000000" w:firstRow="0" w:lastRow="0" w:firstColumn="1" w:lastColumn="0" w:oddVBand="0" w:evenVBand="0" w:oddHBand="0" w:evenHBand="0" w:firstRowFirstColumn="0" w:firstRowLastColumn="0" w:lastRowFirstColumn="0" w:lastRowLastColumn="0"/>
            <w:tcW w:w="3880" w:type="dxa"/>
            <w:hideMark/>
          </w:tcPr>
          <w:p w14:paraId="58CB5FA2" w14:textId="77777777" w:rsidR="007976CE" w:rsidRPr="00853EB9" w:rsidRDefault="007976CE" w:rsidP="007976CE">
            <w:pPr>
              <w:pStyle w:val="NormalWeb"/>
              <w:spacing w:before="0" w:beforeAutospacing="0" w:after="0" w:afterAutospacing="0"/>
              <w:jc w:val="center"/>
              <w:textAlignment w:val="bottom"/>
              <w:rPr>
                <w:rFonts w:asciiTheme="minorHAnsi" w:hAnsiTheme="minorHAnsi" w:cstheme="minorHAnsi"/>
                <w:b w:val="0"/>
                <w:sz w:val="18"/>
                <w:szCs w:val="18"/>
              </w:rPr>
            </w:pPr>
            <w:r w:rsidRPr="00853EB9">
              <w:rPr>
                <w:rFonts w:asciiTheme="minorHAnsi" w:hAnsiTheme="minorHAnsi" w:cstheme="minorHAnsi"/>
                <w:b w:val="0"/>
                <w:sz w:val="18"/>
                <w:szCs w:val="18"/>
              </w:rPr>
              <w:t>Instrumente, aparate fotografik dhe ato matës</w:t>
            </w:r>
          </w:p>
        </w:tc>
        <w:tc>
          <w:tcPr>
            <w:tcW w:w="1154" w:type="dxa"/>
            <w:hideMark/>
          </w:tcPr>
          <w:p w14:paraId="0D20B53A" w14:textId="77777777" w:rsidR="007976CE" w:rsidRPr="00853EB9" w:rsidRDefault="007976CE" w:rsidP="007976CE">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i/>
                <w:iCs/>
                <w:kern w:val="24"/>
                <w:sz w:val="18"/>
                <w:szCs w:val="18"/>
              </w:rPr>
              <w:t xml:space="preserve">Ton </w:t>
            </w:r>
          </w:p>
        </w:tc>
        <w:tc>
          <w:tcPr>
            <w:tcW w:w="1188" w:type="dxa"/>
            <w:hideMark/>
          </w:tcPr>
          <w:p w14:paraId="3AD530B6" w14:textId="77777777" w:rsidR="007976CE" w:rsidRPr="00853EB9" w:rsidRDefault="007976CE" w:rsidP="007976CE">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84</w:t>
            </w:r>
          </w:p>
        </w:tc>
        <w:tc>
          <w:tcPr>
            <w:tcW w:w="753" w:type="dxa"/>
            <w:hideMark/>
          </w:tcPr>
          <w:p w14:paraId="1FBA8A44" w14:textId="77777777" w:rsidR="007976CE" w:rsidRPr="00853EB9" w:rsidRDefault="007976CE" w:rsidP="007976CE">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kern w:val="24"/>
                <w:sz w:val="18"/>
                <w:szCs w:val="18"/>
              </w:rPr>
              <w:t>12%</w:t>
            </w:r>
          </w:p>
        </w:tc>
        <w:tc>
          <w:tcPr>
            <w:tcW w:w="1676" w:type="dxa"/>
          </w:tcPr>
          <w:p w14:paraId="52570581" w14:textId="77777777" w:rsidR="007976CE" w:rsidRPr="00853EB9" w:rsidRDefault="007976CE" w:rsidP="007976CE">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174</w:t>
            </w:r>
          </w:p>
        </w:tc>
        <w:tc>
          <w:tcPr>
            <w:tcW w:w="753" w:type="dxa"/>
            <w:hideMark/>
          </w:tcPr>
          <w:p w14:paraId="6F7B058B" w14:textId="77777777" w:rsidR="007976CE" w:rsidRPr="00853EB9" w:rsidRDefault="007976CE" w:rsidP="007976CE">
            <w:pPr>
              <w:pStyle w:val="NormalWeb"/>
              <w:spacing w:before="0" w:beforeAutospacing="0" w:after="0" w:afterAutospacing="0"/>
              <w:jc w:val="center"/>
              <w:textAlignment w:val="bottom"/>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kern w:val="24"/>
                <w:sz w:val="18"/>
                <w:szCs w:val="18"/>
              </w:rPr>
              <w:t>26%</w:t>
            </w:r>
          </w:p>
        </w:tc>
      </w:tr>
      <w:tr w:rsidR="007976CE" w:rsidRPr="00853EB9" w14:paraId="700A58BA" w14:textId="77777777" w:rsidTr="007976CE">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3880" w:type="dxa"/>
            <w:hideMark/>
          </w:tcPr>
          <w:p w14:paraId="10EF78AD" w14:textId="77777777" w:rsidR="007976CE" w:rsidRPr="00853EB9" w:rsidRDefault="007976CE" w:rsidP="007976CE">
            <w:pPr>
              <w:pStyle w:val="NormalWeb"/>
              <w:spacing w:before="0" w:beforeAutospacing="0" w:after="0" w:afterAutospacing="0"/>
              <w:jc w:val="center"/>
              <w:textAlignment w:val="bottom"/>
              <w:rPr>
                <w:rFonts w:asciiTheme="minorHAnsi" w:hAnsiTheme="minorHAnsi" w:cstheme="minorHAnsi"/>
                <w:b w:val="0"/>
                <w:sz w:val="18"/>
                <w:szCs w:val="18"/>
              </w:rPr>
            </w:pPr>
            <w:r w:rsidRPr="00853EB9">
              <w:rPr>
                <w:rFonts w:asciiTheme="minorHAnsi" w:hAnsiTheme="minorHAnsi" w:cstheme="minorHAnsi"/>
                <w:kern w:val="24"/>
                <w:sz w:val="18"/>
                <w:szCs w:val="18"/>
              </w:rPr>
              <w:t>Efekti</w:t>
            </w:r>
          </w:p>
        </w:tc>
        <w:tc>
          <w:tcPr>
            <w:tcW w:w="1154" w:type="dxa"/>
            <w:hideMark/>
          </w:tcPr>
          <w:p w14:paraId="4DF549EE" w14:textId="77777777" w:rsidR="007976CE" w:rsidRPr="00853EB9" w:rsidRDefault="007976CE" w:rsidP="007976CE">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b/>
                <w:bCs/>
                <w:i/>
                <w:iCs/>
                <w:kern w:val="24"/>
                <w:sz w:val="18"/>
                <w:szCs w:val="18"/>
              </w:rPr>
              <w:t> </w:t>
            </w:r>
          </w:p>
        </w:tc>
        <w:tc>
          <w:tcPr>
            <w:tcW w:w="1188" w:type="dxa"/>
            <w:hideMark/>
          </w:tcPr>
          <w:p w14:paraId="56221B6E" w14:textId="77777777" w:rsidR="007976CE" w:rsidRPr="00853EB9" w:rsidRDefault="007976CE" w:rsidP="007976CE">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kern w:val="24"/>
                <w:sz w:val="18"/>
                <w:szCs w:val="18"/>
              </w:rPr>
              <w:t> </w:t>
            </w:r>
          </w:p>
        </w:tc>
        <w:tc>
          <w:tcPr>
            <w:tcW w:w="753" w:type="dxa"/>
            <w:hideMark/>
          </w:tcPr>
          <w:p w14:paraId="75834158" w14:textId="77777777" w:rsidR="007976CE" w:rsidRPr="00853EB9" w:rsidRDefault="007976CE" w:rsidP="007976CE">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kern w:val="24"/>
                <w:sz w:val="18"/>
                <w:szCs w:val="18"/>
              </w:rPr>
              <w:t> </w:t>
            </w:r>
          </w:p>
        </w:tc>
        <w:tc>
          <w:tcPr>
            <w:tcW w:w="1676" w:type="dxa"/>
            <w:hideMark/>
          </w:tcPr>
          <w:p w14:paraId="476ECCDF" w14:textId="77777777" w:rsidR="007976CE" w:rsidRPr="00853EB9" w:rsidRDefault="007976CE" w:rsidP="007976CE">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b/>
                <w:bCs/>
                <w:kern w:val="24"/>
                <w:sz w:val="18"/>
                <w:szCs w:val="18"/>
              </w:rPr>
              <w:t>1,623</w:t>
            </w:r>
          </w:p>
        </w:tc>
        <w:tc>
          <w:tcPr>
            <w:tcW w:w="753" w:type="dxa"/>
            <w:hideMark/>
          </w:tcPr>
          <w:p w14:paraId="00B66341" w14:textId="77777777" w:rsidR="007976CE" w:rsidRPr="00853EB9" w:rsidRDefault="007976CE" w:rsidP="007976CE">
            <w:pPr>
              <w:pStyle w:val="NormalWeb"/>
              <w:spacing w:before="0" w:beforeAutospacing="0" w:after="0" w:afterAutospacing="0"/>
              <w:jc w:val="center"/>
              <w:textAlignment w:val="bottom"/>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kern w:val="24"/>
                <w:sz w:val="18"/>
                <w:szCs w:val="18"/>
              </w:rPr>
              <w:t> </w:t>
            </w:r>
          </w:p>
        </w:tc>
      </w:tr>
    </w:tbl>
    <w:p w14:paraId="57FAC68A" w14:textId="77777777" w:rsidR="0034657E" w:rsidRDefault="0034657E" w:rsidP="0034657E">
      <w:pPr>
        <w:spacing w:line="276" w:lineRule="auto"/>
        <w:jc w:val="both"/>
        <w:rPr>
          <w:rFonts w:asciiTheme="minorHAnsi" w:hAnsiTheme="minorHAnsi"/>
          <w:i/>
          <w:sz w:val="20"/>
          <w:szCs w:val="20"/>
          <w:lang w:val="sq-AL"/>
        </w:rPr>
      </w:pPr>
      <w:r w:rsidRPr="00161E02">
        <w:rPr>
          <w:rFonts w:asciiTheme="minorHAnsi" w:hAnsiTheme="minorHAnsi"/>
          <w:i/>
          <w:sz w:val="20"/>
          <w:szCs w:val="20"/>
          <w:lang w:val="sq-AL"/>
        </w:rPr>
        <w:t xml:space="preserve">  </w:t>
      </w:r>
      <w:r w:rsidR="00193978">
        <w:rPr>
          <w:rFonts w:asciiTheme="minorHAnsi" w:hAnsiTheme="minorHAnsi"/>
          <w:i/>
          <w:sz w:val="20"/>
          <w:szCs w:val="20"/>
          <w:lang w:val="sq-AL"/>
        </w:rPr>
        <w:t>Burimi: Ministria e Financave dhe Ekonomisë (2023)</w:t>
      </w:r>
    </w:p>
    <w:p w14:paraId="4A9F81F6" w14:textId="77777777" w:rsidR="007976CE" w:rsidRDefault="007976CE" w:rsidP="0034657E">
      <w:pPr>
        <w:spacing w:line="276" w:lineRule="auto"/>
        <w:jc w:val="both"/>
        <w:rPr>
          <w:rFonts w:asciiTheme="minorHAnsi" w:hAnsiTheme="minorHAnsi"/>
          <w:i/>
          <w:sz w:val="20"/>
          <w:szCs w:val="20"/>
          <w:lang w:val="sq-AL"/>
        </w:rPr>
      </w:pPr>
    </w:p>
    <w:p w14:paraId="64498E6F" w14:textId="77777777" w:rsidR="007976CE" w:rsidRDefault="007976CE" w:rsidP="0034657E">
      <w:pPr>
        <w:spacing w:line="276" w:lineRule="auto"/>
        <w:jc w:val="both"/>
        <w:rPr>
          <w:rFonts w:asciiTheme="minorHAnsi" w:hAnsiTheme="minorHAnsi"/>
          <w:i/>
          <w:sz w:val="20"/>
          <w:szCs w:val="20"/>
          <w:lang w:val="sq-AL"/>
        </w:rPr>
      </w:pPr>
    </w:p>
    <w:p w14:paraId="74EA30E2" w14:textId="77777777" w:rsidR="007976CE" w:rsidRDefault="007976CE" w:rsidP="0034657E">
      <w:pPr>
        <w:spacing w:line="276" w:lineRule="auto"/>
        <w:jc w:val="both"/>
        <w:rPr>
          <w:rFonts w:asciiTheme="minorHAnsi" w:hAnsiTheme="minorHAnsi"/>
          <w:i/>
          <w:sz w:val="20"/>
          <w:szCs w:val="20"/>
          <w:lang w:val="sq-AL"/>
        </w:rPr>
      </w:pPr>
    </w:p>
    <w:p w14:paraId="576231E8" w14:textId="77777777" w:rsidR="007976CE" w:rsidRPr="00161E02" w:rsidRDefault="007976CE" w:rsidP="0034657E">
      <w:pPr>
        <w:spacing w:line="276" w:lineRule="auto"/>
        <w:jc w:val="both"/>
        <w:rPr>
          <w:rFonts w:asciiTheme="minorHAnsi" w:hAnsiTheme="minorHAnsi"/>
          <w:i/>
          <w:sz w:val="20"/>
          <w:szCs w:val="20"/>
          <w:lang w:val="sq-AL"/>
        </w:rPr>
      </w:pPr>
    </w:p>
    <w:p w14:paraId="6D216905" w14:textId="2344F27D" w:rsidR="0034657E" w:rsidRPr="00900B3D" w:rsidRDefault="0034657E" w:rsidP="0034657E">
      <w:pPr>
        <w:pStyle w:val="Caption"/>
        <w:keepNext/>
        <w:spacing w:after="0"/>
        <w:jc w:val="both"/>
        <w:rPr>
          <w:rFonts w:asciiTheme="minorHAnsi" w:hAnsiTheme="minorHAnsi"/>
          <w:b w:val="0"/>
          <w:bCs w:val="0"/>
          <w:i/>
          <w:color w:val="auto"/>
          <w:sz w:val="22"/>
          <w:szCs w:val="24"/>
          <w:lang w:val="sq-AL"/>
        </w:rPr>
      </w:pPr>
      <w:bookmarkStart w:id="23" w:name="_Toc12449192"/>
      <w:bookmarkStart w:id="24" w:name="_Toc107496741"/>
      <w:r w:rsidRPr="00900B3D">
        <w:rPr>
          <w:rFonts w:asciiTheme="minorHAnsi" w:hAnsiTheme="minorHAnsi"/>
          <w:b w:val="0"/>
          <w:bCs w:val="0"/>
          <w:i/>
          <w:color w:val="auto"/>
          <w:sz w:val="22"/>
          <w:szCs w:val="24"/>
          <w:lang w:val="sq-AL"/>
        </w:rPr>
        <w:lastRenderedPageBreak/>
        <w:t xml:space="preserve">Tabela </w:t>
      </w:r>
      <w:r w:rsidRPr="00900B3D">
        <w:rPr>
          <w:rFonts w:asciiTheme="minorHAnsi" w:hAnsiTheme="minorHAnsi"/>
          <w:b w:val="0"/>
          <w:bCs w:val="0"/>
          <w:i/>
          <w:color w:val="auto"/>
          <w:sz w:val="22"/>
          <w:szCs w:val="24"/>
          <w:lang w:val="sq-AL"/>
        </w:rPr>
        <w:fldChar w:fldCharType="begin"/>
      </w:r>
      <w:r w:rsidRPr="00900B3D">
        <w:rPr>
          <w:rFonts w:asciiTheme="minorHAnsi" w:hAnsiTheme="minorHAnsi"/>
          <w:b w:val="0"/>
          <w:bCs w:val="0"/>
          <w:i/>
          <w:color w:val="auto"/>
          <w:sz w:val="22"/>
          <w:szCs w:val="24"/>
          <w:lang w:val="sq-AL"/>
        </w:rPr>
        <w:instrText xml:space="preserve"> SEQ Tabela \* ARABIC </w:instrText>
      </w:r>
      <w:r w:rsidRPr="00900B3D">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5</w:t>
      </w:r>
      <w:r w:rsidRPr="00900B3D">
        <w:rPr>
          <w:rFonts w:asciiTheme="minorHAnsi" w:hAnsiTheme="minorHAnsi"/>
          <w:b w:val="0"/>
          <w:bCs w:val="0"/>
          <w:i/>
          <w:color w:val="auto"/>
          <w:sz w:val="22"/>
          <w:szCs w:val="24"/>
          <w:lang w:val="sq-AL"/>
        </w:rPr>
        <w:fldChar w:fldCharType="end"/>
      </w:r>
      <w:r w:rsidRPr="00900B3D">
        <w:rPr>
          <w:rFonts w:asciiTheme="minorHAnsi" w:hAnsiTheme="minorHAnsi"/>
          <w:b w:val="0"/>
          <w:bCs w:val="0"/>
          <w:i/>
          <w:color w:val="auto"/>
          <w:sz w:val="22"/>
          <w:szCs w:val="24"/>
          <w:lang w:val="sq-AL"/>
        </w:rPr>
        <w:t>: Kontribuesit negativë në të ardhurat nga TVSH/ Diferencat Janar-Maj 202</w:t>
      </w:r>
      <w:r w:rsidR="007976CE">
        <w:rPr>
          <w:rFonts w:asciiTheme="minorHAnsi" w:hAnsiTheme="minorHAnsi"/>
          <w:b w:val="0"/>
          <w:bCs w:val="0"/>
          <w:i/>
          <w:color w:val="auto"/>
          <w:sz w:val="22"/>
          <w:szCs w:val="24"/>
          <w:lang w:val="sq-AL"/>
        </w:rPr>
        <w:t>3</w:t>
      </w:r>
      <w:r w:rsidRPr="00900B3D">
        <w:rPr>
          <w:rFonts w:asciiTheme="minorHAnsi" w:hAnsiTheme="minorHAnsi"/>
          <w:b w:val="0"/>
          <w:bCs w:val="0"/>
          <w:i/>
          <w:color w:val="auto"/>
          <w:sz w:val="22"/>
          <w:szCs w:val="24"/>
          <w:lang w:val="sq-AL"/>
        </w:rPr>
        <w:t>/20</w:t>
      </w:r>
      <w:bookmarkEnd w:id="23"/>
      <w:r w:rsidRPr="00900B3D">
        <w:rPr>
          <w:rFonts w:asciiTheme="minorHAnsi" w:hAnsiTheme="minorHAnsi"/>
          <w:b w:val="0"/>
          <w:bCs w:val="0"/>
          <w:i/>
          <w:color w:val="auto"/>
          <w:sz w:val="22"/>
          <w:szCs w:val="24"/>
          <w:lang w:val="sq-AL"/>
        </w:rPr>
        <w:t>2</w:t>
      </w:r>
      <w:bookmarkEnd w:id="24"/>
      <w:r w:rsidR="007976CE">
        <w:rPr>
          <w:rFonts w:asciiTheme="minorHAnsi" w:hAnsiTheme="minorHAnsi"/>
          <w:b w:val="0"/>
          <w:bCs w:val="0"/>
          <w:i/>
          <w:color w:val="auto"/>
          <w:sz w:val="22"/>
          <w:szCs w:val="24"/>
          <w:lang w:val="sq-AL"/>
        </w:rPr>
        <w:t>2</w:t>
      </w:r>
    </w:p>
    <w:tbl>
      <w:tblPr>
        <w:tblStyle w:val="ListTable3-Accent52"/>
        <w:tblW w:w="9515" w:type="dxa"/>
        <w:jc w:val="center"/>
        <w:tblLayout w:type="fixed"/>
        <w:tblLook w:val="04A0" w:firstRow="1" w:lastRow="0" w:firstColumn="1" w:lastColumn="0" w:noHBand="0" w:noVBand="1"/>
      </w:tblPr>
      <w:tblGrid>
        <w:gridCol w:w="4109"/>
        <w:gridCol w:w="1110"/>
        <w:gridCol w:w="951"/>
        <w:gridCol w:w="740"/>
        <w:gridCol w:w="1674"/>
        <w:gridCol w:w="931"/>
      </w:tblGrid>
      <w:tr w:rsidR="007976CE" w:rsidRPr="00853EB9" w14:paraId="2894F66D" w14:textId="77777777" w:rsidTr="007976CE">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9515" w:type="dxa"/>
            <w:gridSpan w:val="6"/>
            <w:hideMark/>
          </w:tcPr>
          <w:p w14:paraId="35C6D98E" w14:textId="77777777" w:rsidR="007976CE" w:rsidRPr="00853EB9" w:rsidRDefault="007976CE" w:rsidP="007976CE">
            <w:pPr>
              <w:jc w:val="center"/>
              <w:rPr>
                <w:rFonts w:asciiTheme="minorHAnsi" w:hAnsiTheme="minorHAnsi" w:cstheme="minorHAnsi"/>
                <w:b w:val="0"/>
                <w:color w:val="auto"/>
                <w:sz w:val="18"/>
                <w:szCs w:val="18"/>
              </w:rPr>
            </w:pPr>
            <w:r w:rsidRPr="00853EB9">
              <w:rPr>
                <w:rFonts w:asciiTheme="minorHAnsi" w:hAnsiTheme="minorHAnsi" w:cstheme="minorHAnsi"/>
                <w:color w:val="auto"/>
                <w:sz w:val="20"/>
                <w:szCs w:val="18"/>
              </w:rPr>
              <w:t>Produktet me kontribut negativ</w:t>
            </w:r>
          </w:p>
        </w:tc>
      </w:tr>
      <w:tr w:rsidR="007976CE" w:rsidRPr="00853EB9" w14:paraId="5857BEA9" w14:textId="77777777" w:rsidTr="007976CE">
        <w:trPr>
          <w:cnfStyle w:val="000000100000" w:firstRow="0" w:lastRow="0" w:firstColumn="0" w:lastColumn="0" w:oddVBand="0" w:evenVBand="0" w:oddHBand="1"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4109" w:type="dxa"/>
            <w:hideMark/>
          </w:tcPr>
          <w:p w14:paraId="75BE8544" w14:textId="77777777" w:rsidR="007976CE" w:rsidRPr="00853EB9" w:rsidRDefault="007976CE" w:rsidP="007976CE">
            <w:pPr>
              <w:rPr>
                <w:rFonts w:asciiTheme="minorHAnsi" w:hAnsiTheme="minorHAnsi" w:cstheme="minorHAnsi"/>
                <w:b w:val="0"/>
                <w:bCs w:val="0"/>
                <w:sz w:val="18"/>
                <w:szCs w:val="18"/>
              </w:rPr>
            </w:pPr>
            <w:r w:rsidRPr="00853EB9">
              <w:rPr>
                <w:rFonts w:asciiTheme="minorHAnsi" w:hAnsiTheme="minorHAnsi" w:cstheme="minorHAnsi"/>
                <w:sz w:val="18"/>
                <w:szCs w:val="18"/>
              </w:rPr>
              <w:t> </w:t>
            </w:r>
          </w:p>
        </w:tc>
        <w:tc>
          <w:tcPr>
            <w:tcW w:w="1110" w:type="dxa"/>
            <w:hideMark/>
          </w:tcPr>
          <w:p w14:paraId="290B8175" w14:textId="77777777" w:rsidR="007976CE" w:rsidRPr="00853EB9" w:rsidRDefault="007976CE" w:rsidP="00797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853EB9">
              <w:rPr>
                <w:rFonts w:asciiTheme="minorHAnsi" w:hAnsiTheme="minorHAnsi" w:cstheme="minorHAnsi"/>
                <w:b/>
                <w:bCs/>
                <w:sz w:val="18"/>
                <w:szCs w:val="18"/>
              </w:rPr>
              <w:t>Njësia</w:t>
            </w:r>
          </w:p>
        </w:tc>
        <w:tc>
          <w:tcPr>
            <w:tcW w:w="951" w:type="dxa"/>
            <w:hideMark/>
          </w:tcPr>
          <w:p w14:paraId="397233CE" w14:textId="77777777" w:rsidR="007976CE" w:rsidRPr="00853EB9" w:rsidRDefault="007976CE" w:rsidP="00797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853EB9">
              <w:rPr>
                <w:rFonts w:asciiTheme="minorHAnsi" w:hAnsiTheme="minorHAnsi" w:cstheme="minorHAnsi"/>
                <w:b/>
                <w:bCs/>
                <w:sz w:val="18"/>
                <w:szCs w:val="18"/>
              </w:rPr>
              <w:t>Sasi</w:t>
            </w:r>
          </w:p>
        </w:tc>
        <w:tc>
          <w:tcPr>
            <w:tcW w:w="740" w:type="dxa"/>
            <w:hideMark/>
          </w:tcPr>
          <w:p w14:paraId="6D3A388E" w14:textId="77777777" w:rsidR="007976CE" w:rsidRPr="00853EB9" w:rsidRDefault="007976CE" w:rsidP="00797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853EB9">
              <w:rPr>
                <w:rFonts w:asciiTheme="minorHAnsi" w:hAnsiTheme="minorHAnsi" w:cstheme="minorHAnsi"/>
                <w:b/>
                <w:bCs/>
                <w:sz w:val="18"/>
                <w:szCs w:val="18"/>
              </w:rPr>
              <w:t xml:space="preserve">    %</w:t>
            </w:r>
          </w:p>
        </w:tc>
        <w:tc>
          <w:tcPr>
            <w:tcW w:w="1674" w:type="dxa"/>
            <w:hideMark/>
          </w:tcPr>
          <w:p w14:paraId="6D988DCE" w14:textId="77777777" w:rsidR="007976CE" w:rsidRPr="00853EB9" w:rsidRDefault="007976CE" w:rsidP="00797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853EB9">
              <w:rPr>
                <w:rFonts w:asciiTheme="minorHAnsi" w:hAnsiTheme="minorHAnsi" w:cstheme="minorHAnsi"/>
                <w:b/>
                <w:bCs/>
                <w:sz w:val="18"/>
                <w:szCs w:val="18"/>
              </w:rPr>
              <w:t>TVSH/milionë lekë</w:t>
            </w:r>
          </w:p>
        </w:tc>
        <w:tc>
          <w:tcPr>
            <w:tcW w:w="931" w:type="dxa"/>
            <w:hideMark/>
          </w:tcPr>
          <w:p w14:paraId="1084F92C" w14:textId="77777777" w:rsidR="007976CE" w:rsidRPr="00853EB9" w:rsidRDefault="007976CE" w:rsidP="007976C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18"/>
                <w:szCs w:val="18"/>
              </w:rPr>
            </w:pPr>
            <w:r w:rsidRPr="00853EB9">
              <w:rPr>
                <w:rFonts w:asciiTheme="minorHAnsi" w:hAnsiTheme="minorHAnsi" w:cstheme="minorHAnsi"/>
                <w:b/>
                <w:bCs/>
                <w:sz w:val="18"/>
                <w:szCs w:val="18"/>
              </w:rPr>
              <w:t>%</w:t>
            </w:r>
          </w:p>
        </w:tc>
      </w:tr>
      <w:tr w:rsidR="007976CE" w:rsidRPr="00853EB9" w14:paraId="335594D3" w14:textId="77777777" w:rsidTr="007976CE">
        <w:trPr>
          <w:trHeight w:val="184"/>
          <w:jc w:val="center"/>
        </w:trPr>
        <w:tc>
          <w:tcPr>
            <w:cnfStyle w:val="001000000000" w:firstRow="0" w:lastRow="0" w:firstColumn="1" w:lastColumn="0" w:oddVBand="0" w:evenVBand="0" w:oddHBand="0" w:evenHBand="0" w:firstRowFirstColumn="0" w:firstRowLastColumn="0" w:lastRowFirstColumn="0" w:lastRowLastColumn="0"/>
            <w:tcW w:w="4109" w:type="dxa"/>
          </w:tcPr>
          <w:p w14:paraId="393A43A5" w14:textId="77777777" w:rsidR="007976CE" w:rsidRPr="00853EB9" w:rsidRDefault="007976CE" w:rsidP="007976CE">
            <w:pPr>
              <w:jc w:val="center"/>
              <w:rPr>
                <w:rFonts w:asciiTheme="minorHAnsi" w:hAnsiTheme="minorHAnsi" w:cstheme="minorHAnsi"/>
                <w:b w:val="0"/>
                <w:sz w:val="18"/>
                <w:szCs w:val="18"/>
              </w:rPr>
            </w:pPr>
            <w:r w:rsidRPr="00853EB9">
              <w:rPr>
                <w:rFonts w:asciiTheme="minorHAnsi" w:hAnsiTheme="minorHAnsi" w:cstheme="minorHAnsi"/>
                <w:b w:val="0"/>
                <w:sz w:val="18"/>
                <w:szCs w:val="18"/>
              </w:rPr>
              <w:t>Energji Elektrike</w:t>
            </w:r>
          </w:p>
        </w:tc>
        <w:tc>
          <w:tcPr>
            <w:tcW w:w="1110" w:type="dxa"/>
          </w:tcPr>
          <w:p w14:paraId="0B41DA26" w14:textId="77777777" w:rsidR="007976CE" w:rsidRPr="00853EB9" w:rsidRDefault="007976CE" w:rsidP="007976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Megavatore</w:t>
            </w:r>
          </w:p>
        </w:tc>
        <w:tc>
          <w:tcPr>
            <w:tcW w:w="951" w:type="dxa"/>
          </w:tcPr>
          <w:p w14:paraId="785AA909" w14:textId="77777777" w:rsidR="007976CE" w:rsidRPr="00853EB9" w:rsidRDefault="007976CE" w:rsidP="007976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-273,253</w:t>
            </w:r>
          </w:p>
        </w:tc>
        <w:tc>
          <w:tcPr>
            <w:tcW w:w="740" w:type="dxa"/>
          </w:tcPr>
          <w:p w14:paraId="4913B82D" w14:textId="77777777" w:rsidR="007976CE" w:rsidRPr="00853EB9" w:rsidRDefault="007976CE" w:rsidP="007976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-43%  </w:t>
            </w:r>
          </w:p>
        </w:tc>
        <w:tc>
          <w:tcPr>
            <w:tcW w:w="1674" w:type="dxa"/>
          </w:tcPr>
          <w:p w14:paraId="148D8492" w14:textId="77777777" w:rsidR="007976CE" w:rsidRPr="00853EB9" w:rsidRDefault="007976CE" w:rsidP="007976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-1,715</w:t>
            </w:r>
          </w:p>
        </w:tc>
        <w:tc>
          <w:tcPr>
            <w:tcW w:w="931" w:type="dxa"/>
          </w:tcPr>
          <w:p w14:paraId="14238FF0" w14:textId="77777777" w:rsidR="007976CE" w:rsidRPr="00853EB9" w:rsidRDefault="007976CE" w:rsidP="007976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-49%</w:t>
            </w:r>
          </w:p>
        </w:tc>
      </w:tr>
      <w:tr w:rsidR="007976CE" w:rsidRPr="00853EB9" w14:paraId="7B5104FE" w14:textId="77777777" w:rsidTr="007976CE">
        <w:trPr>
          <w:cnfStyle w:val="000000100000" w:firstRow="0" w:lastRow="0" w:firstColumn="0" w:lastColumn="0" w:oddVBand="0" w:evenVBand="0" w:oddHBand="1"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4109" w:type="dxa"/>
          </w:tcPr>
          <w:p w14:paraId="753B23B0" w14:textId="77777777" w:rsidR="007976CE" w:rsidRPr="00853EB9" w:rsidRDefault="007976CE" w:rsidP="007976CE">
            <w:pPr>
              <w:jc w:val="center"/>
              <w:rPr>
                <w:rFonts w:asciiTheme="minorHAnsi" w:hAnsiTheme="minorHAnsi" w:cstheme="minorHAnsi"/>
                <w:b w:val="0"/>
                <w:sz w:val="18"/>
                <w:szCs w:val="18"/>
              </w:rPr>
            </w:pPr>
            <w:r w:rsidRPr="00853EB9">
              <w:rPr>
                <w:rFonts w:asciiTheme="minorHAnsi" w:hAnsiTheme="minorHAnsi" w:cstheme="minorHAnsi"/>
                <w:b w:val="0"/>
                <w:sz w:val="18"/>
                <w:szCs w:val="18"/>
              </w:rPr>
              <w:t>Metalet bazë dhe artikujt prej tyre</w:t>
            </w:r>
          </w:p>
        </w:tc>
        <w:tc>
          <w:tcPr>
            <w:tcW w:w="1110" w:type="dxa"/>
          </w:tcPr>
          <w:p w14:paraId="78D50A40" w14:textId="77777777" w:rsidR="007976CE" w:rsidRPr="00853EB9" w:rsidRDefault="007976CE" w:rsidP="00797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Ton </w:t>
            </w:r>
          </w:p>
        </w:tc>
        <w:tc>
          <w:tcPr>
            <w:tcW w:w="951" w:type="dxa"/>
          </w:tcPr>
          <w:p w14:paraId="1FF72812" w14:textId="77777777" w:rsidR="007976CE" w:rsidRPr="00853EB9" w:rsidRDefault="007976CE" w:rsidP="00797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2,136</w:t>
            </w:r>
          </w:p>
        </w:tc>
        <w:tc>
          <w:tcPr>
            <w:tcW w:w="740" w:type="dxa"/>
          </w:tcPr>
          <w:p w14:paraId="67C906E4" w14:textId="77777777" w:rsidR="007976CE" w:rsidRPr="00853EB9" w:rsidRDefault="007976CE" w:rsidP="00797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1%</w:t>
            </w:r>
          </w:p>
        </w:tc>
        <w:tc>
          <w:tcPr>
            <w:tcW w:w="1674" w:type="dxa"/>
          </w:tcPr>
          <w:p w14:paraId="261A3631" w14:textId="77777777" w:rsidR="007976CE" w:rsidRPr="00853EB9" w:rsidRDefault="007976CE" w:rsidP="00797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-647</w:t>
            </w:r>
          </w:p>
        </w:tc>
        <w:tc>
          <w:tcPr>
            <w:tcW w:w="931" w:type="dxa"/>
          </w:tcPr>
          <w:p w14:paraId="569DB5B7" w14:textId="77777777" w:rsidR="007976CE" w:rsidRPr="00853EB9" w:rsidRDefault="007976CE" w:rsidP="00797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-11%</w:t>
            </w:r>
          </w:p>
        </w:tc>
      </w:tr>
      <w:tr w:rsidR="007976CE" w:rsidRPr="00853EB9" w14:paraId="7BF93ECA" w14:textId="77777777" w:rsidTr="007976CE">
        <w:trPr>
          <w:trHeight w:val="104"/>
          <w:jc w:val="center"/>
        </w:trPr>
        <w:tc>
          <w:tcPr>
            <w:cnfStyle w:val="001000000000" w:firstRow="0" w:lastRow="0" w:firstColumn="1" w:lastColumn="0" w:oddVBand="0" w:evenVBand="0" w:oddHBand="0" w:evenHBand="0" w:firstRowFirstColumn="0" w:firstRowLastColumn="0" w:lastRowFirstColumn="0" w:lastRowLastColumn="0"/>
            <w:tcW w:w="4109" w:type="dxa"/>
          </w:tcPr>
          <w:p w14:paraId="6E398A78" w14:textId="77777777" w:rsidR="007976CE" w:rsidRPr="00853EB9" w:rsidRDefault="007976CE" w:rsidP="007976CE">
            <w:pPr>
              <w:jc w:val="center"/>
              <w:rPr>
                <w:rFonts w:asciiTheme="minorHAnsi" w:hAnsiTheme="minorHAnsi" w:cstheme="minorHAnsi"/>
                <w:b w:val="0"/>
                <w:sz w:val="18"/>
                <w:szCs w:val="18"/>
              </w:rPr>
            </w:pPr>
            <w:r w:rsidRPr="00853EB9">
              <w:rPr>
                <w:rFonts w:asciiTheme="minorHAnsi" w:hAnsiTheme="minorHAnsi" w:cstheme="minorHAnsi"/>
                <w:b w:val="0"/>
                <w:sz w:val="18"/>
                <w:szCs w:val="18"/>
              </w:rPr>
              <w:t>Karburante Import</w:t>
            </w:r>
          </w:p>
        </w:tc>
        <w:tc>
          <w:tcPr>
            <w:tcW w:w="1110" w:type="dxa"/>
          </w:tcPr>
          <w:p w14:paraId="308203B9" w14:textId="77777777" w:rsidR="007976CE" w:rsidRPr="00853EB9" w:rsidRDefault="007976CE" w:rsidP="007976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Ton </w:t>
            </w:r>
          </w:p>
        </w:tc>
        <w:tc>
          <w:tcPr>
            <w:tcW w:w="951" w:type="dxa"/>
          </w:tcPr>
          <w:p w14:paraId="06D599DE" w14:textId="77777777" w:rsidR="007976CE" w:rsidRPr="00853EB9" w:rsidRDefault="007976CE" w:rsidP="007976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14,560</w:t>
            </w:r>
          </w:p>
        </w:tc>
        <w:tc>
          <w:tcPr>
            <w:tcW w:w="740" w:type="dxa"/>
          </w:tcPr>
          <w:p w14:paraId="4B7C7BF7" w14:textId="77777777" w:rsidR="007976CE" w:rsidRPr="00853EB9" w:rsidRDefault="007976CE" w:rsidP="007976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-7%</w:t>
            </w:r>
          </w:p>
        </w:tc>
        <w:tc>
          <w:tcPr>
            <w:tcW w:w="1674" w:type="dxa"/>
          </w:tcPr>
          <w:p w14:paraId="01AC93EB" w14:textId="77777777" w:rsidR="007976CE" w:rsidRPr="00853EB9" w:rsidRDefault="007976CE" w:rsidP="007976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-613</w:t>
            </w:r>
          </w:p>
        </w:tc>
        <w:tc>
          <w:tcPr>
            <w:tcW w:w="931" w:type="dxa"/>
          </w:tcPr>
          <w:p w14:paraId="54B34209" w14:textId="77777777" w:rsidR="007976CE" w:rsidRPr="00853EB9" w:rsidRDefault="007976CE" w:rsidP="007976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-7%</w:t>
            </w:r>
          </w:p>
        </w:tc>
      </w:tr>
      <w:tr w:rsidR="007976CE" w:rsidRPr="00853EB9" w14:paraId="47799D50" w14:textId="77777777" w:rsidTr="007976CE">
        <w:trPr>
          <w:cnfStyle w:val="000000100000" w:firstRow="0" w:lastRow="0" w:firstColumn="0" w:lastColumn="0" w:oddVBand="0" w:evenVBand="0" w:oddHBand="1" w:evenHBand="0" w:firstRowFirstColumn="0" w:firstRowLastColumn="0" w:lastRowFirstColumn="0" w:lastRowLastColumn="0"/>
          <w:trHeight w:val="152"/>
          <w:jc w:val="center"/>
        </w:trPr>
        <w:tc>
          <w:tcPr>
            <w:cnfStyle w:val="001000000000" w:firstRow="0" w:lastRow="0" w:firstColumn="1" w:lastColumn="0" w:oddVBand="0" w:evenVBand="0" w:oddHBand="0" w:evenHBand="0" w:firstRowFirstColumn="0" w:firstRowLastColumn="0" w:lastRowFirstColumn="0" w:lastRowLastColumn="0"/>
            <w:tcW w:w="4109" w:type="dxa"/>
          </w:tcPr>
          <w:p w14:paraId="23EAD554" w14:textId="77777777" w:rsidR="007976CE" w:rsidRPr="00853EB9" w:rsidRDefault="007976CE" w:rsidP="007976CE">
            <w:pPr>
              <w:jc w:val="center"/>
              <w:rPr>
                <w:rFonts w:asciiTheme="minorHAnsi" w:hAnsiTheme="minorHAnsi" w:cstheme="minorHAnsi"/>
                <w:b w:val="0"/>
                <w:sz w:val="18"/>
                <w:szCs w:val="18"/>
              </w:rPr>
            </w:pPr>
            <w:r w:rsidRPr="00853EB9">
              <w:rPr>
                <w:rFonts w:asciiTheme="minorHAnsi" w:hAnsiTheme="minorHAnsi" w:cstheme="minorHAnsi"/>
                <w:b w:val="0"/>
                <w:sz w:val="18"/>
                <w:szCs w:val="18"/>
              </w:rPr>
              <w:t>Dhjamra dhe Vajra shtazore dhe vegjetale</w:t>
            </w:r>
          </w:p>
        </w:tc>
        <w:tc>
          <w:tcPr>
            <w:tcW w:w="1110" w:type="dxa"/>
          </w:tcPr>
          <w:p w14:paraId="0306BA6E" w14:textId="77777777" w:rsidR="007976CE" w:rsidRPr="00853EB9" w:rsidRDefault="007976CE" w:rsidP="00797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Ton </w:t>
            </w:r>
          </w:p>
        </w:tc>
        <w:tc>
          <w:tcPr>
            <w:tcW w:w="951" w:type="dxa"/>
          </w:tcPr>
          <w:p w14:paraId="342AC94E" w14:textId="77777777" w:rsidR="007976CE" w:rsidRPr="00853EB9" w:rsidRDefault="007976CE" w:rsidP="00797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-4,801</w:t>
            </w:r>
          </w:p>
        </w:tc>
        <w:tc>
          <w:tcPr>
            <w:tcW w:w="740" w:type="dxa"/>
          </w:tcPr>
          <w:p w14:paraId="687989C8" w14:textId="77777777" w:rsidR="007976CE" w:rsidRPr="00853EB9" w:rsidRDefault="007976CE" w:rsidP="00797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-31%</w:t>
            </w:r>
          </w:p>
        </w:tc>
        <w:tc>
          <w:tcPr>
            <w:tcW w:w="1674" w:type="dxa"/>
          </w:tcPr>
          <w:p w14:paraId="19A7A356" w14:textId="77777777" w:rsidR="007976CE" w:rsidRPr="00853EB9" w:rsidRDefault="007976CE" w:rsidP="00797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-332</w:t>
            </w:r>
          </w:p>
        </w:tc>
        <w:tc>
          <w:tcPr>
            <w:tcW w:w="931" w:type="dxa"/>
          </w:tcPr>
          <w:p w14:paraId="4F31E060" w14:textId="77777777" w:rsidR="007976CE" w:rsidRPr="00853EB9" w:rsidRDefault="007976CE" w:rsidP="00797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-48%</w:t>
            </w:r>
          </w:p>
        </w:tc>
      </w:tr>
      <w:tr w:rsidR="007976CE" w:rsidRPr="00853EB9" w14:paraId="4143E8CD" w14:textId="77777777" w:rsidTr="007976CE">
        <w:trPr>
          <w:trHeight w:val="201"/>
          <w:jc w:val="center"/>
        </w:trPr>
        <w:tc>
          <w:tcPr>
            <w:cnfStyle w:val="001000000000" w:firstRow="0" w:lastRow="0" w:firstColumn="1" w:lastColumn="0" w:oddVBand="0" w:evenVBand="0" w:oddHBand="0" w:evenHBand="0" w:firstRowFirstColumn="0" w:firstRowLastColumn="0" w:lastRowFirstColumn="0" w:lastRowLastColumn="0"/>
            <w:tcW w:w="4109" w:type="dxa"/>
          </w:tcPr>
          <w:p w14:paraId="1F94E91F" w14:textId="77777777" w:rsidR="007976CE" w:rsidRPr="00853EB9" w:rsidRDefault="007976CE" w:rsidP="007976CE">
            <w:pPr>
              <w:jc w:val="center"/>
              <w:rPr>
                <w:rFonts w:asciiTheme="minorHAnsi" w:hAnsiTheme="minorHAnsi" w:cstheme="minorHAnsi"/>
                <w:b w:val="0"/>
                <w:sz w:val="18"/>
                <w:szCs w:val="18"/>
              </w:rPr>
            </w:pPr>
            <w:r w:rsidRPr="00853EB9">
              <w:rPr>
                <w:rFonts w:asciiTheme="minorHAnsi" w:hAnsiTheme="minorHAnsi" w:cstheme="minorHAnsi"/>
                <w:b w:val="0"/>
                <w:sz w:val="18"/>
                <w:szCs w:val="18"/>
              </w:rPr>
              <w:t>Gaz i lëngët</w:t>
            </w:r>
          </w:p>
        </w:tc>
        <w:tc>
          <w:tcPr>
            <w:tcW w:w="1110" w:type="dxa"/>
          </w:tcPr>
          <w:p w14:paraId="2EC002AF" w14:textId="77777777" w:rsidR="007976CE" w:rsidRPr="00853EB9" w:rsidRDefault="007976CE" w:rsidP="007976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Ton</w:t>
            </w:r>
          </w:p>
        </w:tc>
        <w:tc>
          <w:tcPr>
            <w:tcW w:w="951" w:type="dxa"/>
          </w:tcPr>
          <w:p w14:paraId="1733C4CD" w14:textId="77777777" w:rsidR="007976CE" w:rsidRPr="00853EB9" w:rsidRDefault="007976CE" w:rsidP="007976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6,330</w:t>
            </w:r>
          </w:p>
        </w:tc>
        <w:tc>
          <w:tcPr>
            <w:tcW w:w="740" w:type="dxa"/>
          </w:tcPr>
          <w:p w14:paraId="38119C0E" w14:textId="77777777" w:rsidR="007976CE" w:rsidRPr="00853EB9" w:rsidRDefault="007976CE" w:rsidP="007976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-10%</w:t>
            </w:r>
          </w:p>
        </w:tc>
        <w:tc>
          <w:tcPr>
            <w:tcW w:w="1674" w:type="dxa"/>
          </w:tcPr>
          <w:p w14:paraId="169C85AD" w14:textId="77777777" w:rsidR="007976CE" w:rsidRPr="00853EB9" w:rsidRDefault="007976CE" w:rsidP="007976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-303</w:t>
            </w:r>
          </w:p>
        </w:tc>
        <w:tc>
          <w:tcPr>
            <w:tcW w:w="931" w:type="dxa"/>
          </w:tcPr>
          <w:p w14:paraId="0DC1075B" w14:textId="77777777" w:rsidR="007976CE" w:rsidRPr="00853EB9" w:rsidRDefault="007976CE" w:rsidP="007976CE">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-19%</w:t>
            </w:r>
          </w:p>
        </w:tc>
      </w:tr>
      <w:tr w:rsidR="007976CE" w:rsidRPr="00853EB9" w14:paraId="50D7CA63" w14:textId="77777777" w:rsidTr="007976CE">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4109" w:type="dxa"/>
          </w:tcPr>
          <w:p w14:paraId="6546E9E5" w14:textId="77777777" w:rsidR="007976CE" w:rsidRPr="00853EB9" w:rsidRDefault="007976CE" w:rsidP="007976CE">
            <w:pPr>
              <w:jc w:val="center"/>
              <w:rPr>
                <w:rFonts w:asciiTheme="minorHAnsi" w:hAnsiTheme="minorHAnsi" w:cstheme="minorHAnsi"/>
                <w:b w:val="0"/>
                <w:sz w:val="18"/>
                <w:szCs w:val="18"/>
              </w:rPr>
            </w:pPr>
          </w:p>
        </w:tc>
        <w:tc>
          <w:tcPr>
            <w:tcW w:w="1110" w:type="dxa"/>
          </w:tcPr>
          <w:p w14:paraId="6C87E5D5" w14:textId="77777777" w:rsidR="007976CE" w:rsidRPr="00853EB9" w:rsidRDefault="007976CE" w:rsidP="00797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w:t>
            </w:r>
          </w:p>
        </w:tc>
        <w:tc>
          <w:tcPr>
            <w:tcW w:w="951" w:type="dxa"/>
          </w:tcPr>
          <w:p w14:paraId="34890EF2" w14:textId="77777777" w:rsidR="007976CE" w:rsidRPr="00853EB9" w:rsidRDefault="007976CE" w:rsidP="00797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w:t>
            </w:r>
          </w:p>
        </w:tc>
        <w:tc>
          <w:tcPr>
            <w:tcW w:w="740" w:type="dxa"/>
          </w:tcPr>
          <w:p w14:paraId="090F296B" w14:textId="77777777" w:rsidR="007976CE" w:rsidRPr="00853EB9" w:rsidRDefault="007976CE" w:rsidP="00797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w:t>
            </w:r>
          </w:p>
        </w:tc>
        <w:tc>
          <w:tcPr>
            <w:tcW w:w="1674" w:type="dxa"/>
          </w:tcPr>
          <w:p w14:paraId="25B496A2" w14:textId="77777777" w:rsidR="007976CE" w:rsidRPr="00853EB9" w:rsidRDefault="007976CE" w:rsidP="00797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xml:space="preserve">               </w:t>
            </w:r>
            <w:r w:rsidRPr="00853EB9">
              <w:rPr>
                <w:rFonts w:asciiTheme="minorHAnsi" w:hAnsiTheme="minorHAnsi" w:cstheme="minorHAnsi"/>
                <w:b/>
                <w:sz w:val="18"/>
                <w:szCs w:val="18"/>
              </w:rPr>
              <w:t>-3,610</w:t>
            </w:r>
          </w:p>
        </w:tc>
        <w:tc>
          <w:tcPr>
            <w:tcW w:w="931" w:type="dxa"/>
          </w:tcPr>
          <w:p w14:paraId="1C039780" w14:textId="77777777" w:rsidR="007976CE" w:rsidRPr="00853EB9" w:rsidRDefault="007976CE" w:rsidP="007976CE">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853EB9">
              <w:rPr>
                <w:rFonts w:asciiTheme="minorHAnsi" w:hAnsiTheme="minorHAnsi" w:cstheme="minorHAnsi"/>
                <w:sz w:val="18"/>
                <w:szCs w:val="18"/>
              </w:rPr>
              <w:t> </w:t>
            </w:r>
          </w:p>
        </w:tc>
      </w:tr>
    </w:tbl>
    <w:p w14:paraId="017C1D59" w14:textId="77777777" w:rsidR="0034657E" w:rsidRDefault="00193978" w:rsidP="0034657E">
      <w:pPr>
        <w:tabs>
          <w:tab w:val="left" w:pos="810"/>
          <w:tab w:val="center" w:pos="4680"/>
          <w:tab w:val="left" w:pos="9360"/>
        </w:tabs>
        <w:spacing w:line="276" w:lineRule="auto"/>
        <w:rPr>
          <w:rFonts w:asciiTheme="minorHAnsi" w:hAnsiTheme="minorHAnsi"/>
          <w:i/>
          <w:sz w:val="20"/>
          <w:szCs w:val="20"/>
          <w:lang w:val="sq-AL"/>
        </w:rPr>
      </w:pPr>
      <w:r>
        <w:rPr>
          <w:rFonts w:asciiTheme="minorHAnsi" w:hAnsiTheme="minorHAnsi"/>
          <w:i/>
          <w:sz w:val="20"/>
          <w:szCs w:val="20"/>
          <w:lang w:val="sq-AL"/>
        </w:rPr>
        <w:t>Burimi: Ministria e Financave dhe Ekonomisë (2023)</w:t>
      </w:r>
    </w:p>
    <w:p w14:paraId="117E8998" w14:textId="77777777" w:rsidR="007D5528" w:rsidRPr="007D5528" w:rsidRDefault="007D5528" w:rsidP="0034657E">
      <w:pPr>
        <w:tabs>
          <w:tab w:val="left" w:pos="810"/>
          <w:tab w:val="center" w:pos="4680"/>
          <w:tab w:val="left" w:pos="9360"/>
        </w:tabs>
        <w:spacing w:line="276" w:lineRule="auto"/>
        <w:rPr>
          <w:rFonts w:asciiTheme="minorHAnsi" w:hAnsiTheme="minorHAnsi"/>
          <w:i/>
          <w:sz w:val="8"/>
          <w:szCs w:val="20"/>
          <w:lang w:val="sq-AL"/>
        </w:rPr>
      </w:pPr>
    </w:p>
    <w:p w14:paraId="3E7150C8" w14:textId="77777777" w:rsidR="0034657E" w:rsidRPr="007976CE" w:rsidRDefault="007976CE" w:rsidP="007976CE">
      <w:pPr>
        <w:spacing w:line="276" w:lineRule="auto"/>
        <w:jc w:val="both"/>
        <w:rPr>
          <w:rFonts w:asciiTheme="minorHAnsi" w:hAnsiTheme="minorHAnsi" w:cstheme="minorHAnsi"/>
          <w:color w:val="000000" w:themeColor="text1"/>
        </w:rPr>
      </w:pPr>
      <w:r w:rsidRPr="00853EB9">
        <w:rPr>
          <w:rFonts w:asciiTheme="minorHAnsi" w:hAnsiTheme="minorHAnsi" w:cstheme="minorHAnsi"/>
          <w:i/>
        </w:rPr>
        <w:t>Të ardhurat nga renta minerare</w:t>
      </w:r>
      <w:r w:rsidRPr="00853EB9">
        <w:rPr>
          <w:rFonts w:asciiTheme="minorHAnsi" w:hAnsiTheme="minorHAnsi" w:cstheme="minorHAnsi"/>
        </w:rPr>
        <w:t xml:space="preserve"> në eksport janë realizuar në vlerën 1.3 miliardë lekë, -30.2% krahasuar me vitin 2022, dhe mosrealizim 32.8% kundrejt planit ose -642 milionë lekë më pak.</w:t>
      </w:r>
      <w:r w:rsidRPr="00853EB9">
        <w:rPr>
          <w:rFonts w:asciiTheme="minorHAnsi" w:hAnsiTheme="minorHAnsi" w:cstheme="minorHAnsi"/>
          <w:lang w:val="it-IT"/>
        </w:rPr>
        <w:t xml:space="preserve"> </w:t>
      </w:r>
      <w:r w:rsidRPr="00853EB9">
        <w:rPr>
          <w:rFonts w:asciiTheme="minorHAnsi" w:hAnsiTheme="minorHAnsi" w:cstheme="minorHAnsi"/>
          <w:color w:val="000000" w:themeColor="text1"/>
        </w:rPr>
        <w:t>Të ardhurat nga renta minerare për naftën bruto janë ulur me 332 milionë lekë krahasuar me vitin e kaluar.Ulja e të ardhurave të rentës nga nafta bruto ka ardhur si rrjedhojë e uljes së çmimit në tregjet ndërkombetare ku efekti si rezultat i uljes së çmimit në tregjet ndërkombetare për 5 mujorin e vitit 2022 është 321 milionë lekë. Rënia e sasisë së eksportuar e naftes bruto ka sjelle efekt prej 10,7 milionë lekë ose 0.8% më pak se viti i kaluar. Gjatë 5 mujorit 2023 kemi një ulje të rentës për njësi nga 5.39 lekë/ton në 4.08 lekë/ton. Ndërkohë, të ardhurat nga mineralet e eksportuara kanë pësuar ulje në masën 238 milionë lekë për shkak të uljes së çmimit të mineraleve të eksportuara krahasuar me 5 mujorin e vitit 2022, dhe rritjes së eksportuar me 13.8 ton ose 1.8% më shumë se viti 2022</w:t>
      </w:r>
      <w:r w:rsidR="0034657E" w:rsidRPr="001A789B">
        <w:rPr>
          <w:rFonts w:asciiTheme="minorHAnsi" w:hAnsiTheme="minorHAnsi" w:cstheme="minorHAnsi"/>
          <w:color w:val="000000" w:themeColor="text1"/>
        </w:rPr>
        <w:t>.</w:t>
      </w:r>
    </w:p>
    <w:p w14:paraId="1C34CF5B" w14:textId="256DBC8A" w:rsidR="0034657E" w:rsidRPr="00900B3D" w:rsidRDefault="001D7392" w:rsidP="007976CE">
      <w:pPr>
        <w:pStyle w:val="Caption"/>
        <w:spacing w:before="120" w:after="0"/>
        <w:rPr>
          <w:rFonts w:asciiTheme="minorHAnsi" w:hAnsiTheme="minorHAnsi"/>
          <w:b w:val="0"/>
          <w:bCs w:val="0"/>
          <w:i/>
          <w:color w:val="auto"/>
          <w:sz w:val="22"/>
          <w:szCs w:val="24"/>
          <w:lang w:val="sq-AL"/>
        </w:rPr>
      </w:pPr>
      <w:bookmarkStart w:id="25" w:name="_Toc12449193"/>
      <w:bookmarkStart w:id="26" w:name="_Toc107496742"/>
      <w:r w:rsidRPr="001D7392">
        <w:rPr>
          <w:rFonts w:asciiTheme="minorHAnsi" w:hAnsiTheme="minorHAnsi"/>
          <w:b w:val="0"/>
          <w:bCs w:val="0"/>
          <w:i/>
          <w:color w:val="auto"/>
          <w:sz w:val="22"/>
          <w:szCs w:val="24"/>
          <w:lang w:val="sq-AL"/>
        </w:rPr>
        <w:t xml:space="preserve">Tabela </w:t>
      </w:r>
      <w:r w:rsidRPr="001D7392">
        <w:rPr>
          <w:rFonts w:asciiTheme="minorHAnsi" w:hAnsiTheme="minorHAnsi"/>
          <w:b w:val="0"/>
          <w:bCs w:val="0"/>
          <w:i/>
          <w:color w:val="auto"/>
          <w:sz w:val="22"/>
          <w:szCs w:val="24"/>
          <w:lang w:val="sq-AL"/>
        </w:rPr>
        <w:fldChar w:fldCharType="begin"/>
      </w:r>
      <w:r w:rsidRPr="001D7392">
        <w:rPr>
          <w:rFonts w:asciiTheme="minorHAnsi" w:hAnsiTheme="minorHAnsi"/>
          <w:b w:val="0"/>
          <w:bCs w:val="0"/>
          <w:i/>
          <w:color w:val="auto"/>
          <w:sz w:val="22"/>
          <w:szCs w:val="24"/>
          <w:lang w:val="sq-AL"/>
        </w:rPr>
        <w:instrText xml:space="preserve"> SEQ Tabela \* ARABIC </w:instrText>
      </w:r>
      <w:r w:rsidRPr="001D7392">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6</w:t>
      </w:r>
      <w:r w:rsidRPr="001D7392">
        <w:rPr>
          <w:rFonts w:asciiTheme="minorHAnsi" w:hAnsiTheme="minorHAnsi"/>
          <w:b w:val="0"/>
          <w:bCs w:val="0"/>
          <w:i/>
          <w:color w:val="auto"/>
          <w:sz w:val="22"/>
          <w:szCs w:val="24"/>
          <w:lang w:val="sq-AL"/>
        </w:rPr>
        <w:fldChar w:fldCharType="end"/>
      </w:r>
      <w:r w:rsidR="0034657E" w:rsidRPr="001D7392">
        <w:rPr>
          <w:rFonts w:asciiTheme="minorHAnsi" w:hAnsiTheme="minorHAnsi"/>
          <w:b w:val="0"/>
          <w:bCs w:val="0"/>
          <w:i/>
          <w:color w:val="auto"/>
          <w:sz w:val="22"/>
          <w:szCs w:val="24"/>
          <w:lang w:val="sq-AL"/>
        </w:rPr>
        <w:t xml:space="preserve">  : Të dhëna për Rentën Minerare, naftë bruto dhe minerale të tjera (në milionë lekë)</w:t>
      </w:r>
      <w:bookmarkEnd w:id="25"/>
      <w:bookmarkEnd w:id="26"/>
    </w:p>
    <w:tbl>
      <w:tblPr>
        <w:tblStyle w:val="GridTable4-Accent52"/>
        <w:tblW w:w="4977" w:type="pct"/>
        <w:jc w:val="center"/>
        <w:tblLayout w:type="fixed"/>
        <w:tblLook w:val="0600" w:firstRow="0" w:lastRow="0" w:firstColumn="0" w:lastColumn="0" w:noHBand="1" w:noVBand="1"/>
      </w:tblPr>
      <w:tblGrid>
        <w:gridCol w:w="1417"/>
        <w:gridCol w:w="670"/>
        <w:gridCol w:w="707"/>
        <w:gridCol w:w="850"/>
        <w:gridCol w:w="13"/>
        <w:gridCol w:w="705"/>
        <w:gridCol w:w="843"/>
        <w:gridCol w:w="711"/>
        <w:gridCol w:w="709"/>
        <w:gridCol w:w="850"/>
        <w:gridCol w:w="567"/>
        <w:gridCol w:w="285"/>
        <w:gridCol w:w="571"/>
        <w:gridCol w:w="678"/>
      </w:tblGrid>
      <w:tr w:rsidR="007976CE" w:rsidRPr="007976CE" w14:paraId="3C9E760A" w14:textId="77777777" w:rsidTr="007976CE">
        <w:trPr>
          <w:trHeight w:val="52"/>
          <w:jc w:val="center"/>
        </w:trPr>
        <w:tc>
          <w:tcPr>
            <w:tcW w:w="740" w:type="pct"/>
            <w:vMerge w:val="restart"/>
            <w:shd w:val="clear" w:color="auto" w:fill="92CDDC" w:themeFill="accent5" w:themeFillTint="99"/>
            <w:hideMark/>
          </w:tcPr>
          <w:p w14:paraId="310384D1" w14:textId="77777777" w:rsidR="007976CE" w:rsidRPr="007976CE" w:rsidRDefault="007976CE" w:rsidP="007976CE">
            <w:pPr>
              <w:tabs>
                <w:tab w:val="left" w:pos="2511"/>
                <w:tab w:val="center" w:pos="4680"/>
              </w:tabs>
              <w:spacing w:line="276" w:lineRule="auto"/>
              <w:jc w:val="center"/>
              <w:rPr>
                <w:rFonts w:asciiTheme="minorHAnsi" w:hAnsiTheme="minorHAnsi" w:cstheme="minorHAnsi"/>
                <w:sz w:val="18"/>
                <w:szCs w:val="18"/>
              </w:rPr>
            </w:pPr>
          </w:p>
        </w:tc>
        <w:tc>
          <w:tcPr>
            <w:tcW w:w="1538" w:type="pct"/>
            <w:gridSpan w:val="5"/>
            <w:shd w:val="clear" w:color="auto" w:fill="92CDDC" w:themeFill="accent5" w:themeFillTint="99"/>
            <w:hideMark/>
          </w:tcPr>
          <w:p w14:paraId="6F0B0696" w14:textId="77777777" w:rsidR="007976CE" w:rsidRPr="007976CE" w:rsidRDefault="007976CE" w:rsidP="007976CE">
            <w:pPr>
              <w:tabs>
                <w:tab w:val="left" w:pos="2511"/>
                <w:tab w:val="center" w:pos="4680"/>
              </w:tabs>
              <w:spacing w:line="276" w:lineRule="auto"/>
              <w:jc w:val="center"/>
              <w:rPr>
                <w:rFonts w:asciiTheme="minorHAnsi" w:hAnsiTheme="minorHAnsi" w:cstheme="minorHAnsi"/>
                <w:sz w:val="18"/>
                <w:szCs w:val="18"/>
              </w:rPr>
            </w:pPr>
            <w:r w:rsidRPr="007976CE">
              <w:rPr>
                <w:rFonts w:asciiTheme="minorHAnsi" w:hAnsiTheme="minorHAnsi" w:cstheme="minorHAnsi"/>
                <w:bCs/>
                <w:iCs/>
                <w:sz w:val="18"/>
                <w:szCs w:val="18"/>
              </w:rPr>
              <w:t>Sasia në mijë ton</w:t>
            </w:r>
          </w:p>
        </w:tc>
        <w:tc>
          <w:tcPr>
            <w:tcW w:w="1624" w:type="pct"/>
            <w:gridSpan w:val="4"/>
            <w:shd w:val="clear" w:color="auto" w:fill="92CDDC" w:themeFill="accent5" w:themeFillTint="99"/>
            <w:hideMark/>
          </w:tcPr>
          <w:p w14:paraId="15089F55" w14:textId="77777777" w:rsidR="007976CE" w:rsidRPr="007976CE" w:rsidRDefault="007976CE" w:rsidP="007976CE">
            <w:pPr>
              <w:tabs>
                <w:tab w:val="left" w:pos="2511"/>
                <w:tab w:val="center" w:pos="4680"/>
              </w:tabs>
              <w:spacing w:line="276" w:lineRule="auto"/>
              <w:jc w:val="center"/>
              <w:rPr>
                <w:rFonts w:asciiTheme="minorHAnsi" w:hAnsiTheme="minorHAnsi" w:cstheme="minorHAnsi"/>
                <w:sz w:val="18"/>
                <w:szCs w:val="18"/>
              </w:rPr>
            </w:pPr>
            <w:r w:rsidRPr="007976CE">
              <w:rPr>
                <w:rFonts w:asciiTheme="minorHAnsi" w:hAnsiTheme="minorHAnsi" w:cstheme="minorHAnsi"/>
                <w:bCs/>
                <w:iCs/>
                <w:sz w:val="18"/>
                <w:szCs w:val="18"/>
              </w:rPr>
              <w:t>Të ardhura nga Renta në mijë lekë</w:t>
            </w:r>
          </w:p>
        </w:tc>
        <w:tc>
          <w:tcPr>
            <w:tcW w:w="1098" w:type="pct"/>
            <w:gridSpan w:val="4"/>
            <w:shd w:val="clear" w:color="auto" w:fill="92CDDC" w:themeFill="accent5" w:themeFillTint="99"/>
            <w:hideMark/>
          </w:tcPr>
          <w:p w14:paraId="06D536A8" w14:textId="77777777" w:rsidR="007976CE" w:rsidRPr="007976CE" w:rsidRDefault="007976CE" w:rsidP="007976CE">
            <w:pPr>
              <w:tabs>
                <w:tab w:val="left" w:pos="2511"/>
                <w:tab w:val="center" w:pos="4680"/>
              </w:tabs>
              <w:spacing w:line="276" w:lineRule="auto"/>
              <w:rPr>
                <w:rFonts w:asciiTheme="minorHAnsi" w:hAnsiTheme="minorHAnsi" w:cstheme="minorHAnsi"/>
                <w:sz w:val="18"/>
                <w:szCs w:val="18"/>
              </w:rPr>
            </w:pPr>
            <w:r>
              <w:rPr>
                <w:rFonts w:asciiTheme="minorHAnsi" w:hAnsiTheme="minorHAnsi" w:cstheme="minorHAnsi"/>
                <w:bCs/>
                <w:iCs/>
                <w:sz w:val="18"/>
                <w:szCs w:val="18"/>
              </w:rPr>
              <w:t xml:space="preserve">           </w:t>
            </w:r>
            <w:r w:rsidRPr="007976CE">
              <w:rPr>
                <w:rFonts w:asciiTheme="minorHAnsi" w:hAnsiTheme="minorHAnsi" w:cstheme="minorHAnsi"/>
                <w:bCs/>
                <w:iCs/>
                <w:sz w:val="18"/>
                <w:szCs w:val="18"/>
              </w:rPr>
              <w:t>Efektet</w:t>
            </w:r>
          </w:p>
        </w:tc>
      </w:tr>
      <w:tr w:rsidR="007976CE" w:rsidRPr="007976CE" w14:paraId="382F4E2F" w14:textId="77777777" w:rsidTr="007976CE">
        <w:trPr>
          <w:trHeight w:val="389"/>
          <w:jc w:val="center"/>
        </w:trPr>
        <w:tc>
          <w:tcPr>
            <w:tcW w:w="740" w:type="pct"/>
            <w:vMerge/>
            <w:shd w:val="clear" w:color="auto" w:fill="92CDDC" w:themeFill="accent5" w:themeFillTint="99"/>
            <w:hideMark/>
          </w:tcPr>
          <w:p w14:paraId="26234184" w14:textId="77777777" w:rsidR="007976CE" w:rsidRPr="007976CE" w:rsidRDefault="007976CE" w:rsidP="007976CE">
            <w:pPr>
              <w:tabs>
                <w:tab w:val="left" w:pos="2511"/>
                <w:tab w:val="center" w:pos="4680"/>
              </w:tabs>
              <w:spacing w:line="276" w:lineRule="auto"/>
              <w:jc w:val="center"/>
              <w:rPr>
                <w:rFonts w:asciiTheme="minorHAnsi" w:hAnsiTheme="minorHAnsi" w:cstheme="minorHAnsi"/>
                <w:sz w:val="18"/>
                <w:szCs w:val="18"/>
              </w:rPr>
            </w:pPr>
          </w:p>
        </w:tc>
        <w:tc>
          <w:tcPr>
            <w:tcW w:w="350" w:type="pct"/>
            <w:shd w:val="clear" w:color="auto" w:fill="92CDDC" w:themeFill="accent5" w:themeFillTint="99"/>
            <w:hideMark/>
          </w:tcPr>
          <w:p w14:paraId="31951D4D" w14:textId="77777777" w:rsidR="007976CE" w:rsidRPr="007976CE" w:rsidRDefault="007976CE" w:rsidP="007976CE">
            <w:pPr>
              <w:tabs>
                <w:tab w:val="left" w:pos="2511"/>
                <w:tab w:val="center" w:pos="4680"/>
              </w:tabs>
              <w:spacing w:line="276" w:lineRule="auto"/>
              <w:jc w:val="center"/>
              <w:rPr>
                <w:rFonts w:asciiTheme="minorHAnsi" w:hAnsiTheme="minorHAnsi" w:cstheme="minorHAnsi"/>
                <w:sz w:val="18"/>
                <w:szCs w:val="18"/>
              </w:rPr>
            </w:pPr>
            <w:r w:rsidRPr="007976CE">
              <w:rPr>
                <w:rFonts w:asciiTheme="minorHAnsi" w:hAnsiTheme="minorHAnsi" w:cstheme="minorHAnsi"/>
                <w:bCs/>
                <w:iCs/>
                <w:sz w:val="18"/>
                <w:szCs w:val="18"/>
              </w:rPr>
              <w:t>2022</w:t>
            </w:r>
          </w:p>
        </w:tc>
        <w:tc>
          <w:tcPr>
            <w:tcW w:w="369" w:type="pct"/>
            <w:shd w:val="clear" w:color="auto" w:fill="92CDDC" w:themeFill="accent5" w:themeFillTint="99"/>
            <w:hideMark/>
          </w:tcPr>
          <w:p w14:paraId="4091DD3A" w14:textId="77777777" w:rsidR="007976CE" w:rsidRPr="007976CE" w:rsidRDefault="007976CE" w:rsidP="007976CE">
            <w:pPr>
              <w:tabs>
                <w:tab w:val="left" w:pos="2511"/>
                <w:tab w:val="center" w:pos="4680"/>
              </w:tabs>
              <w:spacing w:line="276" w:lineRule="auto"/>
              <w:jc w:val="center"/>
              <w:rPr>
                <w:rFonts w:asciiTheme="minorHAnsi" w:hAnsiTheme="minorHAnsi" w:cstheme="minorHAnsi"/>
                <w:sz w:val="18"/>
                <w:szCs w:val="18"/>
              </w:rPr>
            </w:pPr>
            <w:r w:rsidRPr="007976CE">
              <w:rPr>
                <w:rFonts w:asciiTheme="minorHAnsi" w:hAnsiTheme="minorHAnsi" w:cstheme="minorHAnsi"/>
                <w:bCs/>
                <w:iCs/>
                <w:sz w:val="18"/>
                <w:szCs w:val="18"/>
              </w:rPr>
              <w:t>2023</w:t>
            </w:r>
          </w:p>
        </w:tc>
        <w:tc>
          <w:tcPr>
            <w:tcW w:w="451" w:type="pct"/>
            <w:gridSpan w:val="2"/>
            <w:shd w:val="clear" w:color="auto" w:fill="92CDDC" w:themeFill="accent5" w:themeFillTint="99"/>
            <w:hideMark/>
          </w:tcPr>
          <w:p w14:paraId="36E0D423" w14:textId="77777777" w:rsidR="007976CE" w:rsidRDefault="007976CE" w:rsidP="007976CE">
            <w:pPr>
              <w:tabs>
                <w:tab w:val="left" w:pos="2511"/>
                <w:tab w:val="center" w:pos="4680"/>
              </w:tabs>
              <w:spacing w:line="276" w:lineRule="auto"/>
              <w:jc w:val="center"/>
              <w:rPr>
                <w:rFonts w:asciiTheme="minorHAnsi" w:hAnsiTheme="minorHAnsi" w:cstheme="minorHAnsi"/>
                <w:bCs/>
                <w:iCs/>
                <w:sz w:val="18"/>
                <w:szCs w:val="18"/>
              </w:rPr>
            </w:pPr>
            <w:r w:rsidRPr="007976CE">
              <w:rPr>
                <w:rFonts w:asciiTheme="minorHAnsi" w:hAnsiTheme="minorHAnsi" w:cstheme="minorHAnsi"/>
                <w:bCs/>
                <w:iCs/>
                <w:sz w:val="18"/>
                <w:szCs w:val="18"/>
              </w:rPr>
              <w:t>2023</w:t>
            </w:r>
          </w:p>
          <w:p w14:paraId="6A3702ED" w14:textId="77777777" w:rsidR="007976CE" w:rsidRDefault="007976CE" w:rsidP="007976CE">
            <w:pPr>
              <w:tabs>
                <w:tab w:val="left" w:pos="2511"/>
                <w:tab w:val="center" w:pos="4680"/>
              </w:tabs>
              <w:spacing w:line="276" w:lineRule="auto"/>
              <w:jc w:val="center"/>
              <w:rPr>
                <w:rFonts w:asciiTheme="minorHAnsi" w:hAnsiTheme="minorHAnsi" w:cstheme="minorHAnsi"/>
                <w:bCs/>
                <w:iCs/>
                <w:sz w:val="18"/>
                <w:szCs w:val="18"/>
              </w:rPr>
            </w:pPr>
            <w:r w:rsidRPr="007976CE">
              <w:rPr>
                <w:rFonts w:asciiTheme="minorHAnsi" w:hAnsiTheme="minorHAnsi" w:cstheme="minorHAnsi"/>
                <w:bCs/>
                <w:iCs/>
                <w:sz w:val="18"/>
                <w:szCs w:val="18"/>
              </w:rPr>
              <w:t>/</w:t>
            </w:r>
          </w:p>
          <w:p w14:paraId="5B78317C" w14:textId="77777777" w:rsidR="007976CE" w:rsidRPr="007976CE" w:rsidRDefault="007976CE" w:rsidP="007976CE">
            <w:pPr>
              <w:tabs>
                <w:tab w:val="left" w:pos="2511"/>
                <w:tab w:val="center" w:pos="4680"/>
              </w:tabs>
              <w:spacing w:line="276" w:lineRule="auto"/>
              <w:jc w:val="center"/>
              <w:rPr>
                <w:rFonts w:asciiTheme="minorHAnsi" w:hAnsiTheme="minorHAnsi" w:cstheme="minorHAnsi"/>
                <w:bCs/>
                <w:iCs/>
                <w:sz w:val="18"/>
                <w:szCs w:val="18"/>
              </w:rPr>
            </w:pPr>
            <w:r w:rsidRPr="007976CE">
              <w:rPr>
                <w:rFonts w:asciiTheme="minorHAnsi" w:hAnsiTheme="minorHAnsi" w:cstheme="minorHAnsi"/>
                <w:bCs/>
                <w:iCs/>
                <w:sz w:val="18"/>
                <w:szCs w:val="18"/>
              </w:rPr>
              <w:t>2022</w:t>
            </w:r>
          </w:p>
        </w:tc>
        <w:tc>
          <w:tcPr>
            <w:tcW w:w="368" w:type="pct"/>
            <w:shd w:val="clear" w:color="auto" w:fill="92CDDC" w:themeFill="accent5" w:themeFillTint="99"/>
            <w:hideMark/>
          </w:tcPr>
          <w:p w14:paraId="2D0F57C3" w14:textId="77777777" w:rsidR="007976CE" w:rsidRPr="007976CE" w:rsidRDefault="007976CE" w:rsidP="007976CE">
            <w:pPr>
              <w:tabs>
                <w:tab w:val="left" w:pos="2511"/>
                <w:tab w:val="center" w:pos="4680"/>
              </w:tabs>
              <w:spacing w:line="276" w:lineRule="auto"/>
              <w:jc w:val="center"/>
              <w:rPr>
                <w:rFonts w:asciiTheme="minorHAnsi" w:hAnsiTheme="minorHAnsi" w:cstheme="minorHAnsi"/>
                <w:sz w:val="18"/>
                <w:szCs w:val="18"/>
              </w:rPr>
            </w:pPr>
            <w:r w:rsidRPr="007976CE">
              <w:rPr>
                <w:rFonts w:asciiTheme="minorHAnsi" w:hAnsiTheme="minorHAnsi" w:cstheme="minorHAnsi"/>
                <w:bCs/>
                <w:iCs/>
                <w:sz w:val="18"/>
                <w:szCs w:val="18"/>
              </w:rPr>
              <w:t>në %</w:t>
            </w:r>
          </w:p>
        </w:tc>
        <w:tc>
          <w:tcPr>
            <w:tcW w:w="440" w:type="pct"/>
            <w:shd w:val="clear" w:color="auto" w:fill="92CDDC" w:themeFill="accent5" w:themeFillTint="99"/>
            <w:hideMark/>
          </w:tcPr>
          <w:p w14:paraId="40A69507" w14:textId="77777777" w:rsidR="007976CE" w:rsidRPr="007976CE" w:rsidRDefault="007976CE" w:rsidP="007976CE">
            <w:pPr>
              <w:tabs>
                <w:tab w:val="left" w:pos="2511"/>
                <w:tab w:val="center" w:pos="4680"/>
              </w:tabs>
              <w:spacing w:line="276" w:lineRule="auto"/>
              <w:jc w:val="center"/>
              <w:rPr>
                <w:rFonts w:asciiTheme="minorHAnsi" w:hAnsiTheme="minorHAnsi" w:cstheme="minorHAnsi"/>
                <w:sz w:val="18"/>
                <w:szCs w:val="18"/>
              </w:rPr>
            </w:pPr>
            <w:r w:rsidRPr="007976CE">
              <w:rPr>
                <w:rFonts w:asciiTheme="minorHAnsi" w:hAnsiTheme="minorHAnsi" w:cstheme="minorHAnsi"/>
                <w:bCs/>
                <w:iCs/>
                <w:sz w:val="18"/>
                <w:szCs w:val="18"/>
              </w:rPr>
              <w:t>2022</w:t>
            </w:r>
          </w:p>
        </w:tc>
        <w:tc>
          <w:tcPr>
            <w:tcW w:w="371" w:type="pct"/>
            <w:shd w:val="clear" w:color="auto" w:fill="92CDDC" w:themeFill="accent5" w:themeFillTint="99"/>
            <w:hideMark/>
          </w:tcPr>
          <w:p w14:paraId="51B0086E" w14:textId="77777777" w:rsidR="007976CE" w:rsidRPr="007976CE" w:rsidRDefault="007976CE" w:rsidP="007976CE">
            <w:pPr>
              <w:tabs>
                <w:tab w:val="left" w:pos="2511"/>
                <w:tab w:val="center" w:pos="4680"/>
              </w:tabs>
              <w:spacing w:line="276" w:lineRule="auto"/>
              <w:jc w:val="center"/>
              <w:rPr>
                <w:rFonts w:asciiTheme="minorHAnsi" w:hAnsiTheme="minorHAnsi" w:cstheme="minorHAnsi"/>
                <w:sz w:val="18"/>
                <w:szCs w:val="18"/>
              </w:rPr>
            </w:pPr>
            <w:r w:rsidRPr="007976CE">
              <w:rPr>
                <w:rFonts w:asciiTheme="minorHAnsi" w:hAnsiTheme="minorHAnsi" w:cstheme="minorHAnsi"/>
                <w:bCs/>
                <w:iCs/>
                <w:sz w:val="18"/>
                <w:szCs w:val="18"/>
              </w:rPr>
              <w:t>2023</w:t>
            </w:r>
          </w:p>
        </w:tc>
        <w:tc>
          <w:tcPr>
            <w:tcW w:w="370" w:type="pct"/>
            <w:shd w:val="clear" w:color="auto" w:fill="92CDDC" w:themeFill="accent5" w:themeFillTint="99"/>
            <w:hideMark/>
          </w:tcPr>
          <w:p w14:paraId="69404A76" w14:textId="77777777" w:rsidR="007976CE" w:rsidRDefault="007976CE" w:rsidP="007976CE">
            <w:pPr>
              <w:tabs>
                <w:tab w:val="left" w:pos="2511"/>
                <w:tab w:val="center" w:pos="4680"/>
              </w:tabs>
              <w:spacing w:line="276" w:lineRule="auto"/>
              <w:jc w:val="center"/>
              <w:rPr>
                <w:rFonts w:asciiTheme="minorHAnsi" w:hAnsiTheme="minorHAnsi" w:cstheme="minorHAnsi"/>
                <w:bCs/>
                <w:iCs/>
                <w:sz w:val="18"/>
                <w:szCs w:val="18"/>
              </w:rPr>
            </w:pPr>
            <w:r w:rsidRPr="007976CE">
              <w:rPr>
                <w:rFonts w:asciiTheme="minorHAnsi" w:hAnsiTheme="minorHAnsi" w:cstheme="minorHAnsi"/>
                <w:bCs/>
                <w:iCs/>
                <w:sz w:val="18"/>
                <w:szCs w:val="18"/>
              </w:rPr>
              <w:t>2023</w:t>
            </w:r>
          </w:p>
          <w:p w14:paraId="62757D49" w14:textId="77777777" w:rsidR="007976CE" w:rsidRDefault="007976CE" w:rsidP="007976CE">
            <w:pPr>
              <w:tabs>
                <w:tab w:val="left" w:pos="2511"/>
                <w:tab w:val="center" w:pos="4680"/>
              </w:tabs>
              <w:spacing w:line="276" w:lineRule="auto"/>
              <w:jc w:val="center"/>
              <w:rPr>
                <w:rFonts w:asciiTheme="minorHAnsi" w:hAnsiTheme="minorHAnsi" w:cstheme="minorHAnsi"/>
                <w:bCs/>
                <w:iCs/>
                <w:sz w:val="18"/>
                <w:szCs w:val="18"/>
              </w:rPr>
            </w:pPr>
            <w:r w:rsidRPr="007976CE">
              <w:rPr>
                <w:rFonts w:asciiTheme="minorHAnsi" w:hAnsiTheme="minorHAnsi" w:cstheme="minorHAnsi"/>
                <w:bCs/>
                <w:iCs/>
                <w:sz w:val="18"/>
                <w:szCs w:val="18"/>
              </w:rPr>
              <w:t xml:space="preserve">/ </w:t>
            </w:r>
          </w:p>
          <w:p w14:paraId="5054535A" w14:textId="77777777" w:rsidR="007976CE" w:rsidRPr="007976CE" w:rsidRDefault="007976CE" w:rsidP="007976CE">
            <w:pPr>
              <w:tabs>
                <w:tab w:val="left" w:pos="2511"/>
                <w:tab w:val="center" w:pos="4680"/>
              </w:tabs>
              <w:spacing w:line="276" w:lineRule="auto"/>
              <w:jc w:val="center"/>
              <w:rPr>
                <w:rFonts w:asciiTheme="minorHAnsi" w:hAnsiTheme="minorHAnsi" w:cstheme="minorHAnsi"/>
                <w:bCs/>
                <w:iCs/>
                <w:sz w:val="18"/>
                <w:szCs w:val="18"/>
              </w:rPr>
            </w:pPr>
            <w:r w:rsidRPr="007976CE">
              <w:rPr>
                <w:rFonts w:asciiTheme="minorHAnsi" w:hAnsiTheme="minorHAnsi" w:cstheme="minorHAnsi"/>
                <w:bCs/>
                <w:iCs/>
                <w:sz w:val="18"/>
                <w:szCs w:val="18"/>
              </w:rPr>
              <w:t>2022</w:t>
            </w:r>
          </w:p>
        </w:tc>
        <w:tc>
          <w:tcPr>
            <w:tcW w:w="444" w:type="pct"/>
            <w:shd w:val="clear" w:color="auto" w:fill="92CDDC" w:themeFill="accent5" w:themeFillTint="99"/>
            <w:hideMark/>
          </w:tcPr>
          <w:p w14:paraId="4E0E8ADF" w14:textId="77777777" w:rsidR="007976CE" w:rsidRPr="007976CE" w:rsidRDefault="007976CE" w:rsidP="007976CE">
            <w:pPr>
              <w:tabs>
                <w:tab w:val="left" w:pos="2511"/>
                <w:tab w:val="center" w:pos="4680"/>
              </w:tabs>
              <w:spacing w:line="276" w:lineRule="auto"/>
              <w:jc w:val="center"/>
              <w:rPr>
                <w:rFonts w:asciiTheme="minorHAnsi" w:hAnsiTheme="minorHAnsi" w:cstheme="minorHAnsi"/>
                <w:sz w:val="18"/>
                <w:szCs w:val="18"/>
              </w:rPr>
            </w:pPr>
            <w:r w:rsidRPr="007976CE">
              <w:rPr>
                <w:rFonts w:asciiTheme="minorHAnsi" w:hAnsiTheme="minorHAnsi" w:cstheme="minorHAnsi"/>
                <w:bCs/>
                <w:iCs/>
                <w:sz w:val="18"/>
                <w:szCs w:val="18"/>
              </w:rPr>
              <w:t>në %</w:t>
            </w:r>
          </w:p>
        </w:tc>
        <w:tc>
          <w:tcPr>
            <w:tcW w:w="296" w:type="pct"/>
            <w:shd w:val="clear" w:color="auto" w:fill="92CDDC" w:themeFill="accent5" w:themeFillTint="99"/>
            <w:hideMark/>
          </w:tcPr>
          <w:p w14:paraId="1EF26B6C" w14:textId="77777777" w:rsidR="007976CE" w:rsidRDefault="007976CE" w:rsidP="007976CE">
            <w:pPr>
              <w:tabs>
                <w:tab w:val="left" w:pos="2511"/>
                <w:tab w:val="center" w:pos="4680"/>
              </w:tabs>
              <w:spacing w:line="276" w:lineRule="auto"/>
              <w:jc w:val="center"/>
              <w:rPr>
                <w:rFonts w:asciiTheme="minorHAnsi" w:hAnsiTheme="minorHAnsi" w:cstheme="minorHAnsi"/>
                <w:bCs/>
                <w:iCs/>
                <w:sz w:val="18"/>
                <w:szCs w:val="18"/>
              </w:rPr>
            </w:pPr>
            <w:r w:rsidRPr="007976CE">
              <w:rPr>
                <w:rFonts w:asciiTheme="minorHAnsi" w:hAnsiTheme="minorHAnsi" w:cstheme="minorHAnsi"/>
                <w:bCs/>
                <w:iCs/>
                <w:sz w:val="18"/>
                <w:szCs w:val="18"/>
              </w:rPr>
              <w:t xml:space="preserve"> </w:t>
            </w:r>
          </w:p>
          <w:p w14:paraId="550FE2FA" w14:textId="77777777" w:rsidR="007976CE" w:rsidRPr="007976CE" w:rsidRDefault="007976CE" w:rsidP="007976CE">
            <w:pPr>
              <w:tabs>
                <w:tab w:val="left" w:pos="2511"/>
                <w:tab w:val="center" w:pos="4680"/>
              </w:tabs>
              <w:spacing w:line="276" w:lineRule="auto"/>
              <w:jc w:val="center"/>
              <w:rPr>
                <w:rFonts w:asciiTheme="minorHAnsi" w:hAnsiTheme="minorHAnsi" w:cstheme="minorHAnsi"/>
                <w:sz w:val="18"/>
                <w:szCs w:val="18"/>
              </w:rPr>
            </w:pPr>
            <w:r w:rsidRPr="007976CE">
              <w:rPr>
                <w:rFonts w:asciiTheme="minorHAnsi" w:hAnsiTheme="minorHAnsi" w:cstheme="minorHAnsi"/>
                <w:bCs/>
                <w:iCs/>
                <w:sz w:val="18"/>
                <w:szCs w:val="18"/>
              </w:rPr>
              <w:t>Sasi</w:t>
            </w:r>
          </w:p>
        </w:tc>
        <w:tc>
          <w:tcPr>
            <w:tcW w:w="447" w:type="pct"/>
            <w:gridSpan w:val="2"/>
            <w:shd w:val="clear" w:color="auto" w:fill="92CDDC" w:themeFill="accent5" w:themeFillTint="99"/>
            <w:hideMark/>
          </w:tcPr>
          <w:p w14:paraId="5D837B5E" w14:textId="77777777" w:rsidR="007976CE" w:rsidRPr="007976CE" w:rsidRDefault="007976CE" w:rsidP="007976CE">
            <w:pPr>
              <w:tabs>
                <w:tab w:val="left" w:pos="2511"/>
                <w:tab w:val="center" w:pos="4680"/>
              </w:tabs>
              <w:spacing w:line="276" w:lineRule="auto"/>
              <w:jc w:val="center"/>
              <w:rPr>
                <w:rFonts w:asciiTheme="minorHAnsi" w:hAnsiTheme="minorHAnsi" w:cstheme="minorHAnsi"/>
                <w:sz w:val="18"/>
                <w:szCs w:val="18"/>
              </w:rPr>
            </w:pPr>
            <w:r w:rsidRPr="007976CE">
              <w:rPr>
                <w:rFonts w:asciiTheme="minorHAnsi" w:hAnsiTheme="minorHAnsi" w:cstheme="minorHAnsi"/>
                <w:bCs/>
                <w:iCs/>
                <w:sz w:val="18"/>
                <w:szCs w:val="18"/>
              </w:rPr>
              <w:t xml:space="preserve">        Çmim</w:t>
            </w:r>
          </w:p>
        </w:tc>
        <w:tc>
          <w:tcPr>
            <w:tcW w:w="355" w:type="pct"/>
            <w:shd w:val="clear" w:color="auto" w:fill="92CDDC" w:themeFill="accent5" w:themeFillTint="99"/>
            <w:hideMark/>
          </w:tcPr>
          <w:p w14:paraId="1820AA3B" w14:textId="77777777" w:rsidR="007976CE" w:rsidRPr="007976CE" w:rsidRDefault="007976CE" w:rsidP="007976CE">
            <w:pPr>
              <w:tabs>
                <w:tab w:val="left" w:pos="2511"/>
                <w:tab w:val="center" w:pos="4680"/>
              </w:tabs>
              <w:spacing w:line="276" w:lineRule="auto"/>
              <w:jc w:val="center"/>
              <w:rPr>
                <w:rFonts w:asciiTheme="minorHAnsi" w:hAnsiTheme="minorHAnsi" w:cstheme="minorHAnsi"/>
                <w:sz w:val="18"/>
                <w:szCs w:val="18"/>
              </w:rPr>
            </w:pPr>
            <w:r w:rsidRPr="007976CE">
              <w:rPr>
                <w:rFonts w:asciiTheme="minorHAnsi" w:hAnsiTheme="minorHAnsi" w:cstheme="minorHAnsi"/>
                <w:bCs/>
                <w:iCs/>
                <w:sz w:val="18"/>
                <w:szCs w:val="18"/>
              </w:rPr>
              <w:t>Efekt Total</w:t>
            </w:r>
          </w:p>
        </w:tc>
      </w:tr>
      <w:tr w:rsidR="007976CE" w:rsidRPr="007976CE" w14:paraId="4AFEA4C8" w14:textId="77777777" w:rsidTr="007976CE">
        <w:trPr>
          <w:trHeight w:val="104"/>
          <w:jc w:val="center"/>
        </w:trPr>
        <w:tc>
          <w:tcPr>
            <w:tcW w:w="740" w:type="pct"/>
            <w:hideMark/>
          </w:tcPr>
          <w:p w14:paraId="09D7361F" w14:textId="77777777" w:rsidR="007976CE" w:rsidRPr="007976CE" w:rsidRDefault="007976CE" w:rsidP="007976CE">
            <w:pPr>
              <w:tabs>
                <w:tab w:val="left" w:pos="2511"/>
                <w:tab w:val="center" w:pos="4680"/>
              </w:tabs>
              <w:spacing w:line="276" w:lineRule="auto"/>
              <w:jc w:val="center"/>
              <w:rPr>
                <w:rFonts w:asciiTheme="minorHAnsi" w:hAnsiTheme="minorHAnsi" w:cstheme="minorHAnsi"/>
                <w:sz w:val="18"/>
                <w:szCs w:val="18"/>
              </w:rPr>
            </w:pPr>
            <w:r w:rsidRPr="007976CE">
              <w:rPr>
                <w:rFonts w:asciiTheme="minorHAnsi" w:hAnsiTheme="minorHAnsi" w:cstheme="minorHAnsi"/>
                <w:sz w:val="18"/>
                <w:szCs w:val="18"/>
              </w:rPr>
              <w:t>Rentë minerare           Naftë Bruto</w:t>
            </w:r>
          </w:p>
        </w:tc>
        <w:tc>
          <w:tcPr>
            <w:tcW w:w="350" w:type="pct"/>
            <w:vAlign w:val="center"/>
          </w:tcPr>
          <w:p w14:paraId="2043FCF5"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248</w:t>
            </w:r>
          </w:p>
        </w:tc>
        <w:tc>
          <w:tcPr>
            <w:tcW w:w="369" w:type="pct"/>
            <w:vAlign w:val="center"/>
          </w:tcPr>
          <w:p w14:paraId="6B4C1798"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246</w:t>
            </w:r>
          </w:p>
        </w:tc>
        <w:tc>
          <w:tcPr>
            <w:tcW w:w="444" w:type="pct"/>
            <w:vAlign w:val="center"/>
            <w:hideMark/>
          </w:tcPr>
          <w:p w14:paraId="61322531"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-1,992</w:t>
            </w:r>
          </w:p>
        </w:tc>
        <w:tc>
          <w:tcPr>
            <w:tcW w:w="374" w:type="pct"/>
            <w:gridSpan w:val="2"/>
            <w:vAlign w:val="center"/>
            <w:hideMark/>
          </w:tcPr>
          <w:p w14:paraId="5BC9B61F"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-0.8%</w:t>
            </w:r>
          </w:p>
        </w:tc>
        <w:tc>
          <w:tcPr>
            <w:tcW w:w="440" w:type="pct"/>
            <w:vAlign w:val="center"/>
            <w:hideMark/>
          </w:tcPr>
          <w:p w14:paraId="645C9DA0"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1,335</w:t>
            </w:r>
          </w:p>
        </w:tc>
        <w:tc>
          <w:tcPr>
            <w:tcW w:w="371" w:type="pct"/>
            <w:vAlign w:val="center"/>
            <w:hideMark/>
          </w:tcPr>
          <w:p w14:paraId="5017DF36"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1,003</w:t>
            </w:r>
          </w:p>
        </w:tc>
        <w:tc>
          <w:tcPr>
            <w:tcW w:w="370" w:type="pct"/>
            <w:vAlign w:val="center"/>
            <w:hideMark/>
          </w:tcPr>
          <w:p w14:paraId="3EDAFD86"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-332</w:t>
            </w:r>
          </w:p>
        </w:tc>
        <w:tc>
          <w:tcPr>
            <w:tcW w:w="444" w:type="pct"/>
            <w:vAlign w:val="center"/>
            <w:hideMark/>
          </w:tcPr>
          <w:p w14:paraId="723CCE86"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-24.9%</w:t>
            </w:r>
          </w:p>
        </w:tc>
        <w:tc>
          <w:tcPr>
            <w:tcW w:w="445" w:type="pct"/>
            <w:gridSpan w:val="2"/>
            <w:vAlign w:val="center"/>
            <w:hideMark/>
          </w:tcPr>
          <w:p w14:paraId="21CBEA82"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-10,732</w:t>
            </w:r>
          </w:p>
        </w:tc>
        <w:tc>
          <w:tcPr>
            <w:tcW w:w="298" w:type="pct"/>
            <w:vAlign w:val="center"/>
            <w:hideMark/>
          </w:tcPr>
          <w:p w14:paraId="26F05292"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-321</w:t>
            </w:r>
          </w:p>
        </w:tc>
        <w:tc>
          <w:tcPr>
            <w:tcW w:w="355" w:type="pct"/>
            <w:vAlign w:val="center"/>
            <w:hideMark/>
          </w:tcPr>
          <w:p w14:paraId="6C9C809B"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-332</w:t>
            </w:r>
          </w:p>
        </w:tc>
      </w:tr>
      <w:tr w:rsidR="007976CE" w:rsidRPr="007976CE" w14:paraId="5F9A04E1" w14:textId="77777777" w:rsidTr="007976CE">
        <w:trPr>
          <w:trHeight w:val="89"/>
          <w:jc w:val="center"/>
        </w:trPr>
        <w:tc>
          <w:tcPr>
            <w:tcW w:w="740" w:type="pct"/>
            <w:hideMark/>
          </w:tcPr>
          <w:p w14:paraId="26046AD8" w14:textId="77777777" w:rsidR="007976CE" w:rsidRPr="007976CE" w:rsidRDefault="007976CE" w:rsidP="007976CE">
            <w:pPr>
              <w:tabs>
                <w:tab w:val="left" w:pos="2511"/>
                <w:tab w:val="center" w:pos="4680"/>
              </w:tabs>
              <w:spacing w:line="276" w:lineRule="auto"/>
              <w:jc w:val="center"/>
              <w:rPr>
                <w:rFonts w:asciiTheme="minorHAnsi" w:hAnsiTheme="minorHAnsi" w:cstheme="minorHAnsi"/>
                <w:sz w:val="18"/>
                <w:szCs w:val="18"/>
              </w:rPr>
            </w:pPr>
            <w:r w:rsidRPr="007976CE">
              <w:rPr>
                <w:rFonts w:asciiTheme="minorHAnsi" w:hAnsiTheme="minorHAnsi" w:cstheme="minorHAnsi"/>
                <w:sz w:val="18"/>
                <w:szCs w:val="18"/>
              </w:rPr>
              <w:t>Rentë minerare Minerale të tjera</w:t>
            </w:r>
          </w:p>
        </w:tc>
        <w:tc>
          <w:tcPr>
            <w:tcW w:w="350" w:type="pct"/>
            <w:vAlign w:val="center"/>
          </w:tcPr>
          <w:p w14:paraId="1283A050"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747</w:t>
            </w:r>
          </w:p>
        </w:tc>
        <w:tc>
          <w:tcPr>
            <w:tcW w:w="369" w:type="pct"/>
            <w:vAlign w:val="center"/>
          </w:tcPr>
          <w:p w14:paraId="5EA9C73F"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761</w:t>
            </w:r>
          </w:p>
        </w:tc>
        <w:tc>
          <w:tcPr>
            <w:tcW w:w="444" w:type="pct"/>
            <w:vAlign w:val="center"/>
            <w:hideMark/>
          </w:tcPr>
          <w:p w14:paraId="324D9FD8"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13,802</w:t>
            </w:r>
          </w:p>
        </w:tc>
        <w:tc>
          <w:tcPr>
            <w:tcW w:w="374" w:type="pct"/>
            <w:gridSpan w:val="2"/>
            <w:vAlign w:val="center"/>
            <w:hideMark/>
          </w:tcPr>
          <w:p w14:paraId="66F9E0C8"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1.8%</w:t>
            </w:r>
          </w:p>
        </w:tc>
        <w:tc>
          <w:tcPr>
            <w:tcW w:w="440" w:type="pct"/>
            <w:vAlign w:val="center"/>
            <w:hideMark/>
          </w:tcPr>
          <w:p w14:paraId="1B314528"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552</w:t>
            </w:r>
          </w:p>
        </w:tc>
        <w:tc>
          <w:tcPr>
            <w:tcW w:w="371" w:type="pct"/>
            <w:vAlign w:val="center"/>
            <w:hideMark/>
          </w:tcPr>
          <w:p w14:paraId="4C36C39B"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314</w:t>
            </w:r>
          </w:p>
        </w:tc>
        <w:tc>
          <w:tcPr>
            <w:tcW w:w="370" w:type="pct"/>
            <w:vAlign w:val="center"/>
            <w:hideMark/>
          </w:tcPr>
          <w:p w14:paraId="6BFAF45D"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-238</w:t>
            </w:r>
          </w:p>
        </w:tc>
        <w:tc>
          <w:tcPr>
            <w:tcW w:w="444" w:type="pct"/>
            <w:vAlign w:val="center"/>
            <w:hideMark/>
          </w:tcPr>
          <w:p w14:paraId="157D7293"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-43.2%</w:t>
            </w:r>
          </w:p>
        </w:tc>
        <w:tc>
          <w:tcPr>
            <w:tcW w:w="445" w:type="pct"/>
            <w:gridSpan w:val="2"/>
            <w:vAlign w:val="center"/>
            <w:hideMark/>
          </w:tcPr>
          <w:p w14:paraId="08A11C57"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10,203</w:t>
            </w:r>
          </w:p>
        </w:tc>
        <w:tc>
          <w:tcPr>
            <w:tcW w:w="298" w:type="pct"/>
            <w:vAlign w:val="center"/>
            <w:hideMark/>
          </w:tcPr>
          <w:p w14:paraId="27C8EC28"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-249</w:t>
            </w:r>
          </w:p>
        </w:tc>
        <w:tc>
          <w:tcPr>
            <w:tcW w:w="355" w:type="pct"/>
            <w:vAlign w:val="center"/>
            <w:hideMark/>
          </w:tcPr>
          <w:p w14:paraId="621876FF"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sz w:val="18"/>
                <w:szCs w:val="18"/>
              </w:rPr>
            </w:pPr>
            <w:r w:rsidRPr="007976CE">
              <w:rPr>
                <w:rFonts w:asciiTheme="minorHAnsi" w:hAnsiTheme="minorHAnsi" w:cstheme="minorHAnsi"/>
                <w:sz w:val="18"/>
                <w:szCs w:val="18"/>
              </w:rPr>
              <w:t>-238</w:t>
            </w:r>
          </w:p>
        </w:tc>
      </w:tr>
      <w:tr w:rsidR="007976CE" w:rsidRPr="007976CE" w14:paraId="26D5B2B7" w14:textId="77777777" w:rsidTr="007976CE">
        <w:trPr>
          <w:trHeight w:val="252"/>
          <w:jc w:val="center"/>
        </w:trPr>
        <w:tc>
          <w:tcPr>
            <w:tcW w:w="740" w:type="pct"/>
            <w:hideMark/>
          </w:tcPr>
          <w:p w14:paraId="32BA0953" w14:textId="77777777" w:rsidR="007976CE" w:rsidRPr="007976CE" w:rsidRDefault="007976CE" w:rsidP="007976CE">
            <w:pPr>
              <w:tabs>
                <w:tab w:val="left" w:pos="2511"/>
                <w:tab w:val="center" w:pos="4680"/>
              </w:tabs>
              <w:spacing w:line="276" w:lineRule="auto"/>
              <w:jc w:val="center"/>
              <w:rPr>
                <w:rFonts w:asciiTheme="minorHAnsi" w:hAnsiTheme="minorHAnsi" w:cstheme="minorHAnsi"/>
                <w:b/>
                <w:sz w:val="18"/>
                <w:szCs w:val="18"/>
              </w:rPr>
            </w:pPr>
            <w:r w:rsidRPr="007976CE">
              <w:rPr>
                <w:rFonts w:asciiTheme="minorHAnsi" w:hAnsiTheme="minorHAnsi" w:cstheme="minorHAnsi"/>
                <w:b/>
                <w:iCs/>
                <w:sz w:val="18"/>
                <w:szCs w:val="18"/>
              </w:rPr>
              <w:t>Totali</w:t>
            </w:r>
          </w:p>
        </w:tc>
        <w:tc>
          <w:tcPr>
            <w:tcW w:w="350" w:type="pct"/>
            <w:vAlign w:val="center"/>
            <w:hideMark/>
          </w:tcPr>
          <w:p w14:paraId="260489F9"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b/>
                <w:sz w:val="18"/>
                <w:szCs w:val="18"/>
              </w:rPr>
            </w:pPr>
            <w:r w:rsidRPr="007976CE">
              <w:rPr>
                <w:rFonts w:asciiTheme="minorHAnsi" w:hAnsiTheme="minorHAnsi" w:cstheme="minorHAnsi"/>
                <w:b/>
                <w:sz w:val="18"/>
                <w:szCs w:val="18"/>
              </w:rPr>
              <w:t>995</w:t>
            </w:r>
          </w:p>
        </w:tc>
        <w:tc>
          <w:tcPr>
            <w:tcW w:w="369" w:type="pct"/>
            <w:vAlign w:val="center"/>
            <w:hideMark/>
          </w:tcPr>
          <w:p w14:paraId="172DE09D"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b/>
                <w:sz w:val="18"/>
                <w:szCs w:val="18"/>
              </w:rPr>
            </w:pPr>
            <w:r w:rsidRPr="007976CE">
              <w:rPr>
                <w:rFonts w:asciiTheme="minorHAnsi" w:hAnsiTheme="minorHAnsi" w:cstheme="minorHAnsi"/>
                <w:b/>
                <w:sz w:val="18"/>
                <w:szCs w:val="18"/>
              </w:rPr>
              <w:t>1,006</w:t>
            </w:r>
          </w:p>
        </w:tc>
        <w:tc>
          <w:tcPr>
            <w:tcW w:w="444" w:type="pct"/>
            <w:vAlign w:val="center"/>
            <w:hideMark/>
          </w:tcPr>
          <w:p w14:paraId="560EA1A1"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b/>
                <w:sz w:val="18"/>
                <w:szCs w:val="18"/>
              </w:rPr>
            </w:pPr>
            <w:r w:rsidRPr="007976CE">
              <w:rPr>
                <w:rFonts w:asciiTheme="minorHAnsi" w:hAnsiTheme="minorHAnsi" w:cstheme="minorHAnsi"/>
                <w:b/>
                <w:sz w:val="18"/>
                <w:szCs w:val="18"/>
              </w:rPr>
              <w:t>11,811</w:t>
            </w:r>
          </w:p>
        </w:tc>
        <w:tc>
          <w:tcPr>
            <w:tcW w:w="374" w:type="pct"/>
            <w:gridSpan w:val="2"/>
            <w:vAlign w:val="center"/>
            <w:hideMark/>
          </w:tcPr>
          <w:p w14:paraId="0A5B78FB"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b/>
                <w:sz w:val="18"/>
                <w:szCs w:val="18"/>
              </w:rPr>
            </w:pPr>
            <w:r w:rsidRPr="007976CE">
              <w:rPr>
                <w:rFonts w:asciiTheme="minorHAnsi" w:hAnsiTheme="minorHAnsi" w:cstheme="minorHAnsi"/>
                <w:b/>
                <w:sz w:val="18"/>
                <w:szCs w:val="18"/>
              </w:rPr>
              <w:t>1%</w:t>
            </w:r>
          </w:p>
        </w:tc>
        <w:tc>
          <w:tcPr>
            <w:tcW w:w="440" w:type="pct"/>
            <w:vAlign w:val="center"/>
            <w:hideMark/>
          </w:tcPr>
          <w:p w14:paraId="723CE057"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b/>
                <w:sz w:val="18"/>
                <w:szCs w:val="18"/>
              </w:rPr>
            </w:pPr>
            <w:r w:rsidRPr="007976CE">
              <w:rPr>
                <w:rFonts w:asciiTheme="minorHAnsi" w:hAnsiTheme="minorHAnsi" w:cstheme="minorHAnsi"/>
                <w:b/>
                <w:sz w:val="18"/>
                <w:szCs w:val="18"/>
              </w:rPr>
              <w:t>1,887</w:t>
            </w:r>
          </w:p>
        </w:tc>
        <w:tc>
          <w:tcPr>
            <w:tcW w:w="371" w:type="pct"/>
            <w:vAlign w:val="center"/>
            <w:hideMark/>
          </w:tcPr>
          <w:p w14:paraId="24775B6C"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b/>
                <w:sz w:val="18"/>
                <w:szCs w:val="18"/>
              </w:rPr>
            </w:pPr>
            <w:r w:rsidRPr="007976CE">
              <w:rPr>
                <w:rFonts w:asciiTheme="minorHAnsi" w:hAnsiTheme="minorHAnsi" w:cstheme="minorHAnsi"/>
                <w:b/>
                <w:sz w:val="18"/>
                <w:szCs w:val="18"/>
              </w:rPr>
              <w:t>1,316</w:t>
            </w:r>
          </w:p>
        </w:tc>
        <w:tc>
          <w:tcPr>
            <w:tcW w:w="370" w:type="pct"/>
            <w:vAlign w:val="center"/>
            <w:hideMark/>
          </w:tcPr>
          <w:p w14:paraId="11FB14C8"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b/>
                <w:sz w:val="18"/>
                <w:szCs w:val="18"/>
              </w:rPr>
            </w:pPr>
            <w:r w:rsidRPr="007976CE">
              <w:rPr>
                <w:rFonts w:asciiTheme="minorHAnsi" w:hAnsiTheme="minorHAnsi" w:cstheme="minorHAnsi"/>
                <w:b/>
                <w:sz w:val="18"/>
                <w:szCs w:val="18"/>
              </w:rPr>
              <w:t>-571</w:t>
            </w:r>
          </w:p>
        </w:tc>
        <w:tc>
          <w:tcPr>
            <w:tcW w:w="444" w:type="pct"/>
            <w:vAlign w:val="center"/>
            <w:hideMark/>
          </w:tcPr>
          <w:p w14:paraId="6858E843"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b/>
                <w:sz w:val="18"/>
                <w:szCs w:val="18"/>
              </w:rPr>
            </w:pPr>
            <w:r w:rsidRPr="007976CE">
              <w:rPr>
                <w:rFonts w:asciiTheme="minorHAnsi" w:hAnsiTheme="minorHAnsi" w:cstheme="minorHAnsi"/>
                <w:b/>
                <w:kern w:val="24"/>
                <w:sz w:val="18"/>
                <w:szCs w:val="18"/>
              </w:rPr>
              <w:t>-68.1%</w:t>
            </w:r>
          </w:p>
        </w:tc>
        <w:tc>
          <w:tcPr>
            <w:tcW w:w="445" w:type="pct"/>
            <w:gridSpan w:val="2"/>
            <w:vAlign w:val="center"/>
            <w:hideMark/>
          </w:tcPr>
          <w:p w14:paraId="35D3479B"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b/>
                <w:sz w:val="18"/>
                <w:szCs w:val="18"/>
              </w:rPr>
            </w:pPr>
            <w:r w:rsidRPr="007976CE">
              <w:rPr>
                <w:rFonts w:asciiTheme="minorHAnsi" w:hAnsiTheme="minorHAnsi" w:cstheme="minorHAnsi"/>
                <w:b/>
                <w:sz w:val="18"/>
                <w:szCs w:val="18"/>
              </w:rPr>
              <w:t>-529</w:t>
            </w:r>
          </w:p>
        </w:tc>
        <w:tc>
          <w:tcPr>
            <w:tcW w:w="298" w:type="pct"/>
            <w:vAlign w:val="center"/>
            <w:hideMark/>
          </w:tcPr>
          <w:p w14:paraId="056EC30E"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b/>
                <w:sz w:val="18"/>
                <w:szCs w:val="18"/>
              </w:rPr>
            </w:pPr>
            <w:r w:rsidRPr="007976CE">
              <w:rPr>
                <w:rFonts w:asciiTheme="minorHAnsi" w:hAnsiTheme="minorHAnsi" w:cstheme="minorHAnsi"/>
                <w:b/>
                <w:sz w:val="18"/>
                <w:szCs w:val="18"/>
              </w:rPr>
              <w:t>-570</w:t>
            </w:r>
          </w:p>
        </w:tc>
        <w:tc>
          <w:tcPr>
            <w:tcW w:w="355" w:type="pct"/>
            <w:vAlign w:val="center"/>
            <w:hideMark/>
          </w:tcPr>
          <w:p w14:paraId="053D96FA" w14:textId="77777777" w:rsidR="007976CE" w:rsidRPr="007976CE" w:rsidRDefault="007976CE" w:rsidP="007976CE">
            <w:pPr>
              <w:pStyle w:val="NormalWeb"/>
              <w:spacing w:before="0" w:beforeAutospacing="0" w:after="0" w:afterAutospacing="0"/>
              <w:jc w:val="center"/>
              <w:textAlignment w:val="bottom"/>
              <w:rPr>
                <w:rFonts w:asciiTheme="minorHAnsi" w:hAnsiTheme="minorHAnsi" w:cstheme="minorHAnsi"/>
                <w:b/>
                <w:sz w:val="18"/>
                <w:szCs w:val="18"/>
              </w:rPr>
            </w:pPr>
            <w:r w:rsidRPr="007976CE">
              <w:rPr>
                <w:rFonts w:asciiTheme="minorHAnsi" w:hAnsiTheme="minorHAnsi" w:cstheme="minorHAnsi"/>
                <w:b/>
                <w:sz w:val="18"/>
                <w:szCs w:val="18"/>
              </w:rPr>
              <w:t>-571</w:t>
            </w:r>
          </w:p>
        </w:tc>
      </w:tr>
    </w:tbl>
    <w:p w14:paraId="6F35CB4D" w14:textId="77777777" w:rsidR="0034657E" w:rsidRPr="004E355C" w:rsidRDefault="00193978" w:rsidP="0034657E">
      <w:pPr>
        <w:tabs>
          <w:tab w:val="left" w:pos="2511"/>
          <w:tab w:val="center" w:pos="4680"/>
          <w:tab w:val="left" w:pos="9360"/>
        </w:tabs>
        <w:spacing w:line="276" w:lineRule="auto"/>
        <w:jc w:val="both"/>
        <w:rPr>
          <w:rFonts w:asciiTheme="minorHAnsi" w:hAnsiTheme="minorHAnsi"/>
          <w:sz w:val="20"/>
          <w:szCs w:val="20"/>
          <w:lang w:val="sq-AL"/>
        </w:rPr>
      </w:pPr>
      <w:r>
        <w:rPr>
          <w:rFonts w:asciiTheme="minorHAnsi" w:hAnsiTheme="minorHAnsi"/>
          <w:sz w:val="20"/>
          <w:szCs w:val="20"/>
          <w:lang w:val="sq-AL"/>
        </w:rPr>
        <w:t>Burimi: Ministria e Financave dhe Ekonomisë (2023)</w:t>
      </w:r>
    </w:p>
    <w:p w14:paraId="7DC54B58" w14:textId="77777777" w:rsidR="0034657E" w:rsidRPr="004E355C" w:rsidRDefault="0034657E" w:rsidP="0034657E">
      <w:pPr>
        <w:spacing w:before="240" w:line="276" w:lineRule="auto"/>
        <w:jc w:val="both"/>
        <w:rPr>
          <w:rFonts w:asciiTheme="minorHAnsi" w:hAnsiTheme="minorHAnsi"/>
          <w:lang w:val="sq-AL"/>
        </w:rPr>
      </w:pPr>
      <w:r w:rsidRPr="004E355C">
        <w:rPr>
          <w:rFonts w:asciiTheme="minorHAnsi" w:hAnsiTheme="minorHAnsi"/>
          <w:b/>
          <w:bCs/>
          <w:lang w:val="sq-AL"/>
        </w:rPr>
        <w:t xml:space="preserve">Të Ardhurat nga Drejtoria e Përgjithshme e Tatimeve </w:t>
      </w:r>
      <w:r w:rsidRPr="004E355C">
        <w:rPr>
          <w:rFonts w:asciiTheme="minorHAnsi" w:hAnsiTheme="minorHAnsi"/>
          <w:bCs/>
          <w:lang w:val="sq-AL"/>
        </w:rPr>
        <w:t>–</w:t>
      </w:r>
      <w:r w:rsidRPr="004E355C">
        <w:rPr>
          <w:rFonts w:asciiTheme="minorHAnsi" w:hAnsiTheme="minorHAnsi"/>
          <w:lang w:val="sq-AL"/>
        </w:rPr>
        <w:t xml:space="preserve"> </w:t>
      </w:r>
      <w:r w:rsidR="007976CE" w:rsidRPr="00853EB9">
        <w:rPr>
          <w:rFonts w:asciiTheme="minorHAnsi" w:hAnsiTheme="minorHAnsi" w:cstheme="minorHAnsi"/>
        </w:rPr>
        <w:t>Të ardhurat e mbledhura nga administrata tatimore (përfshirë kontributet) për 5 mujorin e vitit 2023 janë realizuar në vlerën 140.1 miliardë lekë, 15.8% ose 19.1 miliardë lekë më shumë se e njëjta periudhë e një viti më parë dhe 7.3% ose 9.5 miliardë lekë më shumë se plani i 5 mujorit</w:t>
      </w:r>
      <w:r w:rsidRPr="004E355C">
        <w:rPr>
          <w:rFonts w:asciiTheme="minorHAnsi" w:hAnsiTheme="minorHAnsi"/>
          <w:lang w:val="sq-AL"/>
        </w:rPr>
        <w:t>.</w:t>
      </w:r>
    </w:p>
    <w:p w14:paraId="14E87146" w14:textId="2ABECDD9" w:rsidR="0034657E" w:rsidRDefault="0034657E" w:rsidP="007976CE">
      <w:pPr>
        <w:pStyle w:val="Caption"/>
        <w:keepNext/>
        <w:spacing w:before="120" w:after="0"/>
        <w:jc w:val="both"/>
        <w:rPr>
          <w:rFonts w:asciiTheme="minorHAnsi" w:hAnsiTheme="minorHAnsi"/>
          <w:b w:val="0"/>
          <w:bCs w:val="0"/>
          <w:i/>
          <w:color w:val="auto"/>
          <w:sz w:val="24"/>
          <w:szCs w:val="24"/>
          <w:lang w:val="sq-AL"/>
        </w:rPr>
      </w:pPr>
      <w:bookmarkStart w:id="27" w:name="_Toc12448431"/>
      <w:bookmarkStart w:id="28" w:name="_Toc107498096"/>
      <w:r w:rsidRPr="00A17731">
        <w:rPr>
          <w:rFonts w:asciiTheme="minorHAnsi" w:hAnsiTheme="minorHAnsi"/>
          <w:b w:val="0"/>
          <w:bCs w:val="0"/>
          <w:i/>
          <w:color w:val="auto"/>
          <w:sz w:val="22"/>
          <w:szCs w:val="24"/>
          <w:lang w:val="sq-AL"/>
        </w:rPr>
        <w:t xml:space="preserve">Grafiku </w:t>
      </w:r>
      <w:r w:rsidRPr="00A17731">
        <w:rPr>
          <w:rFonts w:asciiTheme="minorHAnsi" w:hAnsiTheme="minorHAnsi"/>
          <w:b w:val="0"/>
          <w:bCs w:val="0"/>
          <w:i/>
          <w:color w:val="auto"/>
          <w:sz w:val="22"/>
          <w:szCs w:val="24"/>
          <w:lang w:val="sq-AL"/>
        </w:rPr>
        <w:fldChar w:fldCharType="begin"/>
      </w:r>
      <w:r w:rsidRPr="00A17731">
        <w:rPr>
          <w:rFonts w:asciiTheme="minorHAnsi" w:hAnsiTheme="minorHAnsi"/>
          <w:b w:val="0"/>
          <w:bCs w:val="0"/>
          <w:i/>
          <w:color w:val="auto"/>
          <w:sz w:val="22"/>
          <w:szCs w:val="24"/>
          <w:lang w:val="sq-AL"/>
        </w:rPr>
        <w:instrText xml:space="preserve"> SEQ Grafiku \* ARABIC </w:instrText>
      </w:r>
      <w:r w:rsidRPr="00A17731">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5</w:t>
      </w:r>
      <w:r w:rsidRPr="00A17731">
        <w:rPr>
          <w:rFonts w:asciiTheme="minorHAnsi" w:hAnsiTheme="minorHAnsi"/>
          <w:b w:val="0"/>
          <w:bCs w:val="0"/>
          <w:i/>
          <w:color w:val="auto"/>
          <w:sz w:val="22"/>
          <w:szCs w:val="24"/>
          <w:lang w:val="sq-AL"/>
        </w:rPr>
        <w:fldChar w:fldCharType="end"/>
      </w:r>
      <w:r w:rsidRPr="00A17731">
        <w:rPr>
          <w:rFonts w:asciiTheme="minorHAnsi" w:hAnsiTheme="minorHAnsi"/>
          <w:b w:val="0"/>
          <w:bCs w:val="0"/>
          <w:i/>
          <w:color w:val="auto"/>
          <w:sz w:val="22"/>
          <w:szCs w:val="24"/>
          <w:lang w:val="sq-AL"/>
        </w:rPr>
        <w:t>: Të ardhurat nga Tatimet Janar- Maj 202</w:t>
      </w:r>
      <w:r w:rsidR="007976CE">
        <w:rPr>
          <w:rFonts w:asciiTheme="minorHAnsi" w:hAnsiTheme="minorHAnsi"/>
          <w:b w:val="0"/>
          <w:bCs w:val="0"/>
          <w:i/>
          <w:color w:val="auto"/>
          <w:sz w:val="22"/>
          <w:szCs w:val="24"/>
          <w:lang w:val="sq-AL"/>
        </w:rPr>
        <w:t>3</w:t>
      </w:r>
      <w:r w:rsidRPr="00A17731">
        <w:rPr>
          <w:rFonts w:asciiTheme="minorHAnsi" w:hAnsiTheme="minorHAnsi"/>
          <w:b w:val="0"/>
          <w:bCs w:val="0"/>
          <w:i/>
          <w:color w:val="auto"/>
          <w:sz w:val="22"/>
          <w:szCs w:val="24"/>
          <w:lang w:val="sq-AL"/>
        </w:rPr>
        <w:t>, Mujore dhe Progresive (në milionë lekë</w:t>
      </w:r>
      <w:r w:rsidRPr="004E355C">
        <w:rPr>
          <w:rFonts w:asciiTheme="minorHAnsi" w:hAnsiTheme="minorHAnsi"/>
          <w:b w:val="0"/>
          <w:bCs w:val="0"/>
          <w:i/>
          <w:color w:val="auto"/>
          <w:sz w:val="24"/>
          <w:szCs w:val="24"/>
          <w:lang w:val="sq-AL"/>
        </w:rPr>
        <w:t>)</w:t>
      </w:r>
      <w:bookmarkEnd w:id="27"/>
      <w:bookmarkEnd w:id="28"/>
    </w:p>
    <w:p w14:paraId="344E391C" w14:textId="77777777" w:rsidR="0034657E" w:rsidRPr="000C2A10" w:rsidRDefault="007976CE" w:rsidP="007976CE">
      <w:pPr>
        <w:jc w:val="center"/>
        <w:rPr>
          <w:lang w:val="sq-AL"/>
        </w:rPr>
      </w:pPr>
      <w:r w:rsidRPr="00853EB9">
        <w:rPr>
          <w:noProof/>
        </w:rPr>
        <w:drawing>
          <wp:inline distT="0" distB="0" distL="0" distR="0" wp14:anchorId="5A564864" wp14:editId="3B240C41">
            <wp:extent cx="2914650" cy="1666875"/>
            <wp:effectExtent l="0" t="0" r="0" b="9525"/>
            <wp:docPr id="16" name="Chart 16">
              <a:extLst xmlns:a="http://schemas.openxmlformats.org/drawingml/2006/main">
                <a:ext uri="{FF2B5EF4-FFF2-40B4-BE49-F238E27FC236}">
                  <a16:creationId xmlns:a16="http://schemas.microsoft.com/office/drawing/2014/main" id="{3D1D79C6-A7B2-4A0A-B786-BE39F3B7A6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853EB9">
        <w:rPr>
          <w:noProof/>
        </w:rPr>
        <w:drawing>
          <wp:anchor distT="0" distB="0" distL="114300" distR="114300" simplePos="0" relativeHeight="251688448" behindDoc="0" locked="0" layoutInCell="1" allowOverlap="1" wp14:anchorId="70F6F0FA" wp14:editId="4C879F14">
            <wp:simplePos x="0" y="0"/>
            <wp:positionH relativeFrom="column">
              <wp:posOffset>31750</wp:posOffset>
            </wp:positionH>
            <wp:positionV relativeFrom="paragraph">
              <wp:posOffset>31115</wp:posOffset>
            </wp:positionV>
            <wp:extent cx="2990850" cy="1680845"/>
            <wp:effectExtent l="0" t="0" r="0" b="14605"/>
            <wp:wrapSquare wrapText="bothSides"/>
            <wp:docPr id="7" name="Chart 7">
              <a:extLst xmlns:a="http://schemas.openxmlformats.org/drawingml/2006/main">
                <a:ext uri="{FF2B5EF4-FFF2-40B4-BE49-F238E27FC236}">
                  <a16:creationId xmlns:a16="http://schemas.microsoft.com/office/drawing/2014/main" id="{CB3E3C4D-B430-463C-8936-18B7F94BB4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0034657E">
        <w:rPr>
          <w:lang w:val="sq-AL"/>
        </w:rPr>
        <w:br w:type="textWrapping" w:clear="all"/>
      </w:r>
      <w:r w:rsidR="00193978">
        <w:rPr>
          <w:rFonts w:asciiTheme="minorHAnsi" w:hAnsiTheme="minorHAnsi"/>
          <w:sz w:val="20"/>
          <w:szCs w:val="20"/>
          <w:lang w:val="sq-AL"/>
        </w:rPr>
        <w:t>Burimi: Ministria e Financave dhe Ekonomisë (2023)</w:t>
      </w:r>
    </w:p>
    <w:p w14:paraId="37F1C73B" w14:textId="77777777" w:rsidR="0034657E" w:rsidRDefault="0034657E" w:rsidP="0034657E">
      <w:pPr>
        <w:spacing w:before="240" w:line="276" w:lineRule="auto"/>
        <w:jc w:val="both"/>
        <w:rPr>
          <w:rFonts w:asciiTheme="minorHAnsi" w:hAnsiTheme="minorHAnsi" w:cstheme="minorHAnsi"/>
        </w:rPr>
      </w:pPr>
      <w:r w:rsidRPr="004E355C">
        <w:rPr>
          <w:rFonts w:asciiTheme="minorHAnsi" w:hAnsiTheme="minorHAnsi" w:cstheme="minorHAnsi"/>
          <w:i/>
        </w:rPr>
        <w:lastRenderedPageBreak/>
        <w:t>Të ardhurat nga TVSH-ja neto brenda vendit</w:t>
      </w:r>
      <w:r w:rsidRPr="004E355C">
        <w:rPr>
          <w:rFonts w:asciiTheme="minorHAnsi" w:hAnsiTheme="minorHAnsi" w:cstheme="minorHAnsi"/>
        </w:rPr>
        <w:t xml:space="preserve"> </w:t>
      </w:r>
      <w:r w:rsidR="00BC0433" w:rsidRPr="00853EB9">
        <w:rPr>
          <w:rFonts w:asciiTheme="minorHAnsi" w:hAnsiTheme="minorHAnsi" w:cstheme="minorHAnsi"/>
        </w:rPr>
        <w:t>janë realizuar në vlerën 18.6 miliardë lekë, 12% ose 2 miliardë lekë më shumë se 5 mujori i vitit 2022 dhe me një realizim të planit të periudhës në masën 101.1% ose 196 milionë lekë më shumë. Rimbursimi i TVSH-së krahasuar me 5 mujorin e vitit të kaluar është 35.6%, ose 2 miliardë lekë më shumë dhe 9.6% ose 664 milionë lekë më shumë krahasuar me planin e periudhes</w:t>
      </w:r>
      <w:r w:rsidRPr="00113514">
        <w:rPr>
          <w:rFonts w:asciiTheme="minorHAnsi" w:hAnsiTheme="minorHAnsi" w:cstheme="minorHAnsi"/>
        </w:rPr>
        <w:t>.</w:t>
      </w:r>
    </w:p>
    <w:p w14:paraId="5174F707" w14:textId="77777777" w:rsidR="0034657E" w:rsidRPr="004E355C" w:rsidRDefault="0034657E" w:rsidP="006A5571">
      <w:pPr>
        <w:spacing w:line="276" w:lineRule="auto"/>
        <w:jc w:val="both"/>
        <w:rPr>
          <w:rFonts w:asciiTheme="minorHAnsi" w:eastAsia="SimSun" w:hAnsiTheme="minorHAnsi"/>
          <w:sz w:val="8"/>
          <w:szCs w:val="8"/>
          <w:lang w:val="sq-AL"/>
        </w:rPr>
      </w:pPr>
    </w:p>
    <w:p w14:paraId="0F35A428" w14:textId="2A74883C" w:rsidR="0034657E" w:rsidRPr="00A17731" w:rsidRDefault="001D7392" w:rsidP="00322986">
      <w:pPr>
        <w:pStyle w:val="Caption"/>
        <w:spacing w:after="0"/>
        <w:rPr>
          <w:rFonts w:asciiTheme="minorHAnsi" w:hAnsiTheme="minorHAnsi"/>
          <w:b w:val="0"/>
          <w:bCs w:val="0"/>
          <w:i/>
          <w:color w:val="auto"/>
          <w:sz w:val="22"/>
          <w:szCs w:val="24"/>
          <w:lang w:val="sq-AL"/>
        </w:rPr>
      </w:pPr>
      <w:bookmarkStart w:id="29" w:name="_Toc12448432"/>
      <w:bookmarkStart w:id="30" w:name="_Toc107498097"/>
      <w:r w:rsidRPr="001D7392">
        <w:rPr>
          <w:rFonts w:asciiTheme="minorHAnsi" w:hAnsiTheme="minorHAnsi"/>
          <w:b w:val="0"/>
          <w:bCs w:val="0"/>
          <w:i/>
          <w:color w:val="auto"/>
          <w:sz w:val="22"/>
          <w:szCs w:val="24"/>
          <w:lang w:val="sq-AL"/>
        </w:rPr>
        <w:t xml:space="preserve">Grafiku </w:t>
      </w:r>
      <w:r w:rsidRPr="001D7392">
        <w:rPr>
          <w:rFonts w:asciiTheme="minorHAnsi" w:hAnsiTheme="minorHAnsi"/>
          <w:b w:val="0"/>
          <w:bCs w:val="0"/>
          <w:i/>
          <w:color w:val="auto"/>
          <w:sz w:val="22"/>
          <w:szCs w:val="24"/>
          <w:lang w:val="sq-AL"/>
        </w:rPr>
        <w:fldChar w:fldCharType="begin"/>
      </w:r>
      <w:r w:rsidRPr="001D7392">
        <w:rPr>
          <w:rFonts w:asciiTheme="minorHAnsi" w:hAnsiTheme="minorHAnsi"/>
          <w:b w:val="0"/>
          <w:bCs w:val="0"/>
          <w:i/>
          <w:color w:val="auto"/>
          <w:sz w:val="22"/>
          <w:szCs w:val="24"/>
          <w:lang w:val="sq-AL"/>
        </w:rPr>
        <w:instrText xml:space="preserve"> SEQ Grafiku \* ARABIC </w:instrText>
      </w:r>
      <w:r w:rsidRPr="001D7392">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6</w:t>
      </w:r>
      <w:r w:rsidRPr="001D7392">
        <w:rPr>
          <w:rFonts w:asciiTheme="minorHAnsi" w:hAnsiTheme="minorHAnsi"/>
          <w:b w:val="0"/>
          <w:bCs w:val="0"/>
          <w:i/>
          <w:color w:val="auto"/>
          <w:sz w:val="22"/>
          <w:szCs w:val="24"/>
          <w:lang w:val="sq-AL"/>
        </w:rPr>
        <w:fldChar w:fldCharType="end"/>
      </w:r>
      <w:r w:rsidR="0034657E" w:rsidRPr="001D7392">
        <w:rPr>
          <w:rFonts w:asciiTheme="minorHAnsi" w:hAnsiTheme="minorHAnsi"/>
          <w:b w:val="0"/>
          <w:bCs w:val="0"/>
          <w:i/>
          <w:color w:val="auto"/>
          <w:sz w:val="22"/>
          <w:szCs w:val="24"/>
          <w:lang w:val="sq-AL"/>
        </w:rPr>
        <w:t>: Të ardhura nga TVSH dhe rimbursimi i TVSH, 5 mujori në vite (në miliardë lekë)</w:t>
      </w:r>
      <w:bookmarkEnd w:id="29"/>
      <w:bookmarkEnd w:id="30"/>
    </w:p>
    <w:p w14:paraId="17E7597E" w14:textId="77777777" w:rsidR="0034657E" w:rsidRPr="0053764B" w:rsidRDefault="00322986" w:rsidP="00A17731">
      <w:pPr>
        <w:jc w:val="center"/>
        <w:rPr>
          <w:lang w:val="sq-AL"/>
        </w:rPr>
      </w:pPr>
      <w:r w:rsidRPr="00853EB9">
        <w:rPr>
          <w:noProof/>
        </w:rPr>
        <w:drawing>
          <wp:inline distT="0" distB="0" distL="0" distR="0" wp14:anchorId="09EEB0A3" wp14:editId="24FB260C">
            <wp:extent cx="6074410" cy="1657350"/>
            <wp:effectExtent l="0" t="0" r="2540" b="0"/>
            <wp:docPr id="264" name="Chart 264">
              <a:extLst xmlns:a="http://schemas.openxmlformats.org/drawingml/2006/main">
                <a:ext uri="{FF2B5EF4-FFF2-40B4-BE49-F238E27FC236}">
                  <a16:creationId xmlns:a16="http://schemas.microsoft.com/office/drawing/2014/main" id="{FAC828DE-335E-47CB-9342-E404C94E4E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160EAC7" w14:textId="77777777" w:rsidR="0034657E" w:rsidRPr="0053764B" w:rsidRDefault="00193978" w:rsidP="0034657E">
      <w:pPr>
        <w:tabs>
          <w:tab w:val="left" w:pos="540"/>
          <w:tab w:val="center" w:pos="4680"/>
          <w:tab w:val="left" w:pos="9360"/>
        </w:tabs>
        <w:spacing w:line="276" w:lineRule="auto"/>
        <w:rPr>
          <w:rFonts w:asciiTheme="minorHAnsi" w:hAnsiTheme="minorHAnsi"/>
          <w:sz w:val="20"/>
          <w:szCs w:val="20"/>
          <w:lang w:val="sq-AL"/>
        </w:rPr>
      </w:pPr>
      <w:r>
        <w:rPr>
          <w:rFonts w:asciiTheme="minorHAnsi" w:hAnsiTheme="minorHAnsi"/>
          <w:sz w:val="20"/>
          <w:szCs w:val="20"/>
          <w:lang w:val="sq-AL"/>
        </w:rPr>
        <w:t>Burimi: Ministria e Financave dhe Ekonomisë (2023)</w:t>
      </w:r>
    </w:p>
    <w:p w14:paraId="1E1B8A05" w14:textId="77777777" w:rsidR="0034657E" w:rsidRPr="00DD6D17" w:rsidRDefault="0034657E" w:rsidP="0034657E">
      <w:pPr>
        <w:spacing w:before="80" w:line="276" w:lineRule="auto"/>
        <w:jc w:val="both"/>
        <w:rPr>
          <w:rFonts w:asciiTheme="minorHAnsi" w:hAnsiTheme="minorHAnsi"/>
          <w:lang w:val="sq-AL"/>
        </w:rPr>
      </w:pPr>
      <w:r w:rsidRPr="00C21C2C">
        <w:rPr>
          <w:rFonts w:asciiTheme="minorHAnsi" w:hAnsiTheme="minorHAnsi" w:cstheme="minorHAnsi"/>
          <w:b/>
          <w:bCs/>
          <w:i/>
        </w:rPr>
        <w:t>Të ardhurat nga tatimi mbi fitimin</w:t>
      </w:r>
      <w:r w:rsidRPr="004E355C">
        <w:rPr>
          <w:rFonts w:asciiTheme="minorHAnsi" w:hAnsiTheme="minorHAnsi" w:cstheme="minorHAnsi"/>
        </w:rPr>
        <w:t xml:space="preserve"> </w:t>
      </w:r>
      <w:r w:rsidR="00322986" w:rsidRPr="00853EB9">
        <w:rPr>
          <w:rFonts w:asciiTheme="minorHAnsi" w:hAnsiTheme="minorHAnsi" w:cstheme="minorHAnsi"/>
        </w:rPr>
        <w:t>janë realizuar në vler</w:t>
      </w:r>
      <w:bookmarkStart w:id="31" w:name="_Hlk43285693"/>
      <w:r w:rsidR="00322986" w:rsidRPr="00853EB9">
        <w:rPr>
          <w:rFonts w:asciiTheme="minorHAnsi" w:hAnsiTheme="minorHAnsi" w:cstheme="minorHAnsi"/>
        </w:rPr>
        <w:t>ë</w:t>
      </w:r>
      <w:bookmarkEnd w:id="31"/>
      <w:r w:rsidR="00322986" w:rsidRPr="00853EB9">
        <w:rPr>
          <w:rFonts w:asciiTheme="minorHAnsi" w:hAnsiTheme="minorHAnsi" w:cstheme="minorHAnsi"/>
        </w:rPr>
        <w:t>n 29.3 miliardë lekë, 40.9% ose 8.5 miliard</w:t>
      </w:r>
      <w:r w:rsidR="00322986" w:rsidRPr="00853EB9">
        <w:t xml:space="preserve">ë </w:t>
      </w:r>
      <w:r w:rsidR="00322986" w:rsidRPr="00853EB9">
        <w:rPr>
          <w:rFonts w:asciiTheme="minorHAnsi" w:hAnsiTheme="minorHAnsi" w:cstheme="minorHAnsi"/>
        </w:rPr>
        <w:t>lekë</w:t>
      </w:r>
      <w:r w:rsidR="00322986" w:rsidRPr="00853EB9">
        <w:t xml:space="preserve"> </w:t>
      </w:r>
      <w:r w:rsidR="00322986" w:rsidRPr="00853EB9">
        <w:rPr>
          <w:rFonts w:asciiTheme="minorHAnsi" w:hAnsiTheme="minorHAnsi" w:cstheme="minorHAnsi"/>
        </w:rPr>
        <w:t>më shumë se 5 mujori 2022 si dhe 7.2 miliardë lek</w:t>
      </w:r>
      <w:bookmarkStart w:id="32" w:name="_Hlk43285754"/>
      <w:r w:rsidR="00322986" w:rsidRPr="00853EB9">
        <w:rPr>
          <w:rFonts w:asciiTheme="minorHAnsi" w:hAnsiTheme="minorHAnsi" w:cstheme="minorHAnsi"/>
        </w:rPr>
        <w:t>ë</w:t>
      </w:r>
      <w:bookmarkEnd w:id="32"/>
      <w:r w:rsidR="00322986" w:rsidRPr="00853EB9">
        <w:rPr>
          <w:rFonts w:asciiTheme="minorHAnsi" w:hAnsiTheme="minorHAnsi" w:cstheme="minorHAnsi"/>
        </w:rPr>
        <w:t xml:space="preserve"> ose 32.7% më shumë krahasuar me planin e periudhës</w:t>
      </w:r>
      <w:r w:rsidRPr="004E355C">
        <w:rPr>
          <w:rFonts w:asciiTheme="minorHAnsi" w:hAnsiTheme="minorHAnsi" w:cstheme="minorHAnsi"/>
        </w:rPr>
        <w:t xml:space="preserve">. </w:t>
      </w:r>
    </w:p>
    <w:p w14:paraId="218A9E5C" w14:textId="18C63BD8" w:rsidR="0034657E" w:rsidRPr="00762C72" w:rsidRDefault="0034657E" w:rsidP="00322986">
      <w:pPr>
        <w:pStyle w:val="Caption"/>
        <w:keepNext/>
        <w:spacing w:before="120" w:after="0"/>
        <w:jc w:val="both"/>
        <w:rPr>
          <w:rFonts w:asciiTheme="minorHAnsi" w:hAnsiTheme="minorHAnsi"/>
          <w:b w:val="0"/>
          <w:bCs w:val="0"/>
          <w:i/>
          <w:color w:val="000000" w:themeColor="text1"/>
          <w:sz w:val="22"/>
          <w:szCs w:val="24"/>
          <w:lang w:val="sq-AL"/>
        </w:rPr>
      </w:pPr>
      <w:bookmarkStart w:id="33" w:name="_Toc12448433"/>
      <w:bookmarkStart w:id="34" w:name="_Toc107498098"/>
      <w:r w:rsidRPr="00762C72">
        <w:rPr>
          <w:rFonts w:asciiTheme="minorHAnsi" w:hAnsiTheme="minorHAnsi"/>
          <w:b w:val="0"/>
          <w:bCs w:val="0"/>
          <w:i/>
          <w:color w:val="000000" w:themeColor="text1"/>
          <w:sz w:val="22"/>
          <w:szCs w:val="24"/>
          <w:lang w:val="sq-AL"/>
        </w:rPr>
        <w:t xml:space="preserve">Grafiku </w:t>
      </w:r>
      <w:r w:rsidRPr="00762C72">
        <w:rPr>
          <w:rFonts w:asciiTheme="minorHAnsi" w:hAnsiTheme="minorHAnsi"/>
          <w:b w:val="0"/>
          <w:bCs w:val="0"/>
          <w:i/>
          <w:color w:val="000000" w:themeColor="text1"/>
          <w:sz w:val="22"/>
          <w:szCs w:val="24"/>
          <w:lang w:val="sq-AL"/>
        </w:rPr>
        <w:fldChar w:fldCharType="begin"/>
      </w:r>
      <w:r w:rsidRPr="00762C72">
        <w:rPr>
          <w:rFonts w:asciiTheme="minorHAnsi" w:hAnsiTheme="minorHAnsi"/>
          <w:b w:val="0"/>
          <w:bCs w:val="0"/>
          <w:i/>
          <w:color w:val="000000" w:themeColor="text1"/>
          <w:sz w:val="22"/>
          <w:szCs w:val="24"/>
          <w:lang w:val="sq-AL"/>
        </w:rPr>
        <w:instrText xml:space="preserve"> SEQ Grafiku \* ARABIC </w:instrText>
      </w:r>
      <w:r w:rsidRPr="00762C72">
        <w:rPr>
          <w:rFonts w:asciiTheme="minorHAnsi" w:hAnsiTheme="minorHAnsi"/>
          <w:b w:val="0"/>
          <w:bCs w:val="0"/>
          <w:i/>
          <w:color w:val="000000" w:themeColor="text1"/>
          <w:sz w:val="22"/>
          <w:szCs w:val="24"/>
          <w:lang w:val="sq-AL"/>
        </w:rPr>
        <w:fldChar w:fldCharType="separate"/>
      </w:r>
      <w:r w:rsidR="00C153A9">
        <w:rPr>
          <w:rFonts w:asciiTheme="minorHAnsi" w:hAnsiTheme="minorHAnsi"/>
          <w:b w:val="0"/>
          <w:bCs w:val="0"/>
          <w:i/>
          <w:noProof/>
          <w:color w:val="000000" w:themeColor="text1"/>
          <w:sz w:val="22"/>
          <w:szCs w:val="24"/>
          <w:lang w:val="sq-AL"/>
        </w:rPr>
        <w:t>7</w:t>
      </w:r>
      <w:r w:rsidRPr="00762C72">
        <w:rPr>
          <w:rFonts w:asciiTheme="minorHAnsi" w:hAnsiTheme="minorHAnsi"/>
          <w:b w:val="0"/>
          <w:bCs w:val="0"/>
          <w:i/>
          <w:color w:val="000000" w:themeColor="text1"/>
          <w:sz w:val="22"/>
          <w:szCs w:val="24"/>
          <w:lang w:val="sq-AL"/>
        </w:rPr>
        <w:fldChar w:fldCharType="end"/>
      </w:r>
      <w:r w:rsidRPr="00762C72">
        <w:rPr>
          <w:rFonts w:asciiTheme="minorHAnsi" w:hAnsiTheme="minorHAnsi"/>
          <w:b w:val="0"/>
          <w:bCs w:val="0"/>
          <w:i/>
          <w:color w:val="000000" w:themeColor="text1"/>
          <w:sz w:val="22"/>
          <w:szCs w:val="24"/>
          <w:lang w:val="sq-AL"/>
        </w:rPr>
        <w:t>: Të ardhurat nga Tatim Fitimi, 5 mujori në vite (në miliardë lekë)</w:t>
      </w:r>
      <w:bookmarkEnd w:id="33"/>
      <w:bookmarkEnd w:id="34"/>
    </w:p>
    <w:p w14:paraId="5DEA0045" w14:textId="77777777" w:rsidR="0034657E" w:rsidRDefault="00322986" w:rsidP="00A17731">
      <w:pPr>
        <w:jc w:val="center"/>
        <w:rPr>
          <w:lang w:val="sq-AL"/>
        </w:rPr>
      </w:pPr>
      <w:r w:rsidRPr="00853EB9">
        <w:rPr>
          <w:noProof/>
        </w:rPr>
        <w:drawing>
          <wp:inline distT="0" distB="0" distL="0" distR="0" wp14:anchorId="51EF631D" wp14:editId="67BA37AF">
            <wp:extent cx="5991225" cy="1543050"/>
            <wp:effectExtent l="0" t="0" r="9525" b="0"/>
            <wp:docPr id="20" name="Chart 20">
              <a:extLst xmlns:a="http://schemas.openxmlformats.org/drawingml/2006/main">
                <a:ext uri="{FF2B5EF4-FFF2-40B4-BE49-F238E27FC236}">
                  <a16:creationId xmlns:a16="http://schemas.microsoft.com/office/drawing/2014/main" id="{620185E6-030B-4638-BDBD-D969CC73FA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5193087" w14:textId="77777777" w:rsidR="0034657E" w:rsidRDefault="00193978" w:rsidP="0034657E">
      <w:pPr>
        <w:tabs>
          <w:tab w:val="left" w:pos="540"/>
          <w:tab w:val="center" w:pos="4680"/>
        </w:tabs>
        <w:spacing w:line="276" w:lineRule="auto"/>
        <w:rPr>
          <w:rFonts w:asciiTheme="minorHAnsi" w:hAnsiTheme="minorHAnsi"/>
          <w:sz w:val="20"/>
          <w:szCs w:val="20"/>
          <w:lang w:val="sq-AL"/>
        </w:rPr>
      </w:pPr>
      <w:r>
        <w:rPr>
          <w:rFonts w:asciiTheme="minorHAnsi" w:hAnsiTheme="minorHAnsi"/>
          <w:sz w:val="20"/>
          <w:szCs w:val="20"/>
          <w:lang w:val="sq-AL"/>
        </w:rPr>
        <w:t>Burimi: Ministria e Financave dhe Ekonomisë (2023)</w:t>
      </w:r>
    </w:p>
    <w:p w14:paraId="6267A699" w14:textId="77777777" w:rsidR="007120EB" w:rsidRPr="007120EB" w:rsidRDefault="007120EB" w:rsidP="0034657E">
      <w:pPr>
        <w:tabs>
          <w:tab w:val="left" w:pos="540"/>
          <w:tab w:val="center" w:pos="4680"/>
        </w:tabs>
        <w:spacing w:line="276" w:lineRule="auto"/>
        <w:rPr>
          <w:rFonts w:asciiTheme="minorHAnsi" w:hAnsiTheme="minorHAnsi"/>
          <w:sz w:val="12"/>
          <w:szCs w:val="20"/>
          <w:lang w:val="sq-AL"/>
        </w:rPr>
      </w:pPr>
    </w:p>
    <w:p w14:paraId="3D6F29A7" w14:textId="77777777" w:rsidR="0034657E" w:rsidRDefault="0034657E" w:rsidP="0034657E">
      <w:pPr>
        <w:jc w:val="both"/>
        <w:rPr>
          <w:rFonts w:asciiTheme="minorHAnsi" w:hAnsiTheme="minorHAnsi" w:cstheme="minorHAnsi"/>
        </w:rPr>
      </w:pPr>
      <w:r w:rsidRPr="004E355C">
        <w:rPr>
          <w:rFonts w:asciiTheme="minorHAnsi" w:hAnsiTheme="minorHAnsi"/>
          <w:b/>
          <w:i/>
          <w:lang w:val="sq-AL"/>
        </w:rPr>
        <w:t>Nga tatimi mbi të ardhurat personale</w:t>
      </w:r>
      <w:r w:rsidRPr="004E355C">
        <w:rPr>
          <w:rFonts w:asciiTheme="minorHAnsi" w:hAnsiTheme="minorHAnsi"/>
          <w:lang w:val="sq-AL"/>
        </w:rPr>
        <w:t xml:space="preserve"> </w:t>
      </w:r>
      <w:r w:rsidR="00322986" w:rsidRPr="00853EB9">
        <w:rPr>
          <w:rFonts w:asciiTheme="minorHAnsi" w:hAnsiTheme="minorHAnsi" w:cstheme="minorHAnsi"/>
          <w:lang w:val="it-IT"/>
        </w:rPr>
        <w:t xml:space="preserve">janë realizuar 22.8 miliardë lekë, </w:t>
      </w:r>
      <w:r w:rsidR="00322986" w:rsidRPr="00853EB9">
        <w:rPr>
          <w:rFonts w:asciiTheme="minorHAnsi" w:hAnsiTheme="minorHAnsi" w:cstheme="minorHAnsi"/>
        </w:rPr>
        <w:t>24.8% ose 4.5 miliardë lekë më shumë se e njëjta periudhë e vitit të kaluar dhe 12.8% ose 2.6 miliardë lekë më shumë se plani i periudhës. Rritja më e madhe ka ardhur për shkak të rritjes së të ardhurave nga të punësuarit në Sektorin Privat me rritje 10.2% ose 812 milionë lekë krahasuar me 5 mujorin e vitit 2022, Tatimi mbi të Ardhurat në Burim me rritje 51.4% ose 611 milionë lekë krahasuar me 5 mujorin e vitit 2022, si dhe të ardhurat nga tatimi mbi Dividentin dhe Aksionet me rritje 43.3% ose 454 milionë lekë krahasuar me 5 mujorin e vitit 2022</w:t>
      </w:r>
      <w:r w:rsidR="00762C72">
        <w:rPr>
          <w:rFonts w:asciiTheme="minorHAnsi" w:hAnsiTheme="minorHAnsi" w:cstheme="minorHAnsi"/>
        </w:rPr>
        <w:t>.</w:t>
      </w:r>
    </w:p>
    <w:p w14:paraId="6C9DBEFC" w14:textId="7145E291" w:rsidR="0034657E" w:rsidRPr="00762C72" w:rsidRDefault="001D7392" w:rsidP="00322986">
      <w:pPr>
        <w:pStyle w:val="Caption"/>
        <w:spacing w:before="120" w:after="0"/>
        <w:rPr>
          <w:rFonts w:asciiTheme="minorHAnsi" w:hAnsiTheme="minorHAnsi"/>
          <w:b w:val="0"/>
          <w:bCs w:val="0"/>
          <w:i/>
          <w:color w:val="000000" w:themeColor="text1"/>
          <w:sz w:val="22"/>
          <w:szCs w:val="24"/>
          <w:lang w:val="sq-AL"/>
        </w:rPr>
      </w:pPr>
      <w:bookmarkStart w:id="35" w:name="_Toc12448434"/>
      <w:bookmarkStart w:id="36" w:name="_Toc107498099"/>
      <w:r w:rsidRPr="001D7392">
        <w:rPr>
          <w:rFonts w:asciiTheme="minorHAnsi" w:hAnsiTheme="minorHAnsi"/>
          <w:b w:val="0"/>
          <w:bCs w:val="0"/>
          <w:i/>
          <w:color w:val="000000" w:themeColor="text1"/>
          <w:sz w:val="22"/>
          <w:szCs w:val="24"/>
          <w:lang w:val="sq-AL"/>
        </w:rPr>
        <w:t xml:space="preserve">Grafiku </w:t>
      </w:r>
      <w:r w:rsidRPr="001D7392">
        <w:rPr>
          <w:rFonts w:asciiTheme="minorHAnsi" w:hAnsiTheme="minorHAnsi"/>
          <w:b w:val="0"/>
          <w:bCs w:val="0"/>
          <w:i/>
          <w:color w:val="000000" w:themeColor="text1"/>
          <w:sz w:val="22"/>
          <w:szCs w:val="24"/>
          <w:lang w:val="sq-AL"/>
        </w:rPr>
        <w:fldChar w:fldCharType="begin"/>
      </w:r>
      <w:r w:rsidRPr="001D7392">
        <w:rPr>
          <w:rFonts w:asciiTheme="minorHAnsi" w:hAnsiTheme="minorHAnsi"/>
          <w:b w:val="0"/>
          <w:bCs w:val="0"/>
          <w:i/>
          <w:color w:val="000000" w:themeColor="text1"/>
          <w:sz w:val="22"/>
          <w:szCs w:val="24"/>
          <w:lang w:val="sq-AL"/>
        </w:rPr>
        <w:instrText xml:space="preserve"> SEQ Grafiku \* ARABIC </w:instrText>
      </w:r>
      <w:r w:rsidRPr="001D7392">
        <w:rPr>
          <w:rFonts w:asciiTheme="minorHAnsi" w:hAnsiTheme="minorHAnsi"/>
          <w:b w:val="0"/>
          <w:bCs w:val="0"/>
          <w:i/>
          <w:color w:val="000000" w:themeColor="text1"/>
          <w:sz w:val="22"/>
          <w:szCs w:val="24"/>
          <w:lang w:val="sq-AL"/>
        </w:rPr>
        <w:fldChar w:fldCharType="separate"/>
      </w:r>
      <w:r w:rsidR="00C153A9">
        <w:rPr>
          <w:rFonts w:asciiTheme="minorHAnsi" w:hAnsiTheme="minorHAnsi"/>
          <w:b w:val="0"/>
          <w:bCs w:val="0"/>
          <w:i/>
          <w:noProof/>
          <w:color w:val="000000" w:themeColor="text1"/>
          <w:sz w:val="22"/>
          <w:szCs w:val="24"/>
          <w:lang w:val="sq-AL"/>
        </w:rPr>
        <w:t>8</w:t>
      </w:r>
      <w:r w:rsidRPr="001D7392">
        <w:rPr>
          <w:rFonts w:asciiTheme="minorHAnsi" w:hAnsiTheme="minorHAnsi"/>
          <w:b w:val="0"/>
          <w:bCs w:val="0"/>
          <w:i/>
          <w:color w:val="000000" w:themeColor="text1"/>
          <w:sz w:val="22"/>
          <w:szCs w:val="24"/>
          <w:lang w:val="sq-AL"/>
        </w:rPr>
        <w:fldChar w:fldCharType="end"/>
      </w:r>
      <w:r w:rsidR="0034657E" w:rsidRPr="001D7392">
        <w:rPr>
          <w:rFonts w:asciiTheme="minorHAnsi" w:hAnsiTheme="minorHAnsi"/>
          <w:b w:val="0"/>
          <w:bCs w:val="0"/>
          <w:i/>
          <w:color w:val="000000" w:themeColor="text1"/>
          <w:sz w:val="22"/>
          <w:szCs w:val="24"/>
          <w:lang w:val="sq-AL"/>
        </w:rPr>
        <w:t>: Të ardhurat nga Tatimi mbi të Ardhurat Personale, në vite (në milion lekë)</w:t>
      </w:r>
      <w:bookmarkEnd w:id="35"/>
      <w:bookmarkEnd w:id="36"/>
    </w:p>
    <w:p w14:paraId="7AB4C926" w14:textId="77777777" w:rsidR="0034657E" w:rsidRDefault="00322986" w:rsidP="00762C72">
      <w:pPr>
        <w:jc w:val="center"/>
        <w:rPr>
          <w:lang w:val="sq-AL"/>
        </w:rPr>
      </w:pPr>
      <w:r w:rsidRPr="00853EB9">
        <w:rPr>
          <w:noProof/>
        </w:rPr>
        <w:drawing>
          <wp:inline distT="0" distB="0" distL="0" distR="0" wp14:anchorId="6DF720D8" wp14:editId="3CB3EA5E">
            <wp:extent cx="6115050" cy="1476615"/>
            <wp:effectExtent l="0" t="0" r="0" b="9525"/>
            <wp:docPr id="42" name="Chart 42">
              <a:extLst xmlns:a="http://schemas.openxmlformats.org/drawingml/2006/main">
                <a:ext uri="{FF2B5EF4-FFF2-40B4-BE49-F238E27FC236}">
                  <a16:creationId xmlns:a16="http://schemas.microsoft.com/office/drawing/2014/main" id="{D33FE583-5FC9-481E-B294-EC4D6C7D3E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4959D89" w14:textId="77777777" w:rsidR="0034657E" w:rsidRPr="004E355C" w:rsidRDefault="00193978" w:rsidP="0034657E">
      <w:pPr>
        <w:spacing w:line="276" w:lineRule="auto"/>
        <w:jc w:val="both"/>
        <w:rPr>
          <w:rFonts w:asciiTheme="minorHAnsi" w:eastAsia="SimSun" w:hAnsiTheme="minorHAnsi"/>
          <w:i/>
          <w:lang w:val="sq-AL"/>
        </w:rPr>
      </w:pPr>
      <w:r>
        <w:rPr>
          <w:rFonts w:asciiTheme="minorHAnsi" w:hAnsiTheme="minorHAnsi"/>
          <w:sz w:val="20"/>
          <w:szCs w:val="20"/>
          <w:lang w:val="sq-AL"/>
        </w:rPr>
        <w:t>Burimi: Ministria e Financave dhe Ekonomisë (2023)</w:t>
      </w:r>
      <w:r w:rsidR="0034657E" w:rsidRPr="004E355C">
        <w:rPr>
          <w:rFonts w:asciiTheme="minorHAnsi" w:eastAsia="SimSun" w:hAnsiTheme="minorHAnsi"/>
          <w:i/>
          <w:lang w:val="sq-AL"/>
        </w:rPr>
        <w:tab/>
      </w:r>
    </w:p>
    <w:p w14:paraId="7AC94571" w14:textId="77777777" w:rsidR="0034657E" w:rsidRPr="004E355C" w:rsidRDefault="0034657E" w:rsidP="0034657E">
      <w:pPr>
        <w:spacing w:line="276" w:lineRule="auto"/>
        <w:jc w:val="both"/>
        <w:rPr>
          <w:rFonts w:asciiTheme="minorHAnsi" w:hAnsiTheme="minorHAnsi" w:cstheme="minorHAnsi"/>
          <w:sz w:val="8"/>
          <w:szCs w:val="8"/>
          <w:lang w:val="it-IT"/>
        </w:rPr>
      </w:pPr>
    </w:p>
    <w:p w14:paraId="1679F47E" w14:textId="77777777" w:rsidR="00AE2134" w:rsidRPr="00EB3EBD" w:rsidRDefault="00AE2134" w:rsidP="0034657E">
      <w:pPr>
        <w:spacing w:line="276" w:lineRule="auto"/>
        <w:jc w:val="both"/>
        <w:rPr>
          <w:rFonts w:asciiTheme="minorHAnsi" w:hAnsiTheme="minorHAnsi" w:cstheme="minorHAnsi"/>
          <w:b/>
          <w:bCs/>
          <w:i/>
          <w:iCs/>
          <w:sz w:val="8"/>
          <w:lang w:val="it-IT"/>
        </w:rPr>
      </w:pPr>
    </w:p>
    <w:p w14:paraId="5FA543BD" w14:textId="77777777" w:rsidR="0034657E" w:rsidRDefault="0034657E" w:rsidP="0034657E">
      <w:pPr>
        <w:spacing w:line="276" w:lineRule="auto"/>
        <w:jc w:val="both"/>
        <w:rPr>
          <w:rFonts w:asciiTheme="minorHAnsi" w:hAnsiTheme="minorHAnsi"/>
          <w:lang w:val="sq-AL"/>
        </w:rPr>
      </w:pPr>
      <w:r w:rsidRPr="00C21C2C">
        <w:rPr>
          <w:rFonts w:asciiTheme="minorHAnsi" w:hAnsiTheme="minorHAnsi" w:cstheme="minorHAnsi"/>
          <w:b/>
          <w:bCs/>
          <w:i/>
          <w:iCs/>
          <w:lang w:val="it-IT"/>
        </w:rPr>
        <w:lastRenderedPageBreak/>
        <w:t>Nga “Taksat Kombëtare”</w:t>
      </w:r>
      <w:r w:rsidRPr="004E355C">
        <w:rPr>
          <w:rFonts w:asciiTheme="minorHAnsi" w:hAnsiTheme="minorHAnsi" w:cstheme="minorHAnsi"/>
          <w:lang w:val="it-IT"/>
        </w:rPr>
        <w:t xml:space="preserve"> </w:t>
      </w:r>
      <w:r w:rsidR="00322986" w:rsidRPr="00853EB9">
        <w:rPr>
          <w:rFonts w:asciiTheme="minorHAnsi" w:hAnsiTheme="minorHAnsi" w:cstheme="minorHAnsi"/>
          <w:lang w:val="it-IT"/>
        </w:rPr>
        <w:t>janë realizuar 14.3 miliardë lekë, 17.6% ose 3.1 miliardë lekë më pak se 5</w:t>
      </w:r>
      <w:r w:rsidR="00322986">
        <w:rPr>
          <w:rFonts w:asciiTheme="minorHAnsi" w:hAnsiTheme="minorHAnsi" w:cstheme="minorHAnsi"/>
          <w:lang w:val="it-IT"/>
        </w:rPr>
        <w:t>M</w:t>
      </w:r>
      <w:r w:rsidR="00322986" w:rsidRPr="00853EB9">
        <w:rPr>
          <w:rFonts w:asciiTheme="minorHAnsi" w:hAnsiTheme="minorHAnsi" w:cstheme="minorHAnsi"/>
          <w:lang w:val="it-IT"/>
        </w:rPr>
        <w:t xml:space="preserve"> 2022 dhe 23.7% ose 4.5</w:t>
      </w:r>
      <w:r w:rsidR="00322986">
        <w:rPr>
          <w:rFonts w:asciiTheme="minorHAnsi" w:hAnsiTheme="minorHAnsi" w:cstheme="minorHAnsi"/>
          <w:lang w:val="it-IT"/>
        </w:rPr>
        <w:t xml:space="preserve">mld </w:t>
      </w:r>
      <w:r w:rsidR="00322986" w:rsidRPr="00853EB9">
        <w:rPr>
          <w:rFonts w:asciiTheme="minorHAnsi" w:hAnsiTheme="minorHAnsi" w:cstheme="minorHAnsi"/>
          <w:lang w:val="it-IT"/>
        </w:rPr>
        <w:t>lekë më pak s</w:t>
      </w:r>
      <w:r w:rsidR="00322986" w:rsidRPr="00853EB9">
        <w:rPr>
          <w:rFonts w:asciiTheme="minorHAnsi" w:eastAsia="Calibri" w:hAnsiTheme="minorHAnsi" w:cstheme="minorHAnsi"/>
          <w:lang w:val="it-IT"/>
        </w:rPr>
        <w:t>e plani</w:t>
      </w:r>
      <w:r w:rsidR="00322986" w:rsidRPr="00853EB9">
        <w:rPr>
          <w:rFonts w:asciiTheme="minorHAnsi" w:hAnsiTheme="minorHAnsi"/>
          <w:lang w:val="sq-AL"/>
        </w:rPr>
        <w:t>. Rënia vjen si rezultat i uljes së disa nga zerat si: të ardhura të Tarifës së Shërbimit për kalimin e kufirit me avion me 83.3% ose 556</w:t>
      </w:r>
      <w:r w:rsidR="00322986">
        <w:rPr>
          <w:rFonts w:asciiTheme="minorHAnsi" w:hAnsiTheme="minorHAnsi"/>
          <w:lang w:val="sq-AL"/>
        </w:rPr>
        <w:t xml:space="preserve">mln </w:t>
      </w:r>
      <w:r w:rsidR="00322986" w:rsidRPr="00853EB9">
        <w:rPr>
          <w:rFonts w:asciiTheme="minorHAnsi" w:hAnsiTheme="minorHAnsi"/>
          <w:lang w:val="sq-AL"/>
        </w:rPr>
        <w:t>lekë më pak se 5 mujori 2022, nga taksat për amballazhet plastike me ulje 3.3%  ose 26 milionë më pak se 5 mujori 2022 dhe Takës së Qarkullimit me ulje 0.4% ose 31 milionë lekë më pak se 5 mujori 2022</w:t>
      </w:r>
      <w:r>
        <w:rPr>
          <w:rFonts w:asciiTheme="minorHAnsi" w:hAnsiTheme="minorHAnsi"/>
          <w:lang w:val="sq-AL"/>
        </w:rPr>
        <w:t>.</w:t>
      </w:r>
    </w:p>
    <w:p w14:paraId="62248BD1" w14:textId="3383F475" w:rsidR="0034657E" w:rsidRPr="00A17731" w:rsidRDefault="001D7392" w:rsidP="00322986">
      <w:pPr>
        <w:pStyle w:val="Caption"/>
        <w:spacing w:before="120" w:after="0"/>
        <w:rPr>
          <w:rFonts w:asciiTheme="minorHAnsi" w:hAnsiTheme="minorHAnsi"/>
          <w:b w:val="0"/>
          <w:bCs w:val="0"/>
          <w:i/>
          <w:color w:val="auto"/>
          <w:sz w:val="22"/>
          <w:szCs w:val="24"/>
          <w:lang w:val="sq-AL"/>
        </w:rPr>
      </w:pPr>
      <w:bookmarkStart w:id="37" w:name="_Toc12448435"/>
      <w:bookmarkStart w:id="38" w:name="_Toc107498100"/>
      <w:r w:rsidRPr="001D7392">
        <w:rPr>
          <w:rFonts w:asciiTheme="minorHAnsi" w:hAnsiTheme="minorHAnsi"/>
          <w:b w:val="0"/>
          <w:bCs w:val="0"/>
          <w:i/>
          <w:color w:val="auto"/>
          <w:sz w:val="22"/>
          <w:szCs w:val="24"/>
          <w:lang w:val="sq-AL"/>
        </w:rPr>
        <w:t xml:space="preserve">Grafiku </w:t>
      </w:r>
      <w:r w:rsidRPr="001D7392">
        <w:rPr>
          <w:rFonts w:asciiTheme="minorHAnsi" w:hAnsiTheme="minorHAnsi"/>
          <w:b w:val="0"/>
          <w:bCs w:val="0"/>
          <w:i/>
          <w:color w:val="auto"/>
          <w:sz w:val="22"/>
          <w:szCs w:val="24"/>
          <w:lang w:val="sq-AL"/>
        </w:rPr>
        <w:fldChar w:fldCharType="begin"/>
      </w:r>
      <w:r w:rsidRPr="001D7392">
        <w:rPr>
          <w:rFonts w:asciiTheme="minorHAnsi" w:hAnsiTheme="minorHAnsi"/>
          <w:b w:val="0"/>
          <w:bCs w:val="0"/>
          <w:i/>
          <w:color w:val="auto"/>
          <w:sz w:val="22"/>
          <w:szCs w:val="24"/>
          <w:lang w:val="sq-AL"/>
        </w:rPr>
        <w:instrText xml:space="preserve"> SEQ Grafiku \* ARABIC </w:instrText>
      </w:r>
      <w:r w:rsidRPr="001D7392">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9</w:t>
      </w:r>
      <w:r w:rsidRPr="001D7392">
        <w:rPr>
          <w:rFonts w:asciiTheme="minorHAnsi" w:hAnsiTheme="minorHAnsi"/>
          <w:b w:val="0"/>
          <w:bCs w:val="0"/>
          <w:i/>
          <w:color w:val="auto"/>
          <w:sz w:val="22"/>
          <w:szCs w:val="24"/>
          <w:lang w:val="sq-AL"/>
        </w:rPr>
        <w:fldChar w:fldCharType="end"/>
      </w:r>
      <w:r w:rsidR="0034657E" w:rsidRPr="001D7392">
        <w:rPr>
          <w:rFonts w:asciiTheme="minorHAnsi" w:hAnsiTheme="minorHAnsi"/>
          <w:b w:val="0"/>
          <w:bCs w:val="0"/>
          <w:i/>
          <w:color w:val="auto"/>
          <w:sz w:val="22"/>
          <w:szCs w:val="24"/>
          <w:lang w:val="sq-AL"/>
        </w:rPr>
        <w:t>: Të ardhurat 5 mujore nga Taksat nacionale, në vite (në miliardë lekë)</w:t>
      </w:r>
      <w:bookmarkEnd w:id="37"/>
      <w:bookmarkEnd w:id="38"/>
    </w:p>
    <w:p w14:paraId="2F14A8D1" w14:textId="77777777" w:rsidR="0034657E" w:rsidRPr="001629AE" w:rsidRDefault="00322986" w:rsidP="00FA2630">
      <w:pPr>
        <w:jc w:val="center"/>
        <w:rPr>
          <w:lang w:val="sq-AL"/>
        </w:rPr>
      </w:pPr>
      <w:r w:rsidRPr="00853EB9">
        <w:rPr>
          <w:noProof/>
        </w:rPr>
        <w:drawing>
          <wp:inline distT="0" distB="0" distL="0" distR="0" wp14:anchorId="5D32E134" wp14:editId="03F6658E">
            <wp:extent cx="6062345" cy="1587500"/>
            <wp:effectExtent l="0" t="0" r="14605" b="12700"/>
            <wp:docPr id="43" name="Chart 43">
              <a:extLst xmlns:a="http://schemas.openxmlformats.org/drawingml/2006/main">
                <a:ext uri="{FF2B5EF4-FFF2-40B4-BE49-F238E27FC236}">
                  <a16:creationId xmlns:a16="http://schemas.microsoft.com/office/drawing/2014/main" id="{4229EC19-03CA-492A-B1F7-3846A82378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69D363D" w14:textId="77777777" w:rsidR="0034657E" w:rsidRPr="004E355C" w:rsidRDefault="00193978" w:rsidP="0034657E">
      <w:pPr>
        <w:spacing w:line="276" w:lineRule="auto"/>
        <w:jc w:val="both"/>
        <w:rPr>
          <w:rFonts w:asciiTheme="minorHAnsi" w:hAnsiTheme="minorHAnsi"/>
          <w:sz w:val="20"/>
          <w:szCs w:val="20"/>
          <w:lang w:val="sq-AL"/>
        </w:rPr>
      </w:pPr>
      <w:r>
        <w:rPr>
          <w:rFonts w:asciiTheme="minorHAnsi" w:hAnsiTheme="minorHAnsi"/>
          <w:sz w:val="20"/>
          <w:szCs w:val="20"/>
          <w:lang w:val="sq-AL"/>
        </w:rPr>
        <w:t>Burimi: Ministria e Financave dhe Ekonomisë (2023)</w:t>
      </w:r>
    </w:p>
    <w:p w14:paraId="1836939C" w14:textId="77777777" w:rsidR="0034657E" w:rsidRDefault="0034657E" w:rsidP="00322986">
      <w:pPr>
        <w:spacing w:before="120" w:line="276" w:lineRule="auto"/>
        <w:jc w:val="both"/>
        <w:rPr>
          <w:rFonts w:asciiTheme="minorHAnsi" w:hAnsiTheme="minorHAnsi"/>
          <w:lang w:val="sq-AL"/>
        </w:rPr>
      </w:pPr>
      <w:r w:rsidRPr="004E355C">
        <w:rPr>
          <w:rFonts w:asciiTheme="minorHAnsi" w:eastAsia="Calibri" w:hAnsiTheme="minorHAnsi" w:cstheme="minorHAnsi"/>
          <w:i/>
          <w:lang w:val="it-IT"/>
        </w:rPr>
        <w:t>Të ardhurat nga “Kontributet e D.P.T-së”</w:t>
      </w:r>
      <w:r w:rsidRPr="004E355C">
        <w:rPr>
          <w:rFonts w:asciiTheme="minorHAnsi" w:eastAsia="Calibri" w:hAnsiTheme="minorHAnsi" w:cstheme="minorHAnsi"/>
          <w:lang w:val="it-IT"/>
        </w:rPr>
        <w:t xml:space="preserve"> </w:t>
      </w:r>
      <w:r w:rsidR="00322986" w:rsidRPr="00853EB9">
        <w:rPr>
          <w:rFonts w:asciiTheme="minorHAnsi" w:hAnsiTheme="minorHAnsi" w:cstheme="minorHAnsi"/>
          <w:lang w:val="it-IT"/>
        </w:rPr>
        <w:t>janë realizuar në vlerën 55 miliardë lekë, 7.2 miliardë lekë ose 15% më shumë krahasuar me 5 mujorin e vitit 2022 dhe 7.8% ose 4 miliardë lekë më shumë se plani për 5 mujorin 2023.</w:t>
      </w:r>
      <w:r w:rsidR="00322986" w:rsidRPr="00853EB9">
        <w:rPr>
          <w:rFonts w:asciiTheme="minorHAnsi" w:hAnsiTheme="minorHAnsi" w:cstheme="minorHAnsi"/>
        </w:rPr>
        <w:t xml:space="preserve"> Rritja me</w:t>
      </w:r>
      <w:r w:rsidR="00322986" w:rsidRPr="00853EB9">
        <w:rPr>
          <w:rFonts w:asciiTheme="minorHAnsi" w:hAnsiTheme="minorHAnsi" w:cstheme="minorHAnsi"/>
          <w:noProof/>
          <w:lang w:val="sq-AL"/>
        </w:rPr>
        <w:t xml:space="preserve"> vitin e kaluar në të ardhurat vjen si rezultat i rritjes së numrit të të punësuarve në sektorin privat, rritja e deklarimeve të sigurimeve Shoqërore referuar strategjisë për rritjen e pagës mesatare në shkalë vendi, indeksimi i nivelit të pagave në sektorin publik si dhe rritja e pagës minimale në shkallë vendi</w:t>
      </w:r>
      <w:r>
        <w:rPr>
          <w:rFonts w:asciiTheme="minorHAnsi" w:hAnsiTheme="minorHAnsi"/>
          <w:lang w:val="sq-AL"/>
        </w:rPr>
        <w:t>.</w:t>
      </w:r>
    </w:p>
    <w:p w14:paraId="00C98C29" w14:textId="74653659" w:rsidR="0034657E" w:rsidRPr="00A17731" w:rsidRDefault="001D7392" w:rsidP="00322986">
      <w:pPr>
        <w:pStyle w:val="Caption"/>
        <w:spacing w:before="120" w:after="0"/>
        <w:rPr>
          <w:rFonts w:asciiTheme="minorHAnsi" w:hAnsiTheme="minorHAnsi"/>
          <w:b w:val="0"/>
          <w:bCs w:val="0"/>
          <w:i/>
          <w:color w:val="000000" w:themeColor="text1"/>
          <w:sz w:val="22"/>
          <w:szCs w:val="24"/>
          <w:lang w:val="sq-AL"/>
        </w:rPr>
      </w:pPr>
      <w:bookmarkStart w:id="39" w:name="_Toc12448436"/>
      <w:bookmarkStart w:id="40" w:name="_Toc107498101"/>
      <w:r w:rsidRPr="001D7392">
        <w:rPr>
          <w:rFonts w:asciiTheme="minorHAnsi" w:hAnsiTheme="minorHAnsi"/>
          <w:b w:val="0"/>
          <w:bCs w:val="0"/>
          <w:i/>
          <w:color w:val="000000" w:themeColor="text1"/>
          <w:sz w:val="22"/>
          <w:szCs w:val="24"/>
          <w:lang w:val="sq-AL"/>
        </w:rPr>
        <w:t xml:space="preserve">Grafiku </w:t>
      </w:r>
      <w:r w:rsidRPr="001D7392">
        <w:rPr>
          <w:rFonts w:asciiTheme="minorHAnsi" w:hAnsiTheme="minorHAnsi"/>
          <w:b w:val="0"/>
          <w:bCs w:val="0"/>
          <w:i/>
          <w:color w:val="000000" w:themeColor="text1"/>
          <w:sz w:val="22"/>
          <w:szCs w:val="24"/>
          <w:lang w:val="sq-AL"/>
        </w:rPr>
        <w:fldChar w:fldCharType="begin"/>
      </w:r>
      <w:r w:rsidRPr="001D7392">
        <w:rPr>
          <w:rFonts w:asciiTheme="minorHAnsi" w:hAnsiTheme="minorHAnsi"/>
          <w:b w:val="0"/>
          <w:bCs w:val="0"/>
          <w:i/>
          <w:color w:val="000000" w:themeColor="text1"/>
          <w:sz w:val="22"/>
          <w:szCs w:val="24"/>
          <w:lang w:val="sq-AL"/>
        </w:rPr>
        <w:instrText xml:space="preserve"> SEQ Grafiku \* ARABIC </w:instrText>
      </w:r>
      <w:r w:rsidRPr="001D7392">
        <w:rPr>
          <w:rFonts w:asciiTheme="minorHAnsi" w:hAnsiTheme="minorHAnsi"/>
          <w:b w:val="0"/>
          <w:bCs w:val="0"/>
          <w:i/>
          <w:color w:val="000000" w:themeColor="text1"/>
          <w:sz w:val="22"/>
          <w:szCs w:val="24"/>
          <w:lang w:val="sq-AL"/>
        </w:rPr>
        <w:fldChar w:fldCharType="separate"/>
      </w:r>
      <w:r w:rsidR="00C153A9">
        <w:rPr>
          <w:rFonts w:asciiTheme="minorHAnsi" w:hAnsiTheme="minorHAnsi"/>
          <w:b w:val="0"/>
          <w:bCs w:val="0"/>
          <w:i/>
          <w:noProof/>
          <w:color w:val="000000" w:themeColor="text1"/>
          <w:sz w:val="22"/>
          <w:szCs w:val="24"/>
          <w:lang w:val="sq-AL"/>
        </w:rPr>
        <w:t>10</w:t>
      </w:r>
      <w:r w:rsidRPr="001D7392">
        <w:rPr>
          <w:rFonts w:asciiTheme="minorHAnsi" w:hAnsiTheme="minorHAnsi"/>
          <w:b w:val="0"/>
          <w:bCs w:val="0"/>
          <w:i/>
          <w:color w:val="000000" w:themeColor="text1"/>
          <w:sz w:val="22"/>
          <w:szCs w:val="24"/>
          <w:lang w:val="sq-AL"/>
        </w:rPr>
        <w:fldChar w:fldCharType="end"/>
      </w:r>
      <w:r w:rsidR="0034657E" w:rsidRPr="001D7392">
        <w:rPr>
          <w:rFonts w:asciiTheme="minorHAnsi" w:hAnsiTheme="minorHAnsi"/>
          <w:b w:val="0"/>
          <w:bCs w:val="0"/>
          <w:i/>
          <w:color w:val="000000" w:themeColor="text1"/>
          <w:sz w:val="22"/>
          <w:szCs w:val="24"/>
          <w:lang w:val="sq-AL"/>
        </w:rPr>
        <w:t>: Të ardhurat nga kontributet e mbledhura nga DPT, në vite (në miliardë lekë)</w:t>
      </w:r>
      <w:bookmarkEnd w:id="39"/>
      <w:bookmarkEnd w:id="40"/>
    </w:p>
    <w:p w14:paraId="4F12B51E" w14:textId="77777777" w:rsidR="0034657E" w:rsidRPr="00F21483" w:rsidRDefault="00322986" w:rsidP="00FA2630">
      <w:pPr>
        <w:jc w:val="center"/>
        <w:rPr>
          <w:lang w:val="sq-AL"/>
        </w:rPr>
      </w:pPr>
      <w:r w:rsidRPr="00853EB9">
        <w:rPr>
          <w:noProof/>
        </w:rPr>
        <w:drawing>
          <wp:inline distT="0" distB="0" distL="0" distR="0" wp14:anchorId="1EA2AE03" wp14:editId="61FA701F">
            <wp:extent cx="6090285" cy="1333500"/>
            <wp:effectExtent l="0" t="0" r="5715" b="0"/>
            <wp:docPr id="49" name="Chart 49">
              <a:extLst xmlns:a="http://schemas.openxmlformats.org/drawingml/2006/main">
                <a:ext uri="{FF2B5EF4-FFF2-40B4-BE49-F238E27FC236}">
                  <a16:creationId xmlns:a16="http://schemas.microsoft.com/office/drawing/2014/main" id="{E4A8C7AC-0957-439F-B8D4-EE9C24A952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BBB30E5" w14:textId="77777777" w:rsidR="0034657E" w:rsidRPr="004E355C" w:rsidRDefault="00193978" w:rsidP="0034657E">
      <w:pPr>
        <w:spacing w:line="276" w:lineRule="auto"/>
        <w:rPr>
          <w:rFonts w:asciiTheme="minorHAnsi" w:hAnsiTheme="minorHAnsi"/>
          <w:sz w:val="20"/>
          <w:szCs w:val="20"/>
          <w:lang w:val="sq-AL"/>
        </w:rPr>
      </w:pPr>
      <w:r>
        <w:rPr>
          <w:rFonts w:asciiTheme="minorHAnsi" w:hAnsiTheme="minorHAnsi"/>
          <w:sz w:val="20"/>
          <w:szCs w:val="20"/>
          <w:lang w:val="sq-AL"/>
        </w:rPr>
        <w:t>Burimi: Ministria e Financave dhe Ekonomisë (2023)</w:t>
      </w:r>
    </w:p>
    <w:p w14:paraId="774F7CD5" w14:textId="77777777" w:rsidR="007F224E" w:rsidRPr="00E74AAC" w:rsidRDefault="007F224E" w:rsidP="00C154C8">
      <w:pPr>
        <w:spacing w:line="276" w:lineRule="auto"/>
        <w:ind w:firstLine="720"/>
        <w:rPr>
          <w:rFonts w:asciiTheme="minorHAnsi" w:hAnsiTheme="minorHAnsi"/>
          <w:sz w:val="28"/>
          <w:szCs w:val="20"/>
          <w:lang w:val="sq-AL"/>
        </w:rPr>
      </w:pPr>
    </w:p>
    <w:p w14:paraId="3F74E7B2" w14:textId="77777777" w:rsidR="003A1589" w:rsidRPr="0065598A" w:rsidRDefault="003A1589" w:rsidP="002334F6">
      <w:pPr>
        <w:pStyle w:val="Heading2"/>
      </w:pPr>
      <w:bookmarkStart w:id="41" w:name="_Toc107496985"/>
      <w:r w:rsidRPr="0065598A">
        <w:t>II.2</w:t>
      </w:r>
      <w:r w:rsidRPr="0065598A">
        <w:tab/>
        <w:t>Pritshmëritë fiskale deri në fund të vitit 20</w:t>
      </w:r>
      <w:r w:rsidR="00F720EE">
        <w:t>2</w:t>
      </w:r>
      <w:bookmarkEnd w:id="41"/>
      <w:r w:rsidR="00367A15">
        <w:t>3</w:t>
      </w:r>
    </w:p>
    <w:p w14:paraId="02E97C4C" w14:textId="77777777" w:rsidR="00886D9A" w:rsidRPr="0065598A" w:rsidRDefault="00886D9A" w:rsidP="00886D9A">
      <w:pPr>
        <w:spacing w:line="276" w:lineRule="auto"/>
        <w:jc w:val="both"/>
        <w:rPr>
          <w:rFonts w:asciiTheme="minorHAnsi" w:hAnsiTheme="minorHAnsi"/>
          <w:b/>
          <w:sz w:val="12"/>
          <w:lang w:val="sq-AL"/>
        </w:rPr>
      </w:pPr>
    </w:p>
    <w:p w14:paraId="525220E9" w14:textId="77777777" w:rsidR="00322986" w:rsidRPr="00853EB9" w:rsidRDefault="00322986" w:rsidP="00322986">
      <w:pPr>
        <w:spacing w:line="276" w:lineRule="auto"/>
        <w:jc w:val="both"/>
        <w:rPr>
          <w:rFonts w:asciiTheme="minorHAnsi" w:hAnsiTheme="minorHAnsi" w:cstheme="minorHAnsi"/>
          <w:noProof/>
          <w:lang w:val="sq-AL"/>
        </w:rPr>
      </w:pPr>
      <w:r w:rsidRPr="00853EB9">
        <w:rPr>
          <w:rFonts w:asciiTheme="minorHAnsi" w:hAnsiTheme="minorHAnsi" w:cstheme="minorHAnsi"/>
          <w:color w:val="000000" w:themeColor="text1"/>
          <w:lang w:val="sq-AL"/>
        </w:rPr>
        <w:t>Bazuar në performancën Janar-Maj 2023, si dhe në analizën e faktorëve që mund të impaktojnë realizimin e të ardhurave tatimore dhe doganore për 7</w:t>
      </w:r>
      <w:r>
        <w:rPr>
          <w:rFonts w:asciiTheme="minorHAnsi" w:hAnsiTheme="minorHAnsi" w:cstheme="minorHAnsi"/>
          <w:color w:val="000000" w:themeColor="text1"/>
          <w:lang w:val="sq-AL"/>
        </w:rPr>
        <w:t xml:space="preserve"> </w:t>
      </w:r>
      <w:r w:rsidRPr="00853EB9">
        <w:rPr>
          <w:rFonts w:asciiTheme="minorHAnsi" w:hAnsiTheme="minorHAnsi" w:cstheme="minorHAnsi"/>
          <w:color w:val="000000" w:themeColor="text1"/>
          <w:lang w:val="sq-AL"/>
        </w:rPr>
        <w:t>mujorin në vijim, të cilat administrohen nga Drejtoria e Përgjithshme e Tatimeve (DPT) dhe Drejtoria e Përgjithshme e Doganave (DPD), p</w:t>
      </w:r>
      <w:r w:rsidRPr="00853EB9">
        <w:rPr>
          <w:rFonts w:asciiTheme="minorHAnsi" w:hAnsiTheme="minorHAnsi" w:cstheme="minorHAnsi"/>
          <w:noProof/>
          <w:color w:val="000000" w:themeColor="text1"/>
          <w:lang w:val="sq-AL"/>
        </w:rPr>
        <w:t xml:space="preserve">ërfshirë kontributet e sigurimeve shoqërore dhe shëndetësore sipas </w:t>
      </w:r>
      <w:r w:rsidRPr="00853EB9">
        <w:rPr>
          <w:rFonts w:asciiTheme="minorHAnsi" w:hAnsiTheme="minorHAnsi" w:cstheme="minorHAnsi"/>
          <w:noProof/>
          <w:lang w:val="sq-AL"/>
        </w:rPr>
        <w:t>vlerësimit të pritshëm të treguesve fiskalë deri në fund të vitit bazuar në ecurinë e deritanishme gjykojmë të jenë në parametrat e planifikuar me ndonjë rënie të lehtë për shkak të faktoreve që po impaktojnë vitin 2023 si:</w:t>
      </w:r>
    </w:p>
    <w:p w14:paraId="33C5786B" w14:textId="77777777" w:rsidR="00322986" w:rsidRPr="00322986" w:rsidRDefault="00322986" w:rsidP="00056DE5">
      <w:pPr>
        <w:pStyle w:val="ListParagraph"/>
        <w:numPr>
          <w:ilvl w:val="0"/>
          <w:numId w:val="38"/>
        </w:numPr>
        <w:spacing w:line="276" w:lineRule="auto"/>
        <w:jc w:val="both"/>
        <w:rPr>
          <w:rFonts w:asciiTheme="minorHAnsi" w:hAnsiTheme="minorHAnsi" w:cstheme="minorHAnsi"/>
          <w:i/>
          <w:noProof/>
          <w:lang w:val="sq-AL"/>
        </w:rPr>
      </w:pPr>
      <w:r>
        <w:rPr>
          <w:rFonts w:asciiTheme="minorHAnsi" w:hAnsiTheme="minorHAnsi" w:cstheme="minorHAnsi"/>
          <w:i/>
          <w:noProof/>
          <w:lang w:val="sq-AL"/>
        </w:rPr>
        <w:t>K</w:t>
      </w:r>
      <w:r w:rsidRPr="00322986">
        <w:rPr>
          <w:rFonts w:asciiTheme="minorHAnsi" w:hAnsiTheme="minorHAnsi" w:cstheme="minorHAnsi"/>
          <w:i/>
          <w:noProof/>
          <w:lang w:val="sq-AL"/>
        </w:rPr>
        <w:t>ursi i këmbimit i cili ka reduktuar të ardhurat e TVSH nga importet. Sqarojmë se TVSH e importeve përbën 2/3 e TVSH në total.</w:t>
      </w:r>
    </w:p>
    <w:p w14:paraId="39A96F52" w14:textId="77777777" w:rsidR="00322986" w:rsidRPr="00322986" w:rsidRDefault="00322986" w:rsidP="00056DE5">
      <w:pPr>
        <w:pStyle w:val="ListParagraph"/>
        <w:numPr>
          <w:ilvl w:val="0"/>
          <w:numId w:val="38"/>
        </w:numPr>
        <w:spacing w:line="276" w:lineRule="auto"/>
        <w:jc w:val="both"/>
        <w:rPr>
          <w:rFonts w:asciiTheme="minorHAnsi" w:hAnsiTheme="minorHAnsi" w:cstheme="minorHAnsi"/>
          <w:i/>
          <w:noProof/>
          <w:lang w:val="sq-AL"/>
        </w:rPr>
      </w:pPr>
      <w:r>
        <w:rPr>
          <w:rFonts w:asciiTheme="minorHAnsi" w:hAnsiTheme="minorHAnsi" w:cstheme="minorHAnsi"/>
          <w:i/>
          <w:noProof/>
          <w:lang w:val="sq-AL"/>
        </w:rPr>
        <w:t>R</w:t>
      </w:r>
      <w:r w:rsidRPr="00322986">
        <w:rPr>
          <w:rFonts w:asciiTheme="minorHAnsi" w:hAnsiTheme="minorHAnsi" w:cstheme="minorHAnsi"/>
          <w:i/>
          <w:noProof/>
          <w:lang w:val="sq-AL"/>
        </w:rPr>
        <w:t>eduktimi i importit të energjisë elektrike, e cila paguan TVSH më të lartë në import krahasuar me atë që llogaritet për prodhimin vendas për shkak të çmimit.</w:t>
      </w:r>
    </w:p>
    <w:p w14:paraId="34207D73" w14:textId="77777777" w:rsidR="004F04D3" w:rsidRDefault="004F04D3" w:rsidP="004F04D3">
      <w:pPr>
        <w:pStyle w:val="ListParagraph"/>
        <w:widowControl w:val="0"/>
        <w:spacing w:line="276" w:lineRule="auto"/>
        <w:ind w:left="540"/>
        <w:jc w:val="both"/>
        <w:rPr>
          <w:rFonts w:asciiTheme="minorHAnsi" w:hAnsiTheme="minorHAnsi" w:cstheme="minorHAnsi"/>
          <w:i/>
          <w:lang w:val="sq-AL"/>
        </w:rPr>
      </w:pPr>
    </w:p>
    <w:p w14:paraId="5D796464" w14:textId="77777777" w:rsidR="00AE3C1B" w:rsidRPr="00BE627C" w:rsidRDefault="00AE3C1B" w:rsidP="00B95810">
      <w:pPr>
        <w:pStyle w:val="Heading1"/>
        <w:numPr>
          <w:ilvl w:val="0"/>
          <w:numId w:val="1"/>
        </w:numPr>
        <w:spacing w:after="240" w:line="276" w:lineRule="auto"/>
        <w:ind w:left="720"/>
        <w:rPr>
          <w:sz w:val="32"/>
          <w:u w:val="none"/>
        </w:rPr>
      </w:pPr>
      <w:bookmarkStart w:id="42" w:name="_Toc107496986"/>
      <w:r w:rsidRPr="00BE627C">
        <w:rPr>
          <w:sz w:val="32"/>
          <w:u w:val="none"/>
        </w:rPr>
        <w:lastRenderedPageBreak/>
        <w:t>BUXHETI I VITIT 20</w:t>
      </w:r>
      <w:r w:rsidR="00C23C7E" w:rsidRPr="00BE627C">
        <w:rPr>
          <w:sz w:val="32"/>
          <w:u w:val="none"/>
        </w:rPr>
        <w:t>2</w:t>
      </w:r>
      <w:bookmarkEnd w:id="42"/>
      <w:r w:rsidR="00367A15">
        <w:rPr>
          <w:sz w:val="32"/>
          <w:u w:val="none"/>
        </w:rPr>
        <w:t>3</w:t>
      </w:r>
      <w:r w:rsidR="00FD3DF0" w:rsidRPr="00BE627C">
        <w:rPr>
          <w:sz w:val="32"/>
          <w:u w:val="none"/>
        </w:rPr>
        <w:t xml:space="preserve"> </w:t>
      </w:r>
    </w:p>
    <w:p w14:paraId="150D3256" w14:textId="77777777" w:rsidR="00CE3733" w:rsidRPr="0065598A" w:rsidRDefault="009E4504" w:rsidP="002334F6">
      <w:pPr>
        <w:pStyle w:val="Heading2"/>
      </w:pPr>
      <w:bookmarkStart w:id="43" w:name="_Toc107496987"/>
      <w:r w:rsidRPr="0065598A">
        <w:t>I</w:t>
      </w:r>
      <w:r w:rsidR="00CB4875" w:rsidRPr="0065598A">
        <w:t>II</w:t>
      </w:r>
      <w:r w:rsidRPr="0065598A">
        <w:t>.</w:t>
      </w:r>
      <w:r w:rsidR="002C13CF" w:rsidRPr="0065598A">
        <w:t>1</w:t>
      </w:r>
      <w:r w:rsidRPr="0065598A">
        <w:tab/>
      </w:r>
      <w:r w:rsidR="002570C3" w:rsidRPr="0065598A">
        <w:t xml:space="preserve">Shpenzimet e </w:t>
      </w:r>
      <w:r w:rsidR="002570C3" w:rsidRPr="002334F6">
        <w:t>P</w:t>
      </w:r>
      <w:r w:rsidR="00F268DF" w:rsidRPr="002334F6">
        <w:t>ë</w:t>
      </w:r>
      <w:r w:rsidR="002570C3" w:rsidRPr="002334F6">
        <w:t>rgjithshme</w:t>
      </w:r>
      <w:r w:rsidR="005D6734" w:rsidRPr="0065598A">
        <w:t xml:space="preserve"> </w:t>
      </w:r>
      <w:r w:rsidR="00CB4875" w:rsidRPr="0065598A">
        <w:t xml:space="preserve">Buxhetore </w:t>
      </w:r>
      <w:r w:rsidR="005D6734" w:rsidRPr="0065598A">
        <w:t>gjat</w:t>
      </w:r>
      <w:r w:rsidR="006B2026" w:rsidRPr="0065598A">
        <w:t>ë</w:t>
      </w:r>
      <w:r w:rsidR="005D6734" w:rsidRPr="0065598A">
        <w:t xml:space="preserve"> periudh</w:t>
      </w:r>
      <w:r w:rsidR="006B2026" w:rsidRPr="0065598A">
        <w:t>ë</w:t>
      </w:r>
      <w:r w:rsidR="00BE627C">
        <w:t>s J</w:t>
      </w:r>
      <w:r w:rsidR="005D6734" w:rsidRPr="0065598A">
        <w:t>anar-</w:t>
      </w:r>
      <w:r w:rsidR="00BE627C">
        <w:t>M</w:t>
      </w:r>
      <w:r w:rsidR="005D6734" w:rsidRPr="0065598A">
        <w:t>aj 20</w:t>
      </w:r>
      <w:r w:rsidR="00C23C7E">
        <w:t>2</w:t>
      </w:r>
      <w:bookmarkEnd w:id="43"/>
      <w:r w:rsidR="00367A15">
        <w:t>3</w:t>
      </w:r>
      <w:r w:rsidR="00FD3DF0">
        <w:t xml:space="preserve"> </w:t>
      </w:r>
    </w:p>
    <w:p w14:paraId="3650D733" w14:textId="77777777" w:rsidR="0099331E" w:rsidRPr="0065598A" w:rsidRDefault="0099331E" w:rsidP="0099331E">
      <w:pPr>
        <w:spacing w:line="360" w:lineRule="auto"/>
        <w:jc w:val="both"/>
        <w:rPr>
          <w:rFonts w:asciiTheme="minorHAnsi" w:eastAsia="SimSun" w:hAnsiTheme="minorHAnsi"/>
          <w:b/>
          <w:bCs/>
          <w:sz w:val="8"/>
          <w:szCs w:val="8"/>
          <w:lang w:val="sq-AL"/>
        </w:rPr>
      </w:pPr>
    </w:p>
    <w:p w14:paraId="565C7DB7" w14:textId="27C5CAA9" w:rsidR="001B65FA" w:rsidRDefault="001B65FA" w:rsidP="001B65FA">
      <w:pPr>
        <w:spacing w:line="276" w:lineRule="auto"/>
        <w:ind w:firstLine="720"/>
        <w:jc w:val="both"/>
        <w:rPr>
          <w:rFonts w:asciiTheme="minorHAnsi" w:eastAsia="SimSun" w:hAnsiTheme="minorHAnsi"/>
          <w:lang w:val="sq-AL"/>
        </w:rPr>
      </w:pPr>
      <w:r w:rsidRPr="0079565A">
        <w:rPr>
          <w:rFonts w:asciiTheme="minorHAnsi" w:eastAsia="SimSun" w:hAnsiTheme="minorHAnsi"/>
          <w:b/>
          <w:bCs/>
          <w:lang w:val="sq-AL"/>
        </w:rPr>
        <w:t>Shpenzimet e përgjithshme publike</w:t>
      </w:r>
      <w:r w:rsidRPr="0079565A">
        <w:rPr>
          <w:rFonts w:asciiTheme="minorHAnsi" w:eastAsia="SimSun" w:hAnsiTheme="minorHAnsi"/>
          <w:lang w:val="sq-AL"/>
        </w:rPr>
        <w:t xml:space="preserve"> </w:t>
      </w:r>
      <w:r w:rsidR="00543C48" w:rsidRPr="00E36D78">
        <w:rPr>
          <w:rFonts w:asciiTheme="minorHAnsi" w:eastAsia="SimSun" w:hAnsiTheme="minorHAnsi"/>
          <w:lang w:val="sq-AL"/>
        </w:rPr>
        <w:t xml:space="preserve">për periudhën </w:t>
      </w:r>
      <w:r w:rsidR="00543C48">
        <w:rPr>
          <w:rFonts w:asciiTheme="minorHAnsi" w:eastAsia="SimSun" w:hAnsiTheme="minorHAnsi"/>
          <w:lang w:val="sq-AL"/>
        </w:rPr>
        <w:t>5</w:t>
      </w:r>
      <w:r w:rsidR="00543C48" w:rsidRPr="00E36D78">
        <w:rPr>
          <w:rFonts w:asciiTheme="minorHAnsi" w:eastAsia="SimSun" w:hAnsiTheme="minorHAnsi"/>
          <w:lang w:val="sq-AL"/>
        </w:rPr>
        <w:t xml:space="preserve"> mujore të vitit 2023, arritën në rreth 221.7 miliard </w:t>
      </w:r>
      <w:bookmarkStart w:id="44" w:name="_Hlk138413505"/>
      <w:r w:rsidR="00543C48">
        <w:rPr>
          <w:rFonts w:asciiTheme="minorHAnsi" w:eastAsia="SimSun" w:hAnsiTheme="minorHAnsi"/>
          <w:lang w:val="sq-AL"/>
        </w:rPr>
        <w:t>lek</w:t>
      </w:r>
      <w:r w:rsidR="00543C48" w:rsidRPr="00E36D78">
        <w:rPr>
          <w:rFonts w:asciiTheme="minorHAnsi" w:eastAsia="SimSun" w:hAnsiTheme="minorHAnsi"/>
          <w:lang w:val="sq-AL"/>
        </w:rPr>
        <w:t>ë</w:t>
      </w:r>
      <w:bookmarkEnd w:id="44"/>
      <w:r w:rsidR="00543C48">
        <w:rPr>
          <w:rFonts w:asciiTheme="minorHAnsi" w:eastAsia="SimSun" w:hAnsiTheme="minorHAnsi"/>
          <w:lang w:val="sq-AL"/>
        </w:rPr>
        <w:t xml:space="preserve"> </w:t>
      </w:r>
      <w:r w:rsidR="00543C48" w:rsidRPr="00E36D78">
        <w:rPr>
          <w:rFonts w:asciiTheme="minorHAnsi" w:eastAsia="SimSun" w:hAnsiTheme="minorHAnsi"/>
          <w:lang w:val="sq-AL"/>
        </w:rPr>
        <w:t>me një realizim në masën 90 përqind të planit të periudhës</w:t>
      </w:r>
      <w:r w:rsidR="00543C48" w:rsidRPr="00B701E1">
        <w:rPr>
          <w:rFonts w:asciiTheme="minorHAnsi" w:eastAsia="SimSun" w:hAnsiTheme="minorHAnsi"/>
          <w:lang w:val="sq-AL"/>
        </w:rPr>
        <w:t xml:space="preserve"> </w:t>
      </w:r>
      <w:r w:rsidR="00543C48" w:rsidRPr="00DC54C2">
        <w:rPr>
          <w:rFonts w:asciiTheme="minorHAnsi" w:eastAsia="SimSun" w:hAnsiTheme="minorHAnsi"/>
          <w:lang w:val="sq-AL"/>
        </w:rPr>
        <w:t>ndërkohë që,</w:t>
      </w:r>
      <w:r w:rsidR="00543C48" w:rsidRPr="00E36D78">
        <w:rPr>
          <w:rFonts w:asciiTheme="minorHAnsi" w:eastAsia="SimSun" w:hAnsiTheme="minorHAnsi"/>
          <w:lang w:val="sq-AL"/>
        </w:rPr>
        <w:t xml:space="preserve"> krahasuar me të njëjtën periudhë të vitit 2022 ky zë ka rezultuar 3.5 përqind më i lartë ose rreth 7.6 miliard </w:t>
      </w:r>
      <w:r w:rsidR="00543C48">
        <w:rPr>
          <w:rFonts w:asciiTheme="minorHAnsi" w:eastAsia="SimSun" w:hAnsiTheme="minorHAnsi"/>
          <w:lang w:val="sq-AL"/>
        </w:rPr>
        <w:t>lek</w:t>
      </w:r>
      <w:r w:rsidR="00543C48" w:rsidRPr="00E36D78">
        <w:rPr>
          <w:rFonts w:asciiTheme="minorHAnsi" w:eastAsia="SimSun" w:hAnsiTheme="minorHAnsi"/>
          <w:lang w:val="sq-AL"/>
        </w:rPr>
        <w:t>ë më shumë. Në terma vjetor</w:t>
      </w:r>
      <w:r w:rsidR="00D16C66">
        <w:rPr>
          <w:rFonts w:asciiTheme="minorHAnsi" w:eastAsia="SimSun" w:hAnsiTheme="minorHAnsi"/>
          <w:lang w:val="sq-AL"/>
        </w:rPr>
        <w:t>ë</w:t>
      </w:r>
      <w:r w:rsidR="00543C48" w:rsidRPr="00E36D78">
        <w:rPr>
          <w:rFonts w:asciiTheme="minorHAnsi" w:eastAsia="SimSun" w:hAnsiTheme="minorHAnsi"/>
          <w:lang w:val="sq-AL"/>
        </w:rPr>
        <w:t xml:space="preserve">, shpenzimet e përgjithshme </w:t>
      </w:r>
      <w:r w:rsidR="00D16C66">
        <w:rPr>
          <w:rFonts w:asciiTheme="minorHAnsi" w:eastAsia="SimSun" w:hAnsiTheme="minorHAnsi"/>
          <w:lang w:val="sq-AL"/>
        </w:rPr>
        <w:t>p</w:t>
      </w:r>
      <w:r w:rsidR="004B3FF3">
        <w:rPr>
          <w:rFonts w:asciiTheme="minorHAnsi" w:eastAsia="SimSun" w:hAnsiTheme="minorHAnsi"/>
          <w:lang w:val="sq-AL"/>
        </w:rPr>
        <w:t>ë</w:t>
      </w:r>
      <w:r w:rsidR="00D16C66">
        <w:rPr>
          <w:rFonts w:asciiTheme="minorHAnsi" w:eastAsia="SimSun" w:hAnsiTheme="minorHAnsi"/>
          <w:lang w:val="sq-AL"/>
        </w:rPr>
        <w:t xml:space="preserve">r </w:t>
      </w:r>
      <w:r w:rsidR="00543C48" w:rsidRPr="00DC54C2">
        <w:rPr>
          <w:rFonts w:asciiTheme="minorHAnsi" w:eastAsia="SimSun" w:hAnsiTheme="minorHAnsi"/>
          <w:lang w:val="sq-AL"/>
        </w:rPr>
        <w:t xml:space="preserve">5 mujorin </w:t>
      </w:r>
      <w:r w:rsidR="00543C48" w:rsidRPr="00E36D78">
        <w:rPr>
          <w:rFonts w:asciiTheme="minorHAnsi" w:eastAsia="SimSun" w:hAnsiTheme="minorHAnsi"/>
          <w:lang w:val="sq-AL"/>
        </w:rPr>
        <w:t xml:space="preserve"> u realizuan në masën 31.8 përqind të planit vjetor</w:t>
      </w:r>
      <w:r w:rsidR="00D16C66">
        <w:rPr>
          <w:rFonts w:asciiTheme="minorHAnsi" w:eastAsia="SimSun" w:hAnsiTheme="minorHAnsi"/>
          <w:lang w:val="sq-AL"/>
        </w:rPr>
        <w:t xml:space="preserve"> 2023</w:t>
      </w:r>
      <w:r w:rsidRPr="0079565A">
        <w:rPr>
          <w:rFonts w:asciiTheme="minorHAnsi" w:eastAsia="SimSun" w:hAnsiTheme="minorHAnsi"/>
          <w:lang w:val="sq-AL"/>
        </w:rPr>
        <w:t>.</w:t>
      </w:r>
    </w:p>
    <w:p w14:paraId="354FCC8B" w14:textId="77777777" w:rsidR="001B65FA" w:rsidRPr="00F01315" w:rsidRDefault="001B65FA" w:rsidP="001B65FA">
      <w:pPr>
        <w:spacing w:line="276" w:lineRule="auto"/>
        <w:ind w:firstLine="720"/>
        <w:jc w:val="both"/>
        <w:rPr>
          <w:rFonts w:asciiTheme="minorHAnsi" w:eastAsia="SimSun" w:hAnsiTheme="minorHAnsi"/>
          <w:sz w:val="12"/>
          <w:lang w:val="sq-AL"/>
        </w:rPr>
      </w:pPr>
    </w:p>
    <w:p w14:paraId="5166BC06" w14:textId="089A83D9" w:rsidR="001B65FA" w:rsidRPr="000B77A5" w:rsidRDefault="001D7392" w:rsidP="00D16C66">
      <w:pPr>
        <w:pStyle w:val="Caption"/>
        <w:spacing w:after="0"/>
        <w:rPr>
          <w:rFonts w:asciiTheme="minorHAnsi" w:hAnsiTheme="minorHAnsi"/>
          <w:b w:val="0"/>
          <w:bCs w:val="0"/>
          <w:i/>
          <w:color w:val="auto"/>
          <w:sz w:val="22"/>
          <w:szCs w:val="24"/>
          <w:lang w:val="sq-AL"/>
        </w:rPr>
      </w:pPr>
      <w:bookmarkStart w:id="45" w:name="_Toc107496743"/>
      <w:r w:rsidRPr="001D7392">
        <w:rPr>
          <w:rFonts w:asciiTheme="minorHAnsi" w:hAnsiTheme="minorHAnsi"/>
          <w:b w:val="0"/>
          <w:bCs w:val="0"/>
          <w:i/>
          <w:color w:val="auto"/>
          <w:sz w:val="22"/>
          <w:szCs w:val="24"/>
          <w:lang w:val="sq-AL"/>
        </w:rPr>
        <w:t xml:space="preserve">Tabela </w:t>
      </w:r>
      <w:r w:rsidRPr="001D7392">
        <w:rPr>
          <w:rFonts w:asciiTheme="minorHAnsi" w:hAnsiTheme="minorHAnsi"/>
          <w:b w:val="0"/>
          <w:bCs w:val="0"/>
          <w:i/>
          <w:color w:val="auto"/>
          <w:sz w:val="22"/>
          <w:szCs w:val="24"/>
          <w:lang w:val="sq-AL"/>
        </w:rPr>
        <w:fldChar w:fldCharType="begin"/>
      </w:r>
      <w:r w:rsidRPr="001D7392">
        <w:rPr>
          <w:rFonts w:asciiTheme="minorHAnsi" w:hAnsiTheme="minorHAnsi"/>
          <w:b w:val="0"/>
          <w:bCs w:val="0"/>
          <w:i/>
          <w:color w:val="auto"/>
          <w:sz w:val="22"/>
          <w:szCs w:val="24"/>
          <w:lang w:val="sq-AL"/>
        </w:rPr>
        <w:instrText xml:space="preserve"> SEQ Tabela \* ARABIC </w:instrText>
      </w:r>
      <w:r w:rsidRPr="001D7392">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7</w:t>
      </w:r>
      <w:r w:rsidRPr="001D7392">
        <w:rPr>
          <w:rFonts w:asciiTheme="minorHAnsi" w:hAnsiTheme="minorHAnsi"/>
          <w:b w:val="0"/>
          <w:bCs w:val="0"/>
          <w:i/>
          <w:color w:val="auto"/>
          <w:sz w:val="22"/>
          <w:szCs w:val="24"/>
          <w:lang w:val="sq-AL"/>
        </w:rPr>
        <w:fldChar w:fldCharType="end"/>
      </w:r>
      <w:r w:rsidR="001B65FA" w:rsidRPr="000B77A5">
        <w:rPr>
          <w:rFonts w:asciiTheme="minorHAnsi" w:hAnsiTheme="minorHAnsi"/>
          <w:b w:val="0"/>
          <w:bCs w:val="0"/>
          <w:i/>
          <w:color w:val="auto"/>
          <w:sz w:val="22"/>
          <w:szCs w:val="24"/>
          <w:lang w:val="sq-AL"/>
        </w:rPr>
        <w:t>: Treguesit fiskalë të konsoliduar për 5 mujorin e vitit 202</w:t>
      </w:r>
      <w:r w:rsidR="00D16C66">
        <w:rPr>
          <w:rFonts w:asciiTheme="minorHAnsi" w:hAnsiTheme="minorHAnsi"/>
          <w:b w:val="0"/>
          <w:bCs w:val="0"/>
          <w:i/>
          <w:color w:val="auto"/>
          <w:sz w:val="22"/>
          <w:szCs w:val="24"/>
          <w:lang w:val="sq-AL"/>
        </w:rPr>
        <w:t>3</w:t>
      </w:r>
      <w:r w:rsidR="001B65FA" w:rsidRPr="000B77A5">
        <w:rPr>
          <w:rFonts w:asciiTheme="minorHAnsi" w:hAnsiTheme="minorHAnsi"/>
          <w:b w:val="0"/>
          <w:bCs w:val="0"/>
          <w:i/>
          <w:color w:val="auto"/>
          <w:sz w:val="22"/>
          <w:szCs w:val="24"/>
          <w:lang w:val="sq-AL"/>
        </w:rPr>
        <w:t xml:space="preserve"> (në milion LEK)</w:t>
      </w:r>
      <w:bookmarkEnd w:id="45"/>
    </w:p>
    <w:p w14:paraId="6D480F9D" w14:textId="77777777" w:rsidR="001B65FA" w:rsidRPr="0065598A" w:rsidRDefault="00D16C66" w:rsidP="00BE627C">
      <w:pPr>
        <w:spacing w:line="276" w:lineRule="auto"/>
        <w:jc w:val="center"/>
        <w:rPr>
          <w:rFonts w:asciiTheme="minorHAnsi" w:eastAsia="SimSun" w:hAnsiTheme="minorHAnsi"/>
          <w:i/>
          <w:lang w:val="sq-AL"/>
        </w:rPr>
      </w:pPr>
      <w:r w:rsidRPr="00D16C66">
        <w:rPr>
          <w:rFonts w:asciiTheme="minorHAnsi" w:eastAsia="SimSun" w:hAnsiTheme="minorHAnsi"/>
          <w:noProof/>
        </w:rPr>
        <w:drawing>
          <wp:inline distT="0" distB="0" distL="0" distR="0" wp14:anchorId="0C886F02" wp14:editId="69174B09">
            <wp:extent cx="6114886" cy="1504950"/>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7876" cy="1505686"/>
                    </a:xfrm>
                    <a:prstGeom prst="rect">
                      <a:avLst/>
                    </a:prstGeom>
                    <a:noFill/>
                    <a:ln>
                      <a:noFill/>
                    </a:ln>
                  </pic:spPr>
                </pic:pic>
              </a:graphicData>
            </a:graphic>
          </wp:inline>
        </w:drawing>
      </w:r>
    </w:p>
    <w:p w14:paraId="008BE749" w14:textId="77777777" w:rsidR="001B65FA" w:rsidRDefault="00193978" w:rsidP="001B65FA">
      <w:pPr>
        <w:spacing w:line="276" w:lineRule="auto"/>
        <w:ind w:firstLine="450"/>
        <w:rPr>
          <w:rFonts w:asciiTheme="minorHAnsi" w:eastAsia="SimSun" w:hAnsiTheme="minorHAnsi"/>
          <w:i/>
          <w:sz w:val="20"/>
          <w:lang w:val="sq-AL"/>
        </w:rPr>
      </w:pPr>
      <w:r>
        <w:rPr>
          <w:rFonts w:asciiTheme="minorHAnsi" w:eastAsia="SimSun" w:hAnsiTheme="minorHAnsi"/>
          <w:i/>
          <w:sz w:val="20"/>
          <w:lang w:val="sq-AL"/>
        </w:rPr>
        <w:t>Burimi: Ministria e Financave dhe Ekonomisë (2023)</w:t>
      </w:r>
    </w:p>
    <w:p w14:paraId="123488B4" w14:textId="77777777" w:rsidR="001B65FA" w:rsidRPr="0065598A" w:rsidRDefault="001B65FA" w:rsidP="001B65FA">
      <w:pPr>
        <w:spacing w:line="276" w:lineRule="auto"/>
        <w:ind w:firstLine="450"/>
        <w:rPr>
          <w:rFonts w:asciiTheme="minorHAnsi" w:eastAsia="SimSun" w:hAnsiTheme="minorHAnsi"/>
          <w:i/>
          <w:sz w:val="20"/>
          <w:lang w:val="sq-AL"/>
        </w:rPr>
      </w:pPr>
    </w:p>
    <w:p w14:paraId="046D292D" w14:textId="1C5F3BB6" w:rsidR="001B65FA" w:rsidRPr="000B77A5" w:rsidRDefault="001D7392" w:rsidP="00D16C66">
      <w:pPr>
        <w:pStyle w:val="Caption"/>
        <w:spacing w:after="0"/>
        <w:rPr>
          <w:rFonts w:asciiTheme="minorHAnsi" w:hAnsiTheme="minorHAnsi"/>
          <w:b w:val="0"/>
          <w:bCs w:val="0"/>
          <w:i/>
          <w:color w:val="auto"/>
          <w:sz w:val="22"/>
          <w:szCs w:val="24"/>
          <w:lang w:val="sq-AL"/>
        </w:rPr>
      </w:pPr>
      <w:bookmarkStart w:id="46" w:name="_Toc107496744"/>
      <w:r w:rsidRPr="001D7392">
        <w:rPr>
          <w:rFonts w:asciiTheme="minorHAnsi" w:hAnsiTheme="minorHAnsi"/>
          <w:b w:val="0"/>
          <w:bCs w:val="0"/>
          <w:i/>
          <w:color w:val="auto"/>
          <w:sz w:val="22"/>
          <w:szCs w:val="24"/>
          <w:lang w:val="sq-AL"/>
        </w:rPr>
        <w:t xml:space="preserve">Tabela </w:t>
      </w:r>
      <w:r w:rsidRPr="001D7392">
        <w:rPr>
          <w:rFonts w:asciiTheme="minorHAnsi" w:hAnsiTheme="minorHAnsi"/>
          <w:b w:val="0"/>
          <w:bCs w:val="0"/>
          <w:i/>
          <w:color w:val="auto"/>
          <w:sz w:val="22"/>
          <w:szCs w:val="24"/>
          <w:lang w:val="sq-AL"/>
        </w:rPr>
        <w:fldChar w:fldCharType="begin"/>
      </w:r>
      <w:r w:rsidRPr="001D7392">
        <w:rPr>
          <w:rFonts w:asciiTheme="minorHAnsi" w:hAnsiTheme="minorHAnsi"/>
          <w:b w:val="0"/>
          <w:bCs w:val="0"/>
          <w:i/>
          <w:color w:val="auto"/>
          <w:sz w:val="22"/>
          <w:szCs w:val="24"/>
          <w:lang w:val="sq-AL"/>
        </w:rPr>
        <w:instrText xml:space="preserve"> SEQ Tabela \* ARABIC </w:instrText>
      </w:r>
      <w:r w:rsidRPr="001D7392">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8</w:t>
      </w:r>
      <w:r w:rsidRPr="001D7392">
        <w:rPr>
          <w:rFonts w:asciiTheme="minorHAnsi" w:hAnsiTheme="minorHAnsi"/>
          <w:b w:val="0"/>
          <w:bCs w:val="0"/>
          <w:i/>
          <w:color w:val="auto"/>
          <w:sz w:val="22"/>
          <w:szCs w:val="24"/>
          <w:lang w:val="sq-AL"/>
        </w:rPr>
        <w:fldChar w:fldCharType="end"/>
      </w:r>
      <w:r w:rsidR="001B65FA" w:rsidRPr="000B77A5">
        <w:rPr>
          <w:rFonts w:asciiTheme="minorHAnsi" w:hAnsiTheme="minorHAnsi"/>
          <w:b w:val="0"/>
          <w:bCs w:val="0"/>
          <w:i/>
          <w:color w:val="auto"/>
          <w:sz w:val="22"/>
          <w:szCs w:val="24"/>
          <w:lang w:val="sq-AL"/>
        </w:rPr>
        <w:t>: Treguesit fiskalë të konsoliduar për 5 mujorin e vitit 202</w:t>
      </w:r>
      <w:r w:rsidR="00D16C66">
        <w:rPr>
          <w:rFonts w:asciiTheme="minorHAnsi" w:hAnsiTheme="minorHAnsi"/>
          <w:b w:val="0"/>
          <w:bCs w:val="0"/>
          <w:i/>
          <w:color w:val="auto"/>
          <w:sz w:val="22"/>
          <w:szCs w:val="24"/>
          <w:lang w:val="sq-AL"/>
        </w:rPr>
        <w:t>2</w:t>
      </w:r>
      <w:r w:rsidR="001B65FA" w:rsidRPr="000B77A5">
        <w:rPr>
          <w:rFonts w:asciiTheme="minorHAnsi" w:hAnsiTheme="minorHAnsi"/>
          <w:b w:val="0"/>
          <w:bCs w:val="0"/>
          <w:i/>
          <w:color w:val="auto"/>
          <w:sz w:val="22"/>
          <w:szCs w:val="24"/>
          <w:lang w:val="sq-AL"/>
        </w:rPr>
        <w:t xml:space="preserve"> dhe 202</w:t>
      </w:r>
      <w:r w:rsidR="00D16C66">
        <w:rPr>
          <w:rFonts w:asciiTheme="minorHAnsi" w:hAnsiTheme="minorHAnsi"/>
          <w:b w:val="0"/>
          <w:bCs w:val="0"/>
          <w:i/>
          <w:color w:val="auto"/>
          <w:sz w:val="22"/>
          <w:szCs w:val="24"/>
          <w:lang w:val="sq-AL"/>
        </w:rPr>
        <w:t>3</w:t>
      </w:r>
      <w:r w:rsidR="001B65FA" w:rsidRPr="000B77A5">
        <w:rPr>
          <w:rFonts w:asciiTheme="minorHAnsi" w:hAnsiTheme="minorHAnsi"/>
          <w:b w:val="0"/>
          <w:bCs w:val="0"/>
          <w:i/>
          <w:color w:val="auto"/>
          <w:sz w:val="22"/>
          <w:szCs w:val="24"/>
          <w:lang w:val="sq-AL"/>
        </w:rPr>
        <w:t xml:space="preserve"> (në milion LEK)</w:t>
      </w:r>
      <w:bookmarkEnd w:id="46"/>
    </w:p>
    <w:p w14:paraId="6AD162C6" w14:textId="77777777" w:rsidR="001B65FA" w:rsidRPr="0065598A" w:rsidRDefault="00D16C66" w:rsidP="001B65FA">
      <w:pPr>
        <w:spacing w:line="276" w:lineRule="auto"/>
        <w:ind w:right="360"/>
        <w:jc w:val="center"/>
        <w:rPr>
          <w:rFonts w:asciiTheme="minorHAnsi" w:eastAsia="SimSun" w:hAnsiTheme="minorHAnsi"/>
          <w:i/>
          <w:lang w:val="sq-AL"/>
        </w:rPr>
      </w:pPr>
      <w:r w:rsidRPr="00B94F76">
        <w:rPr>
          <w:rFonts w:eastAsia="SimSun"/>
          <w:noProof/>
        </w:rPr>
        <w:drawing>
          <wp:inline distT="0" distB="0" distL="0" distR="0" wp14:anchorId="7918303F" wp14:editId="2FFFD135">
            <wp:extent cx="6112328" cy="180975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5484" cy="1813645"/>
                    </a:xfrm>
                    <a:prstGeom prst="rect">
                      <a:avLst/>
                    </a:prstGeom>
                    <a:noFill/>
                    <a:ln>
                      <a:noFill/>
                    </a:ln>
                  </pic:spPr>
                </pic:pic>
              </a:graphicData>
            </a:graphic>
          </wp:inline>
        </w:drawing>
      </w:r>
    </w:p>
    <w:p w14:paraId="7DC729B1" w14:textId="77777777" w:rsidR="001B65FA" w:rsidRDefault="00193978" w:rsidP="001B65FA">
      <w:pPr>
        <w:spacing w:line="276" w:lineRule="auto"/>
        <w:ind w:firstLine="450"/>
        <w:rPr>
          <w:rFonts w:asciiTheme="minorHAnsi" w:eastAsia="SimSun" w:hAnsiTheme="minorHAnsi"/>
          <w:i/>
          <w:sz w:val="20"/>
          <w:lang w:val="sq-AL"/>
        </w:rPr>
      </w:pPr>
      <w:r>
        <w:rPr>
          <w:rFonts w:asciiTheme="minorHAnsi" w:eastAsia="SimSun" w:hAnsiTheme="minorHAnsi"/>
          <w:i/>
          <w:sz w:val="20"/>
          <w:lang w:val="sq-AL"/>
        </w:rPr>
        <w:t>Burimi: Ministria e Financave dhe Ekonomisë (2023)</w:t>
      </w:r>
    </w:p>
    <w:p w14:paraId="5C977923" w14:textId="77777777" w:rsidR="001B65FA" w:rsidRPr="00F720EE" w:rsidRDefault="001B65FA" w:rsidP="001B65FA">
      <w:pPr>
        <w:spacing w:line="276" w:lineRule="auto"/>
        <w:jc w:val="both"/>
        <w:rPr>
          <w:rFonts w:asciiTheme="minorHAnsi" w:hAnsiTheme="minorHAnsi"/>
          <w:sz w:val="8"/>
          <w:szCs w:val="8"/>
          <w:lang w:val="sq-AL"/>
        </w:rPr>
      </w:pPr>
    </w:p>
    <w:p w14:paraId="3A0F2E13" w14:textId="77777777" w:rsidR="001D7392" w:rsidRDefault="001D7392" w:rsidP="001D7392">
      <w:pPr>
        <w:pStyle w:val="Caption"/>
        <w:keepNext/>
        <w:spacing w:after="0"/>
        <w:jc w:val="both"/>
      </w:pPr>
    </w:p>
    <w:p w14:paraId="73675A21" w14:textId="77F0125D" w:rsidR="001B65FA" w:rsidRPr="001D7392" w:rsidRDefault="001D7392" w:rsidP="00D16C66">
      <w:pPr>
        <w:pStyle w:val="Caption"/>
        <w:spacing w:after="0"/>
        <w:jc w:val="both"/>
      </w:pPr>
      <w:bookmarkStart w:id="47" w:name="_Toc107498102"/>
      <w:r w:rsidRPr="001D7392">
        <w:rPr>
          <w:rFonts w:asciiTheme="minorHAnsi" w:hAnsiTheme="minorHAnsi"/>
          <w:b w:val="0"/>
          <w:bCs w:val="0"/>
          <w:i/>
          <w:color w:val="auto"/>
          <w:sz w:val="22"/>
          <w:szCs w:val="24"/>
          <w:lang w:val="sq-AL"/>
        </w:rPr>
        <w:t xml:space="preserve">Grafiku </w:t>
      </w:r>
      <w:r w:rsidRPr="001D7392">
        <w:rPr>
          <w:rFonts w:asciiTheme="minorHAnsi" w:hAnsiTheme="minorHAnsi"/>
          <w:b w:val="0"/>
          <w:bCs w:val="0"/>
          <w:i/>
          <w:color w:val="auto"/>
          <w:sz w:val="22"/>
          <w:szCs w:val="24"/>
          <w:lang w:val="sq-AL"/>
        </w:rPr>
        <w:fldChar w:fldCharType="begin"/>
      </w:r>
      <w:r w:rsidRPr="001D7392">
        <w:rPr>
          <w:rFonts w:asciiTheme="minorHAnsi" w:hAnsiTheme="minorHAnsi"/>
          <w:b w:val="0"/>
          <w:bCs w:val="0"/>
          <w:i/>
          <w:color w:val="auto"/>
          <w:sz w:val="22"/>
          <w:szCs w:val="24"/>
          <w:lang w:val="sq-AL"/>
        </w:rPr>
        <w:instrText xml:space="preserve"> SEQ Grafiku \* ARABIC </w:instrText>
      </w:r>
      <w:r w:rsidRPr="001D7392">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11</w:t>
      </w:r>
      <w:r w:rsidRPr="001D7392">
        <w:rPr>
          <w:rFonts w:asciiTheme="minorHAnsi" w:hAnsiTheme="minorHAnsi"/>
          <w:b w:val="0"/>
          <w:bCs w:val="0"/>
          <w:i/>
          <w:color w:val="auto"/>
          <w:sz w:val="22"/>
          <w:szCs w:val="24"/>
          <w:lang w:val="sq-AL"/>
        </w:rPr>
        <w:fldChar w:fldCharType="end"/>
      </w:r>
      <w:r w:rsidR="001B65FA" w:rsidRPr="000B77A5">
        <w:rPr>
          <w:rFonts w:asciiTheme="minorHAnsi" w:hAnsiTheme="minorHAnsi"/>
          <w:b w:val="0"/>
          <w:bCs w:val="0"/>
          <w:i/>
          <w:color w:val="auto"/>
          <w:sz w:val="22"/>
          <w:szCs w:val="24"/>
          <w:lang w:val="sq-AL"/>
        </w:rPr>
        <w:t>: Shpenzimet e përgjithshme dhe ritmi i rritjes së tyre (në miliardë LEK)</w:t>
      </w:r>
      <w:bookmarkEnd w:id="47"/>
      <w:r w:rsidR="001B65FA" w:rsidRPr="000B77A5">
        <w:rPr>
          <w:rFonts w:asciiTheme="minorHAnsi" w:hAnsiTheme="minorHAnsi"/>
          <w:b w:val="0"/>
          <w:bCs w:val="0"/>
          <w:i/>
          <w:color w:val="auto"/>
          <w:sz w:val="22"/>
          <w:szCs w:val="24"/>
          <w:lang w:val="sq-AL"/>
        </w:rPr>
        <w:t xml:space="preserve"> </w:t>
      </w:r>
    </w:p>
    <w:p w14:paraId="5EF98BEA" w14:textId="77777777" w:rsidR="001B65FA" w:rsidRPr="0065598A" w:rsidRDefault="00D16C66" w:rsidP="001B65FA">
      <w:pPr>
        <w:jc w:val="center"/>
        <w:rPr>
          <w:rFonts w:asciiTheme="minorHAnsi" w:eastAsia="SimSun" w:hAnsiTheme="minorHAnsi"/>
          <w:i/>
          <w:lang w:val="sq-AL"/>
        </w:rPr>
      </w:pPr>
      <w:r>
        <w:rPr>
          <w:rFonts w:asciiTheme="minorHAnsi" w:eastAsia="SimSun" w:hAnsiTheme="minorHAnsi"/>
          <w:i/>
          <w:noProof/>
        </w:rPr>
        <w:drawing>
          <wp:inline distT="0" distB="0" distL="0" distR="0" wp14:anchorId="04099C86" wp14:editId="7FC671FB">
            <wp:extent cx="5467350" cy="22733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67350" cy="2273300"/>
                    </a:xfrm>
                    <a:prstGeom prst="rect">
                      <a:avLst/>
                    </a:prstGeom>
                    <a:noFill/>
                  </pic:spPr>
                </pic:pic>
              </a:graphicData>
            </a:graphic>
          </wp:inline>
        </w:drawing>
      </w:r>
    </w:p>
    <w:p w14:paraId="26796773" w14:textId="77777777" w:rsidR="00BE627C" w:rsidRPr="001D7392" w:rsidRDefault="00193978" w:rsidP="001D7392">
      <w:pPr>
        <w:spacing w:line="276" w:lineRule="auto"/>
        <w:ind w:firstLine="540"/>
        <w:rPr>
          <w:rFonts w:asciiTheme="minorHAnsi" w:eastAsia="SimSun" w:hAnsiTheme="minorHAnsi"/>
          <w:i/>
          <w:sz w:val="20"/>
          <w:lang w:val="sq-AL"/>
        </w:rPr>
      </w:pPr>
      <w:r>
        <w:rPr>
          <w:rFonts w:asciiTheme="minorHAnsi" w:eastAsia="SimSun" w:hAnsiTheme="minorHAnsi"/>
          <w:i/>
          <w:sz w:val="20"/>
          <w:lang w:val="sq-AL"/>
        </w:rPr>
        <w:t>Burimi: Ministria e Financave dhe Ekonomisë (2023)</w:t>
      </w:r>
      <w:r w:rsidR="001B65FA" w:rsidRPr="0065598A">
        <w:rPr>
          <w:rFonts w:asciiTheme="minorHAnsi" w:eastAsia="SimSun" w:hAnsiTheme="minorHAnsi"/>
          <w:i/>
          <w:sz w:val="20"/>
          <w:lang w:val="sq-AL"/>
        </w:rPr>
        <w:t xml:space="preserve"> </w:t>
      </w:r>
    </w:p>
    <w:p w14:paraId="1A827FA5" w14:textId="77777777" w:rsidR="00BE627C" w:rsidRPr="002918B1" w:rsidRDefault="001B65FA" w:rsidP="00BE627C">
      <w:pPr>
        <w:spacing w:line="276" w:lineRule="auto"/>
        <w:jc w:val="both"/>
        <w:rPr>
          <w:rFonts w:asciiTheme="minorHAnsi" w:hAnsiTheme="minorHAnsi"/>
          <w:lang w:val="sq-AL"/>
        </w:rPr>
      </w:pPr>
      <w:r w:rsidRPr="000C5F93">
        <w:rPr>
          <w:rFonts w:asciiTheme="minorHAnsi" w:hAnsiTheme="minorHAnsi"/>
          <w:i/>
          <w:lang w:val="sq-AL"/>
        </w:rPr>
        <w:lastRenderedPageBreak/>
        <w:t>Shpenzimet korente dhe ato kapitale</w:t>
      </w:r>
      <w:r w:rsidRPr="000C5F93">
        <w:rPr>
          <w:rFonts w:asciiTheme="minorHAnsi" w:eastAsia="SimSun" w:hAnsiTheme="minorHAnsi"/>
          <w:lang w:val="sq-AL"/>
        </w:rPr>
        <w:t xml:space="preserve"> </w:t>
      </w:r>
      <w:r w:rsidR="00BE627C" w:rsidRPr="002918B1">
        <w:rPr>
          <w:rFonts w:asciiTheme="minorHAnsi" w:hAnsiTheme="minorHAnsi"/>
          <w:lang w:val="sq-AL"/>
        </w:rPr>
        <w:t xml:space="preserve">për periudhën 5 mujore, </w:t>
      </w:r>
      <w:r w:rsidR="00D16C66" w:rsidRPr="00C04773">
        <w:rPr>
          <w:rFonts w:asciiTheme="minorHAnsi" w:hAnsiTheme="minorHAnsi"/>
          <w:lang w:val="sq-AL"/>
        </w:rPr>
        <w:t>kanë shënuar një realizim respektivisht në masën 94.4 përqind dhe 76.7 përqind të planit të periudhës. Ndërkohë që, në terma vjetor ato janë realizuar përkatësisht në 36.2 përqind dhe 19.1 përqind të tij</w:t>
      </w:r>
      <w:r w:rsidR="00BE627C" w:rsidRPr="002918B1">
        <w:rPr>
          <w:rFonts w:asciiTheme="minorHAnsi" w:hAnsiTheme="minorHAnsi"/>
          <w:lang w:val="sq-AL"/>
        </w:rPr>
        <w:t>.</w:t>
      </w:r>
    </w:p>
    <w:p w14:paraId="1B67A0C1" w14:textId="77777777" w:rsidR="00BE627C" w:rsidRPr="00BE627C" w:rsidRDefault="00BE627C" w:rsidP="00BE627C">
      <w:pPr>
        <w:spacing w:line="276" w:lineRule="auto"/>
        <w:jc w:val="both"/>
        <w:rPr>
          <w:rFonts w:asciiTheme="minorHAnsi" w:eastAsia="SimSun" w:hAnsiTheme="minorHAnsi"/>
          <w:i/>
          <w:sz w:val="8"/>
          <w:szCs w:val="8"/>
          <w:lang w:val="sq-AL"/>
        </w:rPr>
      </w:pPr>
    </w:p>
    <w:p w14:paraId="718ECE59" w14:textId="77777777" w:rsidR="00BE627C" w:rsidRPr="00DA4B1A" w:rsidRDefault="00BE627C" w:rsidP="00BE627C">
      <w:pPr>
        <w:spacing w:line="276" w:lineRule="auto"/>
        <w:jc w:val="both"/>
        <w:rPr>
          <w:rFonts w:asciiTheme="minorHAnsi" w:eastAsia="SimSun" w:hAnsiTheme="minorHAnsi"/>
          <w:lang w:val="sq-AL"/>
        </w:rPr>
      </w:pPr>
      <w:r w:rsidRPr="00DA4B1A">
        <w:rPr>
          <w:rFonts w:asciiTheme="minorHAnsi" w:eastAsia="SimSun" w:hAnsiTheme="minorHAnsi"/>
          <w:i/>
          <w:lang w:val="sq-AL"/>
        </w:rPr>
        <w:t>Shpenzimet korente</w:t>
      </w:r>
      <w:r w:rsidRPr="00DA4B1A">
        <w:rPr>
          <w:rFonts w:asciiTheme="minorHAnsi" w:eastAsia="SimSun" w:hAnsiTheme="minorHAnsi"/>
          <w:lang w:val="sq-AL"/>
        </w:rPr>
        <w:t xml:space="preserve"> për periudhën 5 mujore të vitit </w:t>
      </w:r>
      <w:r w:rsidR="00D16C66" w:rsidRPr="008143C2">
        <w:rPr>
          <w:rFonts w:asciiTheme="minorHAnsi" w:eastAsia="SimSun" w:hAnsiTheme="minorHAnsi"/>
          <w:lang w:val="sq-AL"/>
        </w:rPr>
        <w:t xml:space="preserve">2023 rezultuan në rreth 198 miliard </w:t>
      </w:r>
      <w:r w:rsidR="00D16C66" w:rsidRPr="00F94082">
        <w:rPr>
          <w:rFonts w:asciiTheme="minorHAnsi" w:eastAsia="SimSun" w:hAnsiTheme="minorHAnsi"/>
          <w:lang w:val="sq-AL"/>
        </w:rPr>
        <w:t>lekë</w:t>
      </w:r>
      <w:r w:rsidR="00D16C66" w:rsidRPr="008143C2">
        <w:rPr>
          <w:rFonts w:asciiTheme="minorHAnsi" w:eastAsia="SimSun" w:hAnsiTheme="minorHAnsi"/>
          <w:lang w:val="sq-AL"/>
        </w:rPr>
        <w:t xml:space="preserve">, ndërsa krahasuar me të njëjtën periudhë të një viti më parë ky zë ka rezultuar 8 përqind më i lartë ose rreth 14.7 miliard </w:t>
      </w:r>
      <w:r w:rsidR="00D16C66" w:rsidRPr="00F94082">
        <w:rPr>
          <w:rFonts w:asciiTheme="minorHAnsi" w:eastAsia="SimSun" w:hAnsiTheme="minorHAnsi"/>
          <w:lang w:val="sq-AL"/>
        </w:rPr>
        <w:t>lekë</w:t>
      </w:r>
      <w:r w:rsidR="00D16C66" w:rsidRPr="008143C2">
        <w:rPr>
          <w:rFonts w:asciiTheme="minorHAnsi" w:eastAsia="SimSun" w:hAnsiTheme="minorHAnsi"/>
          <w:lang w:val="sq-AL"/>
        </w:rPr>
        <w:t xml:space="preserve"> më shumë</w:t>
      </w:r>
      <w:r w:rsidRPr="00DA4B1A">
        <w:rPr>
          <w:rFonts w:asciiTheme="minorHAnsi" w:eastAsia="SimSun" w:hAnsiTheme="minorHAnsi"/>
          <w:lang w:val="sq-AL"/>
        </w:rPr>
        <w:t xml:space="preserve">. </w:t>
      </w:r>
    </w:p>
    <w:p w14:paraId="0E8F1C0E" w14:textId="77777777" w:rsidR="00BE627C" w:rsidRPr="00BE627C" w:rsidRDefault="00BE627C" w:rsidP="00BE627C">
      <w:pPr>
        <w:spacing w:line="276" w:lineRule="auto"/>
        <w:jc w:val="both"/>
        <w:rPr>
          <w:rFonts w:asciiTheme="minorHAnsi" w:eastAsia="SimSun" w:hAnsiTheme="minorHAnsi"/>
          <w:i/>
          <w:sz w:val="8"/>
          <w:szCs w:val="8"/>
          <w:lang w:val="sq-AL"/>
        </w:rPr>
      </w:pPr>
    </w:p>
    <w:p w14:paraId="2333F1F8" w14:textId="77777777" w:rsidR="001B65FA" w:rsidRDefault="00BE627C" w:rsidP="00BE627C">
      <w:pPr>
        <w:spacing w:line="276" w:lineRule="auto"/>
        <w:jc w:val="both"/>
        <w:rPr>
          <w:rFonts w:asciiTheme="minorHAnsi" w:eastAsia="SimSun" w:hAnsiTheme="minorHAnsi"/>
          <w:lang w:val="sq-AL"/>
        </w:rPr>
      </w:pPr>
      <w:r w:rsidRPr="00DA4B1A">
        <w:rPr>
          <w:rFonts w:asciiTheme="minorHAnsi" w:eastAsia="SimSun" w:hAnsiTheme="minorHAnsi"/>
          <w:i/>
          <w:lang w:val="sq-AL"/>
        </w:rPr>
        <w:t>Shpenzimet kapitale</w:t>
      </w:r>
      <w:r w:rsidRPr="00DA4B1A">
        <w:rPr>
          <w:rFonts w:asciiTheme="minorHAnsi" w:eastAsia="SimSun" w:hAnsiTheme="minorHAnsi"/>
          <w:lang w:val="sq-AL"/>
        </w:rPr>
        <w:t xml:space="preserve"> për periudhën 5 mujore të vitit </w:t>
      </w:r>
      <w:r w:rsidR="00D16C66" w:rsidRPr="008143C2">
        <w:rPr>
          <w:rFonts w:asciiTheme="minorHAnsi" w:eastAsia="SimSun" w:hAnsiTheme="minorHAnsi"/>
          <w:lang w:val="sq-AL"/>
        </w:rPr>
        <w:t xml:space="preserve">2023 paraqesin një realizim në masën rreth 23.6 miliard </w:t>
      </w:r>
      <w:r w:rsidR="00D16C66" w:rsidRPr="00F94082">
        <w:rPr>
          <w:rFonts w:asciiTheme="minorHAnsi" w:eastAsia="SimSun" w:hAnsiTheme="minorHAnsi"/>
          <w:lang w:val="sq-AL"/>
        </w:rPr>
        <w:t>lekë</w:t>
      </w:r>
      <w:r w:rsidR="00D16C66" w:rsidRPr="008143C2">
        <w:rPr>
          <w:rFonts w:asciiTheme="minorHAnsi" w:eastAsia="SimSun" w:hAnsiTheme="minorHAnsi"/>
          <w:lang w:val="sq-AL"/>
        </w:rPr>
        <w:t>. Krahasuar me të njëjtën periudhë të vitit 2022, ky zë rezulton 2.8 përqind më i lartë ose 648 milion</w:t>
      </w:r>
      <w:r w:rsidR="00D16C66">
        <w:rPr>
          <w:rFonts w:asciiTheme="minorHAnsi" w:eastAsia="SimSun" w:hAnsiTheme="minorHAnsi"/>
          <w:lang w:val="sq-AL"/>
        </w:rPr>
        <w:t>ë</w:t>
      </w:r>
      <w:r w:rsidR="00D16C66" w:rsidRPr="008143C2">
        <w:rPr>
          <w:rFonts w:asciiTheme="minorHAnsi" w:eastAsia="SimSun" w:hAnsiTheme="minorHAnsi"/>
          <w:lang w:val="sq-AL"/>
        </w:rPr>
        <w:t xml:space="preserve"> </w:t>
      </w:r>
      <w:r w:rsidR="00D16C66" w:rsidRPr="00F94082">
        <w:rPr>
          <w:rFonts w:asciiTheme="minorHAnsi" w:eastAsia="SimSun" w:hAnsiTheme="minorHAnsi"/>
          <w:lang w:val="sq-AL"/>
        </w:rPr>
        <w:t>lekë</w:t>
      </w:r>
      <w:r w:rsidR="00D16C66" w:rsidRPr="008143C2">
        <w:rPr>
          <w:rFonts w:asciiTheme="minorHAnsi" w:eastAsia="SimSun" w:hAnsiTheme="minorHAnsi"/>
          <w:lang w:val="sq-AL"/>
        </w:rPr>
        <w:t xml:space="preserve"> më shumë</w:t>
      </w:r>
      <w:r w:rsidR="001B65FA" w:rsidRPr="000C5F93">
        <w:rPr>
          <w:rFonts w:asciiTheme="minorHAnsi" w:eastAsia="SimSun" w:hAnsiTheme="minorHAnsi"/>
          <w:lang w:val="sq-AL"/>
        </w:rPr>
        <w:t>.</w:t>
      </w:r>
    </w:p>
    <w:p w14:paraId="1AD6895E" w14:textId="77777777" w:rsidR="001B65FA" w:rsidRDefault="001B65FA" w:rsidP="001B65FA">
      <w:pPr>
        <w:spacing w:line="276" w:lineRule="auto"/>
        <w:jc w:val="both"/>
        <w:rPr>
          <w:rFonts w:asciiTheme="minorHAnsi" w:eastAsia="SimSun" w:hAnsiTheme="minorHAnsi"/>
          <w:sz w:val="8"/>
          <w:lang w:val="sq-AL"/>
        </w:rPr>
      </w:pPr>
    </w:p>
    <w:p w14:paraId="33609F8F" w14:textId="38AF5325" w:rsidR="001B65FA" w:rsidRPr="000B77A5" w:rsidRDefault="001D7392" w:rsidP="00D16C66">
      <w:pPr>
        <w:pStyle w:val="Caption"/>
        <w:spacing w:after="0"/>
        <w:rPr>
          <w:rFonts w:asciiTheme="minorHAnsi" w:eastAsia="SimSun" w:hAnsiTheme="minorHAnsi"/>
          <w:b w:val="0"/>
          <w:bCs w:val="0"/>
          <w:i/>
          <w:color w:val="auto"/>
          <w:sz w:val="22"/>
          <w:szCs w:val="24"/>
          <w:lang w:val="sq-AL"/>
        </w:rPr>
      </w:pPr>
      <w:bookmarkStart w:id="48" w:name="_Toc107498103"/>
      <w:r w:rsidRPr="001D7392">
        <w:rPr>
          <w:rFonts w:asciiTheme="minorHAnsi" w:eastAsia="SimSun" w:hAnsiTheme="minorHAnsi"/>
          <w:b w:val="0"/>
          <w:bCs w:val="0"/>
          <w:i/>
          <w:color w:val="auto"/>
          <w:sz w:val="22"/>
          <w:szCs w:val="24"/>
          <w:lang w:val="sq-AL"/>
        </w:rPr>
        <w:t xml:space="preserve">Grafiku </w:t>
      </w:r>
      <w:r w:rsidRPr="001D7392">
        <w:rPr>
          <w:rFonts w:asciiTheme="minorHAnsi" w:eastAsia="SimSun" w:hAnsiTheme="minorHAnsi"/>
          <w:b w:val="0"/>
          <w:bCs w:val="0"/>
          <w:i/>
          <w:color w:val="auto"/>
          <w:sz w:val="22"/>
          <w:szCs w:val="24"/>
          <w:lang w:val="sq-AL"/>
        </w:rPr>
        <w:fldChar w:fldCharType="begin"/>
      </w:r>
      <w:r w:rsidRPr="001D7392">
        <w:rPr>
          <w:rFonts w:asciiTheme="minorHAnsi" w:eastAsia="SimSun" w:hAnsiTheme="minorHAnsi"/>
          <w:b w:val="0"/>
          <w:bCs w:val="0"/>
          <w:i/>
          <w:color w:val="auto"/>
          <w:sz w:val="22"/>
          <w:szCs w:val="24"/>
          <w:lang w:val="sq-AL"/>
        </w:rPr>
        <w:instrText xml:space="preserve"> SEQ Grafiku \* ARABIC </w:instrText>
      </w:r>
      <w:r w:rsidRPr="001D7392">
        <w:rPr>
          <w:rFonts w:asciiTheme="minorHAnsi" w:eastAsia="SimSun" w:hAnsiTheme="minorHAnsi"/>
          <w:b w:val="0"/>
          <w:bCs w:val="0"/>
          <w:i/>
          <w:color w:val="auto"/>
          <w:sz w:val="22"/>
          <w:szCs w:val="24"/>
          <w:lang w:val="sq-AL"/>
        </w:rPr>
        <w:fldChar w:fldCharType="separate"/>
      </w:r>
      <w:r w:rsidR="00C153A9">
        <w:rPr>
          <w:rFonts w:asciiTheme="minorHAnsi" w:eastAsia="SimSun" w:hAnsiTheme="minorHAnsi"/>
          <w:b w:val="0"/>
          <w:bCs w:val="0"/>
          <w:i/>
          <w:noProof/>
          <w:color w:val="auto"/>
          <w:sz w:val="22"/>
          <w:szCs w:val="24"/>
          <w:lang w:val="sq-AL"/>
        </w:rPr>
        <w:t>12</w:t>
      </w:r>
      <w:r w:rsidRPr="001D7392">
        <w:rPr>
          <w:rFonts w:asciiTheme="minorHAnsi" w:eastAsia="SimSun" w:hAnsiTheme="minorHAnsi"/>
          <w:b w:val="0"/>
          <w:bCs w:val="0"/>
          <w:i/>
          <w:color w:val="auto"/>
          <w:sz w:val="22"/>
          <w:szCs w:val="24"/>
          <w:lang w:val="sq-AL"/>
        </w:rPr>
        <w:fldChar w:fldCharType="end"/>
      </w:r>
      <w:r w:rsidR="001B65FA" w:rsidRPr="000B77A5">
        <w:rPr>
          <w:rFonts w:asciiTheme="minorHAnsi" w:eastAsia="SimSun" w:hAnsiTheme="minorHAnsi"/>
          <w:b w:val="0"/>
          <w:bCs w:val="0"/>
          <w:i/>
          <w:color w:val="auto"/>
          <w:sz w:val="22"/>
          <w:szCs w:val="24"/>
          <w:lang w:val="sq-AL"/>
        </w:rPr>
        <w:t>: Shpenzimet korente dhe kapitale Plan vs Fakt (në miliard LEK)</w:t>
      </w:r>
      <w:bookmarkEnd w:id="48"/>
    </w:p>
    <w:p w14:paraId="1CD60492" w14:textId="77777777" w:rsidR="001B65FA" w:rsidRPr="003F7DB9" w:rsidRDefault="00D16C66" w:rsidP="001B65FA">
      <w:pPr>
        <w:jc w:val="center"/>
        <w:rPr>
          <w:rFonts w:asciiTheme="minorHAnsi" w:eastAsia="SimSun" w:hAnsiTheme="minorHAnsi"/>
          <w:lang w:val="sq-AL"/>
        </w:rPr>
      </w:pPr>
      <w:r>
        <w:rPr>
          <w:rFonts w:asciiTheme="minorHAnsi" w:eastAsia="SimSun" w:hAnsiTheme="minorHAnsi"/>
          <w:noProof/>
        </w:rPr>
        <w:drawing>
          <wp:inline distT="0" distB="0" distL="0" distR="0" wp14:anchorId="7B0F97F3" wp14:editId="20454987">
            <wp:extent cx="5597525" cy="2794000"/>
            <wp:effectExtent l="0" t="0" r="3175"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97525" cy="2794000"/>
                    </a:xfrm>
                    <a:prstGeom prst="rect">
                      <a:avLst/>
                    </a:prstGeom>
                    <a:noFill/>
                  </pic:spPr>
                </pic:pic>
              </a:graphicData>
            </a:graphic>
          </wp:inline>
        </w:drawing>
      </w:r>
    </w:p>
    <w:p w14:paraId="597A23CA" w14:textId="77777777" w:rsidR="001B65FA" w:rsidRPr="003F7DB9" w:rsidRDefault="000B77A5" w:rsidP="001B65FA">
      <w:pPr>
        <w:spacing w:line="276" w:lineRule="auto"/>
        <w:jc w:val="both"/>
        <w:rPr>
          <w:rFonts w:asciiTheme="minorHAnsi" w:eastAsia="SimSun" w:hAnsiTheme="minorHAnsi"/>
          <w:i/>
          <w:sz w:val="20"/>
          <w:lang w:val="sq-AL"/>
        </w:rPr>
      </w:pPr>
      <w:r>
        <w:rPr>
          <w:rFonts w:asciiTheme="minorHAnsi" w:eastAsia="SimSun" w:hAnsiTheme="minorHAnsi"/>
          <w:i/>
          <w:sz w:val="20"/>
          <w:lang w:val="sq-AL"/>
        </w:rPr>
        <w:t xml:space="preserve">        </w:t>
      </w:r>
      <w:r w:rsidR="00193978">
        <w:rPr>
          <w:rFonts w:asciiTheme="minorHAnsi" w:eastAsia="SimSun" w:hAnsiTheme="minorHAnsi"/>
          <w:i/>
          <w:sz w:val="20"/>
          <w:lang w:val="sq-AL"/>
        </w:rPr>
        <w:t>Burimi: Ministria e Financave dhe Ekonomisë (2023)</w:t>
      </w:r>
    </w:p>
    <w:p w14:paraId="3DBBD28D" w14:textId="77777777" w:rsidR="000B77A5" w:rsidRDefault="000B77A5" w:rsidP="001B65FA">
      <w:pPr>
        <w:rPr>
          <w:rFonts w:asciiTheme="minorHAnsi" w:hAnsiTheme="minorHAnsi"/>
          <w:i/>
          <w:sz w:val="16"/>
          <w:lang w:val="sq-AL"/>
        </w:rPr>
      </w:pPr>
    </w:p>
    <w:p w14:paraId="698940B7" w14:textId="77777777" w:rsidR="000B77A5" w:rsidRPr="007F224E" w:rsidRDefault="000B77A5" w:rsidP="001B65FA">
      <w:pPr>
        <w:rPr>
          <w:rFonts w:asciiTheme="minorHAnsi" w:hAnsiTheme="minorHAnsi"/>
          <w:i/>
          <w:sz w:val="16"/>
          <w:lang w:val="sq-AL"/>
        </w:rPr>
      </w:pPr>
    </w:p>
    <w:p w14:paraId="51848FFC" w14:textId="6A2F63C7" w:rsidR="001B65FA" w:rsidRPr="001D7392" w:rsidRDefault="001D7392" w:rsidP="00D16C66">
      <w:pPr>
        <w:pStyle w:val="Caption"/>
        <w:spacing w:after="0"/>
        <w:rPr>
          <w:rFonts w:asciiTheme="minorHAnsi" w:eastAsia="SimSun" w:hAnsiTheme="minorHAnsi"/>
          <w:b w:val="0"/>
          <w:bCs w:val="0"/>
          <w:i/>
          <w:color w:val="auto"/>
          <w:sz w:val="22"/>
          <w:szCs w:val="24"/>
          <w:lang w:val="sq-AL"/>
        </w:rPr>
      </w:pPr>
      <w:bookmarkStart w:id="49" w:name="_Toc107498104"/>
      <w:r w:rsidRPr="001D7392">
        <w:rPr>
          <w:rFonts w:asciiTheme="minorHAnsi" w:eastAsia="SimSun" w:hAnsiTheme="minorHAnsi"/>
          <w:b w:val="0"/>
          <w:bCs w:val="0"/>
          <w:i/>
          <w:color w:val="auto"/>
          <w:sz w:val="22"/>
          <w:szCs w:val="24"/>
          <w:lang w:val="sq-AL"/>
        </w:rPr>
        <w:t xml:space="preserve">Grafiku </w:t>
      </w:r>
      <w:r w:rsidRPr="001D7392">
        <w:rPr>
          <w:rFonts w:asciiTheme="minorHAnsi" w:eastAsia="SimSun" w:hAnsiTheme="minorHAnsi"/>
          <w:b w:val="0"/>
          <w:bCs w:val="0"/>
          <w:i/>
          <w:color w:val="auto"/>
          <w:sz w:val="22"/>
          <w:szCs w:val="24"/>
          <w:lang w:val="sq-AL"/>
        </w:rPr>
        <w:fldChar w:fldCharType="begin"/>
      </w:r>
      <w:r w:rsidRPr="001D7392">
        <w:rPr>
          <w:rFonts w:asciiTheme="minorHAnsi" w:eastAsia="SimSun" w:hAnsiTheme="minorHAnsi"/>
          <w:b w:val="0"/>
          <w:bCs w:val="0"/>
          <w:i/>
          <w:color w:val="auto"/>
          <w:sz w:val="22"/>
          <w:szCs w:val="24"/>
          <w:lang w:val="sq-AL"/>
        </w:rPr>
        <w:instrText xml:space="preserve"> SEQ Grafiku \* ARABIC </w:instrText>
      </w:r>
      <w:r w:rsidRPr="001D7392">
        <w:rPr>
          <w:rFonts w:asciiTheme="minorHAnsi" w:eastAsia="SimSun" w:hAnsiTheme="minorHAnsi"/>
          <w:b w:val="0"/>
          <w:bCs w:val="0"/>
          <w:i/>
          <w:color w:val="auto"/>
          <w:sz w:val="22"/>
          <w:szCs w:val="24"/>
          <w:lang w:val="sq-AL"/>
        </w:rPr>
        <w:fldChar w:fldCharType="separate"/>
      </w:r>
      <w:r w:rsidR="00C153A9">
        <w:rPr>
          <w:rFonts w:asciiTheme="minorHAnsi" w:eastAsia="SimSun" w:hAnsiTheme="minorHAnsi"/>
          <w:b w:val="0"/>
          <w:bCs w:val="0"/>
          <w:i/>
          <w:noProof/>
          <w:color w:val="auto"/>
          <w:sz w:val="22"/>
          <w:szCs w:val="24"/>
          <w:lang w:val="sq-AL"/>
        </w:rPr>
        <w:t>13</w:t>
      </w:r>
      <w:r w:rsidRPr="001D7392">
        <w:rPr>
          <w:rFonts w:asciiTheme="minorHAnsi" w:eastAsia="SimSun" w:hAnsiTheme="minorHAnsi"/>
          <w:b w:val="0"/>
          <w:bCs w:val="0"/>
          <w:i/>
          <w:color w:val="auto"/>
          <w:sz w:val="22"/>
          <w:szCs w:val="24"/>
          <w:lang w:val="sq-AL"/>
        </w:rPr>
        <w:fldChar w:fldCharType="end"/>
      </w:r>
      <w:r w:rsidR="001B65FA" w:rsidRPr="001D7392">
        <w:rPr>
          <w:rFonts w:asciiTheme="minorHAnsi" w:eastAsia="SimSun" w:hAnsiTheme="minorHAnsi"/>
          <w:b w:val="0"/>
          <w:bCs w:val="0"/>
          <w:i/>
          <w:color w:val="auto"/>
          <w:sz w:val="22"/>
          <w:szCs w:val="24"/>
          <w:lang w:val="sq-AL"/>
        </w:rPr>
        <w:t>: Struktura e shpenzimeve të përgjithshme, për periudhën 5 mujore 202</w:t>
      </w:r>
      <w:bookmarkEnd w:id="49"/>
      <w:r w:rsidR="00D16C66">
        <w:rPr>
          <w:rFonts w:asciiTheme="minorHAnsi" w:eastAsia="SimSun" w:hAnsiTheme="minorHAnsi"/>
          <w:b w:val="0"/>
          <w:bCs w:val="0"/>
          <w:i/>
          <w:color w:val="auto"/>
          <w:sz w:val="22"/>
          <w:szCs w:val="24"/>
          <w:lang w:val="sq-AL"/>
        </w:rPr>
        <w:t>3</w:t>
      </w:r>
    </w:p>
    <w:p w14:paraId="659498C7" w14:textId="77777777" w:rsidR="001B65FA" w:rsidRPr="0065598A" w:rsidRDefault="00D16C66" w:rsidP="001B65FA">
      <w:pPr>
        <w:jc w:val="center"/>
        <w:rPr>
          <w:rFonts w:asciiTheme="minorHAnsi" w:eastAsia="SimSun" w:hAnsiTheme="minorHAnsi"/>
          <w:b/>
          <w:lang w:val="sq-AL"/>
        </w:rPr>
      </w:pPr>
      <w:r>
        <w:rPr>
          <w:rFonts w:asciiTheme="minorHAnsi" w:eastAsia="SimSun" w:hAnsiTheme="minorHAnsi"/>
          <w:b/>
          <w:noProof/>
        </w:rPr>
        <w:drawing>
          <wp:inline distT="0" distB="0" distL="0" distR="0" wp14:anchorId="1D228A73" wp14:editId="51261F6A">
            <wp:extent cx="5770880" cy="2927350"/>
            <wp:effectExtent l="0" t="0" r="127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70880" cy="2927350"/>
                    </a:xfrm>
                    <a:prstGeom prst="rect">
                      <a:avLst/>
                    </a:prstGeom>
                    <a:noFill/>
                  </pic:spPr>
                </pic:pic>
              </a:graphicData>
            </a:graphic>
          </wp:inline>
        </w:drawing>
      </w:r>
    </w:p>
    <w:p w14:paraId="10B5E928" w14:textId="77777777" w:rsidR="001B65FA" w:rsidRDefault="001B65FA" w:rsidP="001B65FA">
      <w:pPr>
        <w:spacing w:line="276" w:lineRule="auto"/>
        <w:ind w:firstLine="720"/>
        <w:rPr>
          <w:rFonts w:asciiTheme="minorHAnsi" w:eastAsia="SimSun" w:hAnsiTheme="minorHAnsi"/>
          <w:i/>
          <w:sz w:val="20"/>
          <w:lang w:val="sq-AL"/>
        </w:rPr>
      </w:pPr>
      <w:r>
        <w:rPr>
          <w:rFonts w:asciiTheme="minorHAnsi" w:eastAsia="SimSun" w:hAnsiTheme="minorHAnsi"/>
          <w:i/>
          <w:sz w:val="20"/>
          <w:lang w:val="sq-AL"/>
        </w:rPr>
        <w:t xml:space="preserve"> </w:t>
      </w:r>
      <w:r w:rsidR="00193978">
        <w:rPr>
          <w:rFonts w:asciiTheme="minorHAnsi" w:eastAsia="SimSun" w:hAnsiTheme="minorHAnsi"/>
          <w:i/>
          <w:sz w:val="20"/>
          <w:lang w:val="sq-AL"/>
        </w:rPr>
        <w:t>Burimi: Ministria e Financave dhe Ekonomisë (2023)</w:t>
      </w:r>
      <w:r w:rsidRPr="0065598A">
        <w:rPr>
          <w:rFonts w:asciiTheme="minorHAnsi" w:eastAsia="SimSun" w:hAnsiTheme="minorHAnsi"/>
          <w:i/>
          <w:sz w:val="20"/>
          <w:lang w:val="sq-AL"/>
        </w:rPr>
        <w:t xml:space="preserve"> </w:t>
      </w:r>
    </w:p>
    <w:p w14:paraId="2DBE555C" w14:textId="77777777" w:rsidR="00D16C66" w:rsidRPr="00F16E46" w:rsidRDefault="001B65FA" w:rsidP="00D16C66">
      <w:pPr>
        <w:spacing w:line="276" w:lineRule="auto"/>
        <w:jc w:val="both"/>
        <w:rPr>
          <w:rFonts w:asciiTheme="minorHAnsi" w:eastAsia="SimSun" w:hAnsiTheme="minorHAnsi"/>
          <w:lang w:val="sq-AL"/>
        </w:rPr>
      </w:pPr>
      <w:r w:rsidRPr="00E74AAC">
        <w:rPr>
          <w:rFonts w:asciiTheme="minorHAnsi" w:eastAsia="SimSun" w:hAnsiTheme="minorHAnsi"/>
          <w:b/>
          <w:lang w:val="sq-AL"/>
        </w:rPr>
        <w:lastRenderedPageBreak/>
        <w:t>Shpenzimet korente</w:t>
      </w:r>
      <w:r w:rsidRPr="00E74AAC">
        <w:rPr>
          <w:rFonts w:asciiTheme="minorHAnsi" w:eastAsia="SimSun" w:hAnsiTheme="minorHAnsi"/>
          <w:lang w:val="sq-AL"/>
        </w:rPr>
        <w:t xml:space="preserve"> </w:t>
      </w:r>
      <w:r w:rsidR="00D16C66" w:rsidRPr="00E74AAC">
        <w:rPr>
          <w:rFonts w:asciiTheme="minorHAnsi" w:eastAsia="SimSun" w:hAnsiTheme="minorHAnsi"/>
          <w:lang w:val="sq-AL"/>
        </w:rPr>
        <w:t>në raport me planin 5</w:t>
      </w:r>
      <w:r w:rsidR="00D16C66">
        <w:rPr>
          <w:rFonts w:asciiTheme="minorHAnsi" w:eastAsia="SimSun" w:hAnsiTheme="minorHAnsi"/>
          <w:lang w:val="sq-AL"/>
        </w:rPr>
        <w:t>M</w:t>
      </w:r>
      <w:r w:rsidR="00D16C66" w:rsidRPr="00E74AAC">
        <w:rPr>
          <w:rFonts w:asciiTheme="minorHAnsi" w:eastAsia="SimSun" w:hAnsiTheme="minorHAnsi"/>
          <w:lang w:val="sq-AL"/>
        </w:rPr>
        <w:t xml:space="preserve"> të këtij viti, paraqesin një realizim prej 9</w:t>
      </w:r>
      <w:r w:rsidR="00D16C66">
        <w:rPr>
          <w:rFonts w:asciiTheme="minorHAnsi" w:eastAsia="SimSun" w:hAnsiTheme="minorHAnsi"/>
          <w:lang w:val="sq-AL"/>
        </w:rPr>
        <w:t>4</w:t>
      </w:r>
      <w:r w:rsidR="00D16C66" w:rsidRPr="00E74AAC">
        <w:rPr>
          <w:rFonts w:asciiTheme="minorHAnsi" w:eastAsia="SimSun" w:hAnsiTheme="minorHAnsi"/>
          <w:lang w:val="sq-AL"/>
        </w:rPr>
        <w:t>.</w:t>
      </w:r>
      <w:r w:rsidR="00D16C66">
        <w:rPr>
          <w:rFonts w:asciiTheme="minorHAnsi" w:eastAsia="SimSun" w:hAnsiTheme="minorHAnsi"/>
          <w:lang w:val="sq-AL"/>
        </w:rPr>
        <w:t>4%</w:t>
      </w:r>
      <w:r w:rsidR="00D16C66" w:rsidRPr="00F16E46">
        <w:rPr>
          <w:rFonts w:asciiTheme="minorHAnsi" w:eastAsia="SimSun" w:hAnsiTheme="minorHAnsi"/>
          <w:lang w:val="sq-AL"/>
        </w:rPr>
        <w:t xml:space="preserve">, duke rezultuar në rreth </w:t>
      </w:r>
      <w:r w:rsidR="00D16C66">
        <w:rPr>
          <w:rFonts w:asciiTheme="minorHAnsi" w:eastAsia="SimSun" w:hAnsiTheme="minorHAnsi"/>
          <w:lang w:val="sq-AL"/>
        </w:rPr>
        <w:t xml:space="preserve">198 </w:t>
      </w:r>
      <w:r w:rsidR="00D16C66" w:rsidRPr="00F16E46">
        <w:rPr>
          <w:rFonts w:asciiTheme="minorHAnsi" w:eastAsia="SimSun" w:hAnsiTheme="minorHAnsi"/>
          <w:lang w:val="sq-AL"/>
        </w:rPr>
        <w:t xml:space="preserve">miliard </w:t>
      </w:r>
      <w:r w:rsidR="00D16C66" w:rsidRPr="00F94082">
        <w:rPr>
          <w:rFonts w:asciiTheme="minorHAnsi" w:eastAsia="SimSun" w:hAnsiTheme="minorHAnsi"/>
          <w:lang w:val="sq-AL"/>
        </w:rPr>
        <w:t>lekë</w:t>
      </w:r>
      <w:r w:rsidR="00D16C66" w:rsidRPr="00F16E46">
        <w:rPr>
          <w:rFonts w:asciiTheme="minorHAnsi" w:eastAsia="SimSun" w:hAnsiTheme="minorHAnsi"/>
          <w:lang w:val="sq-AL"/>
        </w:rPr>
        <w:t xml:space="preserve">. Zërat kryesorë që ndikuan në nivelin e realizimit të shpenzimeve korente kundrejt planit 5 mujor janë përkatësisht: </w:t>
      </w:r>
    </w:p>
    <w:p w14:paraId="79DD7C3E" w14:textId="77777777" w:rsidR="00D16C66" w:rsidRPr="00F16E46" w:rsidRDefault="00D16C66" w:rsidP="00D16C66">
      <w:pPr>
        <w:pStyle w:val="ListParagraph"/>
        <w:numPr>
          <w:ilvl w:val="0"/>
          <w:numId w:val="2"/>
        </w:numPr>
        <w:spacing w:line="276" w:lineRule="auto"/>
        <w:ind w:left="540"/>
        <w:jc w:val="both"/>
        <w:rPr>
          <w:rFonts w:asciiTheme="minorHAnsi" w:eastAsia="SimSun" w:hAnsiTheme="minorHAnsi"/>
          <w:i/>
          <w:lang w:val="sq-AL"/>
        </w:rPr>
      </w:pPr>
      <w:r w:rsidRPr="00F16E46">
        <w:rPr>
          <w:rFonts w:asciiTheme="minorHAnsi" w:eastAsia="SimSun" w:hAnsiTheme="minorHAnsi"/>
          <w:i/>
          <w:lang w:val="sq-AL"/>
        </w:rPr>
        <w:t>shpenzimet për subv</w:t>
      </w:r>
      <w:r>
        <w:rPr>
          <w:rFonts w:asciiTheme="minorHAnsi" w:eastAsia="SimSun" w:hAnsiTheme="minorHAnsi"/>
          <w:i/>
          <w:lang w:val="sq-AL"/>
        </w:rPr>
        <w:t>e</w:t>
      </w:r>
      <w:r w:rsidRPr="00F16E46">
        <w:rPr>
          <w:rFonts w:asciiTheme="minorHAnsi" w:eastAsia="SimSun" w:hAnsiTheme="minorHAnsi"/>
          <w:i/>
          <w:lang w:val="sq-AL"/>
        </w:rPr>
        <w:t xml:space="preserve">ncione me </w:t>
      </w:r>
      <w:r>
        <w:rPr>
          <w:rFonts w:asciiTheme="minorHAnsi" w:eastAsia="SimSun" w:hAnsiTheme="minorHAnsi"/>
          <w:i/>
          <w:lang w:val="sq-AL"/>
        </w:rPr>
        <w:t>145.6%</w:t>
      </w:r>
      <w:r w:rsidRPr="00F16E46">
        <w:rPr>
          <w:rFonts w:asciiTheme="minorHAnsi" w:eastAsia="SimSun" w:hAnsiTheme="minorHAnsi"/>
          <w:i/>
          <w:lang w:val="sq-AL"/>
        </w:rPr>
        <w:t xml:space="preserve"> të planit të periudhës dhe </w:t>
      </w:r>
      <w:r>
        <w:rPr>
          <w:rFonts w:asciiTheme="minorHAnsi" w:eastAsia="SimSun" w:hAnsiTheme="minorHAnsi"/>
          <w:i/>
          <w:lang w:val="sq-AL"/>
        </w:rPr>
        <w:t>37.5%</w:t>
      </w:r>
      <w:r w:rsidRPr="00F16E46">
        <w:rPr>
          <w:rFonts w:asciiTheme="minorHAnsi" w:eastAsia="SimSun" w:hAnsiTheme="minorHAnsi"/>
          <w:i/>
          <w:lang w:val="sq-AL"/>
        </w:rPr>
        <w:t xml:space="preserve"> të planit vjetor.</w:t>
      </w:r>
    </w:p>
    <w:p w14:paraId="40F43DDA" w14:textId="77777777" w:rsidR="00D16C66" w:rsidRPr="00F16E46" w:rsidRDefault="00D16C66" w:rsidP="00D16C66">
      <w:pPr>
        <w:pStyle w:val="ListParagraph"/>
        <w:numPr>
          <w:ilvl w:val="0"/>
          <w:numId w:val="2"/>
        </w:numPr>
        <w:spacing w:line="276" w:lineRule="auto"/>
        <w:ind w:left="540"/>
        <w:jc w:val="both"/>
        <w:rPr>
          <w:rFonts w:asciiTheme="minorHAnsi" w:eastAsia="SimSun" w:hAnsiTheme="minorHAnsi"/>
          <w:i/>
          <w:lang w:val="sq-AL"/>
        </w:rPr>
      </w:pPr>
      <w:r w:rsidRPr="00F16E46">
        <w:rPr>
          <w:rFonts w:asciiTheme="minorHAnsi" w:eastAsia="SimSun" w:hAnsiTheme="minorHAnsi"/>
          <w:i/>
          <w:lang w:val="sq-AL"/>
        </w:rPr>
        <w:t xml:space="preserve">shpenzimet e tjera sociale me </w:t>
      </w:r>
      <w:r>
        <w:rPr>
          <w:rFonts w:asciiTheme="minorHAnsi" w:eastAsia="SimSun" w:hAnsiTheme="minorHAnsi"/>
          <w:i/>
          <w:lang w:val="sq-AL"/>
        </w:rPr>
        <w:t>103.3%</w:t>
      </w:r>
      <w:r w:rsidRPr="00F16E46">
        <w:rPr>
          <w:rFonts w:asciiTheme="minorHAnsi" w:eastAsia="SimSun" w:hAnsiTheme="minorHAnsi"/>
          <w:i/>
          <w:lang w:val="sq-AL"/>
        </w:rPr>
        <w:t xml:space="preserve"> të planit të periudhës dhe </w:t>
      </w:r>
      <w:r>
        <w:rPr>
          <w:rFonts w:asciiTheme="minorHAnsi" w:eastAsia="SimSun" w:hAnsiTheme="minorHAnsi"/>
          <w:i/>
          <w:lang w:val="sq-AL"/>
        </w:rPr>
        <w:t xml:space="preserve">38.7% </w:t>
      </w:r>
      <w:r w:rsidRPr="00F16E46">
        <w:rPr>
          <w:rFonts w:asciiTheme="minorHAnsi" w:eastAsia="SimSun" w:hAnsiTheme="minorHAnsi"/>
          <w:i/>
          <w:lang w:val="sq-AL"/>
        </w:rPr>
        <w:t>të planit vjetor.</w:t>
      </w:r>
    </w:p>
    <w:p w14:paraId="74F59A40" w14:textId="77777777" w:rsidR="001B65FA" w:rsidRDefault="00D16C66" w:rsidP="00D16C66">
      <w:pPr>
        <w:pStyle w:val="ListParagraph"/>
        <w:numPr>
          <w:ilvl w:val="0"/>
          <w:numId w:val="2"/>
        </w:numPr>
        <w:spacing w:line="276" w:lineRule="auto"/>
        <w:ind w:left="540"/>
        <w:jc w:val="both"/>
        <w:rPr>
          <w:rFonts w:asciiTheme="minorHAnsi" w:eastAsia="SimSun" w:hAnsiTheme="minorHAnsi"/>
          <w:i/>
          <w:lang w:val="sq-AL"/>
        </w:rPr>
      </w:pPr>
      <w:r w:rsidRPr="00F16E46">
        <w:rPr>
          <w:rFonts w:asciiTheme="minorHAnsi" w:eastAsia="SimSun" w:hAnsiTheme="minorHAnsi"/>
          <w:i/>
          <w:lang w:val="sq-AL"/>
        </w:rPr>
        <w:t xml:space="preserve">shpenzimet </w:t>
      </w:r>
      <w:r>
        <w:rPr>
          <w:rFonts w:asciiTheme="minorHAnsi" w:eastAsia="SimSun" w:hAnsiTheme="minorHAnsi"/>
          <w:i/>
          <w:lang w:val="sq-AL"/>
        </w:rPr>
        <w:t>e personelit</w:t>
      </w:r>
      <w:r w:rsidRPr="00F16E46">
        <w:rPr>
          <w:rFonts w:asciiTheme="minorHAnsi" w:eastAsia="SimSun" w:hAnsiTheme="minorHAnsi"/>
          <w:i/>
          <w:lang w:val="sq-AL"/>
        </w:rPr>
        <w:t xml:space="preserve"> me </w:t>
      </w:r>
      <w:r>
        <w:rPr>
          <w:rFonts w:asciiTheme="minorHAnsi" w:eastAsia="SimSun" w:hAnsiTheme="minorHAnsi"/>
          <w:i/>
          <w:lang w:val="sq-AL"/>
        </w:rPr>
        <w:t>97.1%</w:t>
      </w:r>
      <w:r w:rsidRPr="00F16E46">
        <w:rPr>
          <w:rFonts w:asciiTheme="minorHAnsi" w:eastAsia="SimSun" w:hAnsiTheme="minorHAnsi"/>
          <w:i/>
          <w:lang w:val="sq-AL"/>
        </w:rPr>
        <w:t xml:space="preserve"> të planit të periudhës dhe 38.</w:t>
      </w:r>
      <w:r>
        <w:rPr>
          <w:rFonts w:asciiTheme="minorHAnsi" w:eastAsia="SimSun" w:hAnsiTheme="minorHAnsi"/>
          <w:i/>
          <w:lang w:val="sq-AL"/>
        </w:rPr>
        <w:t>5%</w:t>
      </w:r>
      <w:r w:rsidRPr="00F16E46">
        <w:rPr>
          <w:rFonts w:asciiTheme="minorHAnsi" w:eastAsia="SimSun" w:hAnsiTheme="minorHAnsi"/>
          <w:i/>
          <w:lang w:val="sq-AL"/>
        </w:rPr>
        <w:t xml:space="preserve"> të planit vjetor</w:t>
      </w:r>
      <w:r w:rsidR="001B65FA" w:rsidRPr="006E61A2">
        <w:rPr>
          <w:rFonts w:asciiTheme="minorHAnsi" w:eastAsia="SimSun" w:hAnsiTheme="minorHAnsi"/>
          <w:i/>
          <w:lang w:val="sq-AL"/>
        </w:rPr>
        <w:t>.</w:t>
      </w:r>
    </w:p>
    <w:p w14:paraId="0D2B8316" w14:textId="77777777" w:rsidR="001D7392" w:rsidRPr="001D7392" w:rsidRDefault="001D7392" w:rsidP="001D7392">
      <w:pPr>
        <w:pStyle w:val="ListParagraph"/>
        <w:spacing w:line="276" w:lineRule="auto"/>
        <w:ind w:left="540"/>
        <w:jc w:val="both"/>
        <w:rPr>
          <w:rFonts w:asciiTheme="minorHAnsi" w:eastAsia="SimSun" w:hAnsiTheme="minorHAnsi"/>
          <w:i/>
          <w:sz w:val="10"/>
          <w:szCs w:val="10"/>
          <w:lang w:val="sq-AL"/>
        </w:rPr>
      </w:pPr>
    </w:p>
    <w:p w14:paraId="5950A3F4" w14:textId="7FB0AC23" w:rsidR="001B65FA" w:rsidRPr="001D7392" w:rsidRDefault="001D7392" w:rsidP="001D7392">
      <w:pPr>
        <w:pStyle w:val="Caption"/>
        <w:spacing w:after="0"/>
        <w:rPr>
          <w:rFonts w:asciiTheme="minorHAnsi" w:hAnsiTheme="minorHAnsi"/>
          <w:b w:val="0"/>
          <w:bCs w:val="0"/>
          <w:i/>
          <w:color w:val="auto"/>
          <w:sz w:val="22"/>
          <w:szCs w:val="24"/>
          <w:lang w:val="sq-AL"/>
        </w:rPr>
      </w:pPr>
      <w:bookmarkStart w:id="50" w:name="_Toc107498105"/>
      <w:r w:rsidRPr="001D7392">
        <w:rPr>
          <w:rFonts w:asciiTheme="minorHAnsi" w:hAnsiTheme="minorHAnsi"/>
          <w:b w:val="0"/>
          <w:bCs w:val="0"/>
          <w:i/>
          <w:color w:val="auto"/>
          <w:sz w:val="22"/>
          <w:szCs w:val="24"/>
          <w:lang w:val="sq-AL"/>
        </w:rPr>
        <w:t xml:space="preserve">Grafiku </w:t>
      </w:r>
      <w:r w:rsidRPr="001D7392">
        <w:rPr>
          <w:rFonts w:asciiTheme="minorHAnsi" w:hAnsiTheme="minorHAnsi"/>
          <w:b w:val="0"/>
          <w:bCs w:val="0"/>
          <w:i/>
          <w:color w:val="auto"/>
          <w:sz w:val="22"/>
          <w:szCs w:val="24"/>
          <w:lang w:val="sq-AL"/>
        </w:rPr>
        <w:fldChar w:fldCharType="begin"/>
      </w:r>
      <w:r w:rsidRPr="001D7392">
        <w:rPr>
          <w:rFonts w:asciiTheme="minorHAnsi" w:hAnsiTheme="minorHAnsi"/>
          <w:b w:val="0"/>
          <w:bCs w:val="0"/>
          <w:i/>
          <w:color w:val="auto"/>
          <w:sz w:val="22"/>
          <w:szCs w:val="24"/>
          <w:lang w:val="sq-AL"/>
        </w:rPr>
        <w:instrText xml:space="preserve"> SEQ Grafiku \* ARABIC </w:instrText>
      </w:r>
      <w:r w:rsidRPr="001D7392">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14</w:t>
      </w:r>
      <w:r w:rsidRPr="001D7392">
        <w:rPr>
          <w:rFonts w:asciiTheme="minorHAnsi" w:hAnsiTheme="minorHAnsi"/>
          <w:b w:val="0"/>
          <w:bCs w:val="0"/>
          <w:i/>
          <w:color w:val="auto"/>
          <w:sz w:val="22"/>
          <w:szCs w:val="24"/>
          <w:lang w:val="sq-AL"/>
        </w:rPr>
        <w:fldChar w:fldCharType="end"/>
      </w:r>
      <w:r w:rsidR="001B65FA" w:rsidRPr="001D7392">
        <w:rPr>
          <w:rFonts w:asciiTheme="minorHAnsi" w:hAnsiTheme="minorHAnsi"/>
          <w:b w:val="0"/>
          <w:bCs w:val="0"/>
          <w:i/>
          <w:color w:val="auto"/>
          <w:sz w:val="22"/>
          <w:szCs w:val="24"/>
          <w:lang w:val="sq-AL"/>
        </w:rPr>
        <w:t>: Shpenzimet Korente dhe ritmi i rritjes së tyre (në miliardë LEK)</w:t>
      </w:r>
      <w:bookmarkEnd w:id="50"/>
    </w:p>
    <w:p w14:paraId="05AEB3FE" w14:textId="77777777" w:rsidR="001B65FA" w:rsidRPr="0023602D" w:rsidRDefault="00D16C66" w:rsidP="006A740D">
      <w:pPr>
        <w:tabs>
          <w:tab w:val="left" w:pos="360"/>
        </w:tabs>
        <w:ind w:left="360" w:hanging="360"/>
        <w:jc w:val="center"/>
        <w:rPr>
          <w:rFonts w:eastAsia="SimSun"/>
          <w:lang w:val="sq-AL"/>
        </w:rPr>
      </w:pPr>
      <w:r>
        <w:rPr>
          <w:rFonts w:eastAsia="SimSun"/>
          <w:noProof/>
        </w:rPr>
        <w:drawing>
          <wp:inline distT="0" distB="0" distL="0" distR="0" wp14:anchorId="3E9003D8" wp14:editId="35F0433F">
            <wp:extent cx="5135502" cy="2127250"/>
            <wp:effectExtent l="0" t="0" r="825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01077" cy="2154413"/>
                    </a:xfrm>
                    <a:prstGeom prst="rect">
                      <a:avLst/>
                    </a:prstGeom>
                    <a:noFill/>
                    <a:effectLst/>
                  </pic:spPr>
                </pic:pic>
              </a:graphicData>
            </a:graphic>
          </wp:inline>
        </w:drawing>
      </w:r>
    </w:p>
    <w:p w14:paraId="1A3BBD6A" w14:textId="77777777" w:rsidR="001B65FA" w:rsidRDefault="001B65FA" w:rsidP="001B65FA">
      <w:pPr>
        <w:spacing w:line="276" w:lineRule="auto"/>
        <w:rPr>
          <w:rFonts w:asciiTheme="minorHAnsi" w:eastAsia="SimSun" w:hAnsiTheme="minorHAnsi"/>
          <w:i/>
          <w:sz w:val="20"/>
          <w:lang w:val="sq-AL"/>
        </w:rPr>
      </w:pPr>
      <w:r w:rsidRPr="0065598A">
        <w:rPr>
          <w:rFonts w:asciiTheme="minorHAnsi" w:eastAsia="SimSun" w:hAnsiTheme="minorHAnsi"/>
          <w:i/>
          <w:sz w:val="20"/>
          <w:lang w:val="sq-AL"/>
        </w:rPr>
        <w:t xml:space="preserve">            </w:t>
      </w:r>
      <w:r w:rsidRPr="0065598A">
        <w:rPr>
          <w:rFonts w:asciiTheme="minorHAnsi" w:eastAsia="SimSun" w:hAnsiTheme="minorHAnsi"/>
          <w:i/>
          <w:sz w:val="20"/>
          <w:lang w:val="sq-AL"/>
        </w:rPr>
        <w:tab/>
      </w:r>
      <w:r w:rsidR="00193978">
        <w:rPr>
          <w:rFonts w:asciiTheme="minorHAnsi" w:eastAsia="SimSun" w:hAnsiTheme="minorHAnsi"/>
          <w:i/>
          <w:sz w:val="20"/>
          <w:lang w:val="sq-AL"/>
        </w:rPr>
        <w:t>Burimi: Ministria e Financave dhe Ekonomisë (2023)</w:t>
      </w:r>
    </w:p>
    <w:p w14:paraId="00DE5072" w14:textId="77777777" w:rsidR="001D7392" w:rsidRPr="0065598A" w:rsidRDefault="001D7392" w:rsidP="001B65FA">
      <w:pPr>
        <w:spacing w:line="276" w:lineRule="auto"/>
        <w:rPr>
          <w:rFonts w:asciiTheme="minorHAnsi" w:eastAsia="SimSun" w:hAnsiTheme="minorHAnsi"/>
          <w:i/>
          <w:sz w:val="20"/>
          <w:lang w:val="sq-AL"/>
        </w:rPr>
      </w:pPr>
    </w:p>
    <w:p w14:paraId="6BC0DD15" w14:textId="757C7EEA" w:rsidR="001B65FA" w:rsidRPr="001D7392" w:rsidRDefault="001D7392" w:rsidP="001D7392">
      <w:pPr>
        <w:pStyle w:val="Caption"/>
        <w:spacing w:after="0"/>
        <w:rPr>
          <w:rFonts w:asciiTheme="minorHAnsi" w:hAnsiTheme="minorHAnsi"/>
          <w:b w:val="0"/>
          <w:bCs w:val="0"/>
          <w:i/>
          <w:color w:val="auto"/>
          <w:sz w:val="22"/>
          <w:szCs w:val="24"/>
          <w:lang w:val="sq-AL"/>
        </w:rPr>
      </w:pPr>
      <w:bookmarkStart w:id="51" w:name="_Toc107498106"/>
      <w:r w:rsidRPr="001D7392">
        <w:rPr>
          <w:rFonts w:asciiTheme="minorHAnsi" w:hAnsiTheme="minorHAnsi"/>
          <w:b w:val="0"/>
          <w:bCs w:val="0"/>
          <w:i/>
          <w:color w:val="auto"/>
          <w:sz w:val="22"/>
          <w:szCs w:val="24"/>
          <w:lang w:val="sq-AL"/>
        </w:rPr>
        <w:t xml:space="preserve">Grafiku </w:t>
      </w:r>
      <w:r w:rsidRPr="001D7392">
        <w:rPr>
          <w:rFonts w:asciiTheme="minorHAnsi" w:hAnsiTheme="minorHAnsi"/>
          <w:b w:val="0"/>
          <w:bCs w:val="0"/>
          <w:i/>
          <w:color w:val="auto"/>
          <w:sz w:val="22"/>
          <w:szCs w:val="24"/>
          <w:lang w:val="sq-AL"/>
        </w:rPr>
        <w:fldChar w:fldCharType="begin"/>
      </w:r>
      <w:r w:rsidRPr="001D7392">
        <w:rPr>
          <w:rFonts w:asciiTheme="minorHAnsi" w:hAnsiTheme="minorHAnsi"/>
          <w:b w:val="0"/>
          <w:bCs w:val="0"/>
          <w:i/>
          <w:color w:val="auto"/>
          <w:sz w:val="22"/>
          <w:szCs w:val="24"/>
          <w:lang w:val="sq-AL"/>
        </w:rPr>
        <w:instrText xml:space="preserve"> SEQ Grafiku \* ARABIC </w:instrText>
      </w:r>
      <w:r w:rsidRPr="001D7392">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15</w:t>
      </w:r>
      <w:r w:rsidRPr="001D7392">
        <w:rPr>
          <w:rFonts w:asciiTheme="minorHAnsi" w:hAnsiTheme="minorHAnsi"/>
          <w:b w:val="0"/>
          <w:bCs w:val="0"/>
          <w:i/>
          <w:color w:val="auto"/>
          <w:sz w:val="22"/>
          <w:szCs w:val="24"/>
          <w:lang w:val="sq-AL"/>
        </w:rPr>
        <w:fldChar w:fldCharType="end"/>
      </w:r>
      <w:r w:rsidRPr="001D7392">
        <w:rPr>
          <w:rFonts w:asciiTheme="minorHAnsi" w:hAnsiTheme="minorHAnsi"/>
          <w:b w:val="0"/>
          <w:bCs w:val="0"/>
          <w:i/>
          <w:color w:val="auto"/>
          <w:sz w:val="22"/>
          <w:szCs w:val="24"/>
          <w:lang w:val="sq-AL"/>
        </w:rPr>
        <w:t xml:space="preserve"> </w:t>
      </w:r>
      <w:r w:rsidR="001B65FA" w:rsidRPr="001D7392">
        <w:rPr>
          <w:rFonts w:asciiTheme="minorHAnsi" w:hAnsiTheme="minorHAnsi"/>
          <w:b w:val="0"/>
          <w:bCs w:val="0"/>
          <w:i/>
          <w:color w:val="auto"/>
          <w:sz w:val="22"/>
          <w:szCs w:val="24"/>
          <w:lang w:val="sq-AL"/>
        </w:rPr>
        <w:t>: Struktura e shpenzimeve korente, për periudhën 5 mujore 202</w:t>
      </w:r>
      <w:bookmarkEnd w:id="51"/>
      <w:r w:rsidR="00D16C66">
        <w:rPr>
          <w:rFonts w:asciiTheme="minorHAnsi" w:hAnsiTheme="minorHAnsi"/>
          <w:b w:val="0"/>
          <w:bCs w:val="0"/>
          <w:i/>
          <w:color w:val="auto"/>
          <w:sz w:val="22"/>
          <w:szCs w:val="24"/>
          <w:lang w:val="sq-AL"/>
        </w:rPr>
        <w:t>3</w:t>
      </w:r>
    </w:p>
    <w:p w14:paraId="60EE6D42" w14:textId="77777777" w:rsidR="001B65FA" w:rsidRPr="0065598A" w:rsidRDefault="00D16C66" w:rsidP="001B65FA">
      <w:pPr>
        <w:spacing w:line="276" w:lineRule="auto"/>
        <w:jc w:val="center"/>
        <w:rPr>
          <w:rFonts w:asciiTheme="minorHAnsi" w:eastAsia="SimSun" w:hAnsiTheme="minorHAnsi"/>
          <w:i/>
          <w:lang w:val="sq-AL"/>
        </w:rPr>
      </w:pPr>
      <w:r>
        <w:rPr>
          <w:rFonts w:asciiTheme="minorHAnsi" w:eastAsia="SimSun" w:hAnsiTheme="minorHAnsi"/>
          <w:i/>
          <w:noProof/>
        </w:rPr>
        <w:drawing>
          <wp:inline distT="0" distB="0" distL="0" distR="0" wp14:anchorId="5D509031" wp14:editId="76B88C80">
            <wp:extent cx="4420635" cy="3212339"/>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46190" cy="3230909"/>
                    </a:xfrm>
                    <a:prstGeom prst="rect">
                      <a:avLst/>
                    </a:prstGeom>
                    <a:noFill/>
                  </pic:spPr>
                </pic:pic>
              </a:graphicData>
            </a:graphic>
          </wp:inline>
        </w:drawing>
      </w:r>
    </w:p>
    <w:p w14:paraId="35E2614E" w14:textId="77777777" w:rsidR="006A740D" w:rsidRPr="0065598A" w:rsidRDefault="006A740D" w:rsidP="006A740D">
      <w:pPr>
        <w:spacing w:line="276" w:lineRule="auto"/>
        <w:rPr>
          <w:rFonts w:asciiTheme="minorHAnsi" w:eastAsia="SimSun" w:hAnsiTheme="minorHAnsi"/>
          <w:i/>
          <w:sz w:val="20"/>
          <w:lang w:val="sq-AL"/>
        </w:rPr>
      </w:pPr>
      <w:r w:rsidRPr="0065598A">
        <w:rPr>
          <w:rFonts w:asciiTheme="minorHAnsi" w:eastAsia="SimSun" w:hAnsiTheme="minorHAnsi"/>
          <w:i/>
          <w:sz w:val="20"/>
          <w:lang w:val="sq-AL"/>
        </w:rPr>
        <w:t xml:space="preserve">            </w:t>
      </w:r>
      <w:r w:rsidRPr="0065598A">
        <w:rPr>
          <w:rFonts w:asciiTheme="minorHAnsi" w:eastAsia="SimSun" w:hAnsiTheme="minorHAnsi"/>
          <w:i/>
          <w:sz w:val="20"/>
          <w:lang w:val="sq-AL"/>
        </w:rPr>
        <w:tab/>
      </w:r>
      <w:r w:rsidR="00D16C66">
        <w:rPr>
          <w:rFonts w:asciiTheme="minorHAnsi" w:eastAsia="SimSun" w:hAnsiTheme="minorHAnsi"/>
          <w:i/>
          <w:sz w:val="20"/>
          <w:lang w:val="sq-AL"/>
        </w:rPr>
        <w:tab/>
      </w:r>
      <w:r w:rsidR="00193978">
        <w:rPr>
          <w:rFonts w:asciiTheme="minorHAnsi" w:eastAsia="SimSun" w:hAnsiTheme="minorHAnsi"/>
          <w:i/>
          <w:sz w:val="20"/>
          <w:lang w:val="sq-AL"/>
        </w:rPr>
        <w:t>Burimi: Ministria e Financave dhe Ekonomisë (2023)</w:t>
      </w:r>
    </w:p>
    <w:p w14:paraId="48BBCF7E" w14:textId="77777777" w:rsidR="001B65FA" w:rsidRDefault="001B65FA" w:rsidP="001B65FA">
      <w:pPr>
        <w:spacing w:line="276" w:lineRule="auto"/>
        <w:jc w:val="both"/>
        <w:rPr>
          <w:rFonts w:asciiTheme="minorHAnsi" w:eastAsia="SimSun" w:hAnsiTheme="minorHAnsi"/>
          <w:lang w:val="sq-AL"/>
        </w:rPr>
      </w:pPr>
    </w:p>
    <w:p w14:paraId="6813ECAA" w14:textId="77777777" w:rsidR="001B65FA" w:rsidRDefault="001B65FA" w:rsidP="001B65FA">
      <w:pPr>
        <w:spacing w:line="276" w:lineRule="auto"/>
        <w:jc w:val="both"/>
        <w:rPr>
          <w:rFonts w:asciiTheme="minorHAnsi" w:eastAsia="SimSun" w:hAnsiTheme="minorHAnsi"/>
          <w:lang w:val="sq-AL"/>
        </w:rPr>
      </w:pPr>
      <w:r w:rsidRPr="00461EFE">
        <w:rPr>
          <w:rFonts w:asciiTheme="minorHAnsi" w:eastAsia="SimSun" w:hAnsiTheme="minorHAnsi"/>
          <w:i/>
          <w:lang w:val="sq-AL"/>
        </w:rPr>
        <w:t>Shpenzimet e Personelit</w:t>
      </w:r>
      <w:r w:rsidRPr="00461EFE">
        <w:rPr>
          <w:rFonts w:asciiTheme="minorHAnsi" w:eastAsia="SimSun" w:hAnsiTheme="minorHAnsi"/>
          <w:lang w:val="sq-AL"/>
        </w:rPr>
        <w:t xml:space="preserve"> </w:t>
      </w:r>
      <w:r w:rsidR="00BE627C" w:rsidRPr="00F13B3E">
        <w:rPr>
          <w:rFonts w:asciiTheme="minorHAnsi" w:eastAsia="SimSun" w:hAnsiTheme="minorHAnsi"/>
          <w:lang w:val="sq-AL"/>
        </w:rPr>
        <w:t xml:space="preserve">për periudhën 5 mujore të vitit </w:t>
      </w:r>
      <w:r w:rsidR="00D16C66" w:rsidRPr="0067026B">
        <w:rPr>
          <w:rFonts w:asciiTheme="minorHAnsi" w:eastAsia="SimSun" w:hAnsiTheme="minorHAnsi"/>
          <w:lang w:val="sq-AL"/>
        </w:rPr>
        <w:t xml:space="preserve">2023, përfaqësuan 18.8 përqind të totalit të shpenzimeve korente. Niveli i shpenzimeve faktike të personelit prej rreth 37.3 miliard </w:t>
      </w:r>
      <w:r w:rsidR="00D16C66" w:rsidRPr="00F94082">
        <w:rPr>
          <w:rFonts w:asciiTheme="minorHAnsi" w:eastAsia="SimSun" w:hAnsiTheme="minorHAnsi"/>
          <w:lang w:val="sq-AL"/>
        </w:rPr>
        <w:t>lekë</w:t>
      </w:r>
      <w:r w:rsidR="00D16C66" w:rsidRPr="0067026B">
        <w:rPr>
          <w:rFonts w:asciiTheme="minorHAnsi" w:eastAsia="SimSun" w:hAnsiTheme="minorHAnsi"/>
          <w:lang w:val="sq-AL"/>
        </w:rPr>
        <w:t xml:space="preserve">, realizon nivelin e parashikuar për këtë zë në planin e periudhës 5 mujore, në masën 97.1 përqind. Krahasuar me të njëjtën periudhë 2022, ky zë është 9.4 përqind më i lartë ose rreth 3.2 miliard </w:t>
      </w:r>
      <w:r w:rsidR="00D16C66" w:rsidRPr="00F94082">
        <w:rPr>
          <w:rFonts w:asciiTheme="minorHAnsi" w:eastAsia="SimSun" w:hAnsiTheme="minorHAnsi"/>
          <w:lang w:val="sq-AL"/>
        </w:rPr>
        <w:t>lekë</w:t>
      </w:r>
      <w:r w:rsidR="00D16C66" w:rsidRPr="0067026B">
        <w:rPr>
          <w:rFonts w:asciiTheme="minorHAnsi" w:eastAsia="SimSun" w:hAnsiTheme="minorHAnsi"/>
          <w:lang w:val="sq-AL"/>
        </w:rPr>
        <w:t xml:space="preserve"> më shumë</w:t>
      </w:r>
      <w:r w:rsidRPr="00461EFE">
        <w:rPr>
          <w:rFonts w:asciiTheme="minorHAnsi" w:eastAsia="SimSun" w:hAnsiTheme="minorHAnsi"/>
          <w:lang w:val="sq-AL"/>
        </w:rPr>
        <w:t>.</w:t>
      </w:r>
    </w:p>
    <w:p w14:paraId="5F6B1211" w14:textId="77777777" w:rsidR="00D16C66" w:rsidRDefault="00D16C66" w:rsidP="001B65FA">
      <w:pPr>
        <w:spacing w:line="276" w:lineRule="auto"/>
        <w:jc w:val="both"/>
        <w:rPr>
          <w:rFonts w:asciiTheme="minorHAnsi" w:eastAsia="SimSun" w:hAnsiTheme="minorHAnsi"/>
          <w:lang w:val="sq-AL"/>
        </w:rPr>
      </w:pPr>
    </w:p>
    <w:p w14:paraId="29A10DFD" w14:textId="77777777" w:rsidR="00D16C66" w:rsidRDefault="00D16C66" w:rsidP="001B65FA">
      <w:pPr>
        <w:spacing w:line="276" w:lineRule="auto"/>
        <w:jc w:val="both"/>
        <w:rPr>
          <w:rFonts w:asciiTheme="minorHAnsi" w:eastAsia="SimSun" w:hAnsiTheme="minorHAnsi"/>
          <w:lang w:val="sq-AL"/>
        </w:rPr>
      </w:pPr>
    </w:p>
    <w:p w14:paraId="22A26766" w14:textId="0EDCDF34" w:rsidR="001B65FA" w:rsidRPr="006A740D" w:rsidRDefault="0016643F" w:rsidP="00D16C66">
      <w:pPr>
        <w:pStyle w:val="Caption"/>
        <w:spacing w:after="0"/>
        <w:rPr>
          <w:rFonts w:asciiTheme="minorHAnsi" w:hAnsiTheme="minorHAnsi"/>
          <w:b w:val="0"/>
          <w:bCs w:val="0"/>
          <w:i/>
          <w:color w:val="auto"/>
          <w:sz w:val="22"/>
          <w:szCs w:val="24"/>
          <w:lang w:val="sq-AL"/>
        </w:rPr>
      </w:pPr>
      <w:bookmarkStart w:id="52" w:name="_Toc107498107"/>
      <w:r w:rsidRPr="0016643F">
        <w:rPr>
          <w:rFonts w:asciiTheme="minorHAnsi" w:hAnsiTheme="minorHAnsi"/>
          <w:b w:val="0"/>
          <w:bCs w:val="0"/>
          <w:i/>
          <w:color w:val="auto"/>
          <w:sz w:val="22"/>
          <w:szCs w:val="24"/>
          <w:lang w:val="sq-AL"/>
        </w:rPr>
        <w:lastRenderedPageBreak/>
        <w:t xml:space="preserve">Grafiku </w:t>
      </w:r>
      <w:r w:rsidRPr="0016643F">
        <w:rPr>
          <w:rFonts w:asciiTheme="minorHAnsi" w:hAnsiTheme="minorHAnsi"/>
          <w:b w:val="0"/>
          <w:bCs w:val="0"/>
          <w:i/>
          <w:color w:val="auto"/>
          <w:sz w:val="22"/>
          <w:szCs w:val="24"/>
          <w:lang w:val="sq-AL"/>
        </w:rPr>
        <w:fldChar w:fldCharType="begin"/>
      </w:r>
      <w:r w:rsidRPr="0016643F">
        <w:rPr>
          <w:rFonts w:asciiTheme="minorHAnsi" w:hAnsiTheme="minorHAnsi"/>
          <w:b w:val="0"/>
          <w:bCs w:val="0"/>
          <w:i/>
          <w:color w:val="auto"/>
          <w:sz w:val="22"/>
          <w:szCs w:val="24"/>
          <w:lang w:val="sq-AL"/>
        </w:rPr>
        <w:instrText xml:space="preserve"> SEQ Grafiku \* ARABIC </w:instrText>
      </w:r>
      <w:r w:rsidRPr="0016643F">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16</w:t>
      </w:r>
      <w:r w:rsidRPr="0016643F">
        <w:rPr>
          <w:rFonts w:asciiTheme="minorHAnsi" w:hAnsiTheme="minorHAnsi"/>
          <w:b w:val="0"/>
          <w:bCs w:val="0"/>
          <w:i/>
          <w:color w:val="auto"/>
          <w:sz w:val="22"/>
          <w:szCs w:val="24"/>
          <w:lang w:val="sq-AL"/>
        </w:rPr>
        <w:fldChar w:fldCharType="end"/>
      </w:r>
      <w:r>
        <w:rPr>
          <w:rFonts w:asciiTheme="minorHAnsi" w:hAnsiTheme="minorHAnsi"/>
          <w:b w:val="0"/>
          <w:bCs w:val="0"/>
          <w:i/>
          <w:color w:val="auto"/>
          <w:sz w:val="22"/>
          <w:szCs w:val="24"/>
          <w:lang w:val="sq-AL"/>
        </w:rPr>
        <w:t xml:space="preserve">: </w:t>
      </w:r>
      <w:r w:rsidR="001B65FA" w:rsidRPr="0016643F">
        <w:rPr>
          <w:rFonts w:asciiTheme="minorHAnsi" w:hAnsiTheme="minorHAnsi"/>
          <w:b w:val="0"/>
          <w:bCs w:val="0"/>
          <w:i/>
          <w:color w:val="auto"/>
          <w:sz w:val="22"/>
          <w:szCs w:val="24"/>
          <w:lang w:val="sq-AL"/>
        </w:rPr>
        <w:t>Shpenzimet e Personelit dhe ritmi i rritjes së tyre (në miliardë LEK)</w:t>
      </w:r>
      <w:bookmarkEnd w:id="52"/>
      <w:r w:rsidR="001B65FA" w:rsidRPr="006A740D">
        <w:rPr>
          <w:rFonts w:asciiTheme="minorHAnsi" w:hAnsiTheme="minorHAnsi"/>
          <w:b w:val="0"/>
          <w:bCs w:val="0"/>
          <w:i/>
          <w:color w:val="auto"/>
          <w:sz w:val="22"/>
          <w:szCs w:val="24"/>
          <w:lang w:val="sq-AL"/>
        </w:rPr>
        <w:t xml:space="preserve"> </w:t>
      </w:r>
    </w:p>
    <w:p w14:paraId="4B656848" w14:textId="77777777" w:rsidR="001B65FA" w:rsidRPr="0065598A" w:rsidRDefault="00D16C66" w:rsidP="001B65FA">
      <w:pPr>
        <w:ind w:left="90"/>
        <w:jc w:val="center"/>
        <w:rPr>
          <w:rFonts w:asciiTheme="minorHAnsi" w:eastAsia="SimSun" w:hAnsiTheme="minorHAnsi"/>
          <w:i/>
          <w:lang w:val="sq-AL"/>
        </w:rPr>
      </w:pPr>
      <w:r>
        <w:rPr>
          <w:rFonts w:asciiTheme="minorHAnsi" w:eastAsia="SimSun" w:hAnsiTheme="minorHAnsi"/>
          <w:i/>
          <w:noProof/>
        </w:rPr>
        <w:drawing>
          <wp:inline distT="0" distB="0" distL="0" distR="0" wp14:anchorId="20F30F80" wp14:editId="27A664DD">
            <wp:extent cx="5549265" cy="1822450"/>
            <wp:effectExtent l="0" t="0" r="0"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7389" cy="1828402"/>
                    </a:xfrm>
                    <a:prstGeom prst="rect">
                      <a:avLst/>
                    </a:prstGeom>
                    <a:noFill/>
                  </pic:spPr>
                </pic:pic>
              </a:graphicData>
            </a:graphic>
          </wp:inline>
        </w:drawing>
      </w:r>
    </w:p>
    <w:p w14:paraId="0C5E5CCA" w14:textId="77777777" w:rsidR="001B65FA" w:rsidRPr="0065598A" w:rsidRDefault="00193978" w:rsidP="001B65FA">
      <w:pPr>
        <w:ind w:firstLine="720"/>
        <w:rPr>
          <w:rFonts w:asciiTheme="minorHAnsi" w:eastAsia="SimSun" w:hAnsiTheme="minorHAnsi"/>
          <w:i/>
          <w:sz w:val="20"/>
          <w:lang w:val="sq-AL"/>
        </w:rPr>
      </w:pPr>
      <w:r>
        <w:rPr>
          <w:rFonts w:asciiTheme="minorHAnsi" w:eastAsia="SimSun" w:hAnsiTheme="minorHAnsi"/>
          <w:i/>
          <w:sz w:val="20"/>
          <w:lang w:val="sq-AL"/>
        </w:rPr>
        <w:t>Burimi: Ministria e Financave dhe Ekonomisë (2023)</w:t>
      </w:r>
    </w:p>
    <w:p w14:paraId="1B1A6190" w14:textId="77777777" w:rsidR="001B65FA" w:rsidRPr="00DC42CF" w:rsidRDefault="001B65FA" w:rsidP="001B65FA">
      <w:pPr>
        <w:spacing w:line="276" w:lineRule="auto"/>
        <w:jc w:val="both"/>
        <w:rPr>
          <w:rFonts w:asciiTheme="minorHAnsi" w:eastAsia="SimSun" w:hAnsiTheme="minorHAnsi"/>
          <w:sz w:val="12"/>
          <w:lang w:val="sq-AL"/>
        </w:rPr>
      </w:pPr>
    </w:p>
    <w:p w14:paraId="5E1DA348" w14:textId="77777777" w:rsidR="001B65FA" w:rsidRDefault="001B65FA" w:rsidP="001B65FA">
      <w:pPr>
        <w:spacing w:line="276" w:lineRule="auto"/>
        <w:jc w:val="both"/>
        <w:rPr>
          <w:rFonts w:asciiTheme="minorHAnsi" w:eastAsia="SimSun" w:hAnsiTheme="minorHAnsi"/>
          <w:lang w:val="sq-AL"/>
        </w:rPr>
      </w:pPr>
      <w:r w:rsidRPr="003508C3">
        <w:rPr>
          <w:rFonts w:asciiTheme="minorHAnsi" w:eastAsia="SimSun" w:hAnsiTheme="minorHAnsi"/>
          <w:i/>
          <w:lang w:val="sq-AL"/>
        </w:rPr>
        <w:t>Shpenzimet për Paga</w:t>
      </w:r>
      <w:r w:rsidRPr="003508C3">
        <w:rPr>
          <w:rFonts w:asciiTheme="minorHAnsi" w:eastAsia="SimSun" w:hAnsiTheme="minorHAnsi"/>
          <w:lang w:val="sq-AL"/>
        </w:rPr>
        <w:t xml:space="preserve"> </w:t>
      </w:r>
      <w:r w:rsidR="00BE627C" w:rsidRPr="000D56FB">
        <w:rPr>
          <w:rFonts w:asciiTheme="minorHAnsi" w:eastAsia="SimSun" w:hAnsiTheme="minorHAnsi"/>
          <w:lang w:val="sq-AL"/>
        </w:rPr>
        <w:t xml:space="preserve">në fund të muajit të pestë të vitit </w:t>
      </w:r>
      <w:r w:rsidR="00D16C66" w:rsidRPr="00873AEB">
        <w:rPr>
          <w:rFonts w:asciiTheme="minorHAnsi" w:eastAsia="SimSun" w:hAnsiTheme="minorHAnsi"/>
          <w:lang w:val="sq-AL"/>
        </w:rPr>
        <w:t xml:space="preserve">2023 u realizuan në masën rreth 32 miliard </w:t>
      </w:r>
      <w:r w:rsidR="00D16C66" w:rsidRPr="00F94082">
        <w:rPr>
          <w:rFonts w:asciiTheme="minorHAnsi" w:eastAsia="SimSun" w:hAnsiTheme="minorHAnsi"/>
          <w:lang w:val="sq-AL"/>
        </w:rPr>
        <w:t>lekë</w:t>
      </w:r>
      <w:r w:rsidR="00D16C66" w:rsidRPr="00873AEB">
        <w:rPr>
          <w:rFonts w:asciiTheme="minorHAnsi" w:eastAsia="SimSun" w:hAnsiTheme="minorHAnsi"/>
          <w:lang w:val="sq-AL"/>
        </w:rPr>
        <w:t xml:space="preserve">, duke qenë 9.4 përqind më të larta se e njëjta periudhë e vitit 2022, ose rreth 2.75 miliard </w:t>
      </w:r>
      <w:bookmarkStart w:id="53" w:name="_Hlk138414048"/>
      <w:r w:rsidR="00D16C66" w:rsidRPr="00F94082">
        <w:rPr>
          <w:rFonts w:asciiTheme="minorHAnsi" w:eastAsia="SimSun" w:hAnsiTheme="minorHAnsi"/>
          <w:lang w:val="sq-AL"/>
        </w:rPr>
        <w:t>lekë</w:t>
      </w:r>
      <w:bookmarkEnd w:id="53"/>
      <w:r w:rsidR="00D16C66" w:rsidRPr="00873AEB">
        <w:rPr>
          <w:rFonts w:asciiTheme="minorHAnsi" w:eastAsia="SimSun" w:hAnsiTheme="minorHAnsi"/>
          <w:lang w:val="sq-AL"/>
        </w:rPr>
        <w:t xml:space="preserve"> më shumë. Për rrjedhojë, edhe shpenzimet për sigurime shoqërore rezultuan në masën 9.2 përqind më të larta se një vit më parë ose 443 milion</w:t>
      </w:r>
      <w:r w:rsidR="00D16C66">
        <w:rPr>
          <w:rFonts w:asciiTheme="minorHAnsi" w:eastAsia="SimSun" w:hAnsiTheme="minorHAnsi"/>
          <w:lang w:val="sq-AL"/>
        </w:rPr>
        <w:t>ë</w:t>
      </w:r>
      <w:r w:rsidR="00D16C66" w:rsidRPr="00873AEB">
        <w:rPr>
          <w:rFonts w:asciiTheme="minorHAnsi" w:eastAsia="SimSun" w:hAnsiTheme="minorHAnsi"/>
          <w:lang w:val="sq-AL"/>
        </w:rPr>
        <w:t xml:space="preserve"> </w:t>
      </w:r>
      <w:r w:rsidR="00D16C66" w:rsidRPr="00F94082">
        <w:rPr>
          <w:rFonts w:asciiTheme="minorHAnsi" w:eastAsia="SimSun" w:hAnsiTheme="minorHAnsi"/>
          <w:lang w:val="sq-AL"/>
        </w:rPr>
        <w:t>lekë</w:t>
      </w:r>
      <w:r w:rsidR="00D16C66" w:rsidRPr="00873AEB">
        <w:rPr>
          <w:rFonts w:asciiTheme="minorHAnsi" w:eastAsia="SimSun" w:hAnsiTheme="minorHAnsi"/>
          <w:lang w:val="sq-AL"/>
        </w:rPr>
        <w:t xml:space="preserve"> më shumë. Realizimi faktik i këtyre zërave së bashku, është në nivelin 97.1</w:t>
      </w:r>
      <w:r w:rsidR="00D16C66">
        <w:rPr>
          <w:rFonts w:asciiTheme="minorHAnsi" w:eastAsia="SimSun" w:hAnsiTheme="minorHAnsi"/>
          <w:lang w:val="sq-AL"/>
        </w:rPr>
        <w:t>%</w:t>
      </w:r>
      <w:r w:rsidR="00D16C66" w:rsidRPr="00873AEB">
        <w:rPr>
          <w:rFonts w:asciiTheme="minorHAnsi" w:eastAsia="SimSun" w:hAnsiTheme="minorHAnsi"/>
          <w:lang w:val="sq-AL"/>
        </w:rPr>
        <w:t xml:space="preserve"> krahasuar me planin e periudhës, ose 38.5 përqind e planit vjetor</w:t>
      </w:r>
      <w:r w:rsidRPr="003508C3">
        <w:rPr>
          <w:rFonts w:asciiTheme="minorHAnsi" w:eastAsia="SimSun" w:hAnsiTheme="minorHAnsi"/>
          <w:lang w:val="sq-AL"/>
        </w:rPr>
        <w:t xml:space="preserve">.       </w:t>
      </w:r>
    </w:p>
    <w:p w14:paraId="320DF66C" w14:textId="77777777" w:rsidR="001B65FA" w:rsidRPr="007F224E" w:rsidRDefault="001B65FA" w:rsidP="001B65FA">
      <w:pPr>
        <w:spacing w:line="276" w:lineRule="auto"/>
        <w:jc w:val="both"/>
        <w:rPr>
          <w:rFonts w:asciiTheme="minorHAnsi" w:eastAsia="SimSun" w:hAnsiTheme="minorHAnsi"/>
          <w:i/>
          <w:sz w:val="8"/>
          <w:szCs w:val="8"/>
          <w:lang w:val="sq-AL"/>
        </w:rPr>
      </w:pPr>
    </w:p>
    <w:p w14:paraId="5CB34AF9" w14:textId="3BD557FB" w:rsidR="001B65FA" w:rsidRPr="006A740D" w:rsidRDefault="0016643F" w:rsidP="00D16C66">
      <w:pPr>
        <w:pStyle w:val="Caption"/>
        <w:spacing w:after="0"/>
        <w:rPr>
          <w:rFonts w:asciiTheme="minorHAnsi" w:hAnsiTheme="minorHAnsi"/>
          <w:b w:val="0"/>
          <w:bCs w:val="0"/>
          <w:i/>
          <w:color w:val="auto"/>
          <w:sz w:val="22"/>
          <w:szCs w:val="24"/>
          <w:lang w:val="sq-AL"/>
        </w:rPr>
      </w:pPr>
      <w:bookmarkStart w:id="54" w:name="_Toc107498108"/>
      <w:r w:rsidRPr="0016643F">
        <w:rPr>
          <w:rFonts w:asciiTheme="minorHAnsi" w:hAnsiTheme="minorHAnsi"/>
          <w:b w:val="0"/>
          <w:bCs w:val="0"/>
          <w:i/>
          <w:color w:val="auto"/>
          <w:sz w:val="22"/>
          <w:szCs w:val="24"/>
          <w:lang w:val="sq-AL"/>
        </w:rPr>
        <w:t xml:space="preserve">Grafiku </w:t>
      </w:r>
      <w:r w:rsidRPr="0016643F">
        <w:rPr>
          <w:rFonts w:asciiTheme="minorHAnsi" w:hAnsiTheme="minorHAnsi"/>
          <w:b w:val="0"/>
          <w:bCs w:val="0"/>
          <w:i/>
          <w:color w:val="auto"/>
          <w:sz w:val="22"/>
          <w:szCs w:val="24"/>
          <w:lang w:val="sq-AL"/>
        </w:rPr>
        <w:fldChar w:fldCharType="begin"/>
      </w:r>
      <w:r w:rsidRPr="0016643F">
        <w:rPr>
          <w:rFonts w:asciiTheme="minorHAnsi" w:hAnsiTheme="minorHAnsi"/>
          <w:b w:val="0"/>
          <w:bCs w:val="0"/>
          <w:i/>
          <w:color w:val="auto"/>
          <w:sz w:val="22"/>
          <w:szCs w:val="24"/>
          <w:lang w:val="sq-AL"/>
        </w:rPr>
        <w:instrText xml:space="preserve"> SEQ Grafiku \* ARABIC </w:instrText>
      </w:r>
      <w:r w:rsidRPr="0016643F">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17</w:t>
      </w:r>
      <w:r w:rsidRPr="0016643F">
        <w:rPr>
          <w:rFonts w:asciiTheme="minorHAnsi" w:hAnsiTheme="minorHAnsi"/>
          <w:b w:val="0"/>
          <w:bCs w:val="0"/>
          <w:i/>
          <w:color w:val="auto"/>
          <w:sz w:val="22"/>
          <w:szCs w:val="24"/>
          <w:lang w:val="sq-AL"/>
        </w:rPr>
        <w:fldChar w:fldCharType="end"/>
      </w:r>
      <w:r w:rsidR="001B65FA" w:rsidRPr="0016643F">
        <w:rPr>
          <w:rFonts w:asciiTheme="minorHAnsi" w:hAnsiTheme="minorHAnsi"/>
          <w:b w:val="0"/>
          <w:bCs w:val="0"/>
          <w:i/>
          <w:color w:val="auto"/>
          <w:sz w:val="22"/>
          <w:szCs w:val="24"/>
          <w:lang w:val="sq-AL"/>
        </w:rPr>
        <w:t>: Shpenzimet e Pagave dhe ritmi i rritjes së tyre (në miliardë LEK)</w:t>
      </w:r>
      <w:bookmarkEnd w:id="54"/>
    </w:p>
    <w:p w14:paraId="65502612" w14:textId="77777777" w:rsidR="001B65FA" w:rsidRPr="0065598A" w:rsidRDefault="00D16C66" w:rsidP="00DC42CF">
      <w:pPr>
        <w:tabs>
          <w:tab w:val="left" w:pos="270"/>
        </w:tabs>
        <w:jc w:val="center"/>
        <w:rPr>
          <w:rFonts w:asciiTheme="minorHAnsi" w:eastAsia="SimSun" w:hAnsiTheme="minorHAnsi"/>
          <w:i/>
          <w:lang w:val="sq-AL"/>
        </w:rPr>
      </w:pPr>
      <w:r>
        <w:rPr>
          <w:rFonts w:asciiTheme="minorHAnsi" w:eastAsia="SimSun" w:hAnsiTheme="minorHAnsi"/>
          <w:i/>
          <w:noProof/>
        </w:rPr>
        <w:drawing>
          <wp:inline distT="0" distB="0" distL="0" distR="0" wp14:anchorId="35783113" wp14:editId="5EFF87FB">
            <wp:extent cx="5675781" cy="1898650"/>
            <wp:effectExtent l="0" t="0" r="1270" b="635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97635" cy="1905960"/>
                    </a:xfrm>
                    <a:prstGeom prst="rect">
                      <a:avLst/>
                    </a:prstGeom>
                    <a:noFill/>
                  </pic:spPr>
                </pic:pic>
              </a:graphicData>
            </a:graphic>
          </wp:inline>
        </w:drawing>
      </w:r>
    </w:p>
    <w:p w14:paraId="4ED164CB" w14:textId="77777777" w:rsidR="001B65FA" w:rsidRPr="0072117E" w:rsidRDefault="001B65FA" w:rsidP="001B65FA">
      <w:pPr>
        <w:rPr>
          <w:rFonts w:asciiTheme="minorHAnsi" w:eastAsia="SimSun" w:hAnsiTheme="minorHAnsi"/>
          <w:i/>
          <w:sz w:val="20"/>
          <w:lang w:val="sq-AL"/>
        </w:rPr>
      </w:pPr>
      <w:r w:rsidRPr="0065598A">
        <w:rPr>
          <w:rFonts w:asciiTheme="minorHAnsi" w:eastAsia="SimSun" w:hAnsiTheme="minorHAnsi"/>
          <w:i/>
          <w:sz w:val="20"/>
          <w:lang w:val="sq-AL"/>
        </w:rPr>
        <w:t xml:space="preserve">              </w:t>
      </w:r>
      <w:r w:rsidRPr="0065598A">
        <w:rPr>
          <w:rFonts w:asciiTheme="minorHAnsi" w:eastAsia="SimSun" w:hAnsiTheme="minorHAnsi"/>
          <w:i/>
          <w:sz w:val="20"/>
          <w:lang w:val="sq-AL"/>
        </w:rPr>
        <w:tab/>
      </w:r>
      <w:r w:rsidRPr="0065598A">
        <w:rPr>
          <w:rFonts w:asciiTheme="minorHAnsi" w:eastAsia="SimSun" w:hAnsiTheme="minorHAnsi"/>
          <w:i/>
          <w:sz w:val="20"/>
          <w:lang w:val="sq-AL"/>
        </w:rPr>
        <w:tab/>
      </w:r>
      <w:r w:rsidR="00193978">
        <w:rPr>
          <w:rFonts w:asciiTheme="minorHAnsi" w:eastAsia="SimSun" w:hAnsiTheme="minorHAnsi"/>
          <w:i/>
          <w:sz w:val="20"/>
          <w:lang w:val="sq-AL"/>
        </w:rPr>
        <w:t>Burimi: Ministria e Financave dhe Ekonomisë (2023)</w:t>
      </w:r>
    </w:p>
    <w:p w14:paraId="52149AEF" w14:textId="77777777" w:rsidR="001B65FA" w:rsidRPr="00DC42CF" w:rsidRDefault="001B65FA" w:rsidP="001B65FA">
      <w:pPr>
        <w:spacing w:line="276" w:lineRule="auto"/>
        <w:jc w:val="both"/>
        <w:rPr>
          <w:rFonts w:asciiTheme="minorHAnsi" w:eastAsia="SimSun" w:hAnsiTheme="minorHAnsi"/>
          <w:sz w:val="12"/>
          <w:lang w:val="sq-AL"/>
        </w:rPr>
      </w:pPr>
    </w:p>
    <w:p w14:paraId="7B889ED5" w14:textId="77777777" w:rsidR="001B65FA" w:rsidRDefault="001B65FA" w:rsidP="001B65FA">
      <w:pPr>
        <w:spacing w:line="276" w:lineRule="auto"/>
        <w:jc w:val="both"/>
        <w:rPr>
          <w:rFonts w:asciiTheme="minorHAnsi" w:eastAsia="SimSun" w:hAnsiTheme="minorHAnsi"/>
          <w:lang w:val="sq-AL"/>
        </w:rPr>
      </w:pPr>
      <w:r w:rsidRPr="0072117E">
        <w:rPr>
          <w:rFonts w:asciiTheme="minorHAnsi" w:eastAsia="SimSun" w:hAnsiTheme="minorHAnsi"/>
          <w:i/>
          <w:lang w:val="sq-AL"/>
        </w:rPr>
        <w:t>Shpenzimet për Interesa</w:t>
      </w:r>
      <w:r w:rsidRPr="0072117E">
        <w:rPr>
          <w:rFonts w:asciiTheme="minorHAnsi" w:eastAsia="SimSun" w:hAnsiTheme="minorHAnsi"/>
          <w:lang w:val="sq-AL"/>
        </w:rPr>
        <w:t xml:space="preserve"> </w:t>
      </w:r>
      <w:r w:rsidR="00BE627C" w:rsidRPr="000772D8">
        <w:rPr>
          <w:rFonts w:asciiTheme="minorHAnsi" w:eastAsia="SimSun" w:hAnsiTheme="minorHAnsi"/>
          <w:lang w:val="sq-AL"/>
        </w:rPr>
        <w:t xml:space="preserve">për periudhën 5 mujore të vitit </w:t>
      </w:r>
      <w:r w:rsidR="00DC42CF" w:rsidRPr="000772D8">
        <w:rPr>
          <w:rFonts w:asciiTheme="minorHAnsi" w:eastAsia="SimSun" w:hAnsiTheme="minorHAnsi"/>
          <w:lang w:val="sq-AL"/>
        </w:rPr>
        <w:t>202</w:t>
      </w:r>
      <w:r w:rsidR="00DC42CF">
        <w:rPr>
          <w:rFonts w:asciiTheme="minorHAnsi" w:eastAsia="SimSun" w:hAnsiTheme="minorHAnsi"/>
          <w:lang w:val="sq-AL"/>
        </w:rPr>
        <w:t>3</w:t>
      </w:r>
      <w:r w:rsidR="00DC42CF" w:rsidRPr="000772D8">
        <w:rPr>
          <w:rFonts w:asciiTheme="minorHAnsi" w:eastAsia="SimSun" w:hAnsiTheme="minorHAnsi"/>
          <w:lang w:val="sq-AL"/>
        </w:rPr>
        <w:t xml:space="preserve"> kanë përfaqësuar 8.</w:t>
      </w:r>
      <w:r w:rsidR="00DC42CF">
        <w:rPr>
          <w:rFonts w:asciiTheme="minorHAnsi" w:eastAsia="SimSun" w:hAnsiTheme="minorHAnsi"/>
          <w:lang w:val="sq-AL"/>
        </w:rPr>
        <w:t>4</w:t>
      </w:r>
      <w:r w:rsidR="00DC42CF" w:rsidRPr="000772D8">
        <w:rPr>
          <w:rFonts w:asciiTheme="minorHAnsi" w:eastAsia="SimSun" w:hAnsiTheme="minorHAnsi"/>
          <w:lang w:val="sq-AL"/>
        </w:rPr>
        <w:t xml:space="preserve"> përqind të shpenzimeve korente. Niveli faktik i tyre prej rreth </w:t>
      </w:r>
      <w:r w:rsidR="00DC42CF">
        <w:rPr>
          <w:rFonts w:asciiTheme="minorHAnsi" w:eastAsia="SimSun" w:hAnsiTheme="minorHAnsi"/>
          <w:lang w:val="sq-AL"/>
        </w:rPr>
        <w:t>16.6</w:t>
      </w:r>
      <w:r w:rsidR="00DC42CF" w:rsidRPr="000772D8">
        <w:rPr>
          <w:rFonts w:asciiTheme="minorHAnsi" w:eastAsia="SimSun" w:hAnsiTheme="minorHAnsi"/>
          <w:lang w:val="sq-AL"/>
        </w:rPr>
        <w:t xml:space="preserve"> miliard </w:t>
      </w:r>
      <w:r w:rsidR="00DC42CF" w:rsidRPr="00F94082">
        <w:rPr>
          <w:rFonts w:asciiTheme="minorHAnsi" w:eastAsia="SimSun" w:hAnsiTheme="minorHAnsi"/>
          <w:lang w:val="sq-AL"/>
        </w:rPr>
        <w:t>lekë</w:t>
      </w:r>
      <w:r w:rsidR="00DC42CF" w:rsidRPr="000772D8">
        <w:rPr>
          <w:rFonts w:asciiTheme="minorHAnsi" w:eastAsia="SimSun" w:hAnsiTheme="minorHAnsi"/>
          <w:lang w:val="sq-AL"/>
        </w:rPr>
        <w:t xml:space="preserve"> ka rezultuar në masën </w:t>
      </w:r>
      <w:r w:rsidR="00DC42CF">
        <w:rPr>
          <w:rFonts w:asciiTheme="minorHAnsi" w:eastAsia="SimSun" w:hAnsiTheme="minorHAnsi"/>
          <w:lang w:val="sq-AL"/>
        </w:rPr>
        <w:t>89.5</w:t>
      </w:r>
      <w:r w:rsidR="00DC42CF" w:rsidRPr="000772D8">
        <w:rPr>
          <w:rFonts w:asciiTheme="minorHAnsi" w:eastAsia="SimSun" w:hAnsiTheme="minorHAnsi"/>
          <w:lang w:val="sq-AL"/>
        </w:rPr>
        <w:t xml:space="preserve"> përqind të planit të periudhës. Në raport me planin vjetor, në nivel 5 mujori këto shpenzime janë realizuar në masën </w:t>
      </w:r>
      <w:r w:rsidR="00DC42CF">
        <w:rPr>
          <w:rFonts w:asciiTheme="minorHAnsi" w:eastAsia="SimSun" w:hAnsiTheme="minorHAnsi"/>
          <w:lang w:val="sq-AL"/>
        </w:rPr>
        <w:t>27.3</w:t>
      </w:r>
      <w:r w:rsidR="00DC42CF" w:rsidRPr="000772D8">
        <w:rPr>
          <w:rFonts w:asciiTheme="minorHAnsi" w:eastAsia="SimSun" w:hAnsiTheme="minorHAnsi"/>
          <w:lang w:val="sq-AL"/>
        </w:rPr>
        <w:t xml:space="preserve"> përqind të tij, ndërsa krahasuar me të njëjtën periudhë të vitit 202</w:t>
      </w:r>
      <w:r w:rsidR="00DC42CF">
        <w:rPr>
          <w:rFonts w:asciiTheme="minorHAnsi" w:eastAsia="SimSun" w:hAnsiTheme="minorHAnsi"/>
          <w:lang w:val="sq-AL"/>
        </w:rPr>
        <w:t>2</w:t>
      </w:r>
      <w:r w:rsidR="00DC42CF" w:rsidRPr="000772D8">
        <w:rPr>
          <w:rFonts w:asciiTheme="minorHAnsi" w:eastAsia="SimSun" w:hAnsiTheme="minorHAnsi"/>
          <w:lang w:val="sq-AL"/>
        </w:rPr>
        <w:t xml:space="preserve">, ky zë ka rezultuar </w:t>
      </w:r>
      <w:r w:rsidR="00DC42CF">
        <w:rPr>
          <w:rFonts w:asciiTheme="minorHAnsi" w:eastAsia="SimSun" w:hAnsiTheme="minorHAnsi"/>
          <w:lang w:val="sq-AL"/>
        </w:rPr>
        <w:t>9.6</w:t>
      </w:r>
      <w:r w:rsidR="00DC42CF" w:rsidRPr="000772D8">
        <w:rPr>
          <w:rFonts w:asciiTheme="minorHAnsi" w:eastAsia="SimSun" w:hAnsiTheme="minorHAnsi"/>
          <w:lang w:val="sq-AL"/>
        </w:rPr>
        <w:t xml:space="preserve"> përqind më i lartë ose rreth 1.</w:t>
      </w:r>
      <w:r w:rsidR="00DC42CF">
        <w:rPr>
          <w:rFonts w:asciiTheme="minorHAnsi" w:eastAsia="SimSun" w:hAnsiTheme="minorHAnsi"/>
          <w:lang w:val="sq-AL"/>
        </w:rPr>
        <w:t>45</w:t>
      </w:r>
      <w:r w:rsidR="00DC42CF" w:rsidRPr="000772D8">
        <w:rPr>
          <w:rFonts w:asciiTheme="minorHAnsi" w:eastAsia="SimSun" w:hAnsiTheme="minorHAnsi"/>
          <w:lang w:val="sq-AL"/>
        </w:rPr>
        <w:t xml:space="preserve"> miliard </w:t>
      </w:r>
      <w:r w:rsidR="00DC42CF" w:rsidRPr="00F94082">
        <w:rPr>
          <w:rFonts w:asciiTheme="minorHAnsi" w:eastAsia="SimSun" w:hAnsiTheme="minorHAnsi"/>
          <w:lang w:val="sq-AL"/>
        </w:rPr>
        <w:t>lekë</w:t>
      </w:r>
      <w:r w:rsidR="00DC42CF" w:rsidRPr="000772D8">
        <w:rPr>
          <w:rFonts w:asciiTheme="minorHAnsi" w:eastAsia="SimSun" w:hAnsiTheme="minorHAnsi"/>
          <w:lang w:val="sq-AL"/>
        </w:rPr>
        <w:t xml:space="preserve"> më shumë</w:t>
      </w:r>
      <w:r w:rsidRPr="0072117E">
        <w:rPr>
          <w:rFonts w:asciiTheme="minorHAnsi" w:eastAsia="SimSun" w:hAnsiTheme="minorHAnsi"/>
          <w:lang w:val="sq-AL"/>
        </w:rPr>
        <w:t>.</w:t>
      </w:r>
    </w:p>
    <w:p w14:paraId="434253AE" w14:textId="77777777" w:rsidR="001B65FA" w:rsidRPr="006A740D" w:rsidRDefault="001B65FA" w:rsidP="001B65FA">
      <w:pPr>
        <w:spacing w:line="276" w:lineRule="auto"/>
        <w:jc w:val="both"/>
        <w:rPr>
          <w:rFonts w:asciiTheme="minorHAnsi" w:eastAsia="SimSun" w:hAnsiTheme="minorHAnsi"/>
          <w:sz w:val="8"/>
          <w:lang w:val="sq-AL"/>
        </w:rPr>
      </w:pPr>
    </w:p>
    <w:p w14:paraId="62910F41" w14:textId="485D1CFB" w:rsidR="001B65FA" w:rsidRPr="006A740D" w:rsidRDefault="00A92096" w:rsidP="00A92096">
      <w:pPr>
        <w:pStyle w:val="Caption"/>
        <w:rPr>
          <w:rFonts w:asciiTheme="minorHAnsi" w:hAnsiTheme="minorHAnsi"/>
          <w:b w:val="0"/>
          <w:bCs w:val="0"/>
          <w:i/>
          <w:color w:val="auto"/>
          <w:sz w:val="22"/>
          <w:szCs w:val="24"/>
          <w:lang w:val="sq-AL"/>
        </w:rPr>
      </w:pPr>
      <w:bookmarkStart w:id="55" w:name="_Toc107498109"/>
      <w:r w:rsidRPr="00A92096">
        <w:rPr>
          <w:rFonts w:asciiTheme="minorHAnsi" w:hAnsiTheme="minorHAnsi"/>
          <w:b w:val="0"/>
          <w:bCs w:val="0"/>
          <w:i/>
          <w:color w:val="auto"/>
          <w:sz w:val="22"/>
          <w:szCs w:val="24"/>
          <w:lang w:val="sq-AL"/>
        </w:rPr>
        <w:t xml:space="preserve">Grafiku </w:t>
      </w:r>
      <w:r w:rsidRPr="00A92096">
        <w:rPr>
          <w:rFonts w:asciiTheme="minorHAnsi" w:hAnsiTheme="minorHAnsi"/>
          <w:b w:val="0"/>
          <w:bCs w:val="0"/>
          <w:i/>
          <w:color w:val="auto"/>
          <w:sz w:val="22"/>
          <w:szCs w:val="24"/>
          <w:lang w:val="sq-AL"/>
        </w:rPr>
        <w:fldChar w:fldCharType="begin"/>
      </w:r>
      <w:r w:rsidRPr="00A92096">
        <w:rPr>
          <w:rFonts w:asciiTheme="minorHAnsi" w:hAnsiTheme="minorHAnsi"/>
          <w:b w:val="0"/>
          <w:bCs w:val="0"/>
          <w:i/>
          <w:color w:val="auto"/>
          <w:sz w:val="22"/>
          <w:szCs w:val="24"/>
          <w:lang w:val="sq-AL"/>
        </w:rPr>
        <w:instrText xml:space="preserve"> SEQ Grafiku \* ARABIC </w:instrText>
      </w:r>
      <w:r w:rsidRPr="00A92096">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18</w:t>
      </w:r>
      <w:r w:rsidRPr="00A92096">
        <w:rPr>
          <w:rFonts w:asciiTheme="minorHAnsi" w:hAnsiTheme="minorHAnsi"/>
          <w:b w:val="0"/>
          <w:bCs w:val="0"/>
          <w:i/>
          <w:color w:val="auto"/>
          <w:sz w:val="22"/>
          <w:szCs w:val="24"/>
          <w:lang w:val="sq-AL"/>
        </w:rPr>
        <w:fldChar w:fldCharType="end"/>
      </w:r>
      <w:r w:rsidR="001B65FA" w:rsidRPr="00A92096">
        <w:rPr>
          <w:rFonts w:asciiTheme="minorHAnsi" w:hAnsiTheme="minorHAnsi"/>
          <w:b w:val="0"/>
          <w:bCs w:val="0"/>
          <w:i/>
          <w:color w:val="auto"/>
          <w:sz w:val="22"/>
          <w:szCs w:val="24"/>
          <w:lang w:val="sq-AL"/>
        </w:rPr>
        <w:t>: Shpenzimet për Interesa (në miliardë LEK)</w:t>
      </w:r>
      <w:bookmarkEnd w:id="55"/>
      <w:r w:rsidR="001B65FA" w:rsidRPr="006A740D">
        <w:rPr>
          <w:rFonts w:asciiTheme="minorHAnsi" w:hAnsiTheme="minorHAnsi"/>
          <w:b w:val="0"/>
          <w:bCs w:val="0"/>
          <w:i/>
          <w:color w:val="auto"/>
          <w:sz w:val="22"/>
          <w:szCs w:val="24"/>
          <w:lang w:val="sq-AL"/>
        </w:rPr>
        <w:t xml:space="preserve"> </w:t>
      </w:r>
    </w:p>
    <w:p w14:paraId="720310AB" w14:textId="77777777" w:rsidR="001B65FA" w:rsidRPr="0065598A" w:rsidRDefault="00DC42CF" w:rsidP="001B65FA">
      <w:pPr>
        <w:ind w:right="270"/>
        <w:jc w:val="center"/>
        <w:rPr>
          <w:rFonts w:asciiTheme="minorHAnsi" w:eastAsia="SimSun" w:hAnsiTheme="minorHAnsi"/>
          <w:i/>
          <w:lang w:val="sq-AL"/>
        </w:rPr>
      </w:pPr>
      <w:r>
        <w:rPr>
          <w:rFonts w:asciiTheme="minorHAnsi" w:eastAsia="SimSun" w:hAnsiTheme="minorHAnsi"/>
          <w:i/>
          <w:noProof/>
        </w:rPr>
        <w:drawing>
          <wp:inline distT="0" distB="0" distL="0" distR="0" wp14:anchorId="0C109F79" wp14:editId="74C29F06">
            <wp:extent cx="5400040" cy="173990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07722" cy="1742375"/>
                    </a:xfrm>
                    <a:prstGeom prst="rect">
                      <a:avLst/>
                    </a:prstGeom>
                    <a:noFill/>
                  </pic:spPr>
                </pic:pic>
              </a:graphicData>
            </a:graphic>
          </wp:inline>
        </w:drawing>
      </w:r>
    </w:p>
    <w:p w14:paraId="7AA36B13" w14:textId="77777777" w:rsidR="001B65FA" w:rsidRPr="0065598A" w:rsidRDefault="001B65FA" w:rsidP="001B65FA">
      <w:pPr>
        <w:rPr>
          <w:rFonts w:asciiTheme="minorHAnsi" w:eastAsia="SimSun" w:hAnsiTheme="minorHAnsi"/>
          <w:i/>
          <w:sz w:val="20"/>
          <w:lang w:val="sq-AL"/>
        </w:rPr>
      </w:pPr>
      <w:r w:rsidRPr="0065598A">
        <w:rPr>
          <w:rFonts w:asciiTheme="minorHAnsi" w:eastAsia="SimSun" w:hAnsiTheme="minorHAnsi"/>
          <w:i/>
          <w:sz w:val="20"/>
          <w:lang w:val="sq-AL"/>
        </w:rPr>
        <w:t xml:space="preserve">                    </w:t>
      </w:r>
      <w:r w:rsidR="00193978">
        <w:rPr>
          <w:rFonts w:asciiTheme="minorHAnsi" w:eastAsia="SimSun" w:hAnsiTheme="minorHAnsi"/>
          <w:i/>
          <w:sz w:val="20"/>
          <w:lang w:val="sq-AL"/>
        </w:rPr>
        <w:t>Burimi: Ministria e Financave dhe Ekonomisë (2023)</w:t>
      </w:r>
    </w:p>
    <w:p w14:paraId="6A4FBAF3" w14:textId="77777777" w:rsidR="001B65FA" w:rsidRDefault="001B65FA" w:rsidP="001B65FA">
      <w:pPr>
        <w:spacing w:line="276" w:lineRule="auto"/>
        <w:jc w:val="both"/>
        <w:rPr>
          <w:rFonts w:asciiTheme="minorHAnsi" w:eastAsia="SimSun" w:hAnsiTheme="minorHAnsi"/>
          <w:lang w:val="sq-AL"/>
        </w:rPr>
      </w:pPr>
    </w:p>
    <w:p w14:paraId="0FC3F0A5" w14:textId="77777777" w:rsidR="001B65FA" w:rsidRDefault="001B65FA" w:rsidP="001B65FA">
      <w:pPr>
        <w:spacing w:line="276" w:lineRule="auto"/>
        <w:jc w:val="both"/>
        <w:rPr>
          <w:rFonts w:asciiTheme="minorHAnsi" w:eastAsia="SimSun" w:hAnsiTheme="minorHAnsi"/>
          <w:lang w:val="sq-AL"/>
        </w:rPr>
      </w:pPr>
      <w:r w:rsidRPr="002407F3">
        <w:rPr>
          <w:rFonts w:asciiTheme="minorHAnsi" w:eastAsia="SimSun" w:hAnsiTheme="minorHAnsi"/>
          <w:i/>
          <w:lang w:val="sq-AL"/>
        </w:rPr>
        <w:lastRenderedPageBreak/>
        <w:t>Shpenzimet Operative &amp; Mirëmbajtje</w:t>
      </w:r>
      <w:r w:rsidRPr="002407F3">
        <w:rPr>
          <w:rFonts w:asciiTheme="minorHAnsi" w:eastAsia="SimSun" w:hAnsiTheme="minorHAnsi"/>
          <w:lang w:val="sq-AL"/>
        </w:rPr>
        <w:t xml:space="preserve"> </w:t>
      </w:r>
      <w:r w:rsidR="00BE627C" w:rsidRPr="007F4B19">
        <w:rPr>
          <w:rFonts w:asciiTheme="minorHAnsi" w:eastAsia="SimSun" w:hAnsiTheme="minorHAnsi"/>
          <w:lang w:val="sq-AL"/>
        </w:rPr>
        <w:t xml:space="preserve">gjatë periudhës 5 mujore të vitit </w:t>
      </w:r>
      <w:r w:rsidR="00DC42CF" w:rsidRPr="00BE0ACD">
        <w:rPr>
          <w:rFonts w:asciiTheme="minorHAnsi" w:eastAsia="SimSun" w:hAnsiTheme="minorHAnsi"/>
          <w:lang w:val="sq-AL"/>
        </w:rPr>
        <w:t xml:space="preserve">2023, kanë shënuar një realizim në masën 22 miliard </w:t>
      </w:r>
      <w:r w:rsidR="00DC42CF" w:rsidRPr="00F94082">
        <w:rPr>
          <w:rFonts w:asciiTheme="minorHAnsi" w:eastAsia="SimSun" w:hAnsiTheme="minorHAnsi"/>
          <w:lang w:val="sq-AL"/>
        </w:rPr>
        <w:t>lekë</w:t>
      </w:r>
      <w:r w:rsidR="00DC42CF" w:rsidRPr="00BE0ACD">
        <w:rPr>
          <w:rFonts w:asciiTheme="minorHAnsi" w:eastAsia="SimSun" w:hAnsiTheme="minorHAnsi"/>
          <w:lang w:val="sq-AL"/>
        </w:rPr>
        <w:t xml:space="preserve"> ose 94.9 përqind të planit të periudhës. Niveli faktik i tyre ka rezultuar në masën 33.7 përqind të planit vjetor. Krahasuar me të njëjtën periudhë të vitit 2022, ky zë ka rezultuar 9.1 përqind më i lartë, ose rreth 1.8 miliard </w:t>
      </w:r>
      <w:r w:rsidR="00DC42CF" w:rsidRPr="00F94082">
        <w:rPr>
          <w:rFonts w:asciiTheme="minorHAnsi" w:eastAsia="SimSun" w:hAnsiTheme="minorHAnsi"/>
          <w:lang w:val="sq-AL"/>
        </w:rPr>
        <w:t>lekë</w:t>
      </w:r>
      <w:r w:rsidR="00DC42CF" w:rsidRPr="00BE0ACD">
        <w:rPr>
          <w:rFonts w:asciiTheme="minorHAnsi" w:eastAsia="SimSun" w:hAnsiTheme="minorHAnsi"/>
          <w:lang w:val="sq-AL"/>
        </w:rPr>
        <w:t xml:space="preserve"> më shumë</w:t>
      </w:r>
      <w:r w:rsidRPr="002407F3">
        <w:rPr>
          <w:rFonts w:asciiTheme="minorHAnsi" w:eastAsia="SimSun" w:hAnsiTheme="minorHAnsi"/>
          <w:lang w:val="sq-AL"/>
        </w:rPr>
        <w:t xml:space="preserve">.      </w:t>
      </w:r>
    </w:p>
    <w:p w14:paraId="6AF3A0C9" w14:textId="77777777" w:rsidR="006A740D" w:rsidRPr="006A740D" w:rsidRDefault="006A740D" w:rsidP="006A740D">
      <w:pPr>
        <w:pStyle w:val="Caption"/>
        <w:keepNext/>
        <w:spacing w:after="0"/>
        <w:jc w:val="both"/>
        <w:rPr>
          <w:rFonts w:asciiTheme="minorHAnsi" w:hAnsiTheme="minorHAnsi"/>
          <w:b w:val="0"/>
          <w:bCs w:val="0"/>
          <w:i/>
          <w:color w:val="auto"/>
          <w:sz w:val="8"/>
          <w:szCs w:val="8"/>
          <w:lang w:val="sq-AL"/>
        </w:rPr>
      </w:pPr>
    </w:p>
    <w:p w14:paraId="1F6C3DBA" w14:textId="504F4C6A" w:rsidR="001B65FA" w:rsidRPr="006A740D" w:rsidRDefault="00A92096" w:rsidP="00DC42CF">
      <w:pPr>
        <w:pStyle w:val="Caption"/>
        <w:spacing w:after="0"/>
        <w:rPr>
          <w:rFonts w:asciiTheme="minorHAnsi" w:hAnsiTheme="minorHAnsi"/>
          <w:b w:val="0"/>
          <w:bCs w:val="0"/>
          <w:i/>
          <w:color w:val="auto"/>
          <w:sz w:val="22"/>
          <w:szCs w:val="24"/>
          <w:lang w:val="sq-AL"/>
        </w:rPr>
      </w:pPr>
      <w:bookmarkStart w:id="56" w:name="_Toc107498110"/>
      <w:r w:rsidRPr="00A92096">
        <w:rPr>
          <w:rFonts w:asciiTheme="minorHAnsi" w:hAnsiTheme="minorHAnsi"/>
          <w:b w:val="0"/>
          <w:bCs w:val="0"/>
          <w:i/>
          <w:color w:val="auto"/>
          <w:sz w:val="22"/>
          <w:szCs w:val="24"/>
          <w:lang w:val="sq-AL"/>
        </w:rPr>
        <w:t xml:space="preserve">Grafiku </w:t>
      </w:r>
      <w:r w:rsidRPr="00A92096">
        <w:rPr>
          <w:rFonts w:asciiTheme="minorHAnsi" w:hAnsiTheme="minorHAnsi"/>
          <w:b w:val="0"/>
          <w:bCs w:val="0"/>
          <w:i/>
          <w:color w:val="auto"/>
          <w:sz w:val="22"/>
          <w:szCs w:val="24"/>
          <w:lang w:val="sq-AL"/>
        </w:rPr>
        <w:fldChar w:fldCharType="begin"/>
      </w:r>
      <w:r w:rsidRPr="00A92096">
        <w:rPr>
          <w:rFonts w:asciiTheme="minorHAnsi" w:hAnsiTheme="minorHAnsi"/>
          <w:b w:val="0"/>
          <w:bCs w:val="0"/>
          <w:i/>
          <w:color w:val="auto"/>
          <w:sz w:val="22"/>
          <w:szCs w:val="24"/>
          <w:lang w:val="sq-AL"/>
        </w:rPr>
        <w:instrText xml:space="preserve"> SEQ Grafiku \* ARABIC </w:instrText>
      </w:r>
      <w:r w:rsidRPr="00A92096">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19</w:t>
      </w:r>
      <w:r w:rsidRPr="00A92096">
        <w:rPr>
          <w:rFonts w:asciiTheme="minorHAnsi" w:hAnsiTheme="minorHAnsi"/>
          <w:b w:val="0"/>
          <w:bCs w:val="0"/>
          <w:i/>
          <w:color w:val="auto"/>
          <w:sz w:val="22"/>
          <w:szCs w:val="24"/>
          <w:lang w:val="sq-AL"/>
        </w:rPr>
        <w:fldChar w:fldCharType="end"/>
      </w:r>
      <w:r w:rsidR="001B65FA" w:rsidRPr="00A92096">
        <w:rPr>
          <w:rFonts w:asciiTheme="minorHAnsi" w:hAnsiTheme="minorHAnsi"/>
          <w:b w:val="0"/>
          <w:bCs w:val="0"/>
          <w:i/>
          <w:color w:val="auto"/>
          <w:sz w:val="22"/>
          <w:szCs w:val="24"/>
          <w:lang w:val="sq-AL"/>
        </w:rPr>
        <w:t>: Shpenzimet Operative dhe ritmi i rritjes së tyre (në miliardë LEK)</w:t>
      </w:r>
      <w:bookmarkEnd w:id="56"/>
    </w:p>
    <w:p w14:paraId="1688C20B" w14:textId="77777777" w:rsidR="001B65FA" w:rsidRPr="00404EF5" w:rsidRDefault="00DC42CF" w:rsidP="00BE627C">
      <w:pPr>
        <w:jc w:val="center"/>
        <w:rPr>
          <w:lang w:val="sq-AL"/>
        </w:rPr>
      </w:pPr>
      <w:r>
        <w:rPr>
          <w:noProof/>
        </w:rPr>
        <w:drawing>
          <wp:inline distT="0" distB="0" distL="0" distR="0" wp14:anchorId="695BA09D" wp14:editId="7B2D958D">
            <wp:extent cx="5559425" cy="2044700"/>
            <wp:effectExtent l="0" t="0" r="317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59425" cy="2044700"/>
                    </a:xfrm>
                    <a:prstGeom prst="rect">
                      <a:avLst/>
                    </a:prstGeom>
                    <a:noFill/>
                  </pic:spPr>
                </pic:pic>
              </a:graphicData>
            </a:graphic>
          </wp:inline>
        </w:drawing>
      </w:r>
    </w:p>
    <w:p w14:paraId="1788DFB0" w14:textId="77777777" w:rsidR="001B65FA" w:rsidRDefault="001B65FA" w:rsidP="001B65FA">
      <w:pPr>
        <w:spacing w:line="276" w:lineRule="auto"/>
        <w:rPr>
          <w:rFonts w:asciiTheme="minorHAnsi" w:eastAsia="SimSun" w:hAnsiTheme="minorHAnsi"/>
          <w:i/>
          <w:sz w:val="20"/>
          <w:lang w:val="sq-AL"/>
        </w:rPr>
      </w:pPr>
      <w:r w:rsidRPr="0065598A">
        <w:rPr>
          <w:rFonts w:asciiTheme="minorHAnsi" w:eastAsia="SimSun" w:hAnsiTheme="minorHAnsi"/>
          <w:i/>
          <w:sz w:val="20"/>
          <w:lang w:val="sq-AL"/>
        </w:rPr>
        <w:t xml:space="preserve">                  </w:t>
      </w:r>
      <w:r w:rsidR="00193978">
        <w:rPr>
          <w:rFonts w:asciiTheme="minorHAnsi" w:eastAsia="SimSun" w:hAnsiTheme="minorHAnsi"/>
          <w:i/>
          <w:sz w:val="20"/>
          <w:lang w:val="sq-AL"/>
        </w:rPr>
        <w:t>Burimi: Ministria e Financave dhe Ekonomisë (2023)</w:t>
      </w:r>
    </w:p>
    <w:p w14:paraId="78FA258C" w14:textId="77777777" w:rsidR="00BE627C" w:rsidRPr="00DC42CF" w:rsidRDefault="00BE627C" w:rsidP="001B65FA">
      <w:pPr>
        <w:spacing w:line="276" w:lineRule="auto"/>
        <w:jc w:val="both"/>
        <w:rPr>
          <w:rFonts w:asciiTheme="minorHAnsi" w:eastAsia="SimSun" w:hAnsiTheme="minorHAnsi"/>
          <w:i/>
          <w:sz w:val="12"/>
          <w:lang w:val="sq-AL"/>
        </w:rPr>
      </w:pPr>
    </w:p>
    <w:p w14:paraId="2F7F580F" w14:textId="77777777" w:rsidR="001B65FA" w:rsidRDefault="001B65FA" w:rsidP="001B65FA">
      <w:pPr>
        <w:spacing w:line="276" w:lineRule="auto"/>
        <w:jc w:val="both"/>
        <w:rPr>
          <w:rFonts w:asciiTheme="minorHAnsi" w:eastAsia="SimSun" w:hAnsiTheme="minorHAnsi"/>
          <w:lang w:val="sq-AL"/>
        </w:rPr>
      </w:pPr>
      <w:r w:rsidRPr="00430674">
        <w:rPr>
          <w:rFonts w:asciiTheme="minorHAnsi" w:eastAsia="SimSun" w:hAnsiTheme="minorHAnsi"/>
          <w:i/>
          <w:lang w:val="sq-AL"/>
        </w:rPr>
        <w:t>Shpenzimet për Subvencione,</w:t>
      </w:r>
      <w:r w:rsidRPr="00430674">
        <w:rPr>
          <w:rFonts w:asciiTheme="minorHAnsi" w:eastAsia="SimSun" w:hAnsiTheme="minorHAnsi"/>
          <w:lang w:val="sq-AL"/>
        </w:rPr>
        <w:t xml:space="preserve"> </w:t>
      </w:r>
      <w:r w:rsidR="00DC42CF" w:rsidRPr="00DD0DAC">
        <w:rPr>
          <w:rFonts w:asciiTheme="minorHAnsi" w:eastAsia="SimSun" w:hAnsiTheme="minorHAnsi"/>
          <w:lang w:val="sq-AL"/>
        </w:rPr>
        <w:t>në fund të muajit të pestë të vitit 202</w:t>
      </w:r>
      <w:r w:rsidR="00DC42CF">
        <w:rPr>
          <w:rFonts w:asciiTheme="minorHAnsi" w:eastAsia="SimSun" w:hAnsiTheme="minorHAnsi"/>
          <w:lang w:val="sq-AL"/>
        </w:rPr>
        <w:t>3</w:t>
      </w:r>
      <w:r w:rsidR="00DC42CF" w:rsidRPr="00DD0DAC">
        <w:rPr>
          <w:rFonts w:asciiTheme="minorHAnsi" w:eastAsia="SimSun" w:hAnsiTheme="minorHAnsi"/>
          <w:lang w:val="sq-AL"/>
        </w:rPr>
        <w:t xml:space="preserve">, arritën nivelin </w:t>
      </w:r>
      <w:r w:rsidR="00DC42CF">
        <w:rPr>
          <w:rFonts w:asciiTheme="minorHAnsi" w:eastAsia="SimSun" w:hAnsiTheme="minorHAnsi"/>
          <w:lang w:val="sq-AL"/>
        </w:rPr>
        <w:t>600</w:t>
      </w:r>
      <w:r w:rsidR="00DC42CF" w:rsidRPr="00DD0DAC">
        <w:rPr>
          <w:rFonts w:asciiTheme="minorHAnsi" w:eastAsia="SimSun" w:hAnsiTheme="minorHAnsi"/>
          <w:lang w:val="sq-AL"/>
        </w:rPr>
        <w:t xml:space="preserve"> milion</w:t>
      </w:r>
      <w:r w:rsidR="00DC42CF">
        <w:rPr>
          <w:rFonts w:asciiTheme="minorHAnsi" w:eastAsia="SimSun" w:hAnsiTheme="minorHAnsi"/>
          <w:lang w:val="sq-AL"/>
        </w:rPr>
        <w:t>ë</w:t>
      </w:r>
      <w:r w:rsidR="00DC42CF" w:rsidRPr="00DD0DAC">
        <w:rPr>
          <w:rFonts w:asciiTheme="minorHAnsi" w:eastAsia="SimSun" w:hAnsiTheme="minorHAnsi"/>
          <w:lang w:val="sq-AL"/>
        </w:rPr>
        <w:t xml:space="preserve"> </w:t>
      </w:r>
      <w:r w:rsidR="00DC42CF" w:rsidRPr="00F94082">
        <w:rPr>
          <w:rFonts w:asciiTheme="minorHAnsi" w:eastAsia="SimSun" w:hAnsiTheme="minorHAnsi"/>
          <w:lang w:val="sq-AL"/>
        </w:rPr>
        <w:t>lekë</w:t>
      </w:r>
      <w:r w:rsidR="00DC42CF" w:rsidRPr="00DD0DAC">
        <w:rPr>
          <w:rFonts w:asciiTheme="minorHAnsi" w:eastAsia="SimSun" w:hAnsiTheme="minorHAnsi"/>
          <w:lang w:val="sq-AL"/>
        </w:rPr>
        <w:t xml:space="preserve">, me një realizim në masën </w:t>
      </w:r>
      <w:r w:rsidR="00DC42CF">
        <w:rPr>
          <w:rFonts w:asciiTheme="minorHAnsi" w:eastAsia="SimSun" w:hAnsiTheme="minorHAnsi"/>
          <w:lang w:val="sq-AL"/>
        </w:rPr>
        <w:t>145.6</w:t>
      </w:r>
      <w:r w:rsidR="00DC42CF" w:rsidRPr="00DD0DAC">
        <w:rPr>
          <w:rFonts w:asciiTheme="minorHAnsi" w:eastAsia="SimSun" w:hAnsiTheme="minorHAnsi"/>
          <w:lang w:val="sq-AL"/>
        </w:rPr>
        <w:t xml:space="preserve"> përqind të planit të periudhës. Në raport me planin vjetor, ky zë është realizuar në masën </w:t>
      </w:r>
      <w:r w:rsidR="00DC42CF">
        <w:rPr>
          <w:rFonts w:asciiTheme="minorHAnsi" w:eastAsia="SimSun" w:hAnsiTheme="minorHAnsi"/>
          <w:lang w:val="sq-AL"/>
        </w:rPr>
        <w:t>37.5</w:t>
      </w:r>
      <w:r w:rsidR="00DC42CF" w:rsidRPr="00DD0DAC">
        <w:rPr>
          <w:rFonts w:asciiTheme="minorHAnsi" w:eastAsia="SimSun" w:hAnsiTheme="minorHAnsi"/>
          <w:lang w:val="sq-AL"/>
        </w:rPr>
        <w:t xml:space="preserve"> përqind, ndërkohë që kundrejt të njëjtës periudhë të vitit 202</w:t>
      </w:r>
      <w:r w:rsidR="00DC42CF">
        <w:rPr>
          <w:rFonts w:asciiTheme="minorHAnsi" w:eastAsia="SimSun" w:hAnsiTheme="minorHAnsi"/>
          <w:lang w:val="sq-AL"/>
        </w:rPr>
        <w:t>2</w:t>
      </w:r>
      <w:r w:rsidR="00DC42CF" w:rsidRPr="00DD0DAC">
        <w:rPr>
          <w:rFonts w:asciiTheme="minorHAnsi" w:eastAsia="SimSun" w:hAnsiTheme="minorHAnsi"/>
          <w:lang w:val="sq-AL"/>
        </w:rPr>
        <w:t xml:space="preserve"> shpenzimet për subvencione rezultojnë </w:t>
      </w:r>
      <w:r w:rsidR="00DC42CF">
        <w:rPr>
          <w:rFonts w:asciiTheme="minorHAnsi" w:eastAsia="SimSun" w:hAnsiTheme="minorHAnsi"/>
          <w:lang w:val="sq-AL"/>
        </w:rPr>
        <w:t>45.6</w:t>
      </w:r>
      <w:r w:rsidR="00DC42CF" w:rsidRPr="00DD0DAC">
        <w:rPr>
          <w:rFonts w:asciiTheme="minorHAnsi" w:eastAsia="SimSun" w:hAnsiTheme="minorHAnsi"/>
          <w:lang w:val="sq-AL"/>
        </w:rPr>
        <w:t xml:space="preserve"> përqind më të </w:t>
      </w:r>
      <w:r w:rsidR="00DC42CF">
        <w:rPr>
          <w:rFonts w:asciiTheme="minorHAnsi" w:eastAsia="SimSun" w:hAnsiTheme="minorHAnsi"/>
          <w:lang w:val="sq-AL"/>
        </w:rPr>
        <w:t>larta</w:t>
      </w:r>
      <w:r w:rsidR="00DC42CF" w:rsidRPr="00DD0DAC">
        <w:rPr>
          <w:rFonts w:asciiTheme="minorHAnsi" w:eastAsia="SimSun" w:hAnsiTheme="minorHAnsi"/>
          <w:lang w:val="sq-AL"/>
        </w:rPr>
        <w:t xml:space="preserve"> ose </w:t>
      </w:r>
      <w:r w:rsidR="00DC42CF">
        <w:rPr>
          <w:rFonts w:asciiTheme="minorHAnsi" w:eastAsia="SimSun" w:hAnsiTheme="minorHAnsi"/>
          <w:lang w:val="sq-AL"/>
        </w:rPr>
        <w:t>188</w:t>
      </w:r>
      <w:r w:rsidR="00DC42CF" w:rsidRPr="00DD0DAC">
        <w:rPr>
          <w:rFonts w:asciiTheme="minorHAnsi" w:eastAsia="SimSun" w:hAnsiTheme="minorHAnsi"/>
          <w:lang w:val="sq-AL"/>
        </w:rPr>
        <w:t xml:space="preserve"> milion</w:t>
      </w:r>
      <w:r w:rsidR="00DC42CF">
        <w:rPr>
          <w:rFonts w:asciiTheme="minorHAnsi" w:eastAsia="SimSun" w:hAnsiTheme="minorHAnsi"/>
          <w:lang w:val="sq-AL"/>
        </w:rPr>
        <w:t>ë</w:t>
      </w:r>
      <w:r w:rsidR="00DC42CF" w:rsidRPr="00DD0DAC">
        <w:rPr>
          <w:rFonts w:asciiTheme="minorHAnsi" w:eastAsia="SimSun" w:hAnsiTheme="minorHAnsi"/>
          <w:lang w:val="sq-AL"/>
        </w:rPr>
        <w:t xml:space="preserve"> </w:t>
      </w:r>
      <w:r w:rsidR="00DC42CF" w:rsidRPr="00F94082">
        <w:rPr>
          <w:rFonts w:asciiTheme="minorHAnsi" w:eastAsia="SimSun" w:hAnsiTheme="minorHAnsi"/>
          <w:lang w:val="sq-AL"/>
        </w:rPr>
        <w:t>lekë</w:t>
      </w:r>
      <w:r w:rsidR="00DC42CF" w:rsidRPr="00DD0DAC">
        <w:rPr>
          <w:rFonts w:asciiTheme="minorHAnsi" w:eastAsia="SimSun" w:hAnsiTheme="minorHAnsi"/>
          <w:lang w:val="sq-AL"/>
        </w:rPr>
        <w:t xml:space="preserve"> më </w:t>
      </w:r>
      <w:r w:rsidR="00DC42CF">
        <w:rPr>
          <w:rFonts w:asciiTheme="minorHAnsi" w:eastAsia="SimSun" w:hAnsiTheme="minorHAnsi"/>
          <w:lang w:val="sq-AL"/>
        </w:rPr>
        <w:t>shumë</w:t>
      </w:r>
      <w:r w:rsidRPr="00430674">
        <w:rPr>
          <w:rFonts w:asciiTheme="minorHAnsi" w:eastAsia="SimSun" w:hAnsiTheme="minorHAnsi"/>
          <w:lang w:val="sq-AL"/>
        </w:rPr>
        <w:t>.</w:t>
      </w:r>
      <w:r>
        <w:rPr>
          <w:rFonts w:asciiTheme="minorHAnsi" w:eastAsia="SimSun" w:hAnsiTheme="minorHAnsi"/>
          <w:lang w:val="sq-AL"/>
        </w:rPr>
        <w:t xml:space="preserve"> </w:t>
      </w:r>
    </w:p>
    <w:p w14:paraId="4361F604" w14:textId="77777777" w:rsidR="00DC42CF" w:rsidRPr="00DC42CF" w:rsidRDefault="00DC42CF" w:rsidP="001B65FA">
      <w:pPr>
        <w:spacing w:line="276" w:lineRule="auto"/>
        <w:jc w:val="both"/>
        <w:rPr>
          <w:rFonts w:asciiTheme="minorHAnsi" w:eastAsia="SimSun" w:hAnsiTheme="minorHAnsi"/>
          <w:sz w:val="8"/>
          <w:lang w:val="sq-AL"/>
        </w:rPr>
      </w:pPr>
    </w:p>
    <w:p w14:paraId="2027C4A2" w14:textId="71E1E08D" w:rsidR="001B65FA" w:rsidRPr="006A740D" w:rsidRDefault="00A92096" w:rsidP="00DC42CF">
      <w:pPr>
        <w:pStyle w:val="Caption"/>
        <w:spacing w:after="0"/>
        <w:rPr>
          <w:rFonts w:asciiTheme="minorHAnsi" w:hAnsiTheme="minorHAnsi"/>
          <w:b w:val="0"/>
          <w:bCs w:val="0"/>
          <w:i/>
          <w:color w:val="auto"/>
          <w:sz w:val="22"/>
          <w:szCs w:val="24"/>
          <w:lang w:val="sq-AL"/>
        </w:rPr>
      </w:pPr>
      <w:bookmarkStart w:id="57" w:name="_Toc107498111"/>
      <w:r w:rsidRPr="00A92096">
        <w:rPr>
          <w:rFonts w:asciiTheme="minorHAnsi" w:hAnsiTheme="minorHAnsi"/>
          <w:b w:val="0"/>
          <w:bCs w:val="0"/>
          <w:i/>
          <w:color w:val="auto"/>
          <w:sz w:val="22"/>
          <w:szCs w:val="24"/>
          <w:lang w:val="sq-AL"/>
        </w:rPr>
        <w:t xml:space="preserve">Grafiku </w:t>
      </w:r>
      <w:r w:rsidRPr="00A92096">
        <w:rPr>
          <w:rFonts w:asciiTheme="minorHAnsi" w:hAnsiTheme="minorHAnsi"/>
          <w:b w:val="0"/>
          <w:bCs w:val="0"/>
          <w:i/>
          <w:color w:val="auto"/>
          <w:sz w:val="22"/>
          <w:szCs w:val="24"/>
          <w:lang w:val="sq-AL"/>
        </w:rPr>
        <w:fldChar w:fldCharType="begin"/>
      </w:r>
      <w:r w:rsidRPr="00A92096">
        <w:rPr>
          <w:rFonts w:asciiTheme="minorHAnsi" w:hAnsiTheme="minorHAnsi"/>
          <w:b w:val="0"/>
          <w:bCs w:val="0"/>
          <w:i/>
          <w:color w:val="auto"/>
          <w:sz w:val="22"/>
          <w:szCs w:val="24"/>
          <w:lang w:val="sq-AL"/>
        </w:rPr>
        <w:instrText xml:space="preserve"> SEQ Grafiku \* ARABIC </w:instrText>
      </w:r>
      <w:r w:rsidRPr="00A92096">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20</w:t>
      </w:r>
      <w:r w:rsidRPr="00A92096">
        <w:rPr>
          <w:rFonts w:asciiTheme="minorHAnsi" w:hAnsiTheme="minorHAnsi"/>
          <w:b w:val="0"/>
          <w:bCs w:val="0"/>
          <w:i/>
          <w:color w:val="auto"/>
          <w:sz w:val="22"/>
          <w:szCs w:val="24"/>
          <w:lang w:val="sq-AL"/>
        </w:rPr>
        <w:fldChar w:fldCharType="end"/>
      </w:r>
      <w:r w:rsidR="001B65FA" w:rsidRPr="00A92096">
        <w:rPr>
          <w:rFonts w:asciiTheme="minorHAnsi" w:hAnsiTheme="minorHAnsi"/>
          <w:b w:val="0"/>
          <w:bCs w:val="0"/>
          <w:i/>
          <w:color w:val="auto"/>
          <w:sz w:val="22"/>
          <w:szCs w:val="24"/>
          <w:lang w:val="sq-AL"/>
        </w:rPr>
        <w:t>: Shpenzimet për Subvencione dhe ritmi i rritjes së tyre (në miliardë LEK)</w:t>
      </w:r>
      <w:bookmarkEnd w:id="57"/>
    </w:p>
    <w:p w14:paraId="30AF31C6" w14:textId="77777777" w:rsidR="001B65FA" w:rsidRPr="0065598A" w:rsidRDefault="00DC42CF" w:rsidP="00BE627C">
      <w:pPr>
        <w:jc w:val="center"/>
        <w:rPr>
          <w:rFonts w:asciiTheme="minorHAnsi" w:eastAsia="SimSun" w:hAnsiTheme="minorHAnsi"/>
          <w:i/>
          <w:lang w:val="sq-AL"/>
        </w:rPr>
      </w:pPr>
      <w:r>
        <w:rPr>
          <w:rFonts w:asciiTheme="minorHAnsi" w:eastAsia="SimSun" w:hAnsiTheme="minorHAnsi"/>
          <w:i/>
          <w:noProof/>
        </w:rPr>
        <w:drawing>
          <wp:inline distT="0" distB="0" distL="0" distR="0" wp14:anchorId="1ECF3F5B" wp14:editId="0FBE46BA">
            <wp:extent cx="5412990" cy="1955800"/>
            <wp:effectExtent l="0" t="0" r="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25924" cy="1960473"/>
                    </a:xfrm>
                    <a:prstGeom prst="rect">
                      <a:avLst/>
                    </a:prstGeom>
                    <a:noFill/>
                  </pic:spPr>
                </pic:pic>
              </a:graphicData>
            </a:graphic>
          </wp:inline>
        </w:drawing>
      </w:r>
    </w:p>
    <w:p w14:paraId="4C15583D" w14:textId="77777777" w:rsidR="001B65FA" w:rsidRDefault="001B65FA" w:rsidP="001B65FA">
      <w:pPr>
        <w:spacing w:line="276" w:lineRule="auto"/>
        <w:rPr>
          <w:rFonts w:asciiTheme="minorHAnsi" w:eastAsia="SimSun" w:hAnsiTheme="minorHAnsi"/>
          <w:i/>
          <w:sz w:val="20"/>
          <w:lang w:val="sq-AL"/>
        </w:rPr>
      </w:pPr>
      <w:r w:rsidRPr="0065598A">
        <w:rPr>
          <w:rFonts w:asciiTheme="minorHAnsi" w:eastAsia="SimSun" w:hAnsiTheme="minorHAnsi"/>
          <w:i/>
          <w:sz w:val="20"/>
          <w:lang w:val="sq-AL"/>
        </w:rPr>
        <w:t xml:space="preserve">          </w:t>
      </w:r>
      <w:r w:rsidRPr="0065598A">
        <w:rPr>
          <w:rFonts w:asciiTheme="minorHAnsi" w:eastAsia="SimSun" w:hAnsiTheme="minorHAnsi"/>
          <w:i/>
          <w:sz w:val="20"/>
          <w:lang w:val="sq-AL"/>
        </w:rPr>
        <w:tab/>
        <w:t xml:space="preserve"> </w:t>
      </w:r>
      <w:r w:rsidR="00193978">
        <w:rPr>
          <w:rFonts w:asciiTheme="minorHAnsi" w:eastAsia="SimSun" w:hAnsiTheme="minorHAnsi"/>
          <w:i/>
          <w:sz w:val="20"/>
          <w:lang w:val="sq-AL"/>
        </w:rPr>
        <w:t>Burimi: Ministria e Financave dhe Ekonomisë (2023)</w:t>
      </w:r>
    </w:p>
    <w:p w14:paraId="69E6F7CC" w14:textId="77777777" w:rsidR="001B65FA" w:rsidRDefault="001B65FA" w:rsidP="001B65FA">
      <w:pPr>
        <w:spacing w:line="276" w:lineRule="auto"/>
        <w:jc w:val="both"/>
        <w:rPr>
          <w:rFonts w:asciiTheme="minorHAnsi" w:hAnsiTheme="minorHAnsi"/>
          <w:lang w:val="sq-AL"/>
        </w:rPr>
      </w:pPr>
    </w:p>
    <w:p w14:paraId="5CBD2C91" w14:textId="77777777" w:rsidR="00DC42CF" w:rsidRPr="008921B3" w:rsidRDefault="001B65FA" w:rsidP="00DC42CF">
      <w:pPr>
        <w:spacing w:line="276" w:lineRule="auto"/>
        <w:jc w:val="both"/>
        <w:rPr>
          <w:rFonts w:eastAsia="SimSun"/>
          <w:lang w:val="sq-AL"/>
        </w:rPr>
      </w:pPr>
      <w:r w:rsidRPr="005509B6">
        <w:rPr>
          <w:rFonts w:asciiTheme="minorHAnsi" w:eastAsia="SimSun" w:hAnsiTheme="minorHAnsi"/>
          <w:i/>
          <w:lang w:val="sq-AL"/>
        </w:rPr>
        <w:t>Shpenzimet për Fondet Speciale</w:t>
      </w:r>
      <w:r w:rsidRPr="005509B6">
        <w:rPr>
          <w:rFonts w:eastAsia="SimSun"/>
          <w:lang w:val="sq-AL"/>
        </w:rPr>
        <w:t xml:space="preserve"> </w:t>
      </w:r>
      <w:r w:rsidR="00DC42CF" w:rsidRPr="008921B3">
        <w:rPr>
          <w:rFonts w:asciiTheme="minorHAnsi" w:hAnsiTheme="minorHAnsi"/>
          <w:lang w:val="sq-AL"/>
        </w:rPr>
        <w:t>në fund të periudhës 5 mujore 202</w:t>
      </w:r>
      <w:r w:rsidR="00DC42CF">
        <w:rPr>
          <w:rFonts w:asciiTheme="minorHAnsi" w:hAnsiTheme="minorHAnsi"/>
          <w:lang w:val="sq-AL"/>
        </w:rPr>
        <w:t>3</w:t>
      </w:r>
      <w:r w:rsidR="00DC42CF" w:rsidRPr="008921B3">
        <w:rPr>
          <w:rFonts w:asciiTheme="minorHAnsi" w:hAnsiTheme="minorHAnsi"/>
          <w:lang w:val="sq-AL"/>
        </w:rPr>
        <w:t xml:space="preserve"> rezultuan në nivelin rreth </w:t>
      </w:r>
      <w:r w:rsidR="00DC42CF">
        <w:rPr>
          <w:rFonts w:asciiTheme="minorHAnsi" w:hAnsiTheme="minorHAnsi"/>
          <w:lang w:val="sq-AL"/>
        </w:rPr>
        <w:t>86.1</w:t>
      </w:r>
      <w:r w:rsidR="00DC42CF" w:rsidRPr="008921B3">
        <w:rPr>
          <w:rFonts w:asciiTheme="minorHAnsi" w:hAnsiTheme="minorHAnsi"/>
          <w:lang w:val="sq-AL"/>
        </w:rPr>
        <w:t xml:space="preserve"> miliard </w:t>
      </w:r>
      <w:r w:rsidR="00DC42CF" w:rsidRPr="00F94082">
        <w:rPr>
          <w:rFonts w:asciiTheme="minorHAnsi" w:eastAsia="SimSun" w:hAnsiTheme="minorHAnsi"/>
          <w:lang w:val="sq-AL"/>
        </w:rPr>
        <w:t>lekë</w:t>
      </w:r>
      <w:r w:rsidR="00DC42CF" w:rsidRPr="008921B3">
        <w:rPr>
          <w:rFonts w:asciiTheme="minorHAnsi" w:hAnsiTheme="minorHAnsi"/>
          <w:lang w:val="sq-AL"/>
        </w:rPr>
        <w:t xml:space="preserve">, me një realizim prej </w:t>
      </w:r>
      <w:r w:rsidR="00DC42CF">
        <w:rPr>
          <w:rFonts w:asciiTheme="minorHAnsi" w:hAnsiTheme="minorHAnsi"/>
          <w:lang w:val="sq-AL"/>
        </w:rPr>
        <w:t>94.4</w:t>
      </w:r>
      <w:r w:rsidR="00DC42CF" w:rsidRPr="008921B3">
        <w:rPr>
          <w:rFonts w:asciiTheme="minorHAnsi" w:hAnsiTheme="minorHAnsi"/>
          <w:lang w:val="sq-AL"/>
        </w:rPr>
        <w:t xml:space="preserve"> përqind kundrejt planit të periudhës dhe 38 përqind të planit vjetor. Përkatësisht:</w:t>
      </w:r>
      <w:r w:rsidR="00DC42CF" w:rsidRPr="008921B3">
        <w:rPr>
          <w:rFonts w:eastAsia="SimSun"/>
          <w:lang w:val="sq-AL"/>
        </w:rPr>
        <w:t xml:space="preserve"> </w:t>
      </w:r>
    </w:p>
    <w:p w14:paraId="6063A040" w14:textId="77777777" w:rsidR="00DC42CF" w:rsidRPr="008921B3" w:rsidRDefault="00DC42CF" w:rsidP="00056DE5">
      <w:pPr>
        <w:pStyle w:val="ListParagraph"/>
        <w:numPr>
          <w:ilvl w:val="0"/>
          <w:numId w:val="13"/>
        </w:numPr>
        <w:spacing w:line="276" w:lineRule="auto"/>
        <w:jc w:val="both"/>
        <w:rPr>
          <w:i/>
          <w:lang w:val="sq-AL"/>
        </w:rPr>
      </w:pPr>
      <w:r w:rsidRPr="008921B3">
        <w:rPr>
          <w:rFonts w:asciiTheme="minorHAnsi" w:eastAsia="SimSun" w:hAnsiTheme="minorHAnsi"/>
          <w:i/>
          <w:lang w:val="sq-AL"/>
        </w:rPr>
        <w:t xml:space="preserve">shpenzimet për sigurime shoqërore u realizuan në masën rreth </w:t>
      </w:r>
      <w:r>
        <w:rPr>
          <w:rFonts w:asciiTheme="minorHAnsi" w:eastAsia="SimSun" w:hAnsiTheme="minorHAnsi"/>
          <w:i/>
          <w:lang w:val="sq-AL"/>
        </w:rPr>
        <w:t>65.3</w:t>
      </w:r>
      <w:r w:rsidRPr="008921B3">
        <w:rPr>
          <w:rFonts w:asciiTheme="minorHAnsi" w:eastAsia="SimSun" w:hAnsiTheme="minorHAnsi"/>
          <w:i/>
          <w:lang w:val="sq-AL"/>
        </w:rPr>
        <w:t xml:space="preserve"> miliard </w:t>
      </w:r>
      <w:r w:rsidRPr="0049250E">
        <w:rPr>
          <w:rFonts w:asciiTheme="minorHAnsi" w:eastAsia="SimSun" w:hAnsiTheme="minorHAnsi"/>
          <w:i/>
          <w:lang w:val="sq-AL"/>
        </w:rPr>
        <w:t>lekë,</w:t>
      </w:r>
      <w:r w:rsidRPr="008921B3">
        <w:rPr>
          <w:rFonts w:eastAsia="SimSun"/>
          <w:i/>
          <w:lang w:val="sq-AL"/>
        </w:rPr>
        <w:t xml:space="preserve"> </w:t>
      </w:r>
    </w:p>
    <w:p w14:paraId="69078E77" w14:textId="77777777" w:rsidR="00DC42CF" w:rsidRPr="008921B3" w:rsidRDefault="00DC42CF" w:rsidP="00056DE5">
      <w:pPr>
        <w:pStyle w:val="ListParagraph"/>
        <w:numPr>
          <w:ilvl w:val="0"/>
          <w:numId w:val="13"/>
        </w:numPr>
        <w:spacing w:line="276" w:lineRule="auto"/>
        <w:jc w:val="both"/>
        <w:rPr>
          <w:lang w:val="sq-AL"/>
        </w:rPr>
      </w:pPr>
      <w:r w:rsidRPr="008921B3">
        <w:rPr>
          <w:rFonts w:asciiTheme="minorHAnsi" w:hAnsiTheme="minorHAnsi"/>
          <w:i/>
          <w:lang w:val="sq-AL"/>
        </w:rPr>
        <w:t xml:space="preserve">shpenzimet për sigurime shëndetësore </w:t>
      </w:r>
      <w:r w:rsidRPr="008921B3">
        <w:rPr>
          <w:rFonts w:asciiTheme="minorHAnsi" w:eastAsia="SimSun" w:hAnsiTheme="minorHAnsi"/>
          <w:i/>
          <w:lang w:val="sq-AL"/>
        </w:rPr>
        <w:t xml:space="preserve">u realizuan në masën </w:t>
      </w:r>
      <w:r w:rsidRPr="008921B3">
        <w:rPr>
          <w:rFonts w:asciiTheme="minorHAnsi" w:hAnsiTheme="minorHAnsi"/>
          <w:i/>
          <w:lang w:val="sq-AL"/>
        </w:rPr>
        <w:t>rreth 20.</w:t>
      </w:r>
      <w:r>
        <w:rPr>
          <w:rFonts w:asciiTheme="minorHAnsi" w:hAnsiTheme="minorHAnsi"/>
          <w:i/>
          <w:lang w:val="sq-AL"/>
        </w:rPr>
        <w:t>2</w:t>
      </w:r>
      <w:r w:rsidRPr="008921B3">
        <w:rPr>
          <w:rFonts w:asciiTheme="minorHAnsi" w:hAnsiTheme="minorHAnsi"/>
          <w:i/>
          <w:lang w:val="sq-AL"/>
        </w:rPr>
        <w:t xml:space="preserve"> miliard </w:t>
      </w:r>
      <w:r w:rsidRPr="0049250E">
        <w:rPr>
          <w:rFonts w:asciiTheme="minorHAnsi" w:hAnsiTheme="minorHAnsi"/>
          <w:i/>
          <w:lang w:val="sq-AL"/>
        </w:rPr>
        <w:t>lekë</w:t>
      </w:r>
      <w:r w:rsidRPr="008921B3">
        <w:rPr>
          <w:rFonts w:asciiTheme="minorHAnsi" w:hAnsiTheme="minorHAnsi"/>
          <w:i/>
          <w:lang w:val="sq-AL"/>
        </w:rPr>
        <w:t xml:space="preserve"> dhe</w:t>
      </w:r>
      <w:r w:rsidRPr="008921B3">
        <w:rPr>
          <w:rFonts w:eastAsia="SimSun"/>
          <w:lang w:val="sq-AL"/>
        </w:rPr>
        <w:t xml:space="preserve"> </w:t>
      </w:r>
    </w:p>
    <w:p w14:paraId="61F1558D" w14:textId="77777777" w:rsidR="00DC42CF" w:rsidRPr="008921B3" w:rsidRDefault="00DC42CF" w:rsidP="00056DE5">
      <w:pPr>
        <w:pStyle w:val="ListParagraph"/>
        <w:numPr>
          <w:ilvl w:val="0"/>
          <w:numId w:val="13"/>
        </w:numPr>
        <w:spacing w:line="276" w:lineRule="auto"/>
        <w:jc w:val="both"/>
        <w:rPr>
          <w:lang w:val="sq-AL"/>
        </w:rPr>
      </w:pPr>
      <w:r w:rsidRPr="008921B3">
        <w:rPr>
          <w:rFonts w:asciiTheme="minorHAnsi" w:hAnsiTheme="minorHAnsi"/>
          <w:i/>
          <w:lang w:val="sq-AL"/>
        </w:rPr>
        <w:t xml:space="preserve">shpenzimet për kompensimin e pronarëve </w:t>
      </w:r>
      <w:r w:rsidRPr="008921B3">
        <w:rPr>
          <w:rFonts w:asciiTheme="minorHAnsi" w:eastAsia="SimSun" w:hAnsiTheme="minorHAnsi"/>
          <w:i/>
          <w:lang w:val="sq-AL"/>
        </w:rPr>
        <w:t>u realizuan në masën</w:t>
      </w:r>
      <w:r w:rsidRPr="008921B3">
        <w:rPr>
          <w:rFonts w:asciiTheme="minorHAnsi" w:hAnsiTheme="minorHAnsi"/>
          <w:i/>
          <w:lang w:val="sq-AL"/>
        </w:rPr>
        <w:t xml:space="preserve"> </w:t>
      </w:r>
      <w:r>
        <w:rPr>
          <w:rFonts w:asciiTheme="minorHAnsi" w:hAnsiTheme="minorHAnsi"/>
          <w:i/>
          <w:lang w:val="sq-AL"/>
        </w:rPr>
        <w:t>534</w:t>
      </w:r>
      <w:r w:rsidRPr="008921B3">
        <w:rPr>
          <w:rFonts w:asciiTheme="minorHAnsi" w:hAnsiTheme="minorHAnsi"/>
          <w:i/>
          <w:lang w:val="sq-AL"/>
        </w:rPr>
        <w:t xml:space="preserve"> mili</w:t>
      </w:r>
      <w:r>
        <w:rPr>
          <w:rFonts w:asciiTheme="minorHAnsi" w:hAnsiTheme="minorHAnsi"/>
          <w:i/>
          <w:lang w:val="sq-AL"/>
        </w:rPr>
        <w:t>onë</w:t>
      </w:r>
      <w:r w:rsidRPr="008921B3">
        <w:rPr>
          <w:rFonts w:asciiTheme="minorHAnsi" w:hAnsiTheme="minorHAnsi"/>
          <w:i/>
          <w:lang w:val="sq-AL"/>
        </w:rPr>
        <w:t xml:space="preserve"> </w:t>
      </w:r>
      <w:r w:rsidRPr="0049250E">
        <w:rPr>
          <w:rFonts w:asciiTheme="minorHAnsi" w:hAnsiTheme="minorHAnsi"/>
          <w:i/>
          <w:lang w:val="sq-AL"/>
        </w:rPr>
        <w:t>lekë</w:t>
      </w:r>
      <w:r w:rsidRPr="008921B3">
        <w:rPr>
          <w:rFonts w:asciiTheme="minorHAnsi" w:hAnsiTheme="minorHAnsi"/>
          <w:i/>
          <w:lang w:val="sq-AL"/>
        </w:rPr>
        <w:t>.</w:t>
      </w:r>
      <w:r w:rsidRPr="008921B3">
        <w:rPr>
          <w:rFonts w:eastAsia="SimSun"/>
          <w:lang w:val="sq-AL"/>
        </w:rPr>
        <w:t xml:space="preserve"> </w:t>
      </w:r>
    </w:p>
    <w:p w14:paraId="026BF8C3" w14:textId="77777777" w:rsidR="00DC42CF" w:rsidRPr="008921B3" w:rsidRDefault="00DC42CF" w:rsidP="00DC42CF">
      <w:pPr>
        <w:spacing w:line="276" w:lineRule="auto"/>
        <w:jc w:val="both"/>
        <w:rPr>
          <w:rFonts w:eastAsia="SimSun"/>
          <w:sz w:val="8"/>
          <w:szCs w:val="8"/>
          <w:lang w:val="sq-AL"/>
        </w:rPr>
      </w:pPr>
    </w:p>
    <w:p w14:paraId="033311F5" w14:textId="77777777" w:rsidR="001B65FA" w:rsidRPr="005509B6" w:rsidRDefault="00DC42CF" w:rsidP="00DC42CF">
      <w:pPr>
        <w:spacing w:line="276" w:lineRule="auto"/>
        <w:jc w:val="both"/>
        <w:rPr>
          <w:rFonts w:asciiTheme="minorHAnsi" w:eastAsia="SimSun" w:hAnsiTheme="minorHAnsi"/>
          <w:lang w:val="sq-AL"/>
        </w:rPr>
      </w:pPr>
      <w:r w:rsidRPr="008921B3">
        <w:rPr>
          <w:rFonts w:asciiTheme="minorHAnsi" w:eastAsia="SimSun" w:hAnsiTheme="minorHAnsi"/>
          <w:lang w:val="sq-AL"/>
        </w:rPr>
        <w:t>Kundrejt të njëjtës periudhë të vitit 202</w:t>
      </w:r>
      <w:r>
        <w:rPr>
          <w:rFonts w:asciiTheme="minorHAnsi" w:eastAsia="SimSun" w:hAnsiTheme="minorHAnsi"/>
          <w:lang w:val="sq-AL"/>
        </w:rPr>
        <w:t>2</w:t>
      </w:r>
      <w:r w:rsidRPr="008921B3">
        <w:rPr>
          <w:rFonts w:asciiTheme="minorHAnsi" w:eastAsia="SimSun" w:hAnsiTheme="minorHAnsi"/>
          <w:lang w:val="sq-AL"/>
        </w:rPr>
        <w:t xml:space="preserve">, shpenzimet për sigurime shoqërore janë rreth </w:t>
      </w:r>
      <w:r>
        <w:rPr>
          <w:rFonts w:asciiTheme="minorHAnsi" w:eastAsia="SimSun" w:hAnsiTheme="minorHAnsi"/>
          <w:lang w:val="sq-AL"/>
        </w:rPr>
        <w:t>4.9</w:t>
      </w:r>
      <w:r w:rsidRPr="008921B3">
        <w:rPr>
          <w:rFonts w:asciiTheme="minorHAnsi" w:eastAsia="SimSun" w:hAnsiTheme="minorHAnsi"/>
          <w:lang w:val="sq-AL"/>
        </w:rPr>
        <w:t xml:space="preserve"> miliard </w:t>
      </w:r>
      <w:r>
        <w:rPr>
          <w:rFonts w:asciiTheme="minorHAnsi" w:eastAsia="SimSun" w:hAnsiTheme="minorHAnsi"/>
          <w:lang w:val="sq-AL"/>
        </w:rPr>
        <w:t>lekë</w:t>
      </w:r>
      <w:r w:rsidRPr="008921B3">
        <w:rPr>
          <w:rFonts w:asciiTheme="minorHAnsi" w:eastAsia="SimSun" w:hAnsiTheme="minorHAnsi"/>
          <w:lang w:val="sq-AL"/>
        </w:rPr>
        <w:t xml:space="preserve"> më të larta, shpenzimet për sigurime shëndetësore janë </w:t>
      </w:r>
      <w:r>
        <w:rPr>
          <w:rFonts w:asciiTheme="minorHAnsi" w:eastAsia="SimSun" w:hAnsiTheme="minorHAnsi"/>
          <w:lang w:val="sq-AL"/>
        </w:rPr>
        <w:t>372</w:t>
      </w:r>
      <w:r w:rsidRPr="008921B3">
        <w:rPr>
          <w:rFonts w:asciiTheme="minorHAnsi" w:eastAsia="SimSun" w:hAnsiTheme="minorHAnsi"/>
          <w:lang w:val="sq-AL"/>
        </w:rPr>
        <w:t xml:space="preserve"> milio</w:t>
      </w:r>
      <w:r>
        <w:rPr>
          <w:rFonts w:asciiTheme="minorHAnsi" w:eastAsia="SimSun" w:hAnsiTheme="minorHAnsi"/>
          <w:lang w:val="sq-AL"/>
        </w:rPr>
        <w:t>në</w:t>
      </w:r>
      <w:r w:rsidRPr="008921B3">
        <w:rPr>
          <w:rFonts w:asciiTheme="minorHAnsi" w:eastAsia="SimSun" w:hAnsiTheme="minorHAnsi"/>
          <w:lang w:val="sq-AL"/>
        </w:rPr>
        <w:t xml:space="preserve"> </w:t>
      </w:r>
      <w:r>
        <w:rPr>
          <w:rFonts w:asciiTheme="minorHAnsi" w:eastAsia="SimSun" w:hAnsiTheme="minorHAnsi"/>
          <w:lang w:val="sq-AL"/>
        </w:rPr>
        <w:t>lekë</w:t>
      </w:r>
      <w:r w:rsidRPr="008921B3">
        <w:rPr>
          <w:rFonts w:asciiTheme="minorHAnsi" w:eastAsia="SimSun" w:hAnsiTheme="minorHAnsi"/>
          <w:lang w:val="sq-AL"/>
        </w:rPr>
        <w:t xml:space="preserve"> më të </w:t>
      </w:r>
      <w:r>
        <w:rPr>
          <w:rFonts w:asciiTheme="minorHAnsi" w:eastAsia="SimSun" w:hAnsiTheme="minorHAnsi"/>
          <w:lang w:val="sq-AL"/>
        </w:rPr>
        <w:t>ulëta</w:t>
      </w:r>
      <w:r w:rsidRPr="008921B3">
        <w:rPr>
          <w:rFonts w:asciiTheme="minorHAnsi" w:eastAsia="SimSun" w:hAnsiTheme="minorHAnsi"/>
          <w:lang w:val="sq-AL"/>
        </w:rPr>
        <w:t xml:space="preserve"> dhe shpenzimet për kompensimin e pronarëve </w:t>
      </w:r>
      <w:r>
        <w:rPr>
          <w:rFonts w:asciiTheme="minorHAnsi" w:eastAsia="SimSun" w:hAnsiTheme="minorHAnsi"/>
          <w:lang w:val="sq-AL"/>
        </w:rPr>
        <w:t>692</w:t>
      </w:r>
      <w:r w:rsidRPr="008921B3">
        <w:rPr>
          <w:rFonts w:asciiTheme="minorHAnsi" w:eastAsia="SimSun" w:hAnsiTheme="minorHAnsi"/>
          <w:lang w:val="sq-AL"/>
        </w:rPr>
        <w:t xml:space="preserve"> milion</w:t>
      </w:r>
      <w:r>
        <w:rPr>
          <w:rFonts w:asciiTheme="minorHAnsi" w:eastAsia="SimSun" w:hAnsiTheme="minorHAnsi"/>
          <w:lang w:val="sq-AL"/>
        </w:rPr>
        <w:t>ë</w:t>
      </w:r>
      <w:r w:rsidRPr="008921B3">
        <w:rPr>
          <w:rFonts w:asciiTheme="minorHAnsi" w:eastAsia="SimSun" w:hAnsiTheme="minorHAnsi"/>
          <w:lang w:val="sq-AL"/>
        </w:rPr>
        <w:t xml:space="preserve"> </w:t>
      </w:r>
      <w:r>
        <w:rPr>
          <w:rFonts w:asciiTheme="minorHAnsi" w:eastAsia="SimSun" w:hAnsiTheme="minorHAnsi"/>
          <w:lang w:val="sq-AL"/>
        </w:rPr>
        <w:t>lekë</w:t>
      </w:r>
      <w:r w:rsidRPr="008921B3">
        <w:rPr>
          <w:rFonts w:asciiTheme="minorHAnsi" w:eastAsia="SimSun" w:hAnsiTheme="minorHAnsi"/>
          <w:lang w:val="sq-AL"/>
        </w:rPr>
        <w:t xml:space="preserve"> më të ulëta</w:t>
      </w:r>
      <w:r w:rsidR="001B65FA" w:rsidRPr="005509B6">
        <w:rPr>
          <w:rFonts w:asciiTheme="minorHAnsi" w:eastAsia="SimSun" w:hAnsiTheme="minorHAnsi"/>
          <w:lang w:val="sq-AL"/>
        </w:rPr>
        <w:t>.</w:t>
      </w:r>
    </w:p>
    <w:p w14:paraId="59449190" w14:textId="77777777" w:rsidR="00A92096" w:rsidRDefault="00A92096" w:rsidP="00A92096">
      <w:pPr>
        <w:pStyle w:val="Caption"/>
        <w:rPr>
          <w:rFonts w:asciiTheme="minorHAnsi" w:hAnsiTheme="minorHAnsi"/>
          <w:b w:val="0"/>
          <w:bCs w:val="0"/>
          <w:i/>
          <w:color w:val="auto"/>
          <w:sz w:val="22"/>
          <w:szCs w:val="24"/>
          <w:lang w:val="sq-AL"/>
        </w:rPr>
      </w:pPr>
    </w:p>
    <w:p w14:paraId="36911C92" w14:textId="10638331" w:rsidR="001B65FA" w:rsidRPr="006A740D" w:rsidRDefault="00A92096" w:rsidP="00A92096">
      <w:pPr>
        <w:pStyle w:val="Caption"/>
        <w:spacing w:after="0"/>
        <w:rPr>
          <w:rFonts w:asciiTheme="minorHAnsi" w:hAnsiTheme="minorHAnsi"/>
          <w:b w:val="0"/>
          <w:bCs w:val="0"/>
          <w:i/>
          <w:color w:val="auto"/>
          <w:sz w:val="22"/>
          <w:szCs w:val="24"/>
          <w:lang w:val="sq-AL"/>
        </w:rPr>
      </w:pPr>
      <w:bookmarkStart w:id="58" w:name="_Toc107498112"/>
      <w:r w:rsidRPr="00A92096">
        <w:rPr>
          <w:rFonts w:asciiTheme="minorHAnsi" w:hAnsiTheme="minorHAnsi"/>
          <w:b w:val="0"/>
          <w:bCs w:val="0"/>
          <w:i/>
          <w:color w:val="auto"/>
          <w:sz w:val="22"/>
          <w:szCs w:val="24"/>
          <w:lang w:val="sq-AL"/>
        </w:rPr>
        <w:lastRenderedPageBreak/>
        <w:t xml:space="preserve">Grafiku </w:t>
      </w:r>
      <w:r w:rsidRPr="00A92096">
        <w:rPr>
          <w:rFonts w:asciiTheme="minorHAnsi" w:hAnsiTheme="minorHAnsi"/>
          <w:b w:val="0"/>
          <w:bCs w:val="0"/>
          <w:i/>
          <w:color w:val="auto"/>
          <w:sz w:val="22"/>
          <w:szCs w:val="24"/>
          <w:lang w:val="sq-AL"/>
        </w:rPr>
        <w:fldChar w:fldCharType="begin"/>
      </w:r>
      <w:r w:rsidRPr="00A92096">
        <w:rPr>
          <w:rFonts w:asciiTheme="minorHAnsi" w:hAnsiTheme="minorHAnsi"/>
          <w:b w:val="0"/>
          <w:bCs w:val="0"/>
          <w:i/>
          <w:color w:val="auto"/>
          <w:sz w:val="22"/>
          <w:szCs w:val="24"/>
          <w:lang w:val="sq-AL"/>
        </w:rPr>
        <w:instrText xml:space="preserve"> SEQ Grafiku \* ARABIC </w:instrText>
      </w:r>
      <w:r w:rsidRPr="00A92096">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21</w:t>
      </w:r>
      <w:r w:rsidRPr="00A92096">
        <w:rPr>
          <w:rFonts w:asciiTheme="minorHAnsi" w:hAnsiTheme="minorHAnsi"/>
          <w:b w:val="0"/>
          <w:bCs w:val="0"/>
          <w:i/>
          <w:color w:val="auto"/>
          <w:sz w:val="22"/>
          <w:szCs w:val="24"/>
          <w:lang w:val="sq-AL"/>
        </w:rPr>
        <w:fldChar w:fldCharType="end"/>
      </w:r>
      <w:r>
        <w:rPr>
          <w:rFonts w:asciiTheme="minorHAnsi" w:hAnsiTheme="minorHAnsi"/>
          <w:b w:val="0"/>
          <w:bCs w:val="0"/>
          <w:i/>
          <w:color w:val="auto"/>
          <w:sz w:val="22"/>
          <w:szCs w:val="24"/>
          <w:lang w:val="sq-AL"/>
        </w:rPr>
        <w:t xml:space="preserve">: </w:t>
      </w:r>
      <w:r w:rsidR="001B65FA" w:rsidRPr="00A92096">
        <w:rPr>
          <w:rFonts w:asciiTheme="minorHAnsi" w:hAnsiTheme="minorHAnsi"/>
          <w:b w:val="0"/>
          <w:bCs w:val="0"/>
          <w:i/>
          <w:color w:val="auto"/>
          <w:sz w:val="22"/>
          <w:szCs w:val="24"/>
          <w:lang w:val="sq-AL"/>
        </w:rPr>
        <w:t>Shpenzimet për Sigurime Shoqërore dhe Shëndetësore (në miliardë LEK)</w:t>
      </w:r>
      <w:bookmarkEnd w:id="58"/>
    </w:p>
    <w:p w14:paraId="7801E860" w14:textId="77777777" w:rsidR="001B65FA" w:rsidRPr="0065598A" w:rsidRDefault="00DC42CF" w:rsidP="00BE627C">
      <w:pPr>
        <w:jc w:val="center"/>
        <w:rPr>
          <w:rFonts w:asciiTheme="minorHAnsi" w:eastAsia="SimSun" w:hAnsiTheme="minorHAnsi"/>
          <w:i/>
          <w:lang w:val="sq-AL"/>
        </w:rPr>
      </w:pPr>
      <w:r>
        <w:rPr>
          <w:rFonts w:asciiTheme="minorHAnsi" w:eastAsia="SimSun" w:hAnsiTheme="minorHAnsi"/>
          <w:i/>
          <w:noProof/>
        </w:rPr>
        <w:drawing>
          <wp:inline distT="0" distB="0" distL="0" distR="0" wp14:anchorId="11ABF7AF" wp14:editId="0D49AB33">
            <wp:extent cx="5551170" cy="20383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55666" cy="2040001"/>
                    </a:xfrm>
                    <a:prstGeom prst="rect">
                      <a:avLst/>
                    </a:prstGeom>
                    <a:noFill/>
                  </pic:spPr>
                </pic:pic>
              </a:graphicData>
            </a:graphic>
          </wp:inline>
        </w:drawing>
      </w:r>
    </w:p>
    <w:p w14:paraId="7C3C94D2" w14:textId="77777777" w:rsidR="001B65FA" w:rsidRPr="0065598A" w:rsidRDefault="001B65FA" w:rsidP="001B65FA">
      <w:pPr>
        <w:spacing w:line="276" w:lineRule="auto"/>
        <w:rPr>
          <w:rFonts w:asciiTheme="minorHAnsi" w:eastAsia="SimSun" w:hAnsiTheme="minorHAnsi"/>
          <w:i/>
          <w:sz w:val="20"/>
          <w:lang w:val="sq-AL"/>
        </w:rPr>
      </w:pPr>
      <w:r w:rsidRPr="0065598A">
        <w:rPr>
          <w:rFonts w:asciiTheme="minorHAnsi" w:eastAsia="SimSun" w:hAnsiTheme="minorHAnsi"/>
          <w:i/>
          <w:sz w:val="20"/>
          <w:lang w:val="sq-AL"/>
        </w:rPr>
        <w:t xml:space="preserve">                  </w:t>
      </w:r>
      <w:r w:rsidR="00193978">
        <w:rPr>
          <w:rFonts w:asciiTheme="minorHAnsi" w:eastAsia="SimSun" w:hAnsiTheme="minorHAnsi"/>
          <w:i/>
          <w:sz w:val="20"/>
          <w:lang w:val="sq-AL"/>
        </w:rPr>
        <w:t>Burimi: Ministria e Financave dhe Ekonomisë (2023)</w:t>
      </w:r>
    </w:p>
    <w:p w14:paraId="3B26367F" w14:textId="77777777" w:rsidR="00DC42CF" w:rsidRPr="00DC42CF" w:rsidRDefault="00DC42CF" w:rsidP="001B65FA">
      <w:pPr>
        <w:spacing w:line="276" w:lineRule="auto"/>
        <w:jc w:val="both"/>
        <w:rPr>
          <w:rFonts w:asciiTheme="minorHAnsi" w:eastAsia="SimSun" w:hAnsiTheme="minorHAnsi"/>
          <w:i/>
          <w:sz w:val="12"/>
          <w:lang w:val="sq-AL"/>
        </w:rPr>
      </w:pPr>
    </w:p>
    <w:p w14:paraId="440589DE" w14:textId="77777777" w:rsidR="001B65FA" w:rsidRPr="003822BE" w:rsidRDefault="001B65FA" w:rsidP="001B65FA">
      <w:pPr>
        <w:spacing w:line="276" w:lineRule="auto"/>
        <w:jc w:val="both"/>
        <w:rPr>
          <w:rFonts w:asciiTheme="minorHAnsi" w:eastAsia="SimSun" w:hAnsiTheme="minorHAnsi"/>
          <w:lang w:val="sq-AL"/>
        </w:rPr>
      </w:pPr>
      <w:r w:rsidRPr="00020D6E">
        <w:rPr>
          <w:rFonts w:asciiTheme="minorHAnsi" w:eastAsia="SimSun" w:hAnsiTheme="minorHAnsi"/>
          <w:i/>
          <w:lang w:val="sq-AL"/>
        </w:rPr>
        <w:t>Shpenzimet për Papunësinë</w:t>
      </w:r>
      <w:r w:rsidRPr="00020D6E">
        <w:rPr>
          <w:rFonts w:asciiTheme="minorHAnsi" w:eastAsia="SimSun" w:hAnsiTheme="minorHAnsi"/>
          <w:lang w:val="sq-AL"/>
        </w:rPr>
        <w:t xml:space="preserve"> </w:t>
      </w:r>
      <w:r w:rsidR="00BE627C" w:rsidRPr="008D32F7">
        <w:rPr>
          <w:rFonts w:asciiTheme="minorHAnsi" w:hAnsiTheme="minorHAnsi"/>
          <w:lang w:val="sq-AL"/>
        </w:rPr>
        <w:t xml:space="preserve">për 5 mujorin e vitit </w:t>
      </w:r>
      <w:r w:rsidR="00DC42CF" w:rsidRPr="008D32F7">
        <w:rPr>
          <w:rFonts w:asciiTheme="minorHAnsi" w:hAnsiTheme="minorHAnsi"/>
          <w:lang w:val="sq-AL"/>
        </w:rPr>
        <w:t>202</w:t>
      </w:r>
      <w:r w:rsidR="00DC42CF">
        <w:rPr>
          <w:rFonts w:asciiTheme="minorHAnsi" w:hAnsiTheme="minorHAnsi"/>
          <w:lang w:val="sq-AL"/>
        </w:rPr>
        <w:t>3</w:t>
      </w:r>
      <w:r w:rsidR="00DC42CF" w:rsidRPr="008D32F7">
        <w:rPr>
          <w:rFonts w:asciiTheme="minorHAnsi" w:hAnsiTheme="minorHAnsi"/>
          <w:lang w:val="sq-AL"/>
        </w:rPr>
        <w:t xml:space="preserve"> janë realizuar në masën </w:t>
      </w:r>
      <w:r w:rsidR="00DC42CF">
        <w:rPr>
          <w:rFonts w:asciiTheme="minorHAnsi" w:hAnsiTheme="minorHAnsi"/>
          <w:lang w:val="sq-AL"/>
        </w:rPr>
        <w:t>327</w:t>
      </w:r>
      <w:r w:rsidR="00DC42CF" w:rsidRPr="008D32F7">
        <w:rPr>
          <w:rFonts w:asciiTheme="minorHAnsi" w:hAnsiTheme="minorHAnsi"/>
          <w:lang w:val="sq-AL"/>
        </w:rPr>
        <w:t xml:space="preserve"> milion</w:t>
      </w:r>
      <w:r w:rsidR="00DC42CF">
        <w:rPr>
          <w:rFonts w:asciiTheme="minorHAnsi" w:hAnsiTheme="minorHAnsi"/>
          <w:lang w:val="sq-AL"/>
        </w:rPr>
        <w:t>ë</w:t>
      </w:r>
      <w:r w:rsidR="00DC42CF" w:rsidRPr="008D32F7">
        <w:rPr>
          <w:rFonts w:asciiTheme="minorHAnsi" w:hAnsiTheme="minorHAnsi"/>
          <w:lang w:val="sq-AL"/>
        </w:rPr>
        <w:t xml:space="preserve"> </w:t>
      </w:r>
      <w:r w:rsidR="00DC42CF" w:rsidRPr="00F94082">
        <w:rPr>
          <w:rFonts w:asciiTheme="minorHAnsi" w:eastAsia="SimSun" w:hAnsiTheme="minorHAnsi"/>
          <w:lang w:val="sq-AL"/>
        </w:rPr>
        <w:t>lekë</w:t>
      </w:r>
      <w:r w:rsidR="00DC42CF">
        <w:rPr>
          <w:rFonts w:asciiTheme="minorHAnsi" w:hAnsiTheme="minorHAnsi"/>
          <w:lang w:val="sq-AL"/>
        </w:rPr>
        <w:t xml:space="preserve"> </w:t>
      </w:r>
      <w:r w:rsidR="00DC42CF" w:rsidRPr="008D32F7">
        <w:rPr>
          <w:rFonts w:asciiTheme="minorHAnsi" w:hAnsiTheme="minorHAnsi"/>
          <w:lang w:val="sq-AL"/>
        </w:rPr>
        <w:t xml:space="preserve">ose </w:t>
      </w:r>
      <w:r w:rsidR="00DC42CF">
        <w:rPr>
          <w:rFonts w:asciiTheme="minorHAnsi" w:hAnsiTheme="minorHAnsi"/>
          <w:lang w:val="sq-AL"/>
        </w:rPr>
        <w:t>89.6</w:t>
      </w:r>
      <w:r w:rsidR="00DC42CF" w:rsidRPr="008D32F7">
        <w:rPr>
          <w:rFonts w:asciiTheme="minorHAnsi" w:hAnsiTheme="minorHAnsi"/>
          <w:lang w:val="sq-AL"/>
        </w:rPr>
        <w:t xml:space="preserve"> përqind e planit të periudhës dhe </w:t>
      </w:r>
      <w:r w:rsidR="00DC42CF">
        <w:rPr>
          <w:rFonts w:asciiTheme="minorHAnsi" w:hAnsiTheme="minorHAnsi"/>
          <w:lang w:val="sq-AL"/>
        </w:rPr>
        <w:t>36.3</w:t>
      </w:r>
      <w:r w:rsidR="00DC42CF" w:rsidRPr="008D32F7">
        <w:rPr>
          <w:rFonts w:asciiTheme="minorHAnsi" w:hAnsiTheme="minorHAnsi"/>
          <w:lang w:val="sq-AL"/>
        </w:rPr>
        <w:t xml:space="preserve"> përqind e planit vjetor.</w:t>
      </w:r>
      <w:r w:rsidR="00DC42CF" w:rsidRPr="008D32F7">
        <w:rPr>
          <w:rFonts w:asciiTheme="minorHAnsi" w:eastAsia="SimSun" w:hAnsiTheme="minorHAnsi"/>
          <w:lang w:val="sq-AL"/>
        </w:rPr>
        <w:t xml:space="preserve"> Kundrejt të njëjtës periudhë të vitit 202</w:t>
      </w:r>
      <w:r w:rsidR="00DC42CF">
        <w:rPr>
          <w:rFonts w:asciiTheme="minorHAnsi" w:eastAsia="SimSun" w:hAnsiTheme="minorHAnsi"/>
          <w:lang w:val="sq-AL"/>
        </w:rPr>
        <w:t>2</w:t>
      </w:r>
      <w:r w:rsidR="00DC42CF" w:rsidRPr="008D32F7">
        <w:rPr>
          <w:rFonts w:asciiTheme="minorHAnsi" w:eastAsia="SimSun" w:hAnsiTheme="minorHAnsi"/>
          <w:lang w:val="sq-AL"/>
        </w:rPr>
        <w:t xml:space="preserve"> shpenzimet për këtë zë rezultojnë me një </w:t>
      </w:r>
      <w:r w:rsidR="00DC42CF">
        <w:rPr>
          <w:rFonts w:asciiTheme="minorHAnsi" w:eastAsia="SimSun" w:hAnsiTheme="minorHAnsi"/>
          <w:lang w:val="sq-AL"/>
        </w:rPr>
        <w:t>rritje</w:t>
      </w:r>
      <w:r w:rsidR="00DC42CF" w:rsidRPr="008D32F7">
        <w:rPr>
          <w:rFonts w:asciiTheme="minorHAnsi" w:eastAsia="SimSun" w:hAnsiTheme="minorHAnsi"/>
          <w:lang w:val="sq-AL"/>
        </w:rPr>
        <w:t xml:space="preserve"> në masën </w:t>
      </w:r>
      <w:r w:rsidR="00DC42CF">
        <w:rPr>
          <w:rFonts w:asciiTheme="minorHAnsi" w:eastAsia="SimSun" w:hAnsiTheme="minorHAnsi"/>
          <w:lang w:val="sq-AL"/>
        </w:rPr>
        <w:t>9.9%</w:t>
      </w:r>
      <w:r w:rsidR="00DC42CF" w:rsidRPr="008D32F7">
        <w:rPr>
          <w:rFonts w:asciiTheme="minorHAnsi" w:eastAsia="SimSun" w:hAnsiTheme="minorHAnsi"/>
          <w:lang w:val="sq-AL"/>
        </w:rPr>
        <w:t xml:space="preserve"> ose </w:t>
      </w:r>
      <w:r w:rsidR="00DC42CF">
        <w:rPr>
          <w:rFonts w:asciiTheme="minorHAnsi" w:eastAsia="SimSun" w:hAnsiTheme="minorHAnsi"/>
          <w:lang w:val="sq-AL"/>
        </w:rPr>
        <w:t>30mln</w:t>
      </w:r>
      <w:r w:rsidR="00DC42CF" w:rsidRPr="008D32F7">
        <w:rPr>
          <w:rFonts w:asciiTheme="minorHAnsi" w:eastAsia="SimSun" w:hAnsiTheme="minorHAnsi"/>
          <w:lang w:val="sq-AL"/>
        </w:rPr>
        <w:t xml:space="preserve"> </w:t>
      </w:r>
      <w:r w:rsidR="00DC42CF" w:rsidRPr="00F94082">
        <w:rPr>
          <w:rFonts w:asciiTheme="minorHAnsi" w:eastAsia="SimSun" w:hAnsiTheme="minorHAnsi"/>
          <w:lang w:val="sq-AL"/>
        </w:rPr>
        <w:t>lekë</w:t>
      </w:r>
      <w:r w:rsidR="00DC42CF" w:rsidRPr="008D32F7">
        <w:rPr>
          <w:rFonts w:asciiTheme="minorHAnsi" w:eastAsia="SimSun" w:hAnsiTheme="minorHAnsi"/>
          <w:lang w:val="sq-AL"/>
        </w:rPr>
        <w:t xml:space="preserve"> më </w:t>
      </w:r>
      <w:r w:rsidR="00DC42CF">
        <w:rPr>
          <w:rFonts w:asciiTheme="minorHAnsi" w:eastAsia="SimSun" w:hAnsiTheme="minorHAnsi"/>
          <w:lang w:val="sq-AL"/>
        </w:rPr>
        <w:t>shumë</w:t>
      </w:r>
      <w:r w:rsidRPr="003822BE">
        <w:rPr>
          <w:rFonts w:asciiTheme="minorHAnsi" w:eastAsia="SimSun" w:hAnsiTheme="minorHAnsi"/>
          <w:lang w:val="sq-AL"/>
        </w:rPr>
        <w:t>.</w:t>
      </w:r>
    </w:p>
    <w:p w14:paraId="2386DA6C" w14:textId="77777777" w:rsidR="001B65FA" w:rsidRPr="00BE627C" w:rsidRDefault="001B65FA" w:rsidP="001B65FA">
      <w:pPr>
        <w:spacing w:line="276" w:lineRule="auto"/>
        <w:jc w:val="both"/>
        <w:rPr>
          <w:rFonts w:asciiTheme="minorHAnsi" w:eastAsia="SimSun" w:hAnsiTheme="minorHAnsi"/>
          <w:sz w:val="8"/>
          <w:szCs w:val="8"/>
          <w:lang w:val="sq-AL"/>
        </w:rPr>
      </w:pPr>
    </w:p>
    <w:p w14:paraId="077633BC" w14:textId="77777777" w:rsidR="001B65FA" w:rsidRPr="003F7DB9" w:rsidRDefault="001B65FA" w:rsidP="001B65FA">
      <w:pPr>
        <w:spacing w:line="276" w:lineRule="auto"/>
        <w:jc w:val="both"/>
        <w:rPr>
          <w:rFonts w:asciiTheme="minorHAnsi" w:eastAsia="SimSun" w:hAnsiTheme="minorHAnsi"/>
          <w:lang w:val="sq-AL"/>
        </w:rPr>
      </w:pPr>
      <w:r w:rsidRPr="006F30BA">
        <w:rPr>
          <w:rFonts w:asciiTheme="minorHAnsi" w:eastAsia="SimSun" w:hAnsiTheme="minorHAnsi"/>
          <w:i/>
          <w:lang w:val="sq-AL"/>
        </w:rPr>
        <w:t>Shpenzimet për Ndihmën Ekonomike dhe Pagesën e Paaftësisë (PAK)</w:t>
      </w:r>
      <w:r w:rsidRPr="006F30BA">
        <w:rPr>
          <w:rFonts w:asciiTheme="minorHAnsi" w:eastAsia="SimSun" w:hAnsiTheme="minorHAnsi"/>
          <w:lang w:val="sq-AL"/>
        </w:rPr>
        <w:t xml:space="preserve"> </w:t>
      </w:r>
      <w:r w:rsidR="00BE627C" w:rsidRPr="00D538D9">
        <w:rPr>
          <w:rFonts w:asciiTheme="minorHAnsi" w:eastAsia="SimSun" w:hAnsiTheme="minorHAnsi"/>
          <w:lang w:val="sq-AL"/>
        </w:rPr>
        <w:t xml:space="preserve">për periudhën 5 mujore të vitit </w:t>
      </w:r>
      <w:r w:rsidR="00DC42CF" w:rsidRPr="00AC19E0">
        <w:rPr>
          <w:rFonts w:asciiTheme="minorHAnsi" w:hAnsiTheme="minorHAnsi"/>
          <w:lang w:val="sq-AL"/>
        </w:rPr>
        <w:t xml:space="preserve">2023 u realizuan në masën rreth 9.6 miliard </w:t>
      </w:r>
      <w:r w:rsidR="00DC42CF" w:rsidRPr="00F94082">
        <w:rPr>
          <w:rFonts w:asciiTheme="minorHAnsi" w:eastAsia="SimSun" w:hAnsiTheme="minorHAnsi"/>
          <w:lang w:val="sq-AL"/>
        </w:rPr>
        <w:t>lekë</w:t>
      </w:r>
      <w:r w:rsidR="00DC42CF" w:rsidRPr="00AC19E0">
        <w:rPr>
          <w:rFonts w:asciiTheme="minorHAnsi" w:hAnsiTheme="minorHAnsi"/>
          <w:lang w:val="sq-AL"/>
        </w:rPr>
        <w:t xml:space="preserve"> duke rezultuar 96.7 përqind e planit të periudhës. Në raport me planin vjetor ato janë realizuar në masën 37 përqind të tij. Kundrejt të njëjtës periudhë</w:t>
      </w:r>
      <w:r w:rsidR="00DC42CF" w:rsidRPr="00537320">
        <w:rPr>
          <w:rFonts w:asciiTheme="minorHAnsi" w:eastAsia="SimSun" w:hAnsiTheme="minorHAnsi"/>
          <w:lang w:val="sq-AL"/>
        </w:rPr>
        <w:t xml:space="preserve"> 2022 shpenzimet për këtë zë rezultojnë me një rritje në masën 1.6</w:t>
      </w:r>
      <w:r w:rsidR="00DC42CF">
        <w:rPr>
          <w:rFonts w:asciiTheme="minorHAnsi" w:eastAsia="SimSun" w:hAnsiTheme="minorHAnsi"/>
          <w:lang w:val="sq-AL"/>
        </w:rPr>
        <w:t>%</w:t>
      </w:r>
      <w:r w:rsidR="00DC42CF" w:rsidRPr="00537320">
        <w:rPr>
          <w:rFonts w:asciiTheme="minorHAnsi" w:eastAsia="SimSun" w:hAnsiTheme="minorHAnsi"/>
          <w:lang w:val="sq-AL"/>
        </w:rPr>
        <w:t xml:space="preserve"> ose 151</w:t>
      </w:r>
      <w:r w:rsidR="00DC42CF">
        <w:rPr>
          <w:rFonts w:asciiTheme="minorHAnsi" w:eastAsia="SimSun" w:hAnsiTheme="minorHAnsi"/>
          <w:lang w:val="sq-AL"/>
        </w:rPr>
        <w:t>mln</w:t>
      </w:r>
      <w:r w:rsidR="00DC42CF" w:rsidRPr="00537320">
        <w:rPr>
          <w:rFonts w:asciiTheme="minorHAnsi" w:eastAsia="SimSun" w:hAnsiTheme="minorHAnsi"/>
          <w:lang w:val="sq-AL"/>
        </w:rPr>
        <w:t xml:space="preserve"> </w:t>
      </w:r>
      <w:r w:rsidR="00DC42CF" w:rsidRPr="00F94082">
        <w:rPr>
          <w:rFonts w:asciiTheme="minorHAnsi" w:eastAsia="SimSun" w:hAnsiTheme="minorHAnsi"/>
          <w:lang w:val="sq-AL"/>
        </w:rPr>
        <w:t>lekë</w:t>
      </w:r>
      <w:r w:rsidR="00DC42CF" w:rsidRPr="00537320">
        <w:rPr>
          <w:rFonts w:asciiTheme="minorHAnsi" w:eastAsia="SimSun" w:hAnsiTheme="minorHAnsi"/>
          <w:lang w:val="sq-AL"/>
        </w:rPr>
        <w:t xml:space="preserve"> më shumë</w:t>
      </w:r>
      <w:r w:rsidRPr="006F30BA">
        <w:rPr>
          <w:rFonts w:asciiTheme="minorHAnsi" w:eastAsia="SimSun" w:hAnsiTheme="minorHAnsi"/>
          <w:lang w:val="sq-AL"/>
        </w:rPr>
        <w:t>.</w:t>
      </w:r>
    </w:p>
    <w:p w14:paraId="5CAB663F" w14:textId="77777777" w:rsidR="001B65FA" w:rsidRPr="00092976" w:rsidRDefault="001B65FA" w:rsidP="001B65FA">
      <w:pPr>
        <w:spacing w:line="276" w:lineRule="auto"/>
        <w:jc w:val="both"/>
        <w:rPr>
          <w:rFonts w:asciiTheme="minorHAnsi" w:eastAsia="SimSun" w:hAnsiTheme="minorHAnsi"/>
          <w:i/>
          <w:sz w:val="8"/>
          <w:szCs w:val="8"/>
          <w:lang w:val="sq-AL"/>
        </w:rPr>
      </w:pPr>
    </w:p>
    <w:p w14:paraId="367E6C82" w14:textId="77777777" w:rsidR="001B65FA" w:rsidRPr="00092976" w:rsidRDefault="001B65FA" w:rsidP="001B65FA">
      <w:pPr>
        <w:spacing w:line="276" w:lineRule="auto"/>
        <w:jc w:val="both"/>
        <w:rPr>
          <w:rFonts w:asciiTheme="minorHAnsi" w:hAnsiTheme="minorHAnsi"/>
          <w:lang w:val="sq-AL"/>
        </w:rPr>
      </w:pPr>
      <w:r w:rsidRPr="00092976">
        <w:rPr>
          <w:rFonts w:asciiTheme="minorHAnsi" w:eastAsia="SimSun" w:hAnsiTheme="minorHAnsi"/>
          <w:i/>
          <w:lang w:val="sq-AL"/>
        </w:rPr>
        <w:t>Shpenzimet për kompensimin e ish-të përndjekurve politik</w:t>
      </w:r>
      <w:r w:rsidRPr="00092976">
        <w:rPr>
          <w:rFonts w:asciiTheme="minorHAnsi" w:eastAsia="SimSun" w:hAnsiTheme="minorHAnsi"/>
          <w:lang w:val="sq-AL"/>
        </w:rPr>
        <w:t xml:space="preserve"> </w:t>
      </w:r>
      <w:r w:rsidR="00BE627C" w:rsidRPr="00D538D9">
        <w:rPr>
          <w:rFonts w:asciiTheme="minorHAnsi" w:hAnsiTheme="minorHAnsi"/>
          <w:lang w:val="sq-AL"/>
        </w:rPr>
        <w:t xml:space="preserve">për periudhën 5 mujore të vitit </w:t>
      </w:r>
      <w:r w:rsidR="00DC42CF" w:rsidRPr="00537320">
        <w:rPr>
          <w:rFonts w:asciiTheme="minorHAnsi" w:hAnsiTheme="minorHAnsi"/>
          <w:lang w:val="sq-AL"/>
        </w:rPr>
        <w:t>2023 u realizuan në masën 491 milion</w:t>
      </w:r>
      <w:r w:rsidR="00DC42CF">
        <w:rPr>
          <w:rFonts w:asciiTheme="minorHAnsi" w:hAnsiTheme="minorHAnsi"/>
          <w:lang w:val="sq-AL"/>
        </w:rPr>
        <w:t>ë</w:t>
      </w:r>
      <w:r w:rsidR="00DC42CF" w:rsidRPr="00537320">
        <w:rPr>
          <w:rFonts w:asciiTheme="minorHAnsi" w:hAnsiTheme="minorHAnsi"/>
          <w:lang w:val="sq-AL"/>
        </w:rPr>
        <w:t xml:space="preserve"> </w:t>
      </w:r>
      <w:r w:rsidR="00DC42CF" w:rsidRPr="00F94082">
        <w:rPr>
          <w:rFonts w:asciiTheme="minorHAnsi" w:eastAsia="SimSun" w:hAnsiTheme="minorHAnsi"/>
          <w:lang w:val="sq-AL"/>
        </w:rPr>
        <w:t>lekë</w:t>
      </w:r>
      <w:r w:rsidR="00DC42CF" w:rsidRPr="00537320">
        <w:rPr>
          <w:rFonts w:asciiTheme="minorHAnsi" w:hAnsiTheme="minorHAnsi"/>
          <w:lang w:val="sq-AL"/>
        </w:rPr>
        <w:t xml:space="preserve"> duke rezultuar 210.</w:t>
      </w:r>
      <w:r w:rsidR="00DC42CF">
        <w:rPr>
          <w:rFonts w:asciiTheme="minorHAnsi" w:hAnsiTheme="minorHAnsi"/>
          <w:lang w:val="sq-AL"/>
        </w:rPr>
        <w:t>7</w:t>
      </w:r>
      <w:r w:rsidR="00DC42CF" w:rsidRPr="00537320">
        <w:rPr>
          <w:rFonts w:asciiTheme="minorHAnsi" w:hAnsiTheme="minorHAnsi"/>
          <w:lang w:val="sq-AL"/>
        </w:rPr>
        <w:t xml:space="preserve"> përqind e planit të periudhës ose 49.1 përqind e planit vjetor. Kundrejt të njëjtës periudhë të vitit 2022 shpenzimet për këtë zë rezultojnë me një rritje prej  114.1 përqind ose 262 milion</w:t>
      </w:r>
      <w:r w:rsidR="00DC42CF">
        <w:rPr>
          <w:rFonts w:asciiTheme="minorHAnsi" w:hAnsiTheme="minorHAnsi"/>
          <w:lang w:val="sq-AL"/>
        </w:rPr>
        <w:t>ë</w:t>
      </w:r>
      <w:r w:rsidR="00DC42CF" w:rsidRPr="00537320">
        <w:rPr>
          <w:rFonts w:asciiTheme="minorHAnsi" w:hAnsiTheme="minorHAnsi"/>
          <w:lang w:val="sq-AL"/>
        </w:rPr>
        <w:t xml:space="preserve"> </w:t>
      </w:r>
      <w:r w:rsidR="00DC42CF" w:rsidRPr="00F94082">
        <w:rPr>
          <w:rFonts w:asciiTheme="minorHAnsi" w:eastAsia="SimSun" w:hAnsiTheme="minorHAnsi"/>
          <w:lang w:val="sq-AL"/>
        </w:rPr>
        <w:t>lekë</w:t>
      </w:r>
      <w:r w:rsidR="00DC42CF" w:rsidRPr="00537320">
        <w:rPr>
          <w:rFonts w:asciiTheme="minorHAnsi" w:hAnsiTheme="minorHAnsi"/>
          <w:lang w:val="sq-AL"/>
        </w:rPr>
        <w:t xml:space="preserve"> më shumë</w:t>
      </w:r>
      <w:r w:rsidRPr="00092976">
        <w:rPr>
          <w:rFonts w:asciiTheme="minorHAnsi" w:hAnsiTheme="minorHAnsi"/>
          <w:lang w:val="sq-AL"/>
        </w:rPr>
        <w:t>.</w:t>
      </w:r>
    </w:p>
    <w:p w14:paraId="2B15871A" w14:textId="77777777" w:rsidR="001B65FA" w:rsidRPr="003F7DB9" w:rsidRDefault="001B65FA" w:rsidP="001B65FA">
      <w:pPr>
        <w:spacing w:line="276" w:lineRule="auto"/>
        <w:jc w:val="both"/>
        <w:rPr>
          <w:rFonts w:asciiTheme="minorHAnsi" w:eastAsia="SimSun" w:hAnsiTheme="minorHAnsi"/>
          <w:sz w:val="8"/>
          <w:szCs w:val="8"/>
          <w:lang w:val="sq-AL"/>
        </w:rPr>
      </w:pPr>
    </w:p>
    <w:p w14:paraId="73ECBC0C" w14:textId="77777777" w:rsidR="001B65FA" w:rsidRDefault="001B65FA" w:rsidP="001B65FA">
      <w:pPr>
        <w:spacing w:line="276" w:lineRule="auto"/>
        <w:jc w:val="both"/>
        <w:rPr>
          <w:rFonts w:asciiTheme="minorHAnsi" w:hAnsiTheme="minorHAnsi"/>
          <w:lang w:val="sq-AL"/>
        </w:rPr>
      </w:pPr>
      <w:r w:rsidRPr="00092976">
        <w:rPr>
          <w:rFonts w:asciiTheme="minorHAnsi" w:eastAsia="SimSun" w:hAnsiTheme="minorHAnsi"/>
          <w:i/>
          <w:lang w:val="sq-AL"/>
        </w:rPr>
        <w:t>Shpenzimet për bonusin e lindjeve</w:t>
      </w:r>
      <w:r w:rsidRPr="00092976">
        <w:rPr>
          <w:rFonts w:asciiTheme="minorHAnsi" w:hAnsiTheme="minorHAnsi"/>
          <w:lang w:val="sq-AL"/>
        </w:rPr>
        <w:t xml:space="preserve"> </w:t>
      </w:r>
      <w:r w:rsidR="00BE627C" w:rsidRPr="00A17564">
        <w:rPr>
          <w:rFonts w:asciiTheme="minorHAnsi" w:hAnsiTheme="minorHAnsi"/>
          <w:lang w:val="sq-AL"/>
        </w:rPr>
        <w:t xml:space="preserve">për periudhën 5 mujore të vitit </w:t>
      </w:r>
      <w:r w:rsidR="00DC42CF" w:rsidRPr="00537320">
        <w:rPr>
          <w:rFonts w:asciiTheme="minorHAnsi" w:hAnsiTheme="minorHAnsi"/>
          <w:lang w:val="sq-AL"/>
        </w:rPr>
        <w:t xml:space="preserve">2023 u realizuan në masën 1.2 miliard </w:t>
      </w:r>
      <w:r w:rsidR="00DC42CF" w:rsidRPr="00F94082">
        <w:rPr>
          <w:rFonts w:asciiTheme="minorHAnsi" w:eastAsia="SimSun" w:hAnsiTheme="minorHAnsi"/>
          <w:lang w:val="sq-AL"/>
        </w:rPr>
        <w:t>lekë</w:t>
      </w:r>
      <w:r w:rsidR="00DC42CF" w:rsidRPr="00537320">
        <w:rPr>
          <w:rFonts w:asciiTheme="minorHAnsi" w:hAnsiTheme="minorHAnsi"/>
          <w:lang w:val="sq-AL"/>
        </w:rPr>
        <w:t xml:space="preserve"> duke rezultuar 166.7 përqind e planit të periudhës ose 54.5 përqind e planit vjetor. Kundrejt të njëjtës periudhë të vitit 2022 shpenzimet për këtë zë rezultojnë me një rritje në masën 9.1 përqind ose 100 milion</w:t>
      </w:r>
      <w:r w:rsidR="00DC42CF">
        <w:rPr>
          <w:rFonts w:asciiTheme="minorHAnsi" w:hAnsiTheme="minorHAnsi"/>
          <w:lang w:val="sq-AL"/>
        </w:rPr>
        <w:t>ë</w:t>
      </w:r>
      <w:r w:rsidR="00DC42CF" w:rsidRPr="00537320">
        <w:rPr>
          <w:rFonts w:asciiTheme="minorHAnsi" w:hAnsiTheme="minorHAnsi"/>
          <w:lang w:val="sq-AL"/>
        </w:rPr>
        <w:t xml:space="preserve"> </w:t>
      </w:r>
      <w:r w:rsidR="00DC42CF" w:rsidRPr="00F94082">
        <w:rPr>
          <w:rFonts w:asciiTheme="minorHAnsi" w:eastAsia="SimSun" w:hAnsiTheme="minorHAnsi"/>
          <w:lang w:val="sq-AL"/>
        </w:rPr>
        <w:t>lekë</w:t>
      </w:r>
      <w:r w:rsidR="00DC42CF" w:rsidRPr="00537320">
        <w:rPr>
          <w:rFonts w:asciiTheme="minorHAnsi" w:hAnsiTheme="minorHAnsi"/>
          <w:lang w:val="sq-AL"/>
        </w:rPr>
        <w:t xml:space="preserve"> më shumë</w:t>
      </w:r>
      <w:r w:rsidRPr="00092976">
        <w:rPr>
          <w:rFonts w:asciiTheme="minorHAnsi" w:hAnsiTheme="minorHAnsi"/>
          <w:lang w:val="sq-AL"/>
        </w:rPr>
        <w:t>.</w:t>
      </w:r>
    </w:p>
    <w:p w14:paraId="5BF6FCC3" w14:textId="77777777" w:rsidR="00A92096" w:rsidRPr="00DC42CF" w:rsidRDefault="00A92096" w:rsidP="001B65FA">
      <w:pPr>
        <w:spacing w:line="276" w:lineRule="auto"/>
        <w:jc w:val="both"/>
        <w:rPr>
          <w:rFonts w:asciiTheme="minorHAnsi" w:hAnsiTheme="minorHAnsi"/>
          <w:sz w:val="8"/>
          <w:lang w:val="sq-AL"/>
        </w:rPr>
      </w:pPr>
    </w:p>
    <w:p w14:paraId="2D4BADF7" w14:textId="4F00B2FC" w:rsidR="001B65FA" w:rsidRPr="006A740D" w:rsidRDefault="00A92096" w:rsidP="00A92096">
      <w:pPr>
        <w:pStyle w:val="Caption"/>
        <w:spacing w:after="0"/>
        <w:rPr>
          <w:rFonts w:asciiTheme="minorHAnsi" w:hAnsiTheme="minorHAnsi"/>
          <w:b w:val="0"/>
          <w:bCs w:val="0"/>
          <w:i/>
          <w:color w:val="auto"/>
          <w:sz w:val="22"/>
          <w:szCs w:val="24"/>
          <w:lang w:val="sq-AL"/>
        </w:rPr>
      </w:pPr>
      <w:bookmarkStart w:id="59" w:name="_Toc107498113"/>
      <w:r w:rsidRPr="00A92096">
        <w:rPr>
          <w:rFonts w:asciiTheme="minorHAnsi" w:hAnsiTheme="minorHAnsi"/>
          <w:b w:val="0"/>
          <w:bCs w:val="0"/>
          <w:i/>
          <w:color w:val="auto"/>
          <w:sz w:val="22"/>
          <w:szCs w:val="24"/>
          <w:lang w:val="sq-AL"/>
        </w:rPr>
        <w:t xml:space="preserve">Grafiku </w:t>
      </w:r>
      <w:r w:rsidRPr="00A92096">
        <w:rPr>
          <w:rFonts w:asciiTheme="minorHAnsi" w:hAnsiTheme="minorHAnsi"/>
          <w:b w:val="0"/>
          <w:bCs w:val="0"/>
          <w:i/>
          <w:color w:val="auto"/>
          <w:sz w:val="22"/>
          <w:szCs w:val="24"/>
          <w:lang w:val="sq-AL"/>
        </w:rPr>
        <w:fldChar w:fldCharType="begin"/>
      </w:r>
      <w:r w:rsidRPr="00A92096">
        <w:rPr>
          <w:rFonts w:asciiTheme="minorHAnsi" w:hAnsiTheme="minorHAnsi"/>
          <w:b w:val="0"/>
          <w:bCs w:val="0"/>
          <w:i/>
          <w:color w:val="auto"/>
          <w:sz w:val="22"/>
          <w:szCs w:val="24"/>
          <w:lang w:val="sq-AL"/>
        </w:rPr>
        <w:instrText xml:space="preserve"> SEQ Grafiku \* ARABIC </w:instrText>
      </w:r>
      <w:r w:rsidRPr="00A92096">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22</w:t>
      </w:r>
      <w:r w:rsidRPr="00A92096">
        <w:rPr>
          <w:rFonts w:asciiTheme="minorHAnsi" w:hAnsiTheme="minorHAnsi"/>
          <w:b w:val="0"/>
          <w:bCs w:val="0"/>
          <w:i/>
          <w:color w:val="auto"/>
          <w:sz w:val="22"/>
          <w:szCs w:val="24"/>
          <w:lang w:val="sq-AL"/>
        </w:rPr>
        <w:fldChar w:fldCharType="end"/>
      </w:r>
      <w:r w:rsidR="001B65FA" w:rsidRPr="00A92096">
        <w:rPr>
          <w:rFonts w:asciiTheme="minorHAnsi" w:hAnsiTheme="minorHAnsi"/>
          <w:b w:val="0"/>
          <w:bCs w:val="0"/>
          <w:i/>
          <w:color w:val="auto"/>
          <w:sz w:val="22"/>
          <w:szCs w:val="24"/>
          <w:lang w:val="sq-AL"/>
        </w:rPr>
        <w:t>: Shpenzimet për Ndihmën Ekonomike, PAK dhe Papunësinë (në miliardë LEK)</w:t>
      </w:r>
      <w:bookmarkEnd w:id="59"/>
      <w:r w:rsidR="001B65FA" w:rsidRPr="006A740D">
        <w:rPr>
          <w:rFonts w:asciiTheme="minorHAnsi" w:hAnsiTheme="minorHAnsi"/>
          <w:b w:val="0"/>
          <w:bCs w:val="0"/>
          <w:i/>
          <w:color w:val="auto"/>
          <w:sz w:val="22"/>
          <w:szCs w:val="24"/>
          <w:lang w:val="sq-AL"/>
        </w:rPr>
        <w:t xml:space="preserve"> </w:t>
      </w:r>
    </w:p>
    <w:p w14:paraId="4B5DB080" w14:textId="77777777" w:rsidR="001B65FA" w:rsidRPr="0065598A" w:rsidRDefault="00DC42CF" w:rsidP="001B65FA">
      <w:pPr>
        <w:jc w:val="center"/>
        <w:rPr>
          <w:rFonts w:asciiTheme="minorHAnsi" w:eastAsia="SimSun" w:hAnsiTheme="minorHAnsi"/>
          <w:i/>
          <w:lang w:val="sq-AL"/>
        </w:rPr>
      </w:pPr>
      <w:r>
        <w:rPr>
          <w:rFonts w:asciiTheme="minorHAnsi" w:eastAsia="SimSun" w:hAnsiTheme="minorHAnsi"/>
          <w:i/>
          <w:noProof/>
        </w:rPr>
        <w:drawing>
          <wp:inline distT="0" distB="0" distL="0" distR="0" wp14:anchorId="5E3986F6" wp14:editId="5FFB777D">
            <wp:extent cx="5471795" cy="2241550"/>
            <wp:effectExtent l="0" t="0" r="0" b="6350"/>
            <wp:docPr id="1087926016" name="Picture 108792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86066" cy="2247396"/>
                    </a:xfrm>
                    <a:prstGeom prst="rect">
                      <a:avLst/>
                    </a:prstGeom>
                    <a:noFill/>
                  </pic:spPr>
                </pic:pic>
              </a:graphicData>
            </a:graphic>
          </wp:inline>
        </w:drawing>
      </w:r>
    </w:p>
    <w:p w14:paraId="6448FB2F" w14:textId="77777777" w:rsidR="001B65FA" w:rsidRDefault="001B65FA" w:rsidP="001B65FA">
      <w:pPr>
        <w:spacing w:line="276" w:lineRule="auto"/>
        <w:ind w:firstLine="720"/>
        <w:jc w:val="both"/>
        <w:rPr>
          <w:rFonts w:asciiTheme="minorHAnsi" w:eastAsia="SimSun" w:hAnsiTheme="minorHAnsi"/>
          <w:i/>
          <w:sz w:val="20"/>
          <w:lang w:val="sq-AL"/>
        </w:rPr>
      </w:pPr>
      <w:r w:rsidRPr="0065598A">
        <w:rPr>
          <w:rFonts w:asciiTheme="minorHAnsi" w:eastAsia="SimSun" w:hAnsiTheme="minorHAnsi"/>
          <w:lang w:val="sq-AL"/>
        </w:rPr>
        <w:t xml:space="preserve"> </w:t>
      </w:r>
      <w:r w:rsidR="00193978">
        <w:rPr>
          <w:rFonts w:asciiTheme="minorHAnsi" w:eastAsia="SimSun" w:hAnsiTheme="minorHAnsi"/>
          <w:i/>
          <w:sz w:val="20"/>
          <w:lang w:val="sq-AL"/>
        </w:rPr>
        <w:t>Burimi: Ministria e Financave dhe Ekonomisë (2023)</w:t>
      </w:r>
    </w:p>
    <w:p w14:paraId="5ED92E5D" w14:textId="77777777" w:rsidR="001B65FA" w:rsidRDefault="001B65FA" w:rsidP="001B65FA">
      <w:pPr>
        <w:spacing w:line="276" w:lineRule="auto"/>
        <w:ind w:firstLine="720"/>
        <w:jc w:val="both"/>
        <w:rPr>
          <w:rFonts w:asciiTheme="minorHAnsi" w:eastAsia="SimSun" w:hAnsiTheme="minorHAnsi"/>
          <w:i/>
          <w:sz w:val="20"/>
          <w:lang w:val="sq-AL"/>
        </w:rPr>
      </w:pPr>
    </w:p>
    <w:p w14:paraId="4CD47C07" w14:textId="77777777" w:rsidR="00DC42CF" w:rsidRPr="00112432" w:rsidRDefault="00DC42CF" w:rsidP="001B65FA">
      <w:pPr>
        <w:spacing w:line="276" w:lineRule="auto"/>
        <w:ind w:firstLine="720"/>
        <w:jc w:val="both"/>
        <w:rPr>
          <w:rFonts w:asciiTheme="minorHAnsi" w:eastAsia="SimSun" w:hAnsiTheme="minorHAnsi"/>
          <w:i/>
          <w:sz w:val="20"/>
          <w:lang w:val="sq-AL"/>
        </w:rPr>
      </w:pPr>
    </w:p>
    <w:p w14:paraId="0EA6F502" w14:textId="77777777" w:rsidR="00DC42CF" w:rsidRPr="00163E30" w:rsidRDefault="001B65FA" w:rsidP="00DC42CF">
      <w:pPr>
        <w:spacing w:line="276" w:lineRule="auto"/>
        <w:jc w:val="both"/>
        <w:rPr>
          <w:rFonts w:asciiTheme="minorHAnsi" w:eastAsia="SimSun" w:hAnsiTheme="minorHAnsi"/>
          <w:lang w:val="sq-AL"/>
        </w:rPr>
      </w:pPr>
      <w:r w:rsidRPr="00BE627C">
        <w:rPr>
          <w:rFonts w:asciiTheme="minorHAnsi" w:eastAsia="SimSun" w:hAnsiTheme="minorHAnsi"/>
          <w:b/>
          <w:lang w:val="sq-AL"/>
        </w:rPr>
        <w:lastRenderedPageBreak/>
        <w:t>Shpenzimet kapitale</w:t>
      </w:r>
      <w:r w:rsidRPr="00BE627C">
        <w:rPr>
          <w:rFonts w:asciiTheme="minorHAnsi" w:eastAsia="SimSun" w:hAnsiTheme="minorHAnsi"/>
          <w:lang w:val="sq-AL"/>
        </w:rPr>
        <w:t xml:space="preserve">, </w:t>
      </w:r>
      <w:r w:rsidR="00BE627C" w:rsidRPr="00BE627C">
        <w:rPr>
          <w:rFonts w:asciiTheme="minorHAnsi" w:eastAsia="SimSun" w:hAnsiTheme="minorHAnsi"/>
          <w:lang w:val="sq-AL"/>
        </w:rPr>
        <w:t xml:space="preserve">për periudhën 5 mujore të vitit </w:t>
      </w:r>
      <w:r w:rsidR="00DC42CF" w:rsidRPr="00163E30">
        <w:rPr>
          <w:rFonts w:asciiTheme="minorHAnsi" w:eastAsia="SimSun" w:hAnsiTheme="minorHAnsi"/>
          <w:lang w:val="sq-AL"/>
        </w:rPr>
        <w:t>2023 kanë një realizim në masën rreth 23.</w:t>
      </w:r>
      <w:r w:rsidR="00DC42CF">
        <w:rPr>
          <w:rFonts w:asciiTheme="minorHAnsi" w:eastAsia="SimSun" w:hAnsiTheme="minorHAnsi"/>
          <w:lang w:val="sq-AL"/>
        </w:rPr>
        <w:t>6</w:t>
      </w:r>
      <w:r w:rsidR="00DC42CF" w:rsidRPr="00163E30">
        <w:rPr>
          <w:rFonts w:asciiTheme="minorHAnsi" w:eastAsia="SimSun" w:hAnsiTheme="minorHAnsi"/>
          <w:lang w:val="sq-AL"/>
        </w:rPr>
        <w:t xml:space="preserve"> miliard </w:t>
      </w:r>
      <w:r w:rsidR="00DC42CF" w:rsidRPr="00F94082">
        <w:rPr>
          <w:rFonts w:asciiTheme="minorHAnsi" w:eastAsia="SimSun" w:hAnsiTheme="minorHAnsi"/>
          <w:lang w:val="sq-AL"/>
        </w:rPr>
        <w:t>lekë</w:t>
      </w:r>
      <w:r w:rsidR="00DC42CF" w:rsidRPr="00163E30">
        <w:rPr>
          <w:rFonts w:asciiTheme="minorHAnsi" w:eastAsia="SimSun" w:hAnsiTheme="minorHAnsi"/>
          <w:lang w:val="sq-AL"/>
        </w:rPr>
        <w:t xml:space="preserve"> ose 7</w:t>
      </w:r>
      <w:r w:rsidR="00DC42CF">
        <w:rPr>
          <w:rFonts w:asciiTheme="minorHAnsi" w:eastAsia="SimSun" w:hAnsiTheme="minorHAnsi"/>
          <w:lang w:val="sq-AL"/>
        </w:rPr>
        <w:t>6</w:t>
      </w:r>
      <w:r w:rsidR="00DC42CF" w:rsidRPr="00163E30">
        <w:rPr>
          <w:rFonts w:asciiTheme="minorHAnsi" w:eastAsia="SimSun" w:hAnsiTheme="minorHAnsi"/>
          <w:lang w:val="sq-AL"/>
        </w:rPr>
        <w:t>.7 përqind në raport me fondet e planifikuara për këtë periudhë. Konkretisht:</w:t>
      </w:r>
    </w:p>
    <w:p w14:paraId="361206BF" w14:textId="77777777" w:rsidR="00DC42CF" w:rsidRPr="00163E30" w:rsidRDefault="00DC42CF" w:rsidP="00056DE5">
      <w:pPr>
        <w:pStyle w:val="ListParagraph"/>
        <w:numPr>
          <w:ilvl w:val="0"/>
          <w:numId w:val="25"/>
        </w:numPr>
        <w:jc w:val="both"/>
        <w:rPr>
          <w:rFonts w:asciiTheme="minorHAnsi" w:eastAsia="SimSun" w:hAnsiTheme="minorHAnsi"/>
          <w:i/>
          <w:lang w:val="sq-AL"/>
        </w:rPr>
      </w:pPr>
      <w:r w:rsidRPr="00163E30">
        <w:rPr>
          <w:rFonts w:asciiTheme="minorHAnsi" w:eastAsia="SimSun" w:hAnsiTheme="minorHAnsi"/>
          <w:i/>
          <w:lang w:val="sq-AL"/>
        </w:rPr>
        <w:t>Financimi i brendshëm ka pasur një realizim në masën rreth 17.4 miliard</w:t>
      </w:r>
      <w:r w:rsidRPr="00EC6004">
        <w:rPr>
          <w:rFonts w:asciiTheme="minorHAnsi" w:eastAsia="SimSun" w:hAnsiTheme="minorHAnsi"/>
          <w:i/>
          <w:lang w:val="sq-AL"/>
        </w:rPr>
        <w:t xml:space="preserve"> lekë</w:t>
      </w:r>
      <w:r w:rsidRPr="00163E30">
        <w:rPr>
          <w:rFonts w:asciiTheme="minorHAnsi" w:eastAsia="SimSun" w:hAnsiTheme="minorHAnsi"/>
          <w:i/>
          <w:lang w:val="sq-AL"/>
        </w:rPr>
        <w:t xml:space="preserve"> ose 177.7 përqind të planit të periudhës. </w:t>
      </w:r>
    </w:p>
    <w:p w14:paraId="6C99AFFD" w14:textId="77777777" w:rsidR="00DC42CF" w:rsidRPr="00163E30" w:rsidRDefault="00DC42CF" w:rsidP="00056DE5">
      <w:pPr>
        <w:pStyle w:val="ListParagraph"/>
        <w:numPr>
          <w:ilvl w:val="0"/>
          <w:numId w:val="25"/>
        </w:numPr>
        <w:jc w:val="both"/>
        <w:rPr>
          <w:rFonts w:asciiTheme="minorHAnsi" w:eastAsia="SimSun" w:hAnsiTheme="minorHAnsi"/>
          <w:i/>
          <w:lang w:val="sq-AL"/>
        </w:rPr>
      </w:pPr>
      <w:r w:rsidRPr="00163E30">
        <w:rPr>
          <w:rFonts w:asciiTheme="minorHAnsi" w:eastAsia="SimSun" w:hAnsiTheme="minorHAnsi"/>
          <w:i/>
          <w:lang w:val="sq-AL"/>
        </w:rPr>
        <w:t>Investimet nga të ardhurat e arsimit të lartë kanë shënuar një realizim në masën 267 milion</w:t>
      </w:r>
      <w:r>
        <w:rPr>
          <w:rFonts w:asciiTheme="minorHAnsi" w:eastAsia="SimSun" w:hAnsiTheme="minorHAnsi"/>
          <w:i/>
          <w:lang w:val="sq-AL"/>
        </w:rPr>
        <w:t>ë</w:t>
      </w:r>
      <w:r w:rsidRPr="00163E30">
        <w:rPr>
          <w:rFonts w:asciiTheme="minorHAnsi" w:eastAsia="SimSun" w:hAnsiTheme="minorHAnsi"/>
          <w:i/>
          <w:lang w:val="sq-AL"/>
        </w:rPr>
        <w:t xml:space="preserve"> </w:t>
      </w:r>
      <w:r w:rsidRPr="00EC6004">
        <w:rPr>
          <w:rFonts w:asciiTheme="minorHAnsi" w:eastAsia="SimSun" w:hAnsiTheme="minorHAnsi"/>
          <w:i/>
          <w:lang w:val="sq-AL"/>
        </w:rPr>
        <w:t>lekë</w:t>
      </w:r>
      <w:r w:rsidRPr="00163E30">
        <w:rPr>
          <w:rFonts w:asciiTheme="minorHAnsi" w:eastAsia="SimSun" w:hAnsiTheme="minorHAnsi"/>
          <w:i/>
          <w:lang w:val="sq-AL"/>
        </w:rPr>
        <w:t xml:space="preserve"> ose 84.6 përqind të planit të periudhës.</w:t>
      </w:r>
    </w:p>
    <w:p w14:paraId="5F017E9C" w14:textId="77777777" w:rsidR="00DC42CF" w:rsidRDefault="00DC42CF" w:rsidP="00056DE5">
      <w:pPr>
        <w:pStyle w:val="ListParagraph"/>
        <w:numPr>
          <w:ilvl w:val="0"/>
          <w:numId w:val="25"/>
        </w:numPr>
        <w:jc w:val="both"/>
        <w:rPr>
          <w:rFonts w:asciiTheme="minorHAnsi" w:eastAsia="SimSun" w:hAnsiTheme="minorHAnsi"/>
          <w:i/>
          <w:lang w:val="sq-AL"/>
        </w:rPr>
      </w:pPr>
      <w:r w:rsidRPr="00163E30">
        <w:rPr>
          <w:rFonts w:asciiTheme="minorHAnsi" w:eastAsia="SimSun" w:hAnsiTheme="minorHAnsi"/>
          <w:i/>
          <w:lang w:val="sq-AL"/>
        </w:rPr>
        <w:t xml:space="preserve">Financimi i huaj ka shënuar një realizim prej rreth </w:t>
      </w:r>
      <w:r>
        <w:rPr>
          <w:rFonts w:asciiTheme="minorHAnsi" w:eastAsia="SimSun" w:hAnsiTheme="minorHAnsi"/>
          <w:i/>
          <w:lang w:val="sq-AL"/>
        </w:rPr>
        <w:t>3.3</w:t>
      </w:r>
      <w:r w:rsidRPr="00163E30">
        <w:rPr>
          <w:rFonts w:asciiTheme="minorHAnsi" w:eastAsia="SimSun" w:hAnsiTheme="minorHAnsi"/>
          <w:i/>
          <w:lang w:val="sq-AL"/>
        </w:rPr>
        <w:t xml:space="preserve"> </w:t>
      </w:r>
      <w:r w:rsidRPr="00EC6004">
        <w:rPr>
          <w:rFonts w:asciiTheme="minorHAnsi" w:eastAsia="SimSun" w:hAnsiTheme="minorHAnsi"/>
          <w:i/>
          <w:lang w:val="sq-AL"/>
        </w:rPr>
        <w:t>miliard lekë</w:t>
      </w:r>
      <w:r w:rsidRPr="00163E30">
        <w:rPr>
          <w:rFonts w:asciiTheme="minorHAnsi" w:eastAsia="SimSun" w:hAnsiTheme="minorHAnsi"/>
          <w:i/>
          <w:lang w:val="sq-AL"/>
        </w:rPr>
        <w:t xml:space="preserve"> ose </w:t>
      </w:r>
      <w:r>
        <w:rPr>
          <w:rFonts w:asciiTheme="minorHAnsi" w:eastAsia="SimSun" w:hAnsiTheme="minorHAnsi"/>
          <w:i/>
          <w:lang w:val="sq-AL"/>
        </w:rPr>
        <w:t>18.4</w:t>
      </w:r>
      <w:r w:rsidRPr="00163E30">
        <w:rPr>
          <w:rFonts w:asciiTheme="minorHAnsi" w:eastAsia="SimSun" w:hAnsiTheme="minorHAnsi"/>
          <w:i/>
          <w:lang w:val="sq-AL"/>
        </w:rPr>
        <w:t xml:space="preserve"> përqind të planit të periudhës.</w:t>
      </w:r>
    </w:p>
    <w:p w14:paraId="576310B2" w14:textId="77777777" w:rsidR="00DC42CF" w:rsidRPr="004F1248" w:rsidRDefault="00DC42CF" w:rsidP="00DC42CF">
      <w:pPr>
        <w:spacing w:before="120" w:line="276" w:lineRule="auto"/>
        <w:jc w:val="both"/>
        <w:rPr>
          <w:rFonts w:asciiTheme="minorHAnsi" w:eastAsia="SimSun" w:hAnsiTheme="minorHAnsi"/>
          <w:lang w:val="sq-AL"/>
        </w:rPr>
      </w:pPr>
      <w:r w:rsidRPr="00112432">
        <w:rPr>
          <w:rFonts w:asciiTheme="minorHAnsi" w:hAnsiTheme="minorHAnsi"/>
          <w:i/>
          <w:lang w:val="sq-AL"/>
        </w:rPr>
        <w:t>Krahasuar me planin vjetor</w:t>
      </w:r>
      <w:r w:rsidRPr="00112432">
        <w:rPr>
          <w:rFonts w:asciiTheme="minorHAnsi" w:eastAsia="SimSun" w:hAnsiTheme="minorHAnsi"/>
          <w:lang w:val="sq-AL"/>
        </w:rPr>
        <w:t xml:space="preserve">, </w:t>
      </w:r>
      <w:r w:rsidRPr="004576B4">
        <w:rPr>
          <w:rFonts w:asciiTheme="minorHAnsi" w:eastAsia="SimSun" w:hAnsiTheme="minorHAnsi"/>
          <w:lang w:val="sq-AL"/>
        </w:rPr>
        <w:t xml:space="preserve">për 5 mujorin e vitit </w:t>
      </w:r>
      <w:r w:rsidRPr="004F1248">
        <w:rPr>
          <w:rFonts w:asciiTheme="minorHAnsi" w:eastAsia="SimSun" w:hAnsiTheme="minorHAnsi"/>
          <w:lang w:val="sq-AL"/>
        </w:rPr>
        <w:t>2023 është konstatuar një realizim i përgjithshëm i shpenzimeve kapitale në masën 1</w:t>
      </w:r>
      <w:r>
        <w:rPr>
          <w:rFonts w:asciiTheme="minorHAnsi" w:eastAsia="SimSun" w:hAnsiTheme="minorHAnsi"/>
          <w:lang w:val="sq-AL"/>
        </w:rPr>
        <w:t>9</w:t>
      </w:r>
      <w:r w:rsidRPr="004F1248">
        <w:rPr>
          <w:rFonts w:asciiTheme="minorHAnsi" w:eastAsia="SimSun" w:hAnsiTheme="minorHAnsi"/>
          <w:lang w:val="sq-AL"/>
        </w:rPr>
        <w:t>.</w:t>
      </w:r>
      <w:r>
        <w:rPr>
          <w:rFonts w:asciiTheme="minorHAnsi" w:eastAsia="SimSun" w:hAnsiTheme="minorHAnsi"/>
          <w:lang w:val="sq-AL"/>
        </w:rPr>
        <w:t>1</w:t>
      </w:r>
      <w:r w:rsidRPr="004F1248">
        <w:rPr>
          <w:rFonts w:asciiTheme="minorHAnsi" w:eastAsia="SimSun" w:hAnsiTheme="minorHAnsi"/>
          <w:lang w:val="sq-AL"/>
        </w:rPr>
        <w:t xml:space="preserve"> përqind të planit vjetor. Konkretisht:</w:t>
      </w:r>
    </w:p>
    <w:p w14:paraId="0E845755" w14:textId="77777777" w:rsidR="00DC42CF" w:rsidRPr="004F1248" w:rsidRDefault="00DC42CF" w:rsidP="00056DE5">
      <w:pPr>
        <w:pStyle w:val="ListParagraph"/>
        <w:numPr>
          <w:ilvl w:val="0"/>
          <w:numId w:val="25"/>
        </w:numPr>
        <w:jc w:val="both"/>
        <w:rPr>
          <w:rFonts w:asciiTheme="minorHAnsi" w:eastAsia="SimSun" w:hAnsiTheme="minorHAnsi"/>
          <w:i/>
          <w:lang w:val="sq-AL"/>
        </w:rPr>
      </w:pPr>
      <w:r w:rsidRPr="004F1248">
        <w:rPr>
          <w:rFonts w:asciiTheme="minorHAnsi" w:eastAsia="SimSun" w:hAnsiTheme="minorHAnsi"/>
          <w:i/>
          <w:lang w:val="sq-AL"/>
        </w:rPr>
        <w:t xml:space="preserve">Financimi i brendshëm është realizuar në masën 24.1 përqind të planit vjetor. </w:t>
      </w:r>
    </w:p>
    <w:p w14:paraId="0617031E" w14:textId="77777777" w:rsidR="00DC42CF" w:rsidRPr="004F1248" w:rsidRDefault="00DC42CF" w:rsidP="00056DE5">
      <w:pPr>
        <w:pStyle w:val="ListParagraph"/>
        <w:numPr>
          <w:ilvl w:val="0"/>
          <w:numId w:val="25"/>
        </w:numPr>
        <w:jc w:val="both"/>
        <w:rPr>
          <w:rFonts w:asciiTheme="minorHAnsi" w:eastAsia="SimSun" w:hAnsiTheme="minorHAnsi"/>
          <w:i/>
          <w:lang w:val="sq-AL"/>
        </w:rPr>
      </w:pPr>
      <w:r w:rsidRPr="004F1248">
        <w:rPr>
          <w:rFonts w:asciiTheme="minorHAnsi" w:eastAsia="SimSun" w:hAnsiTheme="minorHAnsi"/>
          <w:i/>
          <w:lang w:val="sq-AL"/>
        </w:rPr>
        <w:t>Investimet nga të ardhurat e arsimit të lartë janë realizuar në masën 26.7</w:t>
      </w:r>
      <w:r>
        <w:rPr>
          <w:rFonts w:asciiTheme="minorHAnsi" w:eastAsia="SimSun" w:hAnsiTheme="minorHAnsi"/>
          <w:i/>
          <w:lang w:val="sq-AL"/>
        </w:rPr>
        <w:t>%</w:t>
      </w:r>
      <w:r w:rsidRPr="004F1248">
        <w:rPr>
          <w:rFonts w:asciiTheme="minorHAnsi" w:eastAsia="SimSun" w:hAnsiTheme="minorHAnsi"/>
          <w:i/>
          <w:lang w:val="sq-AL"/>
        </w:rPr>
        <w:t xml:space="preserve"> të planit vjetor. </w:t>
      </w:r>
    </w:p>
    <w:p w14:paraId="3BDF41F5" w14:textId="77777777" w:rsidR="00DC42CF" w:rsidRDefault="00DC42CF" w:rsidP="00056DE5">
      <w:pPr>
        <w:pStyle w:val="ListParagraph"/>
        <w:numPr>
          <w:ilvl w:val="0"/>
          <w:numId w:val="25"/>
        </w:numPr>
        <w:jc w:val="both"/>
        <w:rPr>
          <w:rFonts w:asciiTheme="minorHAnsi" w:eastAsia="SimSun" w:hAnsiTheme="minorHAnsi"/>
          <w:i/>
          <w:lang w:val="sq-AL"/>
        </w:rPr>
      </w:pPr>
      <w:r w:rsidRPr="004F1248">
        <w:rPr>
          <w:rFonts w:asciiTheme="minorHAnsi" w:eastAsia="SimSun" w:hAnsiTheme="minorHAnsi"/>
          <w:i/>
          <w:lang w:val="sq-AL"/>
        </w:rPr>
        <w:t xml:space="preserve">Financimi i huaj është realizuar në masën </w:t>
      </w:r>
      <w:r>
        <w:rPr>
          <w:rFonts w:asciiTheme="minorHAnsi" w:eastAsia="SimSun" w:hAnsiTheme="minorHAnsi"/>
          <w:i/>
          <w:lang w:val="sq-AL"/>
        </w:rPr>
        <w:t>7.1</w:t>
      </w:r>
      <w:r w:rsidRPr="004F1248">
        <w:rPr>
          <w:rFonts w:asciiTheme="minorHAnsi" w:eastAsia="SimSun" w:hAnsiTheme="minorHAnsi"/>
          <w:i/>
          <w:lang w:val="sq-AL"/>
        </w:rPr>
        <w:t xml:space="preserve"> përqind të planit vjetor. </w:t>
      </w:r>
    </w:p>
    <w:p w14:paraId="50AE9EAE" w14:textId="15940A64" w:rsidR="00635981" w:rsidRDefault="00635981" w:rsidP="00DC42CF">
      <w:pPr>
        <w:spacing w:before="120" w:line="276" w:lineRule="auto"/>
        <w:jc w:val="both"/>
        <w:rPr>
          <w:rFonts w:asciiTheme="minorHAnsi" w:eastAsia="SimSun" w:hAnsiTheme="minorHAnsi"/>
          <w:highlight w:val="yellow"/>
          <w:lang w:val="sq-AL"/>
        </w:rPr>
      </w:pPr>
      <w:r>
        <w:rPr>
          <w:rFonts w:asciiTheme="minorHAnsi" w:hAnsiTheme="minorHAnsi"/>
          <w:bCs/>
          <w:noProof/>
          <w:lang w:val="sq-AL"/>
        </w:rPr>
        <w:t xml:space="preserve">Sa i takon krahasimit me </w:t>
      </w:r>
      <w:r w:rsidRPr="00461A59">
        <w:rPr>
          <w:rFonts w:asciiTheme="minorHAnsi" w:hAnsiTheme="minorHAnsi"/>
          <w:bCs/>
          <w:noProof/>
          <w:lang w:val="sq-AL"/>
        </w:rPr>
        <w:t>vitet e mëparsh</w:t>
      </w:r>
      <w:r>
        <w:rPr>
          <w:rFonts w:asciiTheme="minorHAnsi" w:hAnsiTheme="minorHAnsi"/>
          <w:bCs/>
          <w:noProof/>
          <w:lang w:val="sq-AL"/>
        </w:rPr>
        <w:t>me, e</w:t>
      </w:r>
      <w:r w:rsidRPr="00461A59">
        <w:rPr>
          <w:rFonts w:asciiTheme="minorHAnsi" w:hAnsiTheme="minorHAnsi"/>
          <w:bCs/>
          <w:noProof/>
          <w:lang w:val="sq-AL"/>
        </w:rPr>
        <w:t>curia e investimeve publike për 5</w:t>
      </w:r>
      <w:r>
        <w:rPr>
          <w:rFonts w:asciiTheme="minorHAnsi" w:hAnsiTheme="minorHAnsi"/>
          <w:bCs/>
          <w:noProof/>
          <w:lang w:val="sq-AL"/>
        </w:rPr>
        <w:t>M</w:t>
      </w:r>
      <w:r w:rsidRPr="00461A59">
        <w:rPr>
          <w:rFonts w:asciiTheme="minorHAnsi" w:hAnsiTheme="minorHAnsi"/>
          <w:bCs/>
          <w:noProof/>
          <w:lang w:val="sq-AL"/>
        </w:rPr>
        <w:t xml:space="preserve"> 2023 paraqitet në të njëjtat nivele</w:t>
      </w:r>
      <w:r>
        <w:rPr>
          <w:rFonts w:asciiTheme="minorHAnsi" w:hAnsiTheme="minorHAnsi"/>
          <w:bCs/>
          <w:noProof/>
          <w:lang w:val="sq-AL"/>
        </w:rPr>
        <w:t>, për të</w:t>
      </w:r>
      <w:r w:rsidRPr="00461A59">
        <w:rPr>
          <w:rFonts w:asciiTheme="minorHAnsi" w:hAnsiTheme="minorHAnsi"/>
          <w:bCs/>
          <w:noProof/>
          <w:lang w:val="sq-AL"/>
        </w:rPr>
        <w:t xml:space="preserve"> njëjtën periudhë raportimi. Realizimi për Financimin e Brendshëm paraqitet më i lartë krahasuar me të njëjtën periudhë raportimi, ndërkohë që Financimi i Huaj paraqitet ndjeshëm më i ulët se vitet e kaluara dhe realizimi i ulët lidhet kryesisht me mosrealizimet nga grantet.</w:t>
      </w:r>
      <w:r w:rsidRPr="00461A59">
        <w:rPr>
          <w:rFonts w:asciiTheme="minorHAnsi" w:hAnsiTheme="minorHAnsi"/>
          <w:noProof/>
          <w:lang w:val="sq-AL"/>
        </w:rPr>
        <w:t xml:space="preserve"> Një pjesë e mirë</w:t>
      </w:r>
      <w:r>
        <w:rPr>
          <w:rFonts w:asciiTheme="minorHAnsi" w:hAnsiTheme="minorHAnsi"/>
          <w:noProof/>
          <w:lang w:val="sq-AL"/>
        </w:rPr>
        <w:t xml:space="preserve"> </w:t>
      </w:r>
      <w:r w:rsidRPr="00461A59">
        <w:rPr>
          <w:rFonts w:asciiTheme="minorHAnsi" w:hAnsiTheme="minorHAnsi"/>
          <w:noProof/>
          <w:lang w:val="sq-AL"/>
        </w:rPr>
        <w:t xml:space="preserve">e shpenizmeve për projekte investimi është akorduar për projekte të reja të cilat fillojnë gjatë vitit 2023 dhe për të cilat janë duke u kryer procedurat e prokurimit. </w:t>
      </w:r>
      <w:r w:rsidRPr="00461A59">
        <w:rPr>
          <w:rFonts w:asciiTheme="minorHAnsi" w:hAnsiTheme="minorHAnsi"/>
          <w:bCs/>
          <w:noProof/>
          <w:lang w:val="sq-AL"/>
        </w:rPr>
        <w:t>Nga ministritë e linjës pavarësisht realizimit të deritanishëm është raportuar se deri në fund të vitit do të kryhen të gjitha procedurat e prokurimit dhe do të vijohet normalisht me realizimin e fondeve për projektet e investimeve për financimin e brendshëm. Ndërkohë Financimi i Huaj mund të paraqesë disa problematika mosrealizimi</w:t>
      </w:r>
      <w:r>
        <w:rPr>
          <w:rFonts w:asciiTheme="minorHAnsi" w:hAnsiTheme="minorHAnsi"/>
          <w:bCs/>
          <w:noProof/>
          <w:lang w:val="sq-AL"/>
        </w:rPr>
        <w:t>,</w:t>
      </w:r>
      <w:r w:rsidRPr="00461A59">
        <w:rPr>
          <w:rFonts w:asciiTheme="minorHAnsi" w:hAnsiTheme="minorHAnsi"/>
          <w:bCs/>
          <w:noProof/>
          <w:lang w:val="sq-AL"/>
        </w:rPr>
        <w:t xml:space="preserve"> kryesisht </w:t>
      </w:r>
      <w:r>
        <w:rPr>
          <w:rFonts w:asciiTheme="minorHAnsi" w:hAnsiTheme="minorHAnsi"/>
          <w:bCs/>
          <w:noProof/>
          <w:lang w:val="sq-AL"/>
        </w:rPr>
        <w:t xml:space="preserve">për </w:t>
      </w:r>
      <w:r w:rsidRPr="00461A59">
        <w:rPr>
          <w:rFonts w:asciiTheme="minorHAnsi" w:hAnsiTheme="minorHAnsi"/>
          <w:bCs/>
          <w:noProof/>
          <w:lang w:val="sq-AL"/>
        </w:rPr>
        <w:t>ato me burim financimi grante. Deri në fund të muajit Maj 2023 janë raportuar disa kontrata për projekte investimi të përfunduara</w:t>
      </w:r>
      <w:r>
        <w:rPr>
          <w:rFonts w:asciiTheme="minorHAnsi" w:hAnsiTheme="minorHAnsi"/>
          <w:bCs/>
          <w:noProof/>
          <w:lang w:val="sq-AL"/>
        </w:rPr>
        <w:t xml:space="preserve">, dhe </w:t>
      </w:r>
      <w:r w:rsidRPr="00461A59">
        <w:rPr>
          <w:rFonts w:asciiTheme="minorHAnsi" w:hAnsiTheme="minorHAnsi"/>
          <w:bCs/>
          <w:noProof/>
          <w:lang w:val="sq-AL"/>
        </w:rPr>
        <w:t xml:space="preserve">po vijohet me zbatimin e kontratave për projektet e </w:t>
      </w:r>
      <w:r>
        <w:rPr>
          <w:rFonts w:asciiTheme="minorHAnsi" w:hAnsiTheme="minorHAnsi"/>
          <w:bCs/>
          <w:noProof/>
          <w:lang w:val="sq-AL"/>
        </w:rPr>
        <w:t xml:space="preserve">tjera të </w:t>
      </w:r>
      <w:r w:rsidRPr="00461A59">
        <w:rPr>
          <w:rFonts w:asciiTheme="minorHAnsi" w:hAnsiTheme="minorHAnsi"/>
          <w:bCs/>
          <w:noProof/>
          <w:lang w:val="sq-AL"/>
        </w:rPr>
        <w:t>investimeve të parashikuara për vitin 2023. Numri më i lartë i kontratave për projektet e investimit të përfunduara i takon Ministrisë së Infrastrukturës dhe Energjisë dhe konkretisht projektet në Infrastrukturë</w:t>
      </w:r>
      <w:r>
        <w:rPr>
          <w:rFonts w:asciiTheme="minorHAnsi" w:hAnsiTheme="minorHAnsi"/>
          <w:bCs/>
          <w:noProof/>
          <w:lang w:val="sq-AL"/>
        </w:rPr>
        <w:t>.</w:t>
      </w:r>
    </w:p>
    <w:p w14:paraId="7EF22659" w14:textId="29A8ED91" w:rsidR="001B65FA" w:rsidRDefault="00BE627C" w:rsidP="00DC42CF">
      <w:pPr>
        <w:spacing w:before="120" w:line="276" w:lineRule="auto"/>
        <w:jc w:val="both"/>
        <w:rPr>
          <w:rFonts w:asciiTheme="minorHAnsi" w:eastAsia="SimSun" w:hAnsiTheme="minorHAnsi"/>
          <w:lang w:val="sq-AL"/>
        </w:rPr>
      </w:pPr>
      <w:r w:rsidRPr="00637779">
        <w:rPr>
          <w:rFonts w:asciiTheme="minorHAnsi" w:eastAsia="SimSun" w:hAnsiTheme="minorHAnsi"/>
          <w:lang w:val="sq-AL"/>
        </w:rPr>
        <w:t xml:space="preserve">Fondi i rindërtimit </w:t>
      </w:r>
      <w:r w:rsidR="00DC42CF" w:rsidRPr="00637779">
        <w:rPr>
          <w:rFonts w:asciiTheme="minorHAnsi" w:eastAsia="SimSun" w:hAnsiTheme="minorHAnsi"/>
          <w:lang w:val="sq-AL"/>
        </w:rPr>
        <w:t>p</w:t>
      </w:r>
      <w:r w:rsidR="004B3FF3" w:rsidRPr="00637779">
        <w:rPr>
          <w:rFonts w:asciiTheme="minorHAnsi" w:eastAsia="SimSun" w:hAnsiTheme="minorHAnsi"/>
          <w:lang w:val="sq-AL"/>
        </w:rPr>
        <w:t>ë</w:t>
      </w:r>
      <w:r w:rsidR="00DC42CF" w:rsidRPr="00637779">
        <w:rPr>
          <w:rFonts w:asciiTheme="minorHAnsi" w:eastAsia="SimSun" w:hAnsiTheme="minorHAnsi"/>
          <w:lang w:val="sq-AL"/>
        </w:rPr>
        <w:t>r 5M 2023 është realizuar në masën rreth 2.7 miliard lekë, duke rezultuar 89.6 përqind e planit të periudhës ose 53.7 përqind e planit vjetor. Nga ky realizim, 193 milionë lekë janë shpenzime nga qeverisja qendrore dhe rreth 2.5 miliard lekë janë shpenzime nga qeverisja vendore. Kundrejt të njëjtës periudhë 2022 ky nivel rezulton 64.2% më i ulët ose rreth 4.8mld lekë më pak</w:t>
      </w:r>
      <w:r w:rsidR="001B65FA" w:rsidRPr="00637779">
        <w:rPr>
          <w:rFonts w:asciiTheme="minorHAnsi" w:eastAsia="SimSun" w:hAnsiTheme="minorHAnsi"/>
          <w:lang w:val="sq-AL"/>
        </w:rPr>
        <w:t>.</w:t>
      </w:r>
    </w:p>
    <w:p w14:paraId="2AB61613" w14:textId="2A08928B" w:rsidR="001B65FA" w:rsidRPr="006A740D" w:rsidRDefault="00A92096" w:rsidP="00A92096">
      <w:pPr>
        <w:pStyle w:val="Caption"/>
        <w:spacing w:before="240" w:after="0"/>
        <w:rPr>
          <w:rFonts w:asciiTheme="minorHAnsi" w:hAnsiTheme="minorHAnsi"/>
          <w:b w:val="0"/>
          <w:bCs w:val="0"/>
          <w:i/>
          <w:color w:val="auto"/>
          <w:sz w:val="22"/>
          <w:szCs w:val="24"/>
          <w:lang w:val="sq-AL"/>
        </w:rPr>
      </w:pPr>
      <w:bookmarkStart w:id="60" w:name="_Toc107498114"/>
      <w:r w:rsidRPr="00A92096">
        <w:rPr>
          <w:rFonts w:asciiTheme="minorHAnsi" w:hAnsiTheme="minorHAnsi"/>
          <w:b w:val="0"/>
          <w:bCs w:val="0"/>
          <w:i/>
          <w:color w:val="auto"/>
          <w:sz w:val="22"/>
          <w:szCs w:val="24"/>
          <w:lang w:val="sq-AL"/>
        </w:rPr>
        <w:t xml:space="preserve">Grafiku </w:t>
      </w:r>
      <w:r w:rsidRPr="00A92096">
        <w:rPr>
          <w:rFonts w:asciiTheme="minorHAnsi" w:hAnsiTheme="minorHAnsi"/>
          <w:b w:val="0"/>
          <w:bCs w:val="0"/>
          <w:i/>
          <w:color w:val="auto"/>
          <w:sz w:val="22"/>
          <w:szCs w:val="24"/>
          <w:lang w:val="sq-AL"/>
        </w:rPr>
        <w:fldChar w:fldCharType="begin"/>
      </w:r>
      <w:r w:rsidRPr="00A92096">
        <w:rPr>
          <w:rFonts w:asciiTheme="minorHAnsi" w:hAnsiTheme="minorHAnsi"/>
          <w:b w:val="0"/>
          <w:bCs w:val="0"/>
          <w:i/>
          <w:color w:val="auto"/>
          <w:sz w:val="22"/>
          <w:szCs w:val="24"/>
          <w:lang w:val="sq-AL"/>
        </w:rPr>
        <w:instrText xml:space="preserve"> SEQ Grafiku \* ARABIC </w:instrText>
      </w:r>
      <w:r w:rsidRPr="00A92096">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23</w:t>
      </w:r>
      <w:r w:rsidRPr="00A92096">
        <w:rPr>
          <w:rFonts w:asciiTheme="minorHAnsi" w:hAnsiTheme="minorHAnsi"/>
          <w:b w:val="0"/>
          <w:bCs w:val="0"/>
          <w:i/>
          <w:color w:val="auto"/>
          <w:sz w:val="22"/>
          <w:szCs w:val="24"/>
          <w:lang w:val="sq-AL"/>
        </w:rPr>
        <w:fldChar w:fldCharType="end"/>
      </w:r>
      <w:r w:rsidR="001B65FA" w:rsidRPr="00A92096">
        <w:rPr>
          <w:rFonts w:asciiTheme="minorHAnsi" w:hAnsiTheme="minorHAnsi"/>
          <w:b w:val="0"/>
          <w:bCs w:val="0"/>
          <w:i/>
          <w:color w:val="auto"/>
          <w:sz w:val="22"/>
          <w:szCs w:val="24"/>
          <w:lang w:val="sq-AL"/>
        </w:rPr>
        <w:t xml:space="preserve"> Shpenzimet Kapitale dhe ritmi i rritjes së tyre (në miliardë LEK)</w:t>
      </w:r>
      <w:bookmarkEnd w:id="60"/>
    </w:p>
    <w:p w14:paraId="2679A68E" w14:textId="77777777" w:rsidR="001B65FA" w:rsidRPr="0065598A" w:rsidRDefault="00DC42CF" w:rsidP="001B65FA">
      <w:pPr>
        <w:jc w:val="center"/>
        <w:rPr>
          <w:rFonts w:asciiTheme="minorHAnsi" w:eastAsia="SimSun" w:hAnsiTheme="minorHAnsi"/>
          <w:i/>
          <w:lang w:val="sq-AL"/>
        </w:rPr>
      </w:pPr>
      <w:r>
        <w:rPr>
          <w:rFonts w:asciiTheme="minorHAnsi" w:eastAsia="SimSun" w:hAnsiTheme="minorHAnsi"/>
          <w:i/>
          <w:noProof/>
        </w:rPr>
        <w:drawing>
          <wp:inline distT="0" distB="0" distL="0" distR="0" wp14:anchorId="4D23D45F" wp14:editId="729711CE">
            <wp:extent cx="5591175" cy="2152650"/>
            <wp:effectExtent l="0" t="0" r="9525" b="0"/>
            <wp:docPr id="1087926017" name="Picture 1087926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91175" cy="2152650"/>
                    </a:xfrm>
                    <a:prstGeom prst="rect">
                      <a:avLst/>
                    </a:prstGeom>
                    <a:noFill/>
                  </pic:spPr>
                </pic:pic>
              </a:graphicData>
            </a:graphic>
          </wp:inline>
        </w:drawing>
      </w:r>
    </w:p>
    <w:p w14:paraId="23F74C49" w14:textId="77777777" w:rsidR="001B65FA" w:rsidRPr="0065598A" w:rsidRDefault="00193978" w:rsidP="001B65FA">
      <w:pPr>
        <w:spacing w:line="276" w:lineRule="auto"/>
        <w:ind w:firstLine="720"/>
        <w:rPr>
          <w:rFonts w:asciiTheme="minorHAnsi" w:eastAsia="SimSun" w:hAnsiTheme="minorHAnsi"/>
          <w:i/>
          <w:lang w:val="sq-AL"/>
        </w:rPr>
      </w:pPr>
      <w:r>
        <w:rPr>
          <w:rFonts w:asciiTheme="minorHAnsi" w:eastAsia="SimSun" w:hAnsiTheme="minorHAnsi"/>
          <w:i/>
          <w:sz w:val="20"/>
          <w:lang w:val="sq-AL"/>
        </w:rPr>
        <w:t>Burimi: Ministria e Financave dhe Ekonomisë (2023)</w:t>
      </w:r>
      <w:r w:rsidR="001B65FA" w:rsidRPr="0065598A">
        <w:rPr>
          <w:rFonts w:asciiTheme="minorHAnsi" w:eastAsia="SimSun" w:hAnsiTheme="minorHAnsi"/>
          <w:i/>
          <w:lang w:val="sq-AL"/>
        </w:rPr>
        <w:t xml:space="preserve">          </w:t>
      </w:r>
    </w:p>
    <w:p w14:paraId="613656EC" w14:textId="6DEF504B" w:rsidR="001B65FA" w:rsidRPr="006A740D" w:rsidRDefault="00A92096" w:rsidP="00A92096">
      <w:pPr>
        <w:pStyle w:val="Caption"/>
        <w:spacing w:before="240" w:after="0"/>
        <w:rPr>
          <w:rFonts w:asciiTheme="minorHAnsi" w:hAnsiTheme="minorHAnsi"/>
          <w:b w:val="0"/>
          <w:bCs w:val="0"/>
          <w:i/>
          <w:color w:val="auto"/>
          <w:sz w:val="22"/>
          <w:szCs w:val="24"/>
          <w:lang w:val="sq-AL"/>
        </w:rPr>
      </w:pPr>
      <w:bookmarkStart w:id="61" w:name="_Toc107498115"/>
      <w:r w:rsidRPr="00A92096">
        <w:rPr>
          <w:rFonts w:asciiTheme="minorHAnsi" w:hAnsiTheme="minorHAnsi"/>
          <w:b w:val="0"/>
          <w:bCs w:val="0"/>
          <w:i/>
          <w:color w:val="auto"/>
          <w:sz w:val="22"/>
          <w:szCs w:val="24"/>
          <w:lang w:val="sq-AL"/>
        </w:rPr>
        <w:lastRenderedPageBreak/>
        <w:t xml:space="preserve">Grafiku </w:t>
      </w:r>
      <w:r w:rsidRPr="00A92096">
        <w:rPr>
          <w:rFonts w:asciiTheme="minorHAnsi" w:hAnsiTheme="minorHAnsi"/>
          <w:b w:val="0"/>
          <w:bCs w:val="0"/>
          <w:i/>
          <w:color w:val="auto"/>
          <w:sz w:val="22"/>
          <w:szCs w:val="24"/>
          <w:lang w:val="sq-AL"/>
        </w:rPr>
        <w:fldChar w:fldCharType="begin"/>
      </w:r>
      <w:r w:rsidRPr="00A92096">
        <w:rPr>
          <w:rFonts w:asciiTheme="minorHAnsi" w:hAnsiTheme="minorHAnsi"/>
          <w:b w:val="0"/>
          <w:bCs w:val="0"/>
          <w:i/>
          <w:color w:val="auto"/>
          <w:sz w:val="22"/>
          <w:szCs w:val="24"/>
          <w:lang w:val="sq-AL"/>
        </w:rPr>
        <w:instrText xml:space="preserve"> SEQ Grafiku \* ARABIC </w:instrText>
      </w:r>
      <w:r w:rsidRPr="00A92096">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24</w:t>
      </w:r>
      <w:r w:rsidRPr="00A92096">
        <w:rPr>
          <w:rFonts w:asciiTheme="minorHAnsi" w:hAnsiTheme="minorHAnsi"/>
          <w:b w:val="0"/>
          <w:bCs w:val="0"/>
          <w:i/>
          <w:color w:val="auto"/>
          <w:sz w:val="22"/>
          <w:szCs w:val="24"/>
          <w:lang w:val="sq-AL"/>
        </w:rPr>
        <w:fldChar w:fldCharType="end"/>
      </w:r>
      <w:r w:rsidR="001B65FA" w:rsidRPr="00A92096">
        <w:rPr>
          <w:rFonts w:asciiTheme="minorHAnsi" w:hAnsiTheme="minorHAnsi"/>
          <w:b w:val="0"/>
          <w:bCs w:val="0"/>
          <w:i/>
          <w:color w:val="auto"/>
          <w:sz w:val="22"/>
          <w:szCs w:val="24"/>
          <w:lang w:val="sq-AL"/>
        </w:rPr>
        <w:t>: Shpenzimet Kapitale dhe burimi i financimit të tyre (në miliardë LEK)</w:t>
      </w:r>
      <w:bookmarkEnd w:id="61"/>
    </w:p>
    <w:p w14:paraId="7CB183BB" w14:textId="77777777" w:rsidR="001B65FA" w:rsidRPr="0065598A" w:rsidRDefault="00DC42CF" w:rsidP="001B65FA">
      <w:pPr>
        <w:jc w:val="center"/>
        <w:rPr>
          <w:rFonts w:asciiTheme="minorHAnsi" w:eastAsia="SimSun" w:hAnsiTheme="minorHAnsi"/>
          <w:i/>
          <w:lang w:val="sq-AL"/>
        </w:rPr>
      </w:pPr>
      <w:r>
        <w:rPr>
          <w:rFonts w:asciiTheme="minorHAnsi" w:eastAsia="SimSun" w:hAnsiTheme="minorHAnsi"/>
          <w:i/>
          <w:noProof/>
        </w:rPr>
        <w:drawing>
          <wp:inline distT="0" distB="0" distL="0" distR="0" wp14:anchorId="28930F1D" wp14:editId="3079C0E6">
            <wp:extent cx="5685790" cy="2647950"/>
            <wp:effectExtent l="0" t="0" r="0" b="0"/>
            <wp:docPr id="1087926018" name="Picture 1087926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96606" cy="2652987"/>
                    </a:xfrm>
                    <a:prstGeom prst="rect">
                      <a:avLst/>
                    </a:prstGeom>
                    <a:noFill/>
                  </pic:spPr>
                </pic:pic>
              </a:graphicData>
            </a:graphic>
          </wp:inline>
        </w:drawing>
      </w:r>
    </w:p>
    <w:p w14:paraId="4117A1A2" w14:textId="77777777" w:rsidR="001B65FA" w:rsidRPr="0065598A" w:rsidRDefault="001B65FA" w:rsidP="001B65FA">
      <w:pPr>
        <w:spacing w:line="276" w:lineRule="auto"/>
        <w:rPr>
          <w:rFonts w:asciiTheme="minorHAnsi" w:eastAsia="SimSun" w:hAnsiTheme="minorHAnsi"/>
          <w:i/>
          <w:sz w:val="20"/>
          <w:lang w:val="sq-AL"/>
        </w:rPr>
      </w:pPr>
      <w:r w:rsidRPr="0065598A">
        <w:rPr>
          <w:rFonts w:asciiTheme="minorHAnsi" w:eastAsia="SimSun" w:hAnsiTheme="minorHAnsi"/>
          <w:lang w:val="sq-AL"/>
        </w:rPr>
        <w:tab/>
      </w:r>
      <w:r w:rsidR="00193978">
        <w:rPr>
          <w:rFonts w:asciiTheme="minorHAnsi" w:eastAsia="SimSun" w:hAnsiTheme="minorHAnsi"/>
          <w:i/>
          <w:sz w:val="20"/>
          <w:lang w:val="sq-AL"/>
        </w:rPr>
        <w:t>Burimi: Ministria e Financave dhe Ekonomisë (2023)</w:t>
      </w:r>
    </w:p>
    <w:p w14:paraId="45CEBB1B" w14:textId="77777777" w:rsidR="00635981" w:rsidRPr="00635981" w:rsidRDefault="00635981" w:rsidP="00A92096">
      <w:pPr>
        <w:spacing w:line="276" w:lineRule="auto"/>
        <w:jc w:val="both"/>
        <w:rPr>
          <w:rFonts w:asciiTheme="minorHAnsi" w:eastAsia="SimSun" w:hAnsiTheme="minorHAnsi"/>
          <w:sz w:val="16"/>
          <w:szCs w:val="12"/>
          <w:lang w:val="sq-AL"/>
        </w:rPr>
      </w:pPr>
    </w:p>
    <w:p w14:paraId="250275AB" w14:textId="6B5F65BC" w:rsidR="00A92096" w:rsidRPr="00A92096" w:rsidRDefault="00BE627C" w:rsidP="00A92096">
      <w:pPr>
        <w:spacing w:line="276" w:lineRule="auto"/>
        <w:jc w:val="both"/>
        <w:rPr>
          <w:rFonts w:asciiTheme="minorHAnsi" w:eastAsia="SimSun" w:hAnsiTheme="minorHAnsi"/>
          <w:lang w:val="sq-AL"/>
        </w:rPr>
      </w:pPr>
      <w:r w:rsidRPr="00AE3C11">
        <w:rPr>
          <w:rFonts w:asciiTheme="minorHAnsi" w:eastAsia="SimSun" w:hAnsiTheme="minorHAnsi"/>
          <w:lang w:val="sq-AL"/>
        </w:rPr>
        <w:t xml:space="preserve">Grafiku i mëposhtëm paraqet </w:t>
      </w:r>
      <w:r w:rsidR="006E5095" w:rsidRPr="000E49A2">
        <w:rPr>
          <w:rFonts w:asciiTheme="minorHAnsi" w:eastAsia="SimSun" w:hAnsiTheme="minorHAnsi"/>
          <w:lang w:val="sq-AL"/>
        </w:rPr>
        <w:t>ndarjen e shpenzimeve faktike korente dhe kapitale, për periudhën 5 mujore të vitit 2023. Shpenzimet korente për këtë periudhë përbëjnë pjesën më të madhe të këtyre shpenzimeve me 89.</w:t>
      </w:r>
      <w:r w:rsidR="006E5095">
        <w:rPr>
          <w:rFonts w:asciiTheme="minorHAnsi" w:eastAsia="SimSun" w:hAnsiTheme="minorHAnsi"/>
          <w:lang w:val="sq-AL"/>
        </w:rPr>
        <w:t>3</w:t>
      </w:r>
      <w:r w:rsidR="006E5095" w:rsidRPr="000E49A2">
        <w:rPr>
          <w:rFonts w:asciiTheme="minorHAnsi" w:eastAsia="SimSun" w:hAnsiTheme="minorHAnsi"/>
          <w:lang w:val="sq-AL"/>
        </w:rPr>
        <w:t xml:space="preserve"> përqind, ndërsa shpenzimet kapitale përbëjnë 10.</w:t>
      </w:r>
      <w:r w:rsidR="006E5095">
        <w:rPr>
          <w:rFonts w:asciiTheme="minorHAnsi" w:eastAsia="SimSun" w:hAnsiTheme="minorHAnsi"/>
          <w:lang w:val="sq-AL"/>
        </w:rPr>
        <w:t>7</w:t>
      </w:r>
      <w:r w:rsidR="006E5095" w:rsidRPr="000E49A2">
        <w:rPr>
          <w:rFonts w:asciiTheme="minorHAnsi" w:eastAsia="SimSun" w:hAnsiTheme="minorHAnsi"/>
          <w:lang w:val="sq-AL"/>
        </w:rPr>
        <w:t xml:space="preserve"> përqind</w:t>
      </w:r>
      <w:r w:rsidR="001B65FA" w:rsidRPr="00F01315">
        <w:rPr>
          <w:rFonts w:asciiTheme="minorHAnsi" w:eastAsia="SimSun" w:hAnsiTheme="minorHAnsi"/>
          <w:lang w:val="sq-AL"/>
        </w:rPr>
        <w:t>.</w:t>
      </w:r>
    </w:p>
    <w:p w14:paraId="6A68DB57" w14:textId="444E2CD6" w:rsidR="001B65FA" w:rsidRPr="00A92096" w:rsidRDefault="00A92096" w:rsidP="00A92096">
      <w:pPr>
        <w:pStyle w:val="Caption"/>
        <w:spacing w:before="240" w:after="0"/>
        <w:jc w:val="both"/>
        <w:rPr>
          <w:rFonts w:asciiTheme="minorHAnsi" w:hAnsiTheme="minorHAnsi"/>
          <w:b w:val="0"/>
          <w:bCs w:val="0"/>
          <w:i/>
          <w:color w:val="auto"/>
          <w:sz w:val="22"/>
          <w:szCs w:val="24"/>
          <w:lang w:val="sq-AL"/>
        </w:rPr>
      </w:pPr>
      <w:bookmarkStart w:id="62" w:name="_Toc107498116"/>
      <w:r w:rsidRPr="00A92096">
        <w:rPr>
          <w:rFonts w:asciiTheme="minorHAnsi" w:hAnsiTheme="minorHAnsi"/>
          <w:b w:val="0"/>
          <w:bCs w:val="0"/>
          <w:i/>
          <w:color w:val="auto"/>
          <w:sz w:val="22"/>
          <w:szCs w:val="24"/>
          <w:lang w:val="sq-AL"/>
        </w:rPr>
        <w:t xml:space="preserve">Grafiku </w:t>
      </w:r>
      <w:r w:rsidRPr="00A92096">
        <w:rPr>
          <w:rFonts w:asciiTheme="minorHAnsi" w:hAnsiTheme="minorHAnsi"/>
          <w:b w:val="0"/>
          <w:bCs w:val="0"/>
          <w:i/>
          <w:color w:val="auto"/>
          <w:sz w:val="22"/>
          <w:szCs w:val="24"/>
          <w:lang w:val="sq-AL"/>
        </w:rPr>
        <w:fldChar w:fldCharType="begin"/>
      </w:r>
      <w:r w:rsidRPr="00A92096">
        <w:rPr>
          <w:rFonts w:asciiTheme="minorHAnsi" w:hAnsiTheme="minorHAnsi"/>
          <w:b w:val="0"/>
          <w:bCs w:val="0"/>
          <w:i/>
          <w:color w:val="auto"/>
          <w:sz w:val="22"/>
          <w:szCs w:val="24"/>
          <w:lang w:val="sq-AL"/>
        </w:rPr>
        <w:instrText xml:space="preserve"> SEQ Grafiku \* ARABIC </w:instrText>
      </w:r>
      <w:r w:rsidRPr="00A92096">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25</w:t>
      </w:r>
      <w:r w:rsidRPr="00A92096">
        <w:rPr>
          <w:rFonts w:asciiTheme="minorHAnsi" w:hAnsiTheme="minorHAnsi"/>
          <w:b w:val="0"/>
          <w:bCs w:val="0"/>
          <w:i/>
          <w:color w:val="auto"/>
          <w:sz w:val="22"/>
          <w:szCs w:val="24"/>
          <w:lang w:val="sq-AL"/>
        </w:rPr>
        <w:fldChar w:fldCharType="end"/>
      </w:r>
      <w:r w:rsidRPr="00A92096">
        <w:rPr>
          <w:rFonts w:asciiTheme="minorHAnsi" w:hAnsiTheme="minorHAnsi"/>
          <w:b w:val="0"/>
          <w:bCs w:val="0"/>
          <w:i/>
          <w:color w:val="auto"/>
          <w:sz w:val="22"/>
          <w:szCs w:val="24"/>
          <w:lang w:val="sq-AL"/>
        </w:rPr>
        <w:t xml:space="preserve">: </w:t>
      </w:r>
      <w:r w:rsidR="001B65FA" w:rsidRPr="00A92096">
        <w:rPr>
          <w:rFonts w:asciiTheme="minorHAnsi" w:hAnsiTheme="minorHAnsi"/>
          <w:b w:val="0"/>
          <w:bCs w:val="0"/>
          <w:i/>
          <w:color w:val="auto"/>
          <w:sz w:val="22"/>
          <w:szCs w:val="24"/>
          <w:lang w:val="sq-AL"/>
        </w:rPr>
        <w:t>Detajimi i Shpenzimeve Buxhetore (në milion LEK)</w:t>
      </w:r>
      <w:bookmarkEnd w:id="62"/>
      <w:r w:rsidR="001B65FA" w:rsidRPr="00BE627C">
        <w:rPr>
          <w:rFonts w:asciiTheme="minorHAnsi" w:hAnsiTheme="minorHAnsi"/>
          <w:b w:val="0"/>
          <w:bCs w:val="0"/>
          <w:i/>
          <w:color w:val="auto"/>
          <w:sz w:val="22"/>
          <w:szCs w:val="24"/>
          <w:lang w:val="sq-AL"/>
        </w:rPr>
        <w:t xml:space="preserve"> </w:t>
      </w:r>
    </w:p>
    <w:p w14:paraId="53B3779D" w14:textId="77777777" w:rsidR="001B65FA" w:rsidRPr="0065598A" w:rsidRDefault="006E5095" w:rsidP="00BE627C">
      <w:pPr>
        <w:ind w:left="-450"/>
        <w:jc w:val="center"/>
        <w:rPr>
          <w:rFonts w:asciiTheme="minorHAnsi" w:eastAsia="SimSun" w:hAnsiTheme="minorHAnsi"/>
          <w:i/>
          <w:lang w:val="sq-AL"/>
        </w:rPr>
      </w:pPr>
      <w:r>
        <w:rPr>
          <w:rFonts w:asciiTheme="minorHAnsi" w:eastAsia="SimSun" w:hAnsiTheme="minorHAnsi"/>
          <w:i/>
          <w:noProof/>
        </w:rPr>
        <w:drawing>
          <wp:inline distT="0" distB="0" distL="0" distR="0" wp14:anchorId="17E9583F" wp14:editId="43FEDF18">
            <wp:extent cx="4927600" cy="3175000"/>
            <wp:effectExtent l="0" t="0" r="6350" b="6350"/>
            <wp:docPr id="1087926019" name="Picture 1087926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948616" cy="3188541"/>
                    </a:xfrm>
                    <a:prstGeom prst="rect">
                      <a:avLst/>
                    </a:prstGeom>
                    <a:noFill/>
                  </pic:spPr>
                </pic:pic>
              </a:graphicData>
            </a:graphic>
          </wp:inline>
        </w:drawing>
      </w:r>
    </w:p>
    <w:p w14:paraId="2700A82A" w14:textId="77777777" w:rsidR="001B65FA" w:rsidRPr="00553471" w:rsidRDefault="001B65FA" w:rsidP="001B65FA">
      <w:pPr>
        <w:spacing w:line="276" w:lineRule="auto"/>
        <w:rPr>
          <w:rFonts w:asciiTheme="minorHAnsi" w:eastAsia="SimSun" w:hAnsiTheme="minorHAnsi"/>
          <w:i/>
          <w:sz w:val="20"/>
          <w:lang w:val="sq-AL"/>
        </w:rPr>
      </w:pPr>
      <w:r w:rsidRPr="0065598A">
        <w:rPr>
          <w:rFonts w:asciiTheme="minorHAnsi" w:eastAsia="SimSun" w:hAnsiTheme="minorHAnsi"/>
          <w:i/>
          <w:lang w:val="sq-AL"/>
        </w:rPr>
        <w:t xml:space="preserve"> </w:t>
      </w:r>
      <w:r w:rsidR="006A740D">
        <w:rPr>
          <w:rFonts w:asciiTheme="minorHAnsi" w:eastAsia="SimSun" w:hAnsiTheme="minorHAnsi"/>
          <w:i/>
          <w:lang w:val="sq-AL"/>
        </w:rPr>
        <w:t xml:space="preserve">       </w:t>
      </w:r>
      <w:r w:rsidR="006E5095">
        <w:rPr>
          <w:rFonts w:asciiTheme="minorHAnsi" w:eastAsia="SimSun" w:hAnsiTheme="minorHAnsi"/>
          <w:i/>
          <w:lang w:val="sq-AL"/>
        </w:rPr>
        <w:tab/>
      </w:r>
      <w:r w:rsidR="006E5095">
        <w:rPr>
          <w:rFonts w:asciiTheme="minorHAnsi" w:eastAsia="SimSun" w:hAnsiTheme="minorHAnsi"/>
          <w:i/>
          <w:lang w:val="sq-AL"/>
        </w:rPr>
        <w:tab/>
      </w:r>
      <w:r w:rsidR="006A740D">
        <w:rPr>
          <w:rFonts w:asciiTheme="minorHAnsi" w:eastAsia="SimSun" w:hAnsiTheme="minorHAnsi"/>
          <w:i/>
          <w:lang w:val="sq-AL"/>
        </w:rPr>
        <w:t xml:space="preserve"> </w:t>
      </w:r>
      <w:r w:rsidR="00193978">
        <w:rPr>
          <w:rFonts w:asciiTheme="minorHAnsi" w:eastAsia="SimSun" w:hAnsiTheme="minorHAnsi"/>
          <w:i/>
          <w:sz w:val="20"/>
          <w:lang w:val="sq-AL"/>
        </w:rPr>
        <w:t>Burimi: Ministria e Financave dhe Ekonomisë (2023)</w:t>
      </w:r>
    </w:p>
    <w:p w14:paraId="5F401CD6" w14:textId="77777777" w:rsidR="00BE627C" w:rsidRPr="00635981" w:rsidRDefault="00BE627C" w:rsidP="001B65FA">
      <w:pPr>
        <w:spacing w:line="276" w:lineRule="auto"/>
        <w:jc w:val="both"/>
        <w:rPr>
          <w:rFonts w:asciiTheme="minorHAnsi" w:eastAsia="SimSun" w:hAnsiTheme="minorHAnsi"/>
          <w:szCs w:val="8"/>
          <w:lang w:val="sq-AL"/>
        </w:rPr>
      </w:pPr>
    </w:p>
    <w:p w14:paraId="399F25D1" w14:textId="77777777" w:rsidR="001B65FA" w:rsidRPr="003F7DB9" w:rsidRDefault="00BE627C" w:rsidP="001B65FA">
      <w:pPr>
        <w:spacing w:line="276" w:lineRule="auto"/>
        <w:jc w:val="both"/>
        <w:rPr>
          <w:rFonts w:asciiTheme="minorHAnsi" w:eastAsia="SimSun" w:hAnsiTheme="minorHAnsi"/>
          <w:lang w:val="sq-AL"/>
        </w:rPr>
      </w:pPr>
      <w:r w:rsidRPr="002F40F4">
        <w:rPr>
          <w:rFonts w:asciiTheme="minorHAnsi" w:eastAsia="SimSun" w:hAnsiTheme="minorHAnsi"/>
          <w:lang w:val="sq-AL"/>
        </w:rPr>
        <w:t xml:space="preserve">Sikurse evidentohet </w:t>
      </w:r>
      <w:r w:rsidR="006E5095">
        <w:rPr>
          <w:rFonts w:asciiTheme="minorHAnsi" w:eastAsia="SimSun" w:hAnsiTheme="minorHAnsi"/>
          <w:lang w:val="sq-AL"/>
        </w:rPr>
        <w:t xml:space="preserve">dhe </w:t>
      </w:r>
      <w:r w:rsidRPr="002F40F4">
        <w:rPr>
          <w:rFonts w:asciiTheme="minorHAnsi" w:eastAsia="SimSun" w:hAnsiTheme="minorHAnsi"/>
          <w:lang w:val="sq-AL"/>
        </w:rPr>
        <w:t xml:space="preserve">nga tabela e treguesve fiskal të konsoliduar, </w:t>
      </w:r>
      <w:r w:rsidR="006E5095" w:rsidRPr="00CB5AA7">
        <w:rPr>
          <w:rFonts w:asciiTheme="minorHAnsi" w:eastAsia="SimSun" w:hAnsiTheme="minorHAnsi"/>
          <w:lang w:val="sq-AL"/>
        </w:rPr>
        <w:t xml:space="preserve">realizimi i shpenzimeve të përgjithshme për periudhën 5 mujore të vitit 2023 është rreth 221.7 miliard </w:t>
      </w:r>
      <w:r w:rsidR="006E5095">
        <w:rPr>
          <w:rFonts w:asciiTheme="minorHAnsi" w:eastAsia="SimSun" w:hAnsiTheme="minorHAnsi"/>
          <w:lang w:val="sq-AL"/>
        </w:rPr>
        <w:t>lekë</w:t>
      </w:r>
      <w:r w:rsidR="006E5095" w:rsidRPr="00CB5AA7">
        <w:rPr>
          <w:rFonts w:asciiTheme="minorHAnsi" w:eastAsia="SimSun" w:hAnsiTheme="minorHAnsi"/>
          <w:lang w:val="sq-AL"/>
        </w:rPr>
        <w:t xml:space="preserve"> ose 90 përqind kundrejt planit të periudhës. Kjo situatë është shoqëruar me një suficit buxhetor prej rreth 36.2 miliard </w:t>
      </w:r>
      <w:r w:rsidR="006E5095">
        <w:rPr>
          <w:rFonts w:asciiTheme="minorHAnsi" w:eastAsia="SimSun" w:hAnsiTheme="minorHAnsi"/>
          <w:lang w:val="sq-AL"/>
        </w:rPr>
        <w:t>lekë</w:t>
      </w:r>
      <w:r w:rsidR="006E5095" w:rsidRPr="00CB5AA7">
        <w:rPr>
          <w:rFonts w:asciiTheme="minorHAnsi" w:eastAsia="SimSun" w:hAnsiTheme="minorHAnsi"/>
          <w:lang w:val="sq-AL"/>
        </w:rPr>
        <w:t>. Grafiku i mëposhtëm tregon tendencat e treguesve kryesorë të buxhetit të shtetit</w:t>
      </w:r>
      <w:r w:rsidR="001B65FA" w:rsidRPr="00553471">
        <w:rPr>
          <w:rFonts w:asciiTheme="minorHAnsi" w:eastAsia="SimSun" w:hAnsiTheme="minorHAnsi"/>
          <w:lang w:val="sq-AL"/>
        </w:rPr>
        <w:t>.</w:t>
      </w:r>
    </w:p>
    <w:p w14:paraId="32039460" w14:textId="77777777" w:rsidR="00635981" w:rsidRDefault="00635981" w:rsidP="00A92096">
      <w:pPr>
        <w:pStyle w:val="Caption"/>
        <w:spacing w:before="240" w:after="0"/>
        <w:rPr>
          <w:rFonts w:asciiTheme="minorHAnsi" w:hAnsiTheme="minorHAnsi"/>
          <w:b w:val="0"/>
          <w:bCs w:val="0"/>
          <w:i/>
          <w:color w:val="auto"/>
          <w:sz w:val="22"/>
          <w:szCs w:val="24"/>
          <w:lang w:val="sq-AL"/>
        </w:rPr>
      </w:pPr>
      <w:bookmarkStart w:id="63" w:name="_Toc107498117"/>
    </w:p>
    <w:p w14:paraId="52C36CC4" w14:textId="77777777" w:rsidR="00635981" w:rsidRDefault="00635981" w:rsidP="00A92096">
      <w:pPr>
        <w:pStyle w:val="Caption"/>
        <w:spacing w:before="240" w:after="0"/>
        <w:rPr>
          <w:rFonts w:asciiTheme="minorHAnsi" w:hAnsiTheme="minorHAnsi"/>
          <w:b w:val="0"/>
          <w:bCs w:val="0"/>
          <w:i/>
          <w:color w:val="auto"/>
          <w:sz w:val="22"/>
          <w:szCs w:val="24"/>
          <w:lang w:val="sq-AL"/>
        </w:rPr>
      </w:pPr>
    </w:p>
    <w:p w14:paraId="297AA83B" w14:textId="2D2EE6C0" w:rsidR="001B65FA" w:rsidRPr="006A740D" w:rsidRDefault="00A92096" w:rsidP="00A92096">
      <w:pPr>
        <w:pStyle w:val="Caption"/>
        <w:spacing w:before="240" w:after="0"/>
        <w:rPr>
          <w:rFonts w:asciiTheme="minorHAnsi" w:hAnsiTheme="minorHAnsi"/>
          <w:b w:val="0"/>
          <w:bCs w:val="0"/>
          <w:i/>
          <w:color w:val="auto"/>
          <w:sz w:val="22"/>
          <w:szCs w:val="24"/>
          <w:lang w:val="sq-AL"/>
        </w:rPr>
      </w:pPr>
      <w:r w:rsidRPr="00A92096">
        <w:rPr>
          <w:rFonts w:asciiTheme="minorHAnsi" w:hAnsiTheme="minorHAnsi"/>
          <w:b w:val="0"/>
          <w:bCs w:val="0"/>
          <w:i/>
          <w:color w:val="auto"/>
          <w:sz w:val="22"/>
          <w:szCs w:val="24"/>
          <w:lang w:val="sq-AL"/>
        </w:rPr>
        <w:lastRenderedPageBreak/>
        <w:t xml:space="preserve">Grafiku </w:t>
      </w:r>
      <w:r w:rsidRPr="00A92096">
        <w:rPr>
          <w:rFonts w:asciiTheme="minorHAnsi" w:hAnsiTheme="minorHAnsi"/>
          <w:b w:val="0"/>
          <w:bCs w:val="0"/>
          <w:i/>
          <w:color w:val="auto"/>
          <w:sz w:val="22"/>
          <w:szCs w:val="24"/>
          <w:lang w:val="sq-AL"/>
        </w:rPr>
        <w:fldChar w:fldCharType="begin"/>
      </w:r>
      <w:r w:rsidRPr="00A92096">
        <w:rPr>
          <w:rFonts w:asciiTheme="minorHAnsi" w:hAnsiTheme="minorHAnsi"/>
          <w:b w:val="0"/>
          <w:bCs w:val="0"/>
          <w:i/>
          <w:color w:val="auto"/>
          <w:sz w:val="22"/>
          <w:szCs w:val="24"/>
          <w:lang w:val="sq-AL"/>
        </w:rPr>
        <w:instrText xml:space="preserve"> SEQ Grafiku \* ARABIC </w:instrText>
      </w:r>
      <w:r w:rsidRPr="00A92096">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26</w:t>
      </w:r>
      <w:r w:rsidRPr="00A92096">
        <w:rPr>
          <w:rFonts w:asciiTheme="minorHAnsi" w:hAnsiTheme="minorHAnsi"/>
          <w:b w:val="0"/>
          <w:bCs w:val="0"/>
          <w:i/>
          <w:color w:val="auto"/>
          <w:sz w:val="22"/>
          <w:szCs w:val="24"/>
          <w:lang w:val="sq-AL"/>
        </w:rPr>
        <w:fldChar w:fldCharType="end"/>
      </w:r>
      <w:r w:rsidR="001B65FA" w:rsidRPr="00A92096">
        <w:rPr>
          <w:rFonts w:asciiTheme="minorHAnsi" w:hAnsiTheme="minorHAnsi"/>
          <w:b w:val="0"/>
          <w:bCs w:val="0"/>
          <w:i/>
          <w:color w:val="auto"/>
          <w:sz w:val="22"/>
          <w:szCs w:val="24"/>
          <w:lang w:val="sq-AL"/>
        </w:rPr>
        <w:t>:Të ardhurat, shpenzimet dhe deficiti/suficiti - Plan vs Fakt 5 Mujori 202</w:t>
      </w:r>
      <w:r w:rsidR="006E5095">
        <w:rPr>
          <w:rFonts w:asciiTheme="minorHAnsi" w:hAnsiTheme="minorHAnsi"/>
          <w:b w:val="0"/>
          <w:bCs w:val="0"/>
          <w:i/>
          <w:color w:val="auto"/>
          <w:sz w:val="22"/>
          <w:szCs w:val="24"/>
          <w:lang w:val="sq-AL"/>
        </w:rPr>
        <w:t>3</w:t>
      </w:r>
      <w:r w:rsidR="001B65FA" w:rsidRPr="00A92096">
        <w:rPr>
          <w:rFonts w:asciiTheme="minorHAnsi" w:hAnsiTheme="minorHAnsi"/>
          <w:b w:val="0"/>
          <w:bCs w:val="0"/>
          <w:i/>
          <w:color w:val="auto"/>
          <w:sz w:val="22"/>
          <w:szCs w:val="24"/>
          <w:lang w:val="sq-AL"/>
        </w:rPr>
        <w:t xml:space="preserve"> (në milion LEK)</w:t>
      </w:r>
      <w:bookmarkEnd w:id="63"/>
    </w:p>
    <w:p w14:paraId="6194A916" w14:textId="77777777" w:rsidR="001B65FA" w:rsidRPr="0065598A" w:rsidRDefault="006E5095" w:rsidP="00365D90">
      <w:pPr>
        <w:jc w:val="center"/>
        <w:rPr>
          <w:rFonts w:asciiTheme="minorHAnsi" w:eastAsia="SimSun" w:hAnsiTheme="minorHAnsi"/>
          <w:i/>
          <w:lang w:val="sq-AL"/>
        </w:rPr>
      </w:pPr>
      <w:r>
        <w:rPr>
          <w:rFonts w:asciiTheme="minorHAnsi" w:eastAsia="SimSun" w:hAnsiTheme="minorHAnsi"/>
          <w:i/>
          <w:noProof/>
        </w:rPr>
        <w:drawing>
          <wp:inline distT="0" distB="0" distL="0" distR="0" wp14:anchorId="703BA6FD" wp14:editId="7DDE5470">
            <wp:extent cx="5324475" cy="2476500"/>
            <wp:effectExtent l="0" t="0" r="9525" b="0"/>
            <wp:docPr id="1087926020" name="Picture 1087926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24475" cy="2476500"/>
                    </a:xfrm>
                    <a:prstGeom prst="rect">
                      <a:avLst/>
                    </a:prstGeom>
                    <a:noFill/>
                  </pic:spPr>
                </pic:pic>
              </a:graphicData>
            </a:graphic>
          </wp:inline>
        </w:drawing>
      </w:r>
    </w:p>
    <w:p w14:paraId="1F27A00A" w14:textId="77777777" w:rsidR="001B65FA" w:rsidRDefault="001B65FA" w:rsidP="00365D90">
      <w:pPr>
        <w:rPr>
          <w:rFonts w:asciiTheme="minorHAnsi" w:eastAsia="SimSun" w:hAnsiTheme="minorHAnsi"/>
          <w:i/>
          <w:sz w:val="22"/>
          <w:lang w:val="sq-AL"/>
        </w:rPr>
      </w:pPr>
      <w:r w:rsidRPr="0065598A">
        <w:rPr>
          <w:rFonts w:asciiTheme="minorHAnsi" w:eastAsia="SimSun" w:hAnsiTheme="minorHAnsi"/>
          <w:i/>
          <w:lang w:val="sq-AL"/>
        </w:rPr>
        <w:t xml:space="preserve">    </w:t>
      </w:r>
      <w:r w:rsidRPr="0065598A">
        <w:rPr>
          <w:rFonts w:asciiTheme="minorHAnsi" w:eastAsia="SimSun" w:hAnsiTheme="minorHAnsi"/>
          <w:i/>
          <w:lang w:val="sq-AL"/>
        </w:rPr>
        <w:tab/>
        <w:t xml:space="preserve">     </w:t>
      </w:r>
      <w:r w:rsidR="00193978">
        <w:rPr>
          <w:rFonts w:asciiTheme="minorHAnsi" w:eastAsia="SimSun" w:hAnsiTheme="minorHAnsi"/>
          <w:i/>
          <w:sz w:val="20"/>
          <w:lang w:val="sq-AL"/>
        </w:rPr>
        <w:t>Burimi: Ministria e Financave dhe Ekonomisë (2023)</w:t>
      </w:r>
      <w:r w:rsidRPr="0065598A">
        <w:rPr>
          <w:rFonts w:asciiTheme="minorHAnsi" w:eastAsia="SimSun" w:hAnsiTheme="minorHAnsi"/>
          <w:i/>
          <w:sz w:val="22"/>
          <w:lang w:val="sq-AL"/>
        </w:rPr>
        <w:t xml:space="preserve"> </w:t>
      </w:r>
    </w:p>
    <w:p w14:paraId="4E335A73" w14:textId="77777777" w:rsidR="00D57F4F" w:rsidRDefault="00D57F4F" w:rsidP="00637131">
      <w:pPr>
        <w:spacing w:line="276" w:lineRule="auto"/>
        <w:rPr>
          <w:rFonts w:asciiTheme="minorHAnsi" w:eastAsia="SimSun" w:hAnsiTheme="minorHAnsi"/>
          <w:i/>
          <w:sz w:val="22"/>
          <w:lang w:val="sq-AL"/>
        </w:rPr>
      </w:pPr>
    </w:p>
    <w:p w14:paraId="2321DE2C" w14:textId="77777777" w:rsidR="006A740D" w:rsidRDefault="006A740D" w:rsidP="00637131">
      <w:pPr>
        <w:spacing w:line="276" w:lineRule="auto"/>
        <w:rPr>
          <w:rFonts w:asciiTheme="minorHAnsi" w:eastAsia="SimSun" w:hAnsiTheme="minorHAnsi"/>
          <w:i/>
          <w:sz w:val="22"/>
          <w:lang w:val="sq-AL"/>
        </w:rPr>
      </w:pPr>
    </w:p>
    <w:p w14:paraId="39BDDEB8" w14:textId="77777777" w:rsidR="00C75D59" w:rsidRPr="0065598A" w:rsidRDefault="00E6481D" w:rsidP="002334F6">
      <w:pPr>
        <w:pStyle w:val="Heading2"/>
      </w:pPr>
      <w:bookmarkStart w:id="64" w:name="_Toc107496988"/>
      <w:r w:rsidRPr="0065598A">
        <w:t>III.2</w:t>
      </w:r>
      <w:r w:rsidRPr="0065598A">
        <w:tab/>
      </w:r>
      <w:r w:rsidR="0056643D" w:rsidRPr="0065598A">
        <w:t>Financat</w:t>
      </w:r>
      <w:r w:rsidR="000E14D0" w:rsidRPr="0065598A">
        <w:t xml:space="preserve"> Vendor</w:t>
      </w:r>
      <w:r w:rsidR="0056643D" w:rsidRPr="0065598A">
        <w:t xml:space="preserve">e </w:t>
      </w:r>
      <w:r w:rsidR="00A61AD8" w:rsidRPr="0065598A">
        <w:t>gjat</w:t>
      </w:r>
      <w:r w:rsidR="002D2B0D" w:rsidRPr="0065598A">
        <w:t>ë</w:t>
      </w:r>
      <w:r w:rsidR="00A61AD8" w:rsidRPr="0065598A">
        <w:t xml:space="preserve"> </w:t>
      </w:r>
      <w:r w:rsidR="00931F3E">
        <w:t>J</w:t>
      </w:r>
      <w:r w:rsidRPr="0065598A">
        <w:t>anar-</w:t>
      </w:r>
      <w:r w:rsidR="00931F3E">
        <w:t>M</w:t>
      </w:r>
      <w:r w:rsidRPr="0065598A">
        <w:t>aj 20</w:t>
      </w:r>
      <w:r w:rsidR="00445151" w:rsidRPr="0065598A">
        <w:t>2</w:t>
      </w:r>
      <w:bookmarkEnd w:id="64"/>
      <w:r w:rsidR="00367A15">
        <w:t>3</w:t>
      </w:r>
      <w:r w:rsidR="00FD3DF0">
        <w:t xml:space="preserve"> </w:t>
      </w:r>
    </w:p>
    <w:p w14:paraId="441612C2" w14:textId="77777777" w:rsidR="00931F3E" w:rsidRPr="00460DDA" w:rsidRDefault="003D762F" w:rsidP="00931F3E">
      <w:pPr>
        <w:spacing w:line="276" w:lineRule="auto"/>
        <w:jc w:val="both"/>
        <w:rPr>
          <w:rFonts w:asciiTheme="minorHAnsi" w:hAnsiTheme="minorHAnsi"/>
          <w:lang w:val="sq-AL"/>
        </w:rPr>
      </w:pPr>
      <w:r w:rsidRPr="00BA4DA2">
        <w:rPr>
          <w:rFonts w:asciiTheme="minorHAnsi" w:hAnsiTheme="minorHAnsi"/>
          <w:lang w:val="sq-AL"/>
        </w:rPr>
        <w:t>Menaxhimit i financave publike në nivel vendor i nënshtrohet edhe regjimit të Ligjit nr.68 datë 27.04.2018 “</w:t>
      </w:r>
      <w:r w:rsidRPr="00BA4DA2">
        <w:rPr>
          <w:rFonts w:asciiTheme="minorHAnsi" w:hAnsiTheme="minorHAnsi"/>
          <w:i/>
          <w:lang w:val="sq-AL"/>
        </w:rPr>
        <w:t>Për financat e vetëqverisjes vendore</w:t>
      </w:r>
      <w:r w:rsidRPr="00BA4DA2">
        <w:rPr>
          <w:rFonts w:asciiTheme="minorHAnsi" w:hAnsiTheme="minorHAnsi"/>
          <w:lang w:val="sq-AL"/>
        </w:rPr>
        <w:t>”, dhe treguesit e të ardhurave dhe shpenzimeve të buxhetit vendor ndiqen në mënyrë të vazhdueshme nga Ministria e Financave dhe Ekonomisë, me qëllim monitorimin e tyre dhe asistencën e njësive të vetëqeverisjes vendore në përmirësmin e këtij procesi. Referuar të dhënave fiskale të Sistemit Informatik Financiar të Qeverisë është realizuar analiza e të adhurave dhe shpenzimeve 5 mujore të buxhetit vendor në nivel kombëtar</w:t>
      </w:r>
      <w:r w:rsidR="00931F3E" w:rsidRPr="00460DDA">
        <w:rPr>
          <w:rFonts w:asciiTheme="minorHAnsi" w:hAnsiTheme="minorHAnsi"/>
          <w:lang w:val="sq-AL"/>
        </w:rPr>
        <w:t xml:space="preserve">. </w:t>
      </w:r>
    </w:p>
    <w:p w14:paraId="1DDA751F" w14:textId="77777777" w:rsidR="00931F3E" w:rsidRPr="00460DDA" w:rsidRDefault="00931F3E" w:rsidP="00931F3E">
      <w:pPr>
        <w:spacing w:line="276" w:lineRule="auto"/>
        <w:jc w:val="both"/>
        <w:rPr>
          <w:rFonts w:asciiTheme="minorHAnsi" w:hAnsiTheme="minorHAnsi"/>
          <w:lang w:val="sq-AL"/>
        </w:rPr>
      </w:pPr>
    </w:p>
    <w:p w14:paraId="60CBD52A" w14:textId="77777777" w:rsidR="00931F3E" w:rsidRPr="00460DDA" w:rsidRDefault="00931F3E" w:rsidP="00931F3E">
      <w:pPr>
        <w:spacing w:line="276" w:lineRule="auto"/>
        <w:jc w:val="both"/>
        <w:rPr>
          <w:rFonts w:asciiTheme="minorHAnsi" w:hAnsiTheme="minorHAnsi"/>
          <w:b/>
          <w:i/>
          <w:lang w:val="sq-AL"/>
        </w:rPr>
      </w:pPr>
      <w:r w:rsidRPr="00460DDA">
        <w:rPr>
          <w:rFonts w:asciiTheme="minorHAnsi" w:hAnsiTheme="minorHAnsi"/>
          <w:b/>
          <w:i/>
          <w:lang w:val="sq-AL"/>
        </w:rPr>
        <w:t>Të ardhurat vendore</w:t>
      </w:r>
    </w:p>
    <w:p w14:paraId="06BDA13A" w14:textId="77777777" w:rsidR="00931F3E" w:rsidRPr="00460DDA" w:rsidRDefault="006C4AD4" w:rsidP="00C01196">
      <w:pPr>
        <w:spacing w:before="120" w:line="276" w:lineRule="auto"/>
        <w:jc w:val="both"/>
        <w:rPr>
          <w:rFonts w:asciiTheme="minorHAnsi" w:hAnsiTheme="minorHAnsi"/>
          <w:lang w:val="sq-AL"/>
        </w:rPr>
      </w:pPr>
      <w:r w:rsidRPr="00BA4DA2">
        <w:rPr>
          <w:rFonts w:asciiTheme="minorHAnsi" w:hAnsiTheme="minorHAnsi"/>
          <w:lang w:val="sq-AL"/>
        </w:rPr>
        <w:t xml:space="preserve">Për 5 mujorin e vitit 2023, njësitë e vetëqeverisjes vendore (NJVQV) në shkallë kombëtare kanë mbledhur të ardhura në masën 12,439 milionë lekë, shifër që është rreth </w:t>
      </w:r>
      <w:r w:rsidRPr="00BA4DA2">
        <w:rPr>
          <w:rFonts w:asciiTheme="minorHAnsi" w:eastAsia="SimSun" w:hAnsiTheme="minorHAnsi"/>
          <w:lang w:val="sq-AL"/>
        </w:rPr>
        <w:t>43% e planit vjetor, por</w:t>
      </w:r>
      <w:r w:rsidRPr="00BA4DA2">
        <w:rPr>
          <w:rFonts w:asciiTheme="minorHAnsi" w:hAnsiTheme="minorHAnsi"/>
          <w:lang w:val="sq-AL"/>
        </w:rPr>
        <w:t xml:space="preserve"> rreth 1.659 milion lekë më pak ose rreth 12 përqind më e ulët se vlera e të ardhurave të mbledhura gjatë të njëjtës periudhë të vitit 2022. Ky realizimi i të ardhurave vendore gjatë 5 mujorit të parë të vitit 2023, tregon një performancë më të ulët se një vit më parë</w:t>
      </w:r>
      <w:r w:rsidR="00931F3E" w:rsidRPr="00460DDA">
        <w:rPr>
          <w:rFonts w:asciiTheme="minorHAnsi" w:hAnsiTheme="minorHAnsi"/>
          <w:lang w:val="sq-AL"/>
        </w:rPr>
        <w:t xml:space="preserve">. </w:t>
      </w:r>
    </w:p>
    <w:p w14:paraId="33DECFF0" w14:textId="15FEDE68" w:rsidR="00931F3E" w:rsidRPr="00460DDA" w:rsidRDefault="00A92096" w:rsidP="00C01196">
      <w:pPr>
        <w:pStyle w:val="Caption"/>
        <w:spacing w:before="120" w:after="0"/>
        <w:rPr>
          <w:rFonts w:asciiTheme="minorHAnsi" w:hAnsiTheme="minorHAnsi"/>
          <w:b w:val="0"/>
          <w:bCs w:val="0"/>
          <w:i/>
          <w:color w:val="auto"/>
          <w:sz w:val="22"/>
          <w:szCs w:val="24"/>
          <w:lang w:val="sq-AL"/>
        </w:rPr>
      </w:pPr>
      <w:bookmarkStart w:id="65" w:name="_Toc107498118"/>
      <w:r w:rsidRPr="00A92096">
        <w:rPr>
          <w:rFonts w:asciiTheme="minorHAnsi" w:hAnsiTheme="minorHAnsi"/>
          <w:b w:val="0"/>
          <w:bCs w:val="0"/>
          <w:i/>
          <w:color w:val="auto"/>
          <w:sz w:val="22"/>
          <w:szCs w:val="24"/>
          <w:lang w:val="sq-AL"/>
        </w:rPr>
        <w:t xml:space="preserve">Grafiku </w:t>
      </w:r>
      <w:r w:rsidRPr="00A92096">
        <w:rPr>
          <w:rFonts w:asciiTheme="minorHAnsi" w:hAnsiTheme="minorHAnsi"/>
          <w:b w:val="0"/>
          <w:bCs w:val="0"/>
          <w:i/>
          <w:color w:val="auto"/>
          <w:sz w:val="22"/>
          <w:szCs w:val="24"/>
          <w:lang w:val="sq-AL"/>
        </w:rPr>
        <w:fldChar w:fldCharType="begin"/>
      </w:r>
      <w:r w:rsidRPr="00A92096">
        <w:rPr>
          <w:rFonts w:asciiTheme="minorHAnsi" w:hAnsiTheme="minorHAnsi"/>
          <w:b w:val="0"/>
          <w:bCs w:val="0"/>
          <w:i/>
          <w:color w:val="auto"/>
          <w:sz w:val="22"/>
          <w:szCs w:val="24"/>
          <w:lang w:val="sq-AL"/>
        </w:rPr>
        <w:instrText xml:space="preserve"> SEQ Grafiku \* ARABIC </w:instrText>
      </w:r>
      <w:r w:rsidRPr="00A92096">
        <w:rPr>
          <w:rFonts w:asciiTheme="minorHAnsi" w:hAnsiTheme="minorHAnsi"/>
          <w:b w:val="0"/>
          <w:bCs w:val="0"/>
          <w:i/>
          <w:color w:val="auto"/>
          <w:sz w:val="22"/>
          <w:szCs w:val="24"/>
          <w:lang w:val="sq-AL"/>
        </w:rPr>
        <w:fldChar w:fldCharType="separate"/>
      </w:r>
      <w:r w:rsidR="00C153A9">
        <w:rPr>
          <w:rFonts w:asciiTheme="minorHAnsi" w:hAnsiTheme="minorHAnsi"/>
          <w:b w:val="0"/>
          <w:bCs w:val="0"/>
          <w:i/>
          <w:noProof/>
          <w:color w:val="auto"/>
          <w:sz w:val="22"/>
          <w:szCs w:val="24"/>
          <w:lang w:val="sq-AL"/>
        </w:rPr>
        <w:t>27</w:t>
      </w:r>
      <w:r w:rsidRPr="00A92096">
        <w:rPr>
          <w:rFonts w:asciiTheme="minorHAnsi" w:hAnsiTheme="minorHAnsi"/>
          <w:b w:val="0"/>
          <w:bCs w:val="0"/>
          <w:i/>
          <w:color w:val="auto"/>
          <w:sz w:val="22"/>
          <w:szCs w:val="24"/>
          <w:lang w:val="sq-AL"/>
        </w:rPr>
        <w:fldChar w:fldCharType="end"/>
      </w:r>
      <w:r w:rsidR="00931F3E" w:rsidRPr="00460DDA">
        <w:rPr>
          <w:rFonts w:asciiTheme="minorHAnsi" w:hAnsiTheme="minorHAnsi"/>
          <w:b w:val="0"/>
          <w:bCs w:val="0"/>
          <w:i/>
          <w:color w:val="auto"/>
          <w:sz w:val="22"/>
          <w:szCs w:val="24"/>
          <w:lang w:val="sq-AL"/>
        </w:rPr>
        <w:t>: Të ardhurat e përgjithshme të pushtetit e pushtetit vendor</w:t>
      </w:r>
      <w:bookmarkEnd w:id="65"/>
    </w:p>
    <w:p w14:paraId="05DC07ED" w14:textId="77777777" w:rsidR="006C4AD4" w:rsidRDefault="006C4AD4" w:rsidP="00C01196">
      <w:pPr>
        <w:pStyle w:val="Caption"/>
        <w:spacing w:after="0"/>
        <w:jc w:val="center"/>
        <w:rPr>
          <w:rFonts w:asciiTheme="minorHAnsi" w:hAnsiTheme="minorHAnsi"/>
          <w:i/>
          <w:noProof/>
          <w:color w:val="auto"/>
          <w:sz w:val="20"/>
        </w:rPr>
      </w:pPr>
      <w:r w:rsidRPr="00BA4DA2">
        <w:rPr>
          <w:noProof/>
        </w:rPr>
        <w:drawing>
          <wp:inline distT="0" distB="0" distL="0" distR="0" wp14:anchorId="32D346D2" wp14:editId="230C3FBE">
            <wp:extent cx="6010275" cy="2101850"/>
            <wp:effectExtent l="0" t="0" r="9525" b="12700"/>
            <wp:docPr id="1364016638" name="Chart 1">
              <a:extLst xmlns:a="http://schemas.openxmlformats.org/drawingml/2006/main">
                <a:ext uri="{FF2B5EF4-FFF2-40B4-BE49-F238E27FC236}">
                  <a16:creationId xmlns:a16="http://schemas.microsoft.com/office/drawing/2014/main" id="{127B7664-5797-45AD-9769-F1438C6353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528CB7D" w14:textId="77777777" w:rsidR="00931F3E" w:rsidRPr="00365D90" w:rsidRDefault="00C01196" w:rsidP="00C01196">
      <w:pPr>
        <w:pStyle w:val="Caption"/>
        <w:ind w:firstLine="720"/>
        <w:rPr>
          <w:rFonts w:asciiTheme="minorHAnsi" w:eastAsia="SimSun" w:hAnsiTheme="minorHAnsi"/>
          <w:b w:val="0"/>
          <w:bCs w:val="0"/>
          <w:i/>
          <w:color w:val="auto"/>
          <w:sz w:val="20"/>
          <w:szCs w:val="24"/>
          <w:lang w:val="sq-AL"/>
        </w:rPr>
      </w:pPr>
      <w:r>
        <w:rPr>
          <w:rFonts w:asciiTheme="minorHAnsi" w:eastAsia="SimSun" w:hAnsiTheme="minorHAnsi"/>
          <w:b w:val="0"/>
          <w:bCs w:val="0"/>
          <w:i/>
          <w:color w:val="auto"/>
          <w:sz w:val="20"/>
          <w:szCs w:val="24"/>
          <w:lang w:val="sq-AL"/>
        </w:rPr>
        <w:t>Burimi: Drejtoria e Financave Vendore, Ministria e Financave dhe Ekonomisë (2023)</w:t>
      </w:r>
    </w:p>
    <w:p w14:paraId="691363AF" w14:textId="77777777" w:rsidR="00931F3E" w:rsidRPr="00460DDA" w:rsidRDefault="00C01196" w:rsidP="00931F3E">
      <w:pPr>
        <w:spacing w:line="276" w:lineRule="auto"/>
        <w:jc w:val="both"/>
        <w:rPr>
          <w:rFonts w:asciiTheme="minorHAnsi" w:hAnsiTheme="minorHAnsi"/>
          <w:lang w:val="sq-AL"/>
        </w:rPr>
      </w:pPr>
      <w:r w:rsidRPr="00BA4DA2">
        <w:rPr>
          <w:rFonts w:asciiTheme="minorHAnsi" w:hAnsiTheme="minorHAnsi"/>
          <w:lang w:val="sq-AL"/>
        </w:rPr>
        <w:lastRenderedPageBreak/>
        <w:t xml:space="preserve">Ndër vite, të ardhurat e pushtetit vendor kanë pësuar ndryshime si në vlerë ashtu edhe në strukturën e burimit të tyre. Të ardhurat që sigurojnë njësitë e vetëqeverisjes vendore për 5 mujorin e parë të vitit nga </w:t>
      </w:r>
      <w:r w:rsidRPr="00BA4DA2">
        <w:rPr>
          <w:rFonts w:asciiTheme="minorHAnsi" w:hAnsiTheme="minorHAnsi"/>
          <w:i/>
          <w:lang w:val="sq-AL"/>
        </w:rPr>
        <w:t>taksat lokale</w:t>
      </w:r>
      <w:r w:rsidRPr="00BA4DA2">
        <w:rPr>
          <w:rFonts w:asciiTheme="minorHAnsi" w:hAnsiTheme="minorHAnsi"/>
          <w:lang w:val="sq-AL"/>
        </w:rPr>
        <w:t xml:space="preserve">, janë ato që zënë pjesën më të madhe ose 77.9% të shumës totale të këtyre të ardhurave për 5 mujorin e vitit 2023. Nga ana tjetër nga </w:t>
      </w:r>
      <w:r w:rsidRPr="00BA4DA2">
        <w:rPr>
          <w:rFonts w:asciiTheme="minorHAnsi" w:hAnsiTheme="minorHAnsi"/>
          <w:i/>
          <w:lang w:val="sq-AL"/>
        </w:rPr>
        <w:t>taksa e pasurisë</w:t>
      </w:r>
      <w:r w:rsidRPr="00BA4DA2">
        <w:rPr>
          <w:rFonts w:asciiTheme="minorHAnsi" w:hAnsiTheme="minorHAnsi"/>
          <w:lang w:val="sq-AL"/>
        </w:rPr>
        <w:t xml:space="preserve"> (ndërtesa, trualli dhe toka bujqësore) janë mbledhur 2,729 milion lekë apo rreth 22% e totalit të të ardhurave vendore. Kurse taksa mbi biznesin e vogël (tatimi i thjeshtuar mbi fitimin e biznesit të vogël dhe taksa vendore mbi biznesin e vogël) pas ndryshimeve fiskale ligjore të cilat e kanë bërë zero (</w:t>
      </w:r>
      <w:r w:rsidRPr="00BA4DA2">
        <w:rPr>
          <w:rFonts w:asciiTheme="minorHAnsi" w:hAnsiTheme="minorHAnsi"/>
          <w:i/>
          <w:lang w:val="sq-AL"/>
        </w:rPr>
        <w:t>Ligji nr.112/2020 “Për disa ndryshime në ligjin nr.9632 datë 30.10.2006 “Për sistemin e taksave vendore”, të ndryshuar</w:t>
      </w:r>
      <w:r w:rsidRPr="00BA4DA2">
        <w:rPr>
          <w:rFonts w:asciiTheme="minorHAnsi" w:hAnsiTheme="minorHAnsi"/>
          <w:lang w:val="sq-AL"/>
        </w:rPr>
        <w:t>”), ka ardhur drejt uljes duke zënë vetëm 0.2% të të ardhurave vendore në 5 mujorin 2022, të cilat përfaqësojnë detyrime të paguara me vonesë. Nga realizimi faktik gjatë 5 mujorit të parë të vitit 2023, rezulton se nga ky zë janë mbledhur vetëm 26.6 milion lekë</w:t>
      </w:r>
      <w:r w:rsidR="00931F3E" w:rsidRPr="004405A7">
        <w:rPr>
          <w:rFonts w:asciiTheme="minorHAnsi" w:hAnsiTheme="minorHAnsi"/>
          <w:lang w:val="sq-AL"/>
        </w:rPr>
        <w:t>.</w:t>
      </w:r>
    </w:p>
    <w:p w14:paraId="27E41248" w14:textId="77777777" w:rsidR="00931F3E" w:rsidRPr="00460DDA" w:rsidRDefault="00931F3E" w:rsidP="00931F3E">
      <w:pPr>
        <w:spacing w:line="276" w:lineRule="auto"/>
        <w:jc w:val="both"/>
        <w:rPr>
          <w:rFonts w:asciiTheme="minorHAnsi" w:hAnsiTheme="minorHAnsi"/>
          <w:sz w:val="8"/>
          <w:szCs w:val="8"/>
          <w:lang w:val="sq-AL"/>
        </w:rPr>
      </w:pPr>
    </w:p>
    <w:p w14:paraId="739E2899" w14:textId="7A2982D2" w:rsidR="00E12795" w:rsidRDefault="00A92096" w:rsidP="00C01196">
      <w:pPr>
        <w:pStyle w:val="Caption"/>
        <w:spacing w:after="0"/>
        <w:rPr>
          <w:rFonts w:asciiTheme="minorHAnsi" w:hAnsiTheme="minorHAnsi"/>
          <w:b w:val="0"/>
          <w:bCs w:val="0"/>
          <w:i/>
          <w:noProof/>
          <w:color w:val="auto"/>
          <w:sz w:val="22"/>
          <w:szCs w:val="24"/>
          <w:lang w:val="sq-AL"/>
        </w:rPr>
      </w:pPr>
      <w:bookmarkStart w:id="66" w:name="_Toc107498119"/>
      <w:r w:rsidRPr="00A92096">
        <w:rPr>
          <w:rFonts w:asciiTheme="minorHAnsi" w:hAnsiTheme="minorHAnsi"/>
          <w:b w:val="0"/>
          <w:bCs w:val="0"/>
          <w:i/>
          <w:noProof/>
          <w:color w:val="auto"/>
          <w:sz w:val="22"/>
          <w:szCs w:val="24"/>
          <w:lang w:val="sq-AL"/>
        </w:rPr>
        <w:t xml:space="preserve">Grafiku </w:t>
      </w:r>
      <w:r w:rsidRPr="00A92096">
        <w:rPr>
          <w:rFonts w:asciiTheme="minorHAnsi" w:hAnsiTheme="minorHAnsi"/>
          <w:b w:val="0"/>
          <w:bCs w:val="0"/>
          <w:i/>
          <w:noProof/>
          <w:color w:val="auto"/>
          <w:sz w:val="22"/>
          <w:szCs w:val="24"/>
          <w:lang w:val="sq-AL"/>
        </w:rPr>
        <w:fldChar w:fldCharType="begin"/>
      </w:r>
      <w:r w:rsidRPr="00A92096">
        <w:rPr>
          <w:rFonts w:asciiTheme="minorHAnsi" w:hAnsiTheme="minorHAnsi"/>
          <w:b w:val="0"/>
          <w:bCs w:val="0"/>
          <w:i/>
          <w:noProof/>
          <w:color w:val="auto"/>
          <w:sz w:val="22"/>
          <w:szCs w:val="24"/>
          <w:lang w:val="sq-AL"/>
        </w:rPr>
        <w:instrText xml:space="preserve"> SEQ Grafiku \* ARABIC </w:instrText>
      </w:r>
      <w:r w:rsidRPr="00A92096">
        <w:rPr>
          <w:rFonts w:asciiTheme="minorHAnsi" w:hAnsiTheme="minorHAnsi"/>
          <w:b w:val="0"/>
          <w:bCs w:val="0"/>
          <w:i/>
          <w:noProof/>
          <w:color w:val="auto"/>
          <w:sz w:val="22"/>
          <w:szCs w:val="24"/>
          <w:lang w:val="sq-AL"/>
        </w:rPr>
        <w:fldChar w:fldCharType="separate"/>
      </w:r>
      <w:r w:rsidR="00C153A9">
        <w:rPr>
          <w:rFonts w:asciiTheme="minorHAnsi" w:hAnsiTheme="minorHAnsi"/>
          <w:b w:val="0"/>
          <w:bCs w:val="0"/>
          <w:i/>
          <w:noProof/>
          <w:color w:val="auto"/>
          <w:sz w:val="22"/>
          <w:szCs w:val="24"/>
          <w:lang w:val="sq-AL"/>
        </w:rPr>
        <w:t>28</w:t>
      </w:r>
      <w:r w:rsidRPr="00A92096">
        <w:rPr>
          <w:rFonts w:asciiTheme="minorHAnsi" w:hAnsiTheme="minorHAnsi"/>
          <w:b w:val="0"/>
          <w:bCs w:val="0"/>
          <w:i/>
          <w:noProof/>
          <w:color w:val="auto"/>
          <w:sz w:val="22"/>
          <w:szCs w:val="24"/>
          <w:lang w:val="sq-AL"/>
        </w:rPr>
        <w:fldChar w:fldCharType="end"/>
      </w:r>
      <w:r w:rsidR="00931F3E" w:rsidRPr="00460DDA">
        <w:rPr>
          <w:rFonts w:asciiTheme="minorHAnsi" w:hAnsiTheme="minorHAnsi"/>
          <w:b w:val="0"/>
          <w:bCs w:val="0"/>
          <w:i/>
          <w:noProof/>
          <w:color w:val="auto"/>
          <w:sz w:val="22"/>
          <w:szCs w:val="24"/>
          <w:lang w:val="sq-AL"/>
        </w:rPr>
        <w:t>: Të ardhurat e pushtetit vendor sipas burimit</w:t>
      </w:r>
      <w:bookmarkEnd w:id="66"/>
      <w:r w:rsidR="00931F3E" w:rsidRPr="00460DDA">
        <w:rPr>
          <w:rFonts w:asciiTheme="minorHAnsi" w:hAnsiTheme="minorHAnsi"/>
          <w:b w:val="0"/>
          <w:bCs w:val="0"/>
          <w:i/>
          <w:noProof/>
          <w:color w:val="auto"/>
          <w:sz w:val="22"/>
          <w:szCs w:val="24"/>
          <w:lang w:val="sq-AL"/>
        </w:rPr>
        <w:t xml:space="preserve"> </w:t>
      </w:r>
    </w:p>
    <w:p w14:paraId="15886A9F" w14:textId="77777777" w:rsidR="00C01196" w:rsidRDefault="00C01196" w:rsidP="00C01196">
      <w:pPr>
        <w:pStyle w:val="Caption"/>
        <w:spacing w:after="0"/>
        <w:jc w:val="center"/>
        <w:rPr>
          <w:rFonts w:asciiTheme="minorHAnsi" w:eastAsia="SimSun" w:hAnsiTheme="minorHAnsi"/>
          <w:b w:val="0"/>
          <w:bCs w:val="0"/>
          <w:i/>
          <w:color w:val="auto"/>
          <w:sz w:val="20"/>
          <w:szCs w:val="24"/>
          <w:lang w:val="sq-AL"/>
        </w:rPr>
      </w:pPr>
      <w:r w:rsidRPr="00BA4DA2">
        <w:rPr>
          <w:noProof/>
        </w:rPr>
        <w:drawing>
          <wp:inline distT="0" distB="0" distL="0" distR="0" wp14:anchorId="26BA33C5" wp14:editId="46493FA6">
            <wp:extent cx="6115050" cy="1981200"/>
            <wp:effectExtent l="0" t="0" r="0" b="0"/>
            <wp:docPr id="1990574492" name="Chart 1">
              <a:extLst xmlns:a="http://schemas.openxmlformats.org/drawingml/2006/main">
                <a:ext uri="{FF2B5EF4-FFF2-40B4-BE49-F238E27FC236}">
                  <a16:creationId xmlns:a16="http://schemas.microsoft.com/office/drawing/2014/main" id="{0832837A-2DA3-45B6-9797-48E7950A9D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D6F251D" w14:textId="77777777" w:rsidR="00365D90" w:rsidRPr="00365D90" w:rsidRDefault="00C01196" w:rsidP="00A92096">
      <w:pPr>
        <w:pStyle w:val="Caption"/>
        <w:rPr>
          <w:rFonts w:asciiTheme="minorHAnsi" w:eastAsia="SimSun" w:hAnsiTheme="minorHAnsi"/>
          <w:b w:val="0"/>
          <w:bCs w:val="0"/>
          <w:i/>
          <w:color w:val="auto"/>
          <w:sz w:val="20"/>
          <w:szCs w:val="24"/>
          <w:lang w:val="sq-AL"/>
        </w:rPr>
      </w:pPr>
      <w:r>
        <w:rPr>
          <w:rFonts w:asciiTheme="minorHAnsi" w:eastAsia="SimSun" w:hAnsiTheme="minorHAnsi"/>
          <w:b w:val="0"/>
          <w:bCs w:val="0"/>
          <w:i/>
          <w:color w:val="auto"/>
          <w:sz w:val="20"/>
          <w:szCs w:val="24"/>
          <w:lang w:val="sq-AL"/>
        </w:rPr>
        <w:t>Burimi: Drejtoria e Financave Vendore, Ministria e Financave dhe Ekonomisë (2023)</w:t>
      </w:r>
    </w:p>
    <w:p w14:paraId="1BEF8ABA" w14:textId="77777777" w:rsidR="00C01196" w:rsidRPr="00BA4DA2" w:rsidRDefault="00C01196" w:rsidP="00C01196">
      <w:pPr>
        <w:spacing w:before="120" w:after="120" w:line="276" w:lineRule="auto"/>
        <w:jc w:val="both"/>
        <w:rPr>
          <w:rFonts w:asciiTheme="minorHAnsi" w:hAnsiTheme="minorHAnsi"/>
          <w:i/>
          <w:u w:val="single"/>
          <w:lang w:val="sq-AL"/>
        </w:rPr>
      </w:pPr>
      <w:r w:rsidRPr="00BA4DA2">
        <w:rPr>
          <w:rFonts w:asciiTheme="minorHAnsi" w:hAnsiTheme="minorHAnsi"/>
          <w:i/>
          <w:u w:val="single"/>
          <w:lang w:val="sq-AL"/>
        </w:rPr>
        <w:t>Taksat Lokale</w:t>
      </w:r>
    </w:p>
    <w:p w14:paraId="4FA9B618" w14:textId="77777777" w:rsidR="00C01196" w:rsidRDefault="00C01196" w:rsidP="00C01196">
      <w:pPr>
        <w:spacing w:before="120" w:after="120" w:line="276" w:lineRule="auto"/>
        <w:jc w:val="both"/>
        <w:rPr>
          <w:rFonts w:asciiTheme="minorHAnsi" w:hAnsiTheme="minorHAnsi"/>
          <w:lang w:val="sq-AL"/>
        </w:rPr>
      </w:pPr>
      <w:r w:rsidRPr="00BA4DA2">
        <w:rPr>
          <w:rFonts w:asciiTheme="minorHAnsi" w:hAnsiTheme="minorHAnsi"/>
          <w:lang w:val="sq-AL"/>
        </w:rPr>
        <w:t>Taksat lokale janë një ndër burimet më të rëndësishme të financimit për njësitë e vetëqeverisjes vendore, të cilat gjithmonë e më shumë po konsolidohen në këndvështimin financiar dhe këtë e dëshmon rritja e të ardhurave nga ky burim në vite. Në total për këtë periudhë të ardhurat nga taksat lokale janë mbledhur rreth 44% e planit vjetor dhe kanë zënë rreth 77.9% të të ardhurave të veta vendore. Të ardhurat nga taksat lokale në 5 mujorin e parë të vitit 2023 kanë arritur në vlerën rreth 9,684 milion lekë, megjithatë krahasur me një vit më parë, ky burim ka një rënie me 13% ose rreth 1,418 milion lekë, ndryshime të cilat reflektohen në grafikun e mëposhtëm:</w:t>
      </w:r>
    </w:p>
    <w:p w14:paraId="3CBB9D39" w14:textId="6F65393F" w:rsidR="00C01196" w:rsidRPr="00BA4DA2" w:rsidRDefault="00C01196" w:rsidP="00C01196">
      <w:pPr>
        <w:pStyle w:val="Caption"/>
        <w:spacing w:after="0"/>
        <w:rPr>
          <w:rFonts w:asciiTheme="minorHAnsi" w:hAnsiTheme="minorHAnsi"/>
          <w:b w:val="0"/>
          <w:bCs w:val="0"/>
          <w:i/>
          <w:noProof/>
          <w:color w:val="auto"/>
          <w:sz w:val="22"/>
          <w:szCs w:val="24"/>
          <w:lang w:val="sq-AL"/>
        </w:rPr>
      </w:pPr>
      <w:r w:rsidRPr="00BA4DA2">
        <w:rPr>
          <w:rFonts w:asciiTheme="minorHAnsi" w:hAnsiTheme="minorHAnsi"/>
          <w:b w:val="0"/>
          <w:bCs w:val="0"/>
          <w:i/>
          <w:noProof/>
          <w:color w:val="auto"/>
          <w:sz w:val="22"/>
          <w:szCs w:val="24"/>
          <w:lang w:val="sq-AL"/>
        </w:rPr>
        <w:t xml:space="preserve">Grafiku </w:t>
      </w:r>
      <w:r w:rsidRPr="00C01196">
        <w:rPr>
          <w:rFonts w:asciiTheme="minorHAnsi" w:hAnsiTheme="minorHAnsi"/>
          <w:b w:val="0"/>
          <w:bCs w:val="0"/>
          <w:i/>
          <w:noProof/>
          <w:color w:val="auto"/>
          <w:sz w:val="22"/>
          <w:szCs w:val="24"/>
          <w:lang w:val="sq-AL"/>
        </w:rPr>
        <w:fldChar w:fldCharType="begin"/>
      </w:r>
      <w:r w:rsidRPr="00C01196">
        <w:rPr>
          <w:rFonts w:asciiTheme="minorHAnsi" w:hAnsiTheme="minorHAnsi"/>
          <w:b w:val="0"/>
          <w:bCs w:val="0"/>
          <w:i/>
          <w:noProof/>
          <w:color w:val="auto"/>
          <w:sz w:val="22"/>
          <w:szCs w:val="24"/>
          <w:lang w:val="sq-AL"/>
        </w:rPr>
        <w:instrText xml:space="preserve"> SEQ Grafiku \* ARABIC </w:instrText>
      </w:r>
      <w:r w:rsidRPr="00C01196">
        <w:rPr>
          <w:rFonts w:asciiTheme="minorHAnsi" w:hAnsiTheme="minorHAnsi"/>
          <w:b w:val="0"/>
          <w:bCs w:val="0"/>
          <w:i/>
          <w:noProof/>
          <w:color w:val="auto"/>
          <w:sz w:val="22"/>
          <w:szCs w:val="24"/>
          <w:lang w:val="sq-AL"/>
        </w:rPr>
        <w:fldChar w:fldCharType="separate"/>
      </w:r>
      <w:r w:rsidR="00C153A9">
        <w:rPr>
          <w:rFonts w:asciiTheme="minorHAnsi" w:hAnsiTheme="minorHAnsi"/>
          <w:b w:val="0"/>
          <w:bCs w:val="0"/>
          <w:i/>
          <w:noProof/>
          <w:color w:val="auto"/>
          <w:sz w:val="22"/>
          <w:szCs w:val="24"/>
          <w:lang w:val="sq-AL"/>
        </w:rPr>
        <w:t>29</w:t>
      </w:r>
      <w:r w:rsidRPr="00C01196">
        <w:rPr>
          <w:rFonts w:asciiTheme="minorHAnsi" w:hAnsiTheme="minorHAnsi"/>
          <w:b w:val="0"/>
          <w:bCs w:val="0"/>
          <w:i/>
          <w:noProof/>
          <w:color w:val="auto"/>
          <w:sz w:val="22"/>
          <w:szCs w:val="24"/>
          <w:lang w:val="sq-AL"/>
        </w:rPr>
        <w:fldChar w:fldCharType="end"/>
      </w:r>
      <w:r w:rsidRPr="00BA4DA2">
        <w:rPr>
          <w:rFonts w:asciiTheme="minorHAnsi" w:hAnsiTheme="minorHAnsi"/>
          <w:b w:val="0"/>
          <w:bCs w:val="0"/>
          <w:i/>
          <w:noProof/>
          <w:color w:val="auto"/>
          <w:sz w:val="22"/>
          <w:szCs w:val="24"/>
          <w:lang w:val="sq-AL"/>
        </w:rPr>
        <w:t>: Të ardhurat e pushtetit e pushtetit vendor nga taksat lokale</w:t>
      </w:r>
    </w:p>
    <w:p w14:paraId="048B59C5" w14:textId="77777777" w:rsidR="00C01196" w:rsidRPr="00BA4DA2" w:rsidRDefault="00C01196" w:rsidP="00C01196">
      <w:pPr>
        <w:rPr>
          <w:lang w:val="sq-AL"/>
        </w:rPr>
      </w:pPr>
      <w:r w:rsidRPr="00BA4DA2">
        <w:rPr>
          <w:noProof/>
        </w:rPr>
        <w:drawing>
          <wp:inline distT="0" distB="0" distL="0" distR="0" wp14:anchorId="302EF88F" wp14:editId="7F7452A8">
            <wp:extent cx="6067425" cy="2000250"/>
            <wp:effectExtent l="0" t="0" r="9525" b="0"/>
            <wp:docPr id="1580171443" name="Chart 1">
              <a:extLst xmlns:a="http://schemas.openxmlformats.org/drawingml/2006/main">
                <a:ext uri="{FF2B5EF4-FFF2-40B4-BE49-F238E27FC236}">
                  <a16:creationId xmlns:a16="http://schemas.microsoft.com/office/drawing/2014/main" id="{E7B41F21-7E9E-4225-8BFE-E107C7827D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0FF87AC" w14:textId="77777777" w:rsidR="00C01196" w:rsidRPr="00BA4DA2" w:rsidRDefault="00C01196" w:rsidP="00C01196">
      <w:pPr>
        <w:pStyle w:val="Caption"/>
        <w:rPr>
          <w:rFonts w:asciiTheme="minorHAnsi" w:eastAsia="SimSun" w:hAnsiTheme="minorHAnsi"/>
          <w:b w:val="0"/>
          <w:bCs w:val="0"/>
          <w:i/>
          <w:color w:val="auto"/>
          <w:sz w:val="20"/>
          <w:szCs w:val="24"/>
          <w:lang w:val="sq-AL"/>
        </w:rPr>
      </w:pPr>
      <w:r w:rsidRPr="00BA4DA2">
        <w:rPr>
          <w:rFonts w:asciiTheme="minorHAnsi" w:eastAsia="SimSun" w:hAnsiTheme="minorHAnsi"/>
          <w:b w:val="0"/>
          <w:bCs w:val="0"/>
          <w:i/>
          <w:color w:val="auto"/>
          <w:sz w:val="20"/>
          <w:szCs w:val="24"/>
          <w:lang w:val="sq-AL"/>
        </w:rPr>
        <w:t>Burimi: Drejtoria e Financave Vendore, Ministria e Financave dhe Ekonomisë (2023)</w:t>
      </w:r>
    </w:p>
    <w:p w14:paraId="1604B8AA" w14:textId="77777777" w:rsidR="00931F3E" w:rsidRPr="00460DDA" w:rsidRDefault="00931F3E" w:rsidP="00931F3E">
      <w:pPr>
        <w:spacing w:before="120" w:after="120" w:line="276" w:lineRule="auto"/>
        <w:jc w:val="both"/>
        <w:rPr>
          <w:rFonts w:asciiTheme="minorHAnsi" w:hAnsiTheme="minorHAnsi"/>
          <w:i/>
          <w:u w:val="single"/>
          <w:lang w:val="sq-AL"/>
        </w:rPr>
      </w:pPr>
      <w:r w:rsidRPr="00460DDA">
        <w:rPr>
          <w:rFonts w:asciiTheme="minorHAnsi" w:hAnsiTheme="minorHAnsi"/>
          <w:i/>
          <w:u w:val="single"/>
          <w:lang w:val="sq-AL"/>
        </w:rPr>
        <w:lastRenderedPageBreak/>
        <w:t xml:space="preserve">Taksa mbi pasurinë </w:t>
      </w:r>
    </w:p>
    <w:p w14:paraId="4E2D09E1" w14:textId="77777777" w:rsidR="00931F3E" w:rsidRDefault="00C01196" w:rsidP="00931F3E">
      <w:pPr>
        <w:spacing w:before="120" w:line="276" w:lineRule="auto"/>
        <w:jc w:val="both"/>
        <w:rPr>
          <w:rFonts w:asciiTheme="minorHAnsi" w:hAnsiTheme="minorHAnsi"/>
          <w:lang w:val="sq-AL"/>
        </w:rPr>
      </w:pPr>
      <w:r w:rsidRPr="00BA4DA2">
        <w:rPr>
          <w:rFonts w:asciiTheme="minorHAnsi" w:hAnsiTheme="minorHAnsi"/>
          <w:lang w:val="sq-AL"/>
        </w:rPr>
        <w:t>Taksa mbi pasurinë, është një burim mjaft i rëndësishëm vendor përmes së cilës njësitë e vetëqeverisjes vendore mund të zhvillojnë politika vendore nën diskrecionin e plotë të përdorimit. Vitet e fundit në politikat qeveritare, hartimi i metodologjisë së vendosjes së kësaj takse në bazë vlere, por edhe ndërtimi i një kadastre të detajuar mbi pronën, përbëjnë thelbin e reformës mbi këtë burim financimi të njësive të vetëqeverisjes vendore. Taksa mbi pasurinë për 5 mujorin është mbledhur rreth 2,729 milion lekë ose rreth 39% e planit vjetor. Duke ju referuar të dhënave të treguesve fiskalë, krahasur me një vit më parë, ky burim ka një rënie me 8% ose rreth 229 milion lekë, e nëse marrim në analizë 5 mujorin në vite do të kemi rezultatet si në grafikun  e mëposhtëm</w:t>
      </w:r>
      <w:r w:rsidR="00931F3E" w:rsidRPr="00460DDA">
        <w:rPr>
          <w:rFonts w:asciiTheme="minorHAnsi" w:hAnsiTheme="minorHAnsi"/>
          <w:lang w:val="sq-AL"/>
        </w:rPr>
        <w:t>:</w:t>
      </w:r>
    </w:p>
    <w:p w14:paraId="30E0D874" w14:textId="77777777" w:rsidR="00365D90" w:rsidRPr="00C01196" w:rsidRDefault="00365D90" w:rsidP="00BE627C">
      <w:pPr>
        <w:spacing w:line="276" w:lineRule="auto"/>
        <w:jc w:val="both"/>
        <w:rPr>
          <w:rFonts w:asciiTheme="minorHAnsi" w:hAnsiTheme="minorHAnsi"/>
          <w:sz w:val="8"/>
          <w:szCs w:val="8"/>
          <w:lang w:val="sq-AL"/>
        </w:rPr>
      </w:pPr>
    </w:p>
    <w:p w14:paraId="3CDC9A34" w14:textId="65429B56" w:rsidR="00931F3E" w:rsidRPr="00A92096" w:rsidRDefault="00A92096" w:rsidP="00A92096">
      <w:pPr>
        <w:pStyle w:val="Caption"/>
        <w:spacing w:after="0"/>
        <w:rPr>
          <w:rFonts w:asciiTheme="minorHAnsi" w:hAnsiTheme="minorHAnsi"/>
          <w:b w:val="0"/>
          <w:bCs w:val="0"/>
          <w:i/>
          <w:noProof/>
          <w:color w:val="auto"/>
          <w:sz w:val="22"/>
          <w:szCs w:val="24"/>
          <w:lang w:val="sq-AL"/>
        </w:rPr>
      </w:pPr>
      <w:bookmarkStart w:id="67" w:name="_Toc107498120"/>
      <w:r w:rsidRPr="00A92096">
        <w:rPr>
          <w:rFonts w:asciiTheme="minorHAnsi" w:hAnsiTheme="minorHAnsi"/>
          <w:b w:val="0"/>
          <w:bCs w:val="0"/>
          <w:i/>
          <w:noProof/>
          <w:color w:val="auto"/>
          <w:sz w:val="22"/>
          <w:szCs w:val="24"/>
          <w:lang w:val="sq-AL"/>
        </w:rPr>
        <w:t xml:space="preserve">Grafiku </w:t>
      </w:r>
      <w:r w:rsidRPr="00A92096">
        <w:rPr>
          <w:rFonts w:asciiTheme="minorHAnsi" w:hAnsiTheme="minorHAnsi"/>
          <w:b w:val="0"/>
          <w:bCs w:val="0"/>
          <w:i/>
          <w:noProof/>
          <w:color w:val="auto"/>
          <w:sz w:val="22"/>
          <w:szCs w:val="24"/>
          <w:lang w:val="sq-AL"/>
        </w:rPr>
        <w:fldChar w:fldCharType="begin"/>
      </w:r>
      <w:r w:rsidRPr="00A92096">
        <w:rPr>
          <w:rFonts w:asciiTheme="minorHAnsi" w:hAnsiTheme="minorHAnsi"/>
          <w:b w:val="0"/>
          <w:bCs w:val="0"/>
          <w:i/>
          <w:noProof/>
          <w:color w:val="auto"/>
          <w:sz w:val="22"/>
          <w:szCs w:val="24"/>
          <w:lang w:val="sq-AL"/>
        </w:rPr>
        <w:instrText xml:space="preserve"> SEQ Grafiku \* ARABIC </w:instrText>
      </w:r>
      <w:r w:rsidRPr="00A92096">
        <w:rPr>
          <w:rFonts w:asciiTheme="minorHAnsi" w:hAnsiTheme="minorHAnsi"/>
          <w:b w:val="0"/>
          <w:bCs w:val="0"/>
          <w:i/>
          <w:noProof/>
          <w:color w:val="auto"/>
          <w:sz w:val="22"/>
          <w:szCs w:val="24"/>
          <w:lang w:val="sq-AL"/>
        </w:rPr>
        <w:fldChar w:fldCharType="separate"/>
      </w:r>
      <w:r w:rsidR="00C153A9">
        <w:rPr>
          <w:rFonts w:asciiTheme="minorHAnsi" w:hAnsiTheme="minorHAnsi"/>
          <w:b w:val="0"/>
          <w:bCs w:val="0"/>
          <w:i/>
          <w:noProof/>
          <w:color w:val="auto"/>
          <w:sz w:val="22"/>
          <w:szCs w:val="24"/>
          <w:lang w:val="sq-AL"/>
        </w:rPr>
        <w:t>30</w:t>
      </w:r>
      <w:r w:rsidRPr="00A92096">
        <w:rPr>
          <w:rFonts w:asciiTheme="minorHAnsi" w:hAnsiTheme="minorHAnsi"/>
          <w:b w:val="0"/>
          <w:bCs w:val="0"/>
          <w:i/>
          <w:noProof/>
          <w:color w:val="auto"/>
          <w:sz w:val="22"/>
          <w:szCs w:val="24"/>
          <w:lang w:val="sq-AL"/>
        </w:rPr>
        <w:fldChar w:fldCharType="end"/>
      </w:r>
      <w:r w:rsidR="00931F3E" w:rsidRPr="00A92096">
        <w:rPr>
          <w:rFonts w:asciiTheme="minorHAnsi" w:hAnsiTheme="minorHAnsi"/>
          <w:b w:val="0"/>
          <w:bCs w:val="0"/>
          <w:i/>
          <w:noProof/>
          <w:color w:val="auto"/>
          <w:sz w:val="22"/>
          <w:szCs w:val="24"/>
          <w:lang w:val="sq-AL"/>
        </w:rPr>
        <w:t>: Të ardhurat e pushtetit vendor nga taksa mbi pasurinë</w:t>
      </w:r>
      <w:bookmarkEnd w:id="67"/>
    </w:p>
    <w:p w14:paraId="7614A257" w14:textId="77777777" w:rsidR="00931F3E" w:rsidRPr="00460DDA" w:rsidRDefault="00C01196" w:rsidP="00C01196">
      <w:pPr>
        <w:jc w:val="center"/>
        <w:rPr>
          <w:rFonts w:asciiTheme="minorHAnsi" w:hAnsiTheme="minorHAnsi"/>
          <w:i/>
          <w:lang w:val="sq-AL"/>
        </w:rPr>
      </w:pPr>
      <w:r w:rsidRPr="00BA4DA2">
        <w:rPr>
          <w:noProof/>
        </w:rPr>
        <w:drawing>
          <wp:inline distT="0" distB="0" distL="0" distR="0" wp14:anchorId="14A376C5" wp14:editId="43983866">
            <wp:extent cx="6019800" cy="1612900"/>
            <wp:effectExtent l="0" t="0" r="0" b="6350"/>
            <wp:docPr id="660607331" name="Chart 1">
              <a:extLst xmlns:a="http://schemas.openxmlformats.org/drawingml/2006/main">
                <a:ext uri="{FF2B5EF4-FFF2-40B4-BE49-F238E27FC236}">
                  <a16:creationId xmlns:a16="http://schemas.microsoft.com/office/drawing/2014/main" id="{4255F1AA-0CF2-4CE0-9555-9A3D491FB4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10A4E190" w14:textId="77777777" w:rsidR="00365D90" w:rsidRPr="00365D90" w:rsidRDefault="00C01196" w:rsidP="00365D90">
      <w:pPr>
        <w:pStyle w:val="Caption"/>
        <w:rPr>
          <w:rFonts w:asciiTheme="minorHAnsi" w:eastAsia="SimSun" w:hAnsiTheme="minorHAnsi"/>
          <w:b w:val="0"/>
          <w:bCs w:val="0"/>
          <w:i/>
          <w:color w:val="auto"/>
          <w:sz w:val="20"/>
          <w:szCs w:val="24"/>
          <w:lang w:val="sq-AL"/>
        </w:rPr>
      </w:pPr>
      <w:r>
        <w:rPr>
          <w:rFonts w:asciiTheme="minorHAnsi" w:eastAsia="SimSun" w:hAnsiTheme="minorHAnsi"/>
          <w:b w:val="0"/>
          <w:bCs w:val="0"/>
          <w:i/>
          <w:color w:val="auto"/>
          <w:sz w:val="20"/>
          <w:szCs w:val="24"/>
          <w:lang w:val="sq-AL"/>
        </w:rPr>
        <w:t>Burimi: Drejtoria e Financave Vendore, Ministria e Financave dhe Ekonomisë (2023)</w:t>
      </w:r>
    </w:p>
    <w:p w14:paraId="206E11D4" w14:textId="77777777" w:rsidR="00931F3E" w:rsidRPr="00460DDA" w:rsidRDefault="00931F3E" w:rsidP="00931F3E">
      <w:pPr>
        <w:spacing w:before="120" w:after="120" w:line="276" w:lineRule="auto"/>
        <w:jc w:val="both"/>
        <w:rPr>
          <w:rFonts w:asciiTheme="minorHAnsi" w:hAnsiTheme="minorHAnsi"/>
          <w:i/>
          <w:u w:val="single"/>
          <w:lang w:val="sq-AL"/>
        </w:rPr>
      </w:pPr>
      <w:r w:rsidRPr="00460DDA">
        <w:rPr>
          <w:rFonts w:asciiTheme="minorHAnsi" w:hAnsiTheme="minorHAnsi"/>
          <w:i/>
          <w:u w:val="single"/>
          <w:lang w:val="sq-AL"/>
        </w:rPr>
        <w:t>Taksa e Biznesit të vogël</w:t>
      </w:r>
    </w:p>
    <w:p w14:paraId="7E516A73" w14:textId="41B8786C" w:rsidR="000441DE" w:rsidRPr="00635981" w:rsidRDefault="00C01196" w:rsidP="00635981">
      <w:pPr>
        <w:spacing w:before="120" w:after="120" w:line="276" w:lineRule="auto"/>
        <w:jc w:val="both"/>
        <w:rPr>
          <w:rFonts w:asciiTheme="minorHAnsi" w:eastAsia="SimSun" w:hAnsiTheme="minorHAnsi"/>
          <w:b/>
          <w:bCs/>
          <w:i/>
          <w:sz w:val="20"/>
          <w:lang w:val="sq-AL"/>
        </w:rPr>
      </w:pPr>
      <w:r w:rsidRPr="00BA4DA2">
        <w:rPr>
          <w:rFonts w:asciiTheme="minorHAnsi" w:hAnsiTheme="minorHAnsi"/>
          <w:lang w:val="sq-AL"/>
        </w:rPr>
        <w:t xml:space="preserve">Tatimi mbi biznesin e vogël në vite si pasojë e ndryshimeve ligjore fiskale siç e theksuam më sipër, ka patur një rënie në peshën që zë në buxhetin vendor, duke ardhur drejt zerimit. </w:t>
      </w:r>
      <w:r w:rsidR="000441DE" w:rsidRPr="00BA4DA2">
        <w:rPr>
          <w:rFonts w:asciiTheme="minorHAnsi" w:hAnsiTheme="minorHAnsi"/>
          <w:lang w:val="sq-AL"/>
        </w:rPr>
        <w:t>Vazhdimisht nga Ministria e Financave dhe Ekonomisë është vënë theksi jo vetëm në mënyrën e përdorimit të fondeve publike, por edhe në rëndësinë që ka rritja e të ardhurave të veta vendore në zhvillimin cilësor të shërbimeve që ofron pushteti vendor për qytetarët. Njësitë e vetëqeverisjes vendore synojnë rikuperimin e gjendjes financiare brenda një periudhe afatmesme me qëllim rikthimin e trendit normal të të ardhurave nga burimet e veta vendore, të cilat në periudhën në vijim parashikohet të realizohen sipasjë që reflektohet edhe në të dhënat e mësipërme. Pavarësisht ecurisë së deritanishme të të ardhurave të pushtetit vendor, pritshmëria është që realizimi i tyre do të vijojë pozitivisht përgjatë vitit 2023</w:t>
      </w:r>
      <w:r w:rsidR="000441DE">
        <w:rPr>
          <w:rFonts w:asciiTheme="minorHAnsi" w:hAnsiTheme="minorHAnsi"/>
          <w:lang w:val="sq-AL"/>
        </w:rPr>
        <w:t>.</w:t>
      </w:r>
    </w:p>
    <w:p w14:paraId="146DA6D4" w14:textId="77777777" w:rsidR="00BE627C" w:rsidRPr="00635981" w:rsidRDefault="00BE627C" w:rsidP="00365D90">
      <w:pPr>
        <w:spacing w:line="276" w:lineRule="auto"/>
        <w:jc w:val="both"/>
        <w:rPr>
          <w:rFonts w:asciiTheme="minorHAnsi" w:hAnsiTheme="minorHAnsi"/>
          <w:i/>
          <w:sz w:val="12"/>
          <w:lang w:val="sq-AL"/>
        </w:rPr>
      </w:pPr>
    </w:p>
    <w:p w14:paraId="4DA5DFF7" w14:textId="77777777" w:rsidR="00931F3E" w:rsidRPr="00460DDA" w:rsidRDefault="00931F3E" w:rsidP="00635981">
      <w:pPr>
        <w:spacing w:before="120" w:line="276" w:lineRule="auto"/>
        <w:jc w:val="both"/>
        <w:rPr>
          <w:rFonts w:asciiTheme="minorHAnsi" w:hAnsiTheme="minorHAnsi"/>
          <w:b/>
          <w:i/>
          <w:lang w:val="sq-AL"/>
        </w:rPr>
      </w:pPr>
      <w:r w:rsidRPr="00460DDA">
        <w:rPr>
          <w:rFonts w:asciiTheme="minorHAnsi" w:hAnsiTheme="minorHAnsi"/>
          <w:b/>
          <w:i/>
          <w:lang w:val="sq-AL"/>
        </w:rPr>
        <w:t>Shpenzimet vendore</w:t>
      </w:r>
    </w:p>
    <w:p w14:paraId="6F8DF579" w14:textId="77777777" w:rsidR="00931F3E" w:rsidRPr="00365D90" w:rsidRDefault="000441DE" w:rsidP="00635981">
      <w:pPr>
        <w:spacing w:before="120" w:line="276" w:lineRule="auto"/>
        <w:jc w:val="both"/>
        <w:rPr>
          <w:rFonts w:asciiTheme="minorHAnsi" w:hAnsiTheme="minorHAnsi"/>
          <w:sz w:val="22"/>
          <w:lang w:val="sq-AL"/>
        </w:rPr>
      </w:pPr>
      <w:r w:rsidRPr="00BA4DA2">
        <w:rPr>
          <w:rFonts w:asciiTheme="minorHAnsi" w:hAnsiTheme="minorHAnsi"/>
          <w:lang w:val="sq-AL"/>
        </w:rPr>
        <w:t>Shpenzimet e Pushtetit Vendor janë një tregues i rëndësishëm i procesit të menaxhimit të financave publike në nivel vendor. Ndër vite shpenzimet e pushtetit vendor janë një tregues në rritje të lehtë dhe kjo vjen si pasojë e rritjes së nivelit të shërbimeve dhe funksioneve që pushteti vendor ofron për qytetarët e saj. Buxheti vendor për 5 mujorin e parë të vitit 2023, nga të dhënat faktike të thesarit rezulton të jetë realizuar në masën 23,753 milion lekë, që përfaqëson rreth 36 përqind të planit vjetor, me rreth 726 milion lekë më pak se e njëjta periudhë e një viti më parë ose ulje me 3%. Nga analiza e të dhënave vihet re që disa nga zërat e shpenzimeve kanë ulje në këtë periudhë krahasuar me 5 mujorin 2022, siç janë shpenzimet e tjera korente dhe shpenzimet kapitale. Ndërkohë që rezultojnë me rritje krahasuar me një vit më parë Shpenzimet për paga dhe sigurime shoqërore, shpenzimet operative dhe shpenzimet për subvencione</w:t>
      </w:r>
      <w:r>
        <w:rPr>
          <w:rFonts w:asciiTheme="minorHAnsi" w:hAnsiTheme="minorHAnsi"/>
          <w:lang w:val="sq-AL"/>
        </w:rPr>
        <w:t>.</w:t>
      </w:r>
    </w:p>
    <w:p w14:paraId="340F0EA1" w14:textId="44D2DCDC" w:rsidR="00E12795" w:rsidRDefault="00462131" w:rsidP="000441DE">
      <w:pPr>
        <w:pStyle w:val="Caption"/>
        <w:spacing w:after="0"/>
        <w:rPr>
          <w:rFonts w:asciiTheme="minorHAnsi" w:hAnsiTheme="minorHAnsi"/>
          <w:b w:val="0"/>
          <w:i/>
          <w:color w:val="auto"/>
          <w:sz w:val="22"/>
          <w:lang w:val="sq-AL"/>
        </w:rPr>
      </w:pPr>
      <w:bookmarkStart w:id="68" w:name="_Toc107498123"/>
      <w:r w:rsidRPr="00462131">
        <w:rPr>
          <w:rFonts w:asciiTheme="minorHAnsi" w:hAnsiTheme="minorHAnsi"/>
          <w:b w:val="0"/>
          <w:i/>
          <w:color w:val="auto"/>
          <w:sz w:val="22"/>
          <w:lang w:val="sq-AL"/>
        </w:rPr>
        <w:lastRenderedPageBreak/>
        <w:t xml:space="preserve">Grafiku </w:t>
      </w:r>
      <w:r w:rsidRPr="00462131">
        <w:rPr>
          <w:rFonts w:asciiTheme="minorHAnsi" w:hAnsiTheme="minorHAnsi"/>
          <w:b w:val="0"/>
          <w:i/>
          <w:color w:val="auto"/>
          <w:sz w:val="22"/>
          <w:lang w:val="sq-AL"/>
        </w:rPr>
        <w:fldChar w:fldCharType="begin"/>
      </w:r>
      <w:r w:rsidRPr="00462131">
        <w:rPr>
          <w:rFonts w:asciiTheme="minorHAnsi" w:hAnsiTheme="minorHAnsi"/>
          <w:b w:val="0"/>
          <w:i/>
          <w:color w:val="auto"/>
          <w:sz w:val="22"/>
          <w:lang w:val="sq-AL"/>
        </w:rPr>
        <w:instrText xml:space="preserve"> SEQ Grafiku \* ARABIC </w:instrText>
      </w:r>
      <w:r w:rsidRPr="00462131">
        <w:rPr>
          <w:rFonts w:asciiTheme="minorHAnsi" w:hAnsiTheme="minorHAnsi"/>
          <w:b w:val="0"/>
          <w:i/>
          <w:color w:val="auto"/>
          <w:sz w:val="22"/>
          <w:lang w:val="sq-AL"/>
        </w:rPr>
        <w:fldChar w:fldCharType="separate"/>
      </w:r>
      <w:r w:rsidR="00C153A9">
        <w:rPr>
          <w:rFonts w:asciiTheme="minorHAnsi" w:hAnsiTheme="minorHAnsi"/>
          <w:b w:val="0"/>
          <w:i/>
          <w:noProof/>
          <w:color w:val="auto"/>
          <w:sz w:val="22"/>
          <w:lang w:val="sq-AL"/>
        </w:rPr>
        <w:t>31</w:t>
      </w:r>
      <w:r w:rsidRPr="00462131">
        <w:rPr>
          <w:rFonts w:asciiTheme="minorHAnsi" w:hAnsiTheme="minorHAnsi"/>
          <w:b w:val="0"/>
          <w:i/>
          <w:color w:val="auto"/>
          <w:sz w:val="22"/>
          <w:lang w:val="sq-AL"/>
        </w:rPr>
        <w:fldChar w:fldCharType="end"/>
      </w:r>
      <w:r w:rsidR="00931F3E" w:rsidRPr="00342953">
        <w:rPr>
          <w:rFonts w:asciiTheme="minorHAnsi" w:hAnsiTheme="minorHAnsi"/>
          <w:b w:val="0"/>
          <w:i/>
          <w:color w:val="auto"/>
          <w:sz w:val="22"/>
          <w:lang w:val="sq-AL"/>
        </w:rPr>
        <w:t>: Shpenzimet për pushtetin vendor dhe ritmi i ndryshimit të tyre</w:t>
      </w:r>
      <w:bookmarkEnd w:id="68"/>
    </w:p>
    <w:p w14:paraId="40B11114" w14:textId="77777777" w:rsidR="000441DE" w:rsidRDefault="000441DE" w:rsidP="000441DE">
      <w:pPr>
        <w:pStyle w:val="Caption"/>
        <w:spacing w:after="0"/>
        <w:jc w:val="center"/>
        <w:rPr>
          <w:rFonts w:asciiTheme="minorHAnsi" w:hAnsiTheme="minorHAnsi"/>
          <w:noProof/>
          <w:color w:val="auto"/>
        </w:rPr>
      </w:pPr>
      <w:r w:rsidRPr="000441DE">
        <w:rPr>
          <w:b w:val="0"/>
          <w:noProof/>
        </w:rPr>
        <w:drawing>
          <wp:inline distT="0" distB="0" distL="0" distR="0" wp14:anchorId="295F5D88" wp14:editId="05F63CB2">
            <wp:extent cx="6115050" cy="1860550"/>
            <wp:effectExtent l="0" t="0" r="0" b="6350"/>
            <wp:docPr id="1413768239" name="Chart 1">
              <a:extLst xmlns:a="http://schemas.openxmlformats.org/drawingml/2006/main">
                <a:ext uri="{FF2B5EF4-FFF2-40B4-BE49-F238E27FC236}">
                  <a16:creationId xmlns:a16="http://schemas.microsoft.com/office/drawing/2014/main" id="{56E72D8F-0378-4B41-967C-E595589C7C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3E8F6E4" w14:textId="77777777" w:rsidR="00365D90" w:rsidRPr="00365D90" w:rsidRDefault="00931F3E" w:rsidP="00462131">
      <w:pPr>
        <w:pStyle w:val="Caption"/>
        <w:rPr>
          <w:rFonts w:asciiTheme="minorHAnsi" w:eastAsia="SimSun" w:hAnsiTheme="minorHAnsi"/>
          <w:b w:val="0"/>
          <w:bCs w:val="0"/>
          <w:i/>
          <w:color w:val="auto"/>
          <w:sz w:val="20"/>
          <w:szCs w:val="24"/>
          <w:lang w:val="sq-AL"/>
        </w:rPr>
      </w:pPr>
      <w:r w:rsidRPr="00460DDA">
        <w:rPr>
          <w:rFonts w:asciiTheme="minorHAnsi" w:hAnsiTheme="minorHAnsi"/>
          <w:i/>
          <w:noProof/>
          <w:color w:val="auto"/>
          <w:sz w:val="20"/>
          <w:lang w:val="sq-AL" w:eastAsia="sq-AL"/>
        </w:rPr>
        <w:t xml:space="preserve"> </w:t>
      </w:r>
      <w:r w:rsidR="00C01196">
        <w:rPr>
          <w:rFonts w:asciiTheme="minorHAnsi" w:eastAsia="SimSun" w:hAnsiTheme="minorHAnsi"/>
          <w:b w:val="0"/>
          <w:bCs w:val="0"/>
          <w:i/>
          <w:color w:val="auto"/>
          <w:sz w:val="20"/>
          <w:szCs w:val="24"/>
          <w:lang w:val="sq-AL"/>
        </w:rPr>
        <w:t>Burimi: Drejtoria e Financave Vendore, Ministria e Financave dhe Ekonomisë (2023)</w:t>
      </w:r>
    </w:p>
    <w:p w14:paraId="7B5485BB" w14:textId="77777777" w:rsidR="00931F3E" w:rsidRPr="00460DDA" w:rsidRDefault="000441DE" w:rsidP="00365D90">
      <w:pPr>
        <w:spacing w:before="120" w:after="120" w:line="276" w:lineRule="auto"/>
        <w:ind w:right="-43"/>
        <w:jc w:val="both"/>
        <w:rPr>
          <w:rFonts w:asciiTheme="minorHAnsi" w:hAnsiTheme="minorHAnsi"/>
          <w:i/>
          <w:sz w:val="22"/>
          <w:lang w:val="sq-AL"/>
        </w:rPr>
      </w:pPr>
      <w:r w:rsidRPr="00BA4DA2">
        <w:rPr>
          <w:rFonts w:asciiTheme="minorHAnsi" w:hAnsiTheme="minorHAnsi"/>
          <w:lang w:val="sq-AL"/>
        </w:rPr>
        <w:t>Shpenzimet e pushtetit vendor në vite sipas strukturës nuk kanë pësuar ndryshime të mëdha, por vihet re një tendencë pozitive e qendrueshmërisë së shpenzimeve të personelit, e shpenzimeve për investime dhe zgjerimi i shpenzimeve të mirëmbajtjes së aseteve që njësitë vendore zotërojnë përmes përdorimit në formën e shpenzimeve operative. Sipas të dhënave në nivel llogarie ekonomike, struktura e shpenzimeve rezulton si në grafikun më poshtë</w:t>
      </w:r>
      <w:r w:rsidR="00931F3E" w:rsidRPr="00460DDA">
        <w:rPr>
          <w:rFonts w:asciiTheme="minorHAnsi" w:hAnsiTheme="minorHAnsi"/>
          <w:lang w:val="sq-AL"/>
        </w:rPr>
        <w:t>:</w:t>
      </w:r>
    </w:p>
    <w:p w14:paraId="749B4F44" w14:textId="3873AD81" w:rsidR="00931F3E" w:rsidRPr="00462131" w:rsidRDefault="00462131" w:rsidP="00462131">
      <w:pPr>
        <w:pStyle w:val="Caption"/>
        <w:spacing w:after="0"/>
        <w:rPr>
          <w:rFonts w:asciiTheme="minorHAnsi" w:hAnsiTheme="minorHAnsi"/>
          <w:b w:val="0"/>
          <w:i/>
          <w:color w:val="auto"/>
          <w:sz w:val="22"/>
          <w:lang w:val="sq-AL"/>
        </w:rPr>
      </w:pPr>
      <w:bookmarkStart w:id="69" w:name="_Toc107498124"/>
      <w:r w:rsidRPr="00462131">
        <w:rPr>
          <w:rFonts w:asciiTheme="minorHAnsi" w:hAnsiTheme="minorHAnsi"/>
          <w:b w:val="0"/>
          <w:i/>
          <w:color w:val="auto"/>
          <w:sz w:val="22"/>
          <w:lang w:val="sq-AL"/>
        </w:rPr>
        <w:t xml:space="preserve">Grafiku </w:t>
      </w:r>
      <w:r w:rsidRPr="00462131">
        <w:rPr>
          <w:rFonts w:asciiTheme="minorHAnsi" w:hAnsiTheme="minorHAnsi"/>
          <w:b w:val="0"/>
          <w:i/>
          <w:color w:val="auto"/>
          <w:sz w:val="22"/>
          <w:lang w:val="sq-AL"/>
        </w:rPr>
        <w:fldChar w:fldCharType="begin"/>
      </w:r>
      <w:r w:rsidRPr="00462131">
        <w:rPr>
          <w:rFonts w:asciiTheme="minorHAnsi" w:hAnsiTheme="minorHAnsi"/>
          <w:b w:val="0"/>
          <w:i/>
          <w:color w:val="auto"/>
          <w:sz w:val="22"/>
          <w:lang w:val="sq-AL"/>
        </w:rPr>
        <w:instrText xml:space="preserve"> SEQ Grafiku \* ARABIC </w:instrText>
      </w:r>
      <w:r w:rsidRPr="00462131">
        <w:rPr>
          <w:rFonts w:asciiTheme="minorHAnsi" w:hAnsiTheme="minorHAnsi"/>
          <w:b w:val="0"/>
          <w:i/>
          <w:color w:val="auto"/>
          <w:sz w:val="22"/>
          <w:lang w:val="sq-AL"/>
        </w:rPr>
        <w:fldChar w:fldCharType="separate"/>
      </w:r>
      <w:r w:rsidR="00C153A9">
        <w:rPr>
          <w:rFonts w:asciiTheme="minorHAnsi" w:hAnsiTheme="minorHAnsi"/>
          <w:b w:val="0"/>
          <w:i/>
          <w:noProof/>
          <w:color w:val="auto"/>
          <w:sz w:val="22"/>
          <w:lang w:val="sq-AL"/>
        </w:rPr>
        <w:t>32</w:t>
      </w:r>
      <w:r w:rsidRPr="00462131">
        <w:rPr>
          <w:rFonts w:asciiTheme="minorHAnsi" w:hAnsiTheme="minorHAnsi"/>
          <w:b w:val="0"/>
          <w:i/>
          <w:color w:val="auto"/>
          <w:sz w:val="22"/>
          <w:lang w:val="sq-AL"/>
        </w:rPr>
        <w:fldChar w:fldCharType="end"/>
      </w:r>
      <w:r w:rsidR="00931F3E" w:rsidRPr="00462131">
        <w:rPr>
          <w:rFonts w:asciiTheme="minorHAnsi" w:hAnsiTheme="minorHAnsi"/>
          <w:b w:val="0"/>
          <w:i/>
          <w:color w:val="auto"/>
          <w:sz w:val="22"/>
          <w:lang w:val="sq-AL"/>
        </w:rPr>
        <w:t>: Shpenzimet e pushtetit vendor sipas strukturës buxhetore</w:t>
      </w:r>
      <w:bookmarkEnd w:id="69"/>
    </w:p>
    <w:p w14:paraId="053CD91F" w14:textId="77777777" w:rsidR="00931F3E" w:rsidRPr="00460DDA" w:rsidRDefault="000441DE" w:rsidP="000441DE">
      <w:pPr>
        <w:jc w:val="center"/>
        <w:rPr>
          <w:rFonts w:asciiTheme="minorHAnsi" w:hAnsiTheme="minorHAnsi"/>
          <w:i/>
          <w:sz w:val="22"/>
          <w:lang w:val="sq-AL"/>
        </w:rPr>
      </w:pPr>
      <w:r w:rsidRPr="00BA4DA2">
        <w:rPr>
          <w:noProof/>
        </w:rPr>
        <w:drawing>
          <wp:inline distT="0" distB="0" distL="0" distR="0" wp14:anchorId="2B84F5C9" wp14:editId="18075199">
            <wp:extent cx="6115050" cy="2095500"/>
            <wp:effectExtent l="0" t="0" r="0" b="0"/>
            <wp:docPr id="1583470226" name="Chart 1">
              <a:extLst xmlns:a="http://schemas.openxmlformats.org/drawingml/2006/main">
                <a:ext uri="{FF2B5EF4-FFF2-40B4-BE49-F238E27FC236}">
                  <a16:creationId xmlns:a16="http://schemas.microsoft.com/office/drawing/2014/main" id="{DC2BB0CD-F72F-4AB2-BC4C-350B18B977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A621FA8" w14:textId="77777777" w:rsidR="00365D90" w:rsidRPr="00365D90" w:rsidRDefault="00C01196" w:rsidP="000441DE">
      <w:pPr>
        <w:pStyle w:val="Caption"/>
        <w:spacing w:after="0"/>
        <w:rPr>
          <w:rFonts w:asciiTheme="minorHAnsi" w:eastAsia="SimSun" w:hAnsiTheme="minorHAnsi"/>
          <w:b w:val="0"/>
          <w:bCs w:val="0"/>
          <w:i/>
          <w:color w:val="auto"/>
          <w:sz w:val="20"/>
          <w:szCs w:val="24"/>
          <w:lang w:val="sq-AL"/>
        </w:rPr>
      </w:pPr>
      <w:r>
        <w:rPr>
          <w:rFonts w:asciiTheme="minorHAnsi" w:eastAsia="SimSun" w:hAnsiTheme="minorHAnsi"/>
          <w:b w:val="0"/>
          <w:bCs w:val="0"/>
          <w:i/>
          <w:color w:val="auto"/>
          <w:sz w:val="20"/>
          <w:szCs w:val="24"/>
          <w:lang w:val="sq-AL"/>
        </w:rPr>
        <w:t>Burimi: Drejtoria e Financave Vendore, Ministria e Financave dhe Ekonomisë (2023)</w:t>
      </w:r>
    </w:p>
    <w:p w14:paraId="716515A4" w14:textId="77777777" w:rsidR="00931F3E" w:rsidRPr="00460DDA" w:rsidRDefault="000441DE" w:rsidP="00931F3E">
      <w:pPr>
        <w:spacing w:before="120" w:after="120" w:line="276" w:lineRule="auto"/>
        <w:jc w:val="both"/>
        <w:rPr>
          <w:rFonts w:asciiTheme="minorHAnsi" w:hAnsiTheme="minorHAnsi"/>
          <w:lang w:val="sq-AL"/>
        </w:rPr>
      </w:pPr>
      <w:r w:rsidRPr="00BA4DA2">
        <w:rPr>
          <w:rFonts w:asciiTheme="minorHAnsi" w:hAnsiTheme="minorHAnsi"/>
          <w:lang w:val="sq-AL"/>
        </w:rPr>
        <w:t>Më poshtë janë paraqitur në mënyrë të përmbledhur tabela e ndryshimeve të të ardhurave dhe shpenzimeve në financat publike vendore gjatë 5 mujorit të vitit 2023 dhe vitit 2022</w:t>
      </w:r>
      <w:r w:rsidR="00931F3E" w:rsidRPr="00460DDA">
        <w:rPr>
          <w:rFonts w:asciiTheme="minorHAnsi" w:hAnsiTheme="minorHAnsi"/>
          <w:lang w:val="sq-AL"/>
        </w:rPr>
        <w:t>.</w:t>
      </w:r>
    </w:p>
    <w:p w14:paraId="4DFC3BD3" w14:textId="721BCBFB" w:rsidR="00931F3E" w:rsidRPr="00342953" w:rsidRDefault="00931F3E" w:rsidP="00931F3E">
      <w:pPr>
        <w:pStyle w:val="Caption"/>
        <w:spacing w:after="0"/>
        <w:rPr>
          <w:rFonts w:asciiTheme="minorHAnsi" w:hAnsiTheme="minorHAnsi"/>
          <w:i/>
          <w:color w:val="auto"/>
          <w:sz w:val="22"/>
          <w:szCs w:val="22"/>
          <w:lang w:val="sq-AL"/>
        </w:rPr>
      </w:pPr>
      <w:bookmarkStart w:id="70" w:name="_Toc107496745"/>
      <w:r w:rsidRPr="00342953">
        <w:rPr>
          <w:rFonts w:asciiTheme="minorHAnsi" w:hAnsiTheme="minorHAnsi"/>
          <w:b w:val="0"/>
          <w:bCs w:val="0"/>
          <w:i/>
          <w:color w:val="auto"/>
          <w:sz w:val="22"/>
          <w:szCs w:val="22"/>
          <w:lang w:val="sq-AL"/>
        </w:rPr>
        <w:t xml:space="preserve">Tabela </w:t>
      </w:r>
      <w:r w:rsidRPr="00342953">
        <w:rPr>
          <w:rFonts w:asciiTheme="minorHAnsi" w:hAnsiTheme="minorHAnsi"/>
          <w:b w:val="0"/>
          <w:bCs w:val="0"/>
          <w:i/>
          <w:color w:val="auto"/>
          <w:sz w:val="22"/>
          <w:szCs w:val="22"/>
          <w:lang w:val="sq-AL"/>
        </w:rPr>
        <w:fldChar w:fldCharType="begin"/>
      </w:r>
      <w:r w:rsidRPr="00342953">
        <w:rPr>
          <w:rFonts w:asciiTheme="minorHAnsi" w:hAnsiTheme="minorHAnsi"/>
          <w:b w:val="0"/>
          <w:bCs w:val="0"/>
          <w:i/>
          <w:color w:val="auto"/>
          <w:sz w:val="22"/>
          <w:szCs w:val="22"/>
          <w:lang w:val="sq-AL"/>
        </w:rPr>
        <w:instrText xml:space="preserve"> SEQ Tabela \* ARABIC </w:instrText>
      </w:r>
      <w:r w:rsidRPr="00342953">
        <w:rPr>
          <w:rFonts w:asciiTheme="minorHAnsi" w:hAnsiTheme="minorHAnsi"/>
          <w:b w:val="0"/>
          <w:bCs w:val="0"/>
          <w:i/>
          <w:color w:val="auto"/>
          <w:sz w:val="22"/>
          <w:szCs w:val="22"/>
          <w:lang w:val="sq-AL"/>
        </w:rPr>
        <w:fldChar w:fldCharType="separate"/>
      </w:r>
      <w:r w:rsidR="00C153A9">
        <w:rPr>
          <w:rFonts w:asciiTheme="minorHAnsi" w:hAnsiTheme="minorHAnsi"/>
          <w:b w:val="0"/>
          <w:bCs w:val="0"/>
          <w:i/>
          <w:noProof/>
          <w:color w:val="auto"/>
          <w:sz w:val="22"/>
          <w:szCs w:val="22"/>
          <w:lang w:val="sq-AL"/>
        </w:rPr>
        <w:t>9</w:t>
      </w:r>
      <w:r w:rsidRPr="00342953">
        <w:rPr>
          <w:rFonts w:asciiTheme="minorHAnsi" w:hAnsiTheme="minorHAnsi"/>
          <w:b w:val="0"/>
          <w:bCs w:val="0"/>
          <w:i/>
          <w:color w:val="auto"/>
          <w:sz w:val="22"/>
          <w:szCs w:val="22"/>
          <w:lang w:val="sq-AL"/>
        </w:rPr>
        <w:fldChar w:fldCharType="end"/>
      </w:r>
      <w:r w:rsidRPr="00342953">
        <w:rPr>
          <w:rFonts w:asciiTheme="minorHAnsi" w:hAnsiTheme="minorHAnsi"/>
          <w:b w:val="0"/>
          <w:bCs w:val="0"/>
          <w:i/>
          <w:color w:val="auto"/>
          <w:sz w:val="22"/>
          <w:szCs w:val="22"/>
          <w:lang w:val="sq-AL"/>
        </w:rPr>
        <w:t>: Të ardhurat dhe shpenzimet faktike të pushtetit vendor sipas natyrës (në milion lekë)</w:t>
      </w:r>
      <w:bookmarkEnd w:id="70"/>
    </w:p>
    <w:tbl>
      <w:tblPr>
        <w:tblW w:w="9669" w:type="dxa"/>
        <w:jc w:val="center"/>
        <w:tblLook w:val="04A0" w:firstRow="1" w:lastRow="0" w:firstColumn="1" w:lastColumn="0" w:noHBand="0" w:noVBand="1"/>
      </w:tblPr>
      <w:tblGrid>
        <w:gridCol w:w="468"/>
        <w:gridCol w:w="4408"/>
        <w:gridCol w:w="1165"/>
        <w:gridCol w:w="1165"/>
        <w:gridCol w:w="1276"/>
        <w:gridCol w:w="1187"/>
      </w:tblGrid>
      <w:tr w:rsidR="000441DE" w:rsidRPr="000441DE" w14:paraId="0AB91ABD" w14:textId="77777777" w:rsidTr="000441DE">
        <w:trPr>
          <w:trHeight w:val="252"/>
          <w:jc w:val="center"/>
        </w:trPr>
        <w:tc>
          <w:tcPr>
            <w:tcW w:w="468" w:type="dxa"/>
            <w:vMerge w:val="restart"/>
            <w:tcBorders>
              <w:top w:val="double" w:sz="6" w:space="0" w:color="auto"/>
              <w:left w:val="double" w:sz="6" w:space="0" w:color="auto"/>
              <w:bottom w:val="single" w:sz="4" w:space="0" w:color="auto"/>
              <w:right w:val="single" w:sz="4" w:space="0" w:color="auto"/>
            </w:tcBorders>
            <w:shd w:val="clear" w:color="000000" w:fill="DBE5F1"/>
            <w:noWrap/>
            <w:vAlign w:val="center"/>
            <w:hideMark/>
          </w:tcPr>
          <w:p w14:paraId="608FE23F" w14:textId="77777777" w:rsidR="000441DE" w:rsidRPr="000441DE" w:rsidRDefault="000441DE" w:rsidP="008B44DD">
            <w:pPr>
              <w:jc w:val="center"/>
              <w:rPr>
                <w:rFonts w:asciiTheme="minorHAnsi" w:hAnsiTheme="minorHAnsi" w:cs="Calibri"/>
                <w:b/>
                <w:bCs/>
                <w:sz w:val="16"/>
                <w:szCs w:val="16"/>
                <w:lang w:val="sq-AL"/>
              </w:rPr>
            </w:pPr>
            <w:r w:rsidRPr="000441DE">
              <w:rPr>
                <w:rFonts w:asciiTheme="minorHAnsi" w:hAnsiTheme="minorHAnsi" w:cs="Calibri"/>
                <w:b/>
                <w:bCs/>
                <w:sz w:val="16"/>
                <w:szCs w:val="16"/>
                <w:lang w:val="sq-AL"/>
              </w:rPr>
              <w:t>Nr</w:t>
            </w:r>
          </w:p>
        </w:tc>
        <w:tc>
          <w:tcPr>
            <w:tcW w:w="4408" w:type="dxa"/>
            <w:vMerge w:val="restart"/>
            <w:tcBorders>
              <w:top w:val="double" w:sz="6" w:space="0" w:color="auto"/>
              <w:left w:val="single" w:sz="4" w:space="0" w:color="auto"/>
              <w:bottom w:val="single" w:sz="4" w:space="0" w:color="auto"/>
              <w:right w:val="single" w:sz="4" w:space="0" w:color="auto"/>
            </w:tcBorders>
            <w:shd w:val="clear" w:color="000000" w:fill="DBE5F1"/>
            <w:noWrap/>
            <w:vAlign w:val="center"/>
            <w:hideMark/>
          </w:tcPr>
          <w:p w14:paraId="0AE76780" w14:textId="77777777" w:rsidR="000441DE" w:rsidRPr="000441DE" w:rsidRDefault="000441DE" w:rsidP="008B44DD">
            <w:pPr>
              <w:jc w:val="center"/>
              <w:rPr>
                <w:rFonts w:asciiTheme="minorHAnsi" w:hAnsiTheme="minorHAnsi" w:cs="Calibri"/>
                <w:b/>
                <w:bCs/>
                <w:sz w:val="16"/>
                <w:szCs w:val="16"/>
                <w:lang w:val="sq-AL"/>
              </w:rPr>
            </w:pPr>
            <w:r w:rsidRPr="000441DE">
              <w:rPr>
                <w:rFonts w:asciiTheme="minorHAnsi" w:hAnsiTheme="minorHAnsi" w:cs="Calibri"/>
                <w:b/>
                <w:bCs/>
                <w:sz w:val="16"/>
                <w:szCs w:val="16"/>
                <w:lang w:val="sq-AL"/>
              </w:rPr>
              <w:t>E  M  Ë  R  T  I  M  I</w:t>
            </w:r>
          </w:p>
        </w:tc>
        <w:tc>
          <w:tcPr>
            <w:tcW w:w="2330" w:type="dxa"/>
            <w:gridSpan w:val="2"/>
            <w:tcBorders>
              <w:top w:val="double" w:sz="6" w:space="0" w:color="auto"/>
              <w:left w:val="nil"/>
              <w:bottom w:val="single" w:sz="4" w:space="0" w:color="auto"/>
              <w:right w:val="single" w:sz="4" w:space="0" w:color="auto"/>
            </w:tcBorders>
            <w:shd w:val="clear" w:color="000000" w:fill="DBE5F1"/>
            <w:noWrap/>
            <w:vAlign w:val="center"/>
            <w:hideMark/>
          </w:tcPr>
          <w:p w14:paraId="6A7A6074" w14:textId="77777777" w:rsidR="000441DE" w:rsidRPr="000441DE" w:rsidRDefault="000441DE" w:rsidP="008B44DD">
            <w:pPr>
              <w:jc w:val="center"/>
              <w:rPr>
                <w:rFonts w:asciiTheme="minorHAnsi" w:hAnsiTheme="minorHAnsi" w:cs="Calibri"/>
                <w:b/>
                <w:bCs/>
                <w:sz w:val="18"/>
                <w:szCs w:val="18"/>
                <w:lang w:val="sq-AL"/>
              </w:rPr>
            </w:pPr>
            <w:r w:rsidRPr="000441DE">
              <w:rPr>
                <w:rFonts w:asciiTheme="minorHAnsi" w:hAnsiTheme="minorHAnsi" w:cs="Calibri"/>
                <w:b/>
                <w:bCs/>
                <w:sz w:val="18"/>
                <w:szCs w:val="18"/>
                <w:lang w:val="sq-AL"/>
              </w:rPr>
              <w:t>Fakt 5 mujori</w:t>
            </w:r>
          </w:p>
        </w:tc>
        <w:tc>
          <w:tcPr>
            <w:tcW w:w="2463" w:type="dxa"/>
            <w:gridSpan w:val="2"/>
            <w:tcBorders>
              <w:top w:val="double" w:sz="6" w:space="0" w:color="auto"/>
              <w:left w:val="nil"/>
              <w:bottom w:val="single" w:sz="4" w:space="0" w:color="auto"/>
              <w:right w:val="double" w:sz="6" w:space="0" w:color="000000"/>
            </w:tcBorders>
            <w:shd w:val="clear" w:color="000000" w:fill="DBE5F1"/>
            <w:noWrap/>
            <w:vAlign w:val="center"/>
            <w:hideMark/>
          </w:tcPr>
          <w:p w14:paraId="73D342DD" w14:textId="77777777" w:rsidR="000441DE" w:rsidRPr="000441DE" w:rsidRDefault="000441DE" w:rsidP="008B44DD">
            <w:pPr>
              <w:jc w:val="center"/>
              <w:rPr>
                <w:rFonts w:asciiTheme="minorHAnsi" w:hAnsiTheme="minorHAnsi" w:cs="Calibri"/>
                <w:b/>
                <w:bCs/>
                <w:sz w:val="18"/>
                <w:szCs w:val="18"/>
                <w:lang w:val="sq-AL"/>
              </w:rPr>
            </w:pPr>
            <w:r w:rsidRPr="000441DE">
              <w:rPr>
                <w:rFonts w:asciiTheme="minorHAnsi" w:hAnsiTheme="minorHAnsi" w:cs="Calibri"/>
                <w:b/>
                <w:bCs/>
                <w:sz w:val="18"/>
                <w:szCs w:val="18"/>
                <w:lang w:val="sq-AL"/>
              </w:rPr>
              <w:t>Diferenca</w:t>
            </w:r>
          </w:p>
        </w:tc>
      </w:tr>
      <w:tr w:rsidR="000441DE" w:rsidRPr="000441DE" w14:paraId="678B3ECD" w14:textId="77777777" w:rsidTr="000441DE">
        <w:trPr>
          <w:trHeight w:val="135"/>
          <w:jc w:val="center"/>
        </w:trPr>
        <w:tc>
          <w:tcPr>
            <w:tcW w:w="468" w:type="dxa"/>
            <w:vMerge/>
            <w:tcBorders>
              <w:top w:val="double" w:sz="6" w:space="0" w:color="auto"/>
              <w:left w:val="double" w:sz="6" w:space="0" w:color="auto"/>
              <w:bottom w:val="single" w:sz="4" w:space="0" w:color="auto"/>
              <w:right w:val="single" w:sz="4" w:space="0" w:color="auto"/>
            </w:tcBorders>
            <w:vAlign w:val="center"/>
            <w:hideMark/>
          </w:tcPr>
          <w:p w14:paraId="7A438146" w14:textId="77777777" w:rsidR="000441DE" w:rsidRPr="000441DE" w:rsidRDefault="000441DE" w:rsidP="008B44DD">
            <w:pPr>
              <w:rPr>
                <w:rFonts w:asciiTheme="minorHAnsi" w:hAnsiTheme="minorHAnsi" w:cs="Calibri"/>
                <w:b/>
                <w:bCs/>
                <w:sz w:val="16"/>
                <w:szCs w:val="16"/>
                <w:lang w:val="sq-AL"/>
              </w:rPr>
            </w:pPr>
          </w:p>
        </w:tc>
        <w:tc>
          <w:tcPr>
            <w:tcW w:w="4408" w:type="dxa"/>
            <w:vMerge/>
            <w:tcBorders>
              <w:top w:val="double" w:sz="6" w:space="0" w:color="auto"/>
              <w:left w:val="single" w:sz="4" w:space="0" w:color="auto"/>
              <w:bottom w:val="single" w:sz="4" w:space="0" w:color="auto"/>
              <w:right w:val="single" w:sz="4" w:space="0" w:color="auto"/>
            </w:tcBorders>
            <w:vAlign w:val="center"/>
            <w:hideMark/>
          </w:tcPr>
          <w:p w14:paraId="0AC3589D" w14:textId="77777777" w:rsidR="000441DE" w:rsidRPr="000441DE" w:rsidRDefault="000441DE" w:rsidP="008B44DD">
            <w:pPr>
              <w:rPr>
                <w:rFonts w:asciiTheme="minorHAnsi" w:hAnsiTheme="minorHAnsi" w:cs="Calibri"/>
                <w:b/>
                <w:bCs/>
                <w:sz w:val="16"/>
                <w:szCs w:val="16"/>
                <w:lang w:val="sq-AL"/>
              </w:rPr>
            </w:pPr>
          </w:p>
        </w:tc>
        <w:tc>
          <w:tcPr>
            <w:tcW w:w="1165" w:type="dxa"/>
            <w:vMerge w:val="restart"/>
            <w:tcBorders>
              <w:top w:val="nil"/>
              <w:left w:val="single" w:sz="4" w:space="0" w:color="auto"/>
              <w:bottom w:val="single" w:sz="4" w:space="0" w:color="auto"/>
              <w:right w:val="single" w:sz="4" w:space="0" w:color="auto"/>
            </w:tcBorders>
            <w:shd w:val="clear" w:color="000000" w:fill="DBE5F1"/>
            <w:noWrap/>
            <w:vAlign w:val="center"/>
            <w:hideMark/>
          </w:tcPr>
          <w:p w14:paraId="032B2E05" w14:textId="77777777" w:rsidR="000441DE" w:rsidRPr="000441DE" w:rsidRDefault="000441DE" w:rsidP="008B44DD">
            <w:pPr>
              <w:jc w:val="center"/>
              <w:rPr>
                <w:rFonts w:asciiTheme="minorHAnsi" w:hAnsiTheme="minorHAnsi" w:cs="Calibri"/>
                <w:b/>
                <w:bCs/>
                <w:sz w:val="16"/>
                <w:szCs w:val="16"/>
                <w:lang w:val="sq-AL"/>
              </w:rPr>
            </w:pPr>
            <w:r w:rsidRPr="000441DE">
              <w:rPr>
                <w:rFonts w:asciiTheme="minorHAnsi" w:hAnsiTheme="minorHAnsi" w:cs="Calibri"/>
                <w:b/>
                <w:bCs/>
                <w:sz w:val="16"/>
                <w:szCs w:val="16"/>
                <w:lang w:val="sq-AL"/>
              </w:rPr>
              <w:t>2023</w:t>
            </w:r>
          </w:p>
        </w:tc>
        <w:tc>
          <w:tcPr>
            <w:tcW w:w="1165" w:type="dxa"/>
            <w:vMerge w:val="restart"/>
            <w:tcBorders>
              <w:top w:val="nil"/>
              <w:left w:val="single" w:sz="4" w:space="0" w:color="auto"/>
              <w:bottom w:val="single" w:sz="4" w:space="0" w:color="auto"/>
              <w:right w:val="single" w:sz="4" w:space="0" w:color="auto"/>
            </w:tcBorders>
            <w:shd w:val="clear" w:color="000000" w:fill="DBE5F1"/>
            <w:noWrap/>
            <w:vAlign w:val="center"/>
            <w:hideMark/>
          </w:tcPr>
          <w:p w14:paraId="2A912506" w14:textId="77777777" w:rsidR="000441DE" w:rsidRPr="000441DE" w:rsidRDefault="000441DE" w:rsidP="008B44DD">
            <w:pPr>
              <w:jc w:val="center"/>
              <w:rPr>
                <w:rFonts w:asciiTheme="minorHAnsi" w:hAnsiTheme="minorHAnsi" w:cs="Calibri"/>
                <w:b/>
                <w:bCs/>
                <w:sz w:val="16"/>
                <w:szCs w:val="16"/>
                <w:lang w:val="sq-AL"/>
              </w:rPr>
            </w:pPr>
            <w:r w:rsidRPr="000441DE">
              <w:rPr>
                <w:rFonts w:asciiTheme="minorHAnsi" w:hAnsiTheme="minorHAnsi" w:cs="Calibri"/>
                <w:b/>
                <w:bCs/>
                <w:sz w:val="16"/>
                <w:szCs w:val="16"/>
                <w:lang w:val="sq-AL"/>
              </w:rPr>
              <w:t>2022</w:t>
            </w:r>
          </w:p>
        </w:tc>
        <w:tc>
          <w:tcPr>
            <w:tcW w:w="1276" w:type="dxa"/>
            <w:tcBorders>
              <w:top w:val="nil"/>
              <w:left w:val="nil"/>
              <w:right w:val="single" w:sz="4" w:space="0" w:color="auto"/>
            </w:tcBorders>
            <w:shd w:val="clear" w:color="000000" w:fill="DBE5F1"/>
            <w:vAlign w:val="center"/>
            <w:hideMark/>
          </w:tcPr>
          <w:p w14:paraId="1D461B4B" w14:textId="77777777" w:rsidR="000441DE" w:rsidRPr="000441DE" w:rsidRDefault="000441DE" w:rsidP="008B44DD">
            <w:pPr>
              <w:jc w:val="center"/>
              <w:rPr>
                <w:rFonts w:asciiTheme="minorHAnsi" w:hAnsiTheme="minorHAnsi" w:cs="Calibri"/>
                <w:b/>
                <w:bCs/>
                <w:sz w:val="16"/>
                <w:szCs w:val="16"/>
                <w:lang w:val="sq-AL"/>
              </w:rPr>
            </w:pPr>
            <w:r w:rsidRPr="000441DE">
              <w:rPr>
                <w:rFonts w:asciiTheme="minorHAnsi" w:hAnsiTheme="minorHAnsi" w:cs="Calibri"/>
                <w:b/>
                <w:bCs/>
                <w:sz w:val="16"/>
                <w:szCs w:val="16"/>
                <w:lang w:val="sq-AL"/>
              </w:rPr>
              <w:t>2023 ndaj</w:t>
            </w:r>
          </w:p>
        </w:tc>
        <w:tc>
          <w:tcPr>
            <w:tcW w:w="1187" w:type="dxa"/>
            <w:vMerge w:val="restart"/>
            <w:tcBorders>
              <w:top w:val="nil"/>
              <w:left w:val="single" w:sz="4" w:space="0" w:color="auto"/>
              <w:bottom w:val="single" w:sz="4" w:space="0" w:color="auto"/>
              <w:right w:val="double" w:sz="6" w:space="0" w:color="auto"/>
            </w:tcBorders>
            <w:shd w:val="clear" w:color="000000" w:fill="DBE5F1"/>
            <w:vAlign w:val="center"/>
            <w:hideMark/>
          </w:tcPr>
          <w:p w14:paraId="2591DAFF" w14:textId="77777777" w:rsidR="000441DE" w:rsidRPr="000441DE" w:rsidRDefault="000441DE" w:rsidP="008B44DD">
            <w:pPr>
              <w:jc w:val="center"/>
              <w:rPr>
                <w:rFonts w:asciiTheme="minorHAnsi" w:hAnsiTheme="minorHAnsi" w:cs="Calibri"/>
                <w:b/>
                <w:bCs/>
                <w:sz w:val="16"/>
                <w:szCs w:val="16"/>
                <w:lang w:val="sq-AL"/>
              </w:rPr>
            </w:pPr>
            <w:r w:rsidRPr="000441DE">
              <w:rPr>
                <w:rFonts w:asciiTheme="minorHAnsi" w:hAnsiTheme="minorHAnsi" w:cs="Calibri"/>
                <w:b/>
                <w:bCs/>
                <w:sz w:val="16"/>
                <w:szCs w:val="16"/>
                <w:lang w:val="sq-AL"/>
              </w:rPr>
              <w:t>2023 ndaj 2022 në %</w:t>
            </w:r>
          </w:p>
        </w:tc>
      </w:tr>
      <w:tr w:rsidR="000441DE" w:rsidRPr="000441DE" w14:paraId="3AE02E2F" w14:textId="77777777" w:rsidTr="000441DE">
        <w:trPr>
          <w:trHeight w:val="162"/>
          <w:jc w:val="center"/>
        </w:trPr>
        <w:tc>
          <w:tcPr>
            <w:tcW w:w="468" w:type="dxa"/>
            <w:vMerge/>
            <w:tcBorders>
              <w:top w:val="double" w:sz="6" w:space="0" w:color="auto"/>
              <w:left w:val="double" w:sz="6" w:space="0" w:color="auto"/>
              <w:bottom w:val="single" w:sz="4" w:space="0" w:color="auto"/>
              <w:right w:val="single" w:sz="4" w:space="0" w:color="auto"/>
            </w:tcBorders>
            <w:vAlign w:val="center"/>
            <w:hideMark/>
          </w:tcPr>
          <w:p w14:paraId="63F53A54" w14:textId="77777777" w:rsidR="000441DE" w:rsidRPr="000441DE" w:rsidRDefault="000441DE" w:rsidP="008B44DD">
            <w:pPr>
              <w:rPr>
                <w:rFonts w:asciiTheme="minorHAnsi" w:hAnsiTheme="minorHAnsi" w:cs="Calibri"/>
                <w:b/>
                <w:bCs/>
                <w:sz w:val="16"/>
                <w:szCs w:val="16"/>
                <w:lang w:val="sq-AL"/>
              </w:rPr>
            </w:pPr>
          </w:p>
        </w:tc>
        <w:tc>
          <w:tcPr>
            <w:tcW w:w="4408" w:type="dxa"/>
            <w:vMerge/>
            <w:tcBorders>
              <w:top w:val="double" w:sz="6" w:space="0" w:color="auto"/>
              <w:left w:val="single" w:sz="4" w:space="0" w:color="auto"/>
              <w:bottom w:val="single" w:sz="4" w:space="0" w:color="auto"/>
              <w:right w:val="single" w:sz="4" w:space="0" w:color="auto"/>
            </w:tcBorders>
            <w:vAlign w:val="center"/>
            <w:hideMark/>
          </w:tcPr>
          <w:p w14:paraId="51CB8C05" w14:textId="77777777" w:rsidR="000441DE" w:rsidRPr="000441DE" w:rsidRDefault="000441DE" w:rsidP="008B44DD">
            <w:pPr>
              <w:rPr>
                <w:rFonts w:asciiTheme="minorHAnsi" w:hAnsiTheme="minorHAnsi" w:cs="Calibri"/>
                <w:b/>
                <w:bCs/>
                <w:sz w:val="16"/>
                <w:szCs w:val="16"/>
                <w:lang w:val="sq-AL"/>
              </w:rPr>
            </w:pPr>
          </w:p>
        </w:tc>
        <w:tc>
          <w:tcPr>
            <w:tcW w:w="1165" w:type="dxa"/>
            <w:vMerge/>
            <w:tcBorders>
              <w:top w:val="nil"/>
              <w:left w:val="single" w:sz="4" w:space="0" w:color="auto"/>
              <w:bottom w:val="single" w:sz="4" w:space="0" w:color="auto"/>
              <w:right w:val="single" w:sz="4" w:space="0" w:color="auto"/>
            </w:tcBorders>
            <w:vAlign w:val="center"/>
            <w:hideMark/>
          </w:tcPr>
          <w:p w14:paraId="08C77E0D" w14:textId="77777777" w:rsidR="000441DE" w:rsidRPr="000441DE" w:rsidRDefault="000441DE" w:rsidP="008B44DD">
            <w:pPr>
              <w:rPr>
                <w:rFonts w:asciiTheme="minorHAnsi" w:hAnsiTheme="minorHAnsi" w:cs="Calibri"/>
                <w:b/>
                <w:bCs/>
                <w:sz w:val="16"/>
                <w:szCs w:val="16"/>
                <w:lang w:val="sq-AL"/>
              </w:rPr>
            </w:pPr>
          </w:p>
        </w:tc>
        <w:tc>
          <w:tcPr>
            <w:tcW w:w="1165" w:type="dxa"/>
            <w:vMerge/>
            <w:tcBorders>
              <w:top w:val="nil"/>
              <w:left w:val="single" w:sz="4" w:space="0" w:color="auto"/>
              <w:bottom w:val="single" w:sz="4" w:space="0" w:color="auto"/>
              <w:right w:val="single" w:sz="4" w:space="0" w:color="auto"/>
            </w:tcBorders>
            <w:vAlign w:val="center"/>
            <w:hideMark/>
          </w:tcPr>
          <w:p w14:paraId="683B7137" w14:textId="77777777" w:rsidR="000441DE" w:rsidRPr="000441DE" w:rsidRDefault="000441DE" w:rsidP="008B44DD">
            <w:pPr>
              <w:rPr>
                <w:rFonts w:asciiTheme="minorHAnsi" w:hAnsiTheme="minorHAnsi" w:cs="Calibri"/>
                <w:b/>
                <w:bCs/>
                <w:sz w:val="16"/>
                <w:szCs w:val="16"/>
                <w:lang w:val="sq-AL"/>
              </w:rPr>
            </w:pPr>
          </w:p>
        </w:tc>
        <w:tc>
          <w:tcPr>
            <w:tcW w:w="1276" w:type="dxa"/>
            <w:tcBorders>
              <w:top w:val="nil"/>
              <w:left w:val="nil"/>
              <w:bottom w:val="single" w:sz="8" w:space="0" w:color="auto"/>
              <w:right w:val="single" w:sz="4" w:space="0" w:color="auto"/>
            </w:tcBorders>
            <w:shd w:val="clear" w:color="000000" w:fill="DBE5F1"/>
            <w:vAlign w:val="center"/>
            <w:hideMark/>
          </w:tcPr>
          <w:p w14:paraId="4B734989" w14:textId="77777777" w:rsidR="000441DE" w:rsidRPr="000441DE" w:rsidRDefault="000441DE" w:rsidP="008B44DD">
            <w:pPr>
              <w:jc w:val="center"/>
              <w:rPr>
                <w:rFonts w:asciiTheme="minorHAnsi" w:hAnsiTheme="minorHAnsi" w:cs="Calibri"/>
                <w:b/>
                <w:bCs/>
                <w:sz w:val="16"/>
                <w:szCs w:val="16"/>
                <w:lang w:val="sq-AL"/>
              </w:rPr>
            </w:pPr>
            <w:r w:rsidRPr="000441DE">
              <w:rPr>
                <w:rFonts w:asciiTheme="minorHAnsi" w:hAnsiTheme="minorHAnsi" w:cs="Calibri"/>
                <w:b/>
                <w:bCs/>
                <w:sz w:val="16"/>
                <w:szCs w:val="16"/>
                <w:lang w:val="sq-AL"/>
              </w:rPr>
              <w:t>2022 në vlerë</w:t>
            </w:r>
          </w:p>
        </w:tc>
        <w:tc>
          <w:tcPr>
            <w:tcW w:w="1187" w:type="dxa"/>
            <w:vMerge/>
            <w:tcBorders>
              <w:top w:val="nil"/>
              <w:left w:val="single" w:sz="4" w:space="0" w:color="auto"/>
              <w:bottom w:val="single" w:sz="4" w:space="0" w:color="auto"/>
              <w:right w:val="double" w:sz="6" w:space="0" w:color="auto"/>
            </w:tcBorders>
            <w:vAlign w:val="center"/>
            <w:hideMark/>
          </w:tcPr>
          <w:p w14:paraId="20D8DE98" w14:textId="77777777" w:rsidR="000441DE" w:rsidRPr="000441DE" w:rsidRDefault="000441DE" w:rsidP="008B44DD">
            <w:pPr>
              <w:rPr>
                <w:rFonts w:asciiTheme="minorHAnsi" w:hAnsiTheme="minorHAnsi" w:cs="Calibri"/>
                <w:b/>
                <w:bCs/>
                <w:sz w:val="16"/>
                <w:szCs w:val="16"/>
                <w:lang w:val="sq-AL"/>
              </w:rPr>
            </w:pPr>
          </w:p>
        </w:tc>
      </w:tr>
      <w:tr w:rsidR="000441DE" w:rsidRPr="000441DE" w14:paraId="7A6F602A" w14:textId="77777777" w:rsidTr="000441DE">
        <w:trPr>
          <w:trHeight w:val="154"/>
          <w:jc w:val="center"/>
        </w:trPr>
        <w:tc>
          <w:tcPr>
            <w:tcW w:w="468" w:type="dxa"/>
            <w:tcBorders>
              <w:top w:val="single" w:sz="8" w:space="0" w:color="auto"/>
              <w:left w:val="double" w:sz="6" w:space="0" w:color="auto"/>
              <w:bottom w:val="single" w:sz="8" w:space="0" w:color="auto"/>
              <w:right w:val="single" w:sz="4" w:space="0" w:color="auto"/>
            </w:tcBorders>
            <w:shd w:val="clear" w:color="auto" w:fill="auto"/>
            <w:noWrap/>
            <w:vAlign w:val="center"/>
            <w:hideMark/>
          </w:tcPr>
          <w:p w14:paraId="4558870F" w14:textId="77777777" w:rsidR="000441DE" w:rsidRPr="000441DE" w:rsidRDefault="000441DE" w:rsidP="008B44DD">
            <w:pPr>
              <w:jc w:val="center"/>
              <w:rPr>
                <w:rFonts w:asciiTheme="minorHAnsi" w:hAnsiTheme="minorHAnsi" w:cs="Calibri"/>
                <w:b/>
                <w:bCs/>
                <w:sz w:val="16"/>
                <w:szCs w:val="16"/>
                <w:lang w:val="sq-AL"/>
              </w:rPr>
            </w:pPr>
            <w:r w:rsidRPr="000441DE">
              <w:rPr>
                <w:rFonts w:asciiTheme="minorHAnsi" w:hAnsiTheme="minorHAnsi" w:cs="Calibri"/>
                <w:b/>
                <w:bCs/>
                <w:sz w:val="16"/>
                <w:szCs w:val="16"/>
                <w:lang w:val="sq-AL"/>
              </w:rPr>
              <w:t>I.</w:t>
            </w:r>
          </w:p>
        </w:tc>
        <w:tc>
          <w:tcPr>
            <w:tcW w:w="4408" w:type="dxa"/>
            <w:tcBorders>
              <w:top w:val="single" w:sz="8" w:space="0" w:color="auto"/>
              <w:left w:val="nil"/>
              <w:bottom w:val="single" w:sz="8" w:space="0" w:color="auto"/>
              <w:right w:val="single" w:sz="4" w:space="0" w:color="auto"/>
            </w:tcBorders>
            <w:shd w:val="clear" w:color="auto" w:fill="auto"/>
            <w:noWrap/>
            <w:vAlign w:val="center"/>
            <w:hideMark/>
          </w:tcPr>
          <w:p w14:paraId="704216F3" w14:textId="77777777" w:rsidR="000441DE" w:rsidRPr="000441DE" w:rsidRDefault="000441DE" w:rsidP="008B44DD">
            <w:pPr>
              <w:rPr>
                <w:rFonts w:asciiTheme="minorHAnsi" w:hAnsiTheme="minorHAnsi" w:cs="Calibri"/>
                <w:b/>
                <w:bCs/>
                <w:sz w:val="18"/>
                <w:szCs w:val="18"/>
                <w:lang w:val="sq-AL"/>
              </w:rPr>
            </w:pPr>
            <w:r w:rsidRPr="000441DE">
              <w:rPr>
                <w:rFonts w:asciiTheme="minorHAnsi" w:hAnsiTheme="minorHAnsi" w:cs="Calibri"/>
                <w:b/>
                <w:bCs/>
                <w:sz w:val="18"/>
                <w:szCs w:val="18"/>
                <w:lang w:val="sq-AL"/>
              </w:rPr>
              <w:t>Të ardhura nga Pushteti vendor</w:t>
            </w:r>
          </w:p>
        </w:tc>
        <w:tc>
          <w:tcPr>
            <w:tcW w:w="1165" w:type="dxa"/>
            <w:tcBorders>
              <w:top w:val="single" w:sz="8" w:space="0" w:color="auto"/>
              <w:left w:val="nil"/>
              <w:bottom w:val="single" w:sz="8" w:space="0" w:color="auto"/>
              <w:right w:val="single" w:sz="4" w:space="0" w:color="auto"/>
            </w:tcBorders>
            <w:shd w:val="clear" w:color="auto" w:fill="auto"/>
            <w:noWrap/>
            <w:vAlign w:val="center"/>
            <w:hideMark/>
          </w:tcPr>
          <w:p w14:paraId="32775393" w14:textId="77777777" w:rsidR="000441DE" w:rsidRPr="000441DE" w:rsidRDefault="000441DE" w:rsidP="008B44DD">
            <w:pPr>
              <w:jc w:val="right"/>
              <w:rPr>
                <w:rFonts w:asciiTheme="minorHAnsi" w:hAnsiTheme="minorHAnsi" w:cs="Calibri"/>
                <w:b/>
                <w:bCs/>
                <w:sz w:val="18"/>
                <w:szCs w:val="18"/>
                <w:lang w:val="sq-AL"/>
              </w:rPr>
            </w:pPr>
            <w:r w:rsidRPr="000441DE">
              <w:rPr>
                <w:rFonts w:asciiTheme="minorHAnsi" w:hAnsiTheme="minorHAnsi" w:cs="Calibri"/>
                <w:b/>
                <w:bCs/>
                <w:sz w:val="16"/>
                <w:szCs w:val="16"/>
              </w:rPr>
              <w:t>12,439</w:t>
            </w:r>
          </w:p>
        </w:tc>
        <w:tc>
          <w:tcPr>
            <w:tcW w:w="1165" w:type="dxa"/>
            <w:tcBorders>
              <w:top w:val="single" w:sz="8" w:space="0" w:color="auto"/>
              <w:left w:val="nil"/>
              <w:bottom w:val="single" w:sz="8" w:space="0" w:color="auto"/>
              <w:right w:val="single" w:sz="4" w:space="0" w:color="auto"/>
            </w:tcBorders>
            <w:shd w:val="clear" w:color="auto" w:fill="auto"/>
            <w:noWrap/>
            <w:vAlign w:val="center"/>
            <w:hideMark/>
          </w:tcPr>
          <w:p w14:paraId="26CE0C70" w14:textId="77777777" w:rsidR="000441DE" w:rsidRPr="000441DE" w:rsidRDefault="000441DE" w:rsidP="008B44DD">
            <w:pPr>
              <w:jc w:val="right"/>
              <w:rPr>
                <w:rFonts w:asciiTheme="minorHAnsi" w:hAnsiTheme="minorHAnsi" w:cs="Calibri"/>
                <w:b/>
                <w:bCs/>
                <w:sz w:val="18"/>
                <w:szCs w:val="18"/>
                <w:lang w:val="sq-AL"/>
              </w:rPr>
            </w:pPr>
            <w:r w:rsidRPr="000441DE">
              <w:rPr>
                <w:rFonts w:asciiTheme="minorHAnsi" w:hAnsiTheme="minorHAnsi" w:cs="Calibri"/>
                <w:b/>
                <w:bCs/>
                <w:sz w:val="16"/>
                <w:szCs w:val="16"/>
              </w:rPr>
              <w:t>14,098</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49BFFCF4" w14:textId="77777777" w:rsidR="000441DE" w:rsidRPr="000441DE" w:rsidRDefault="000441DE" w:rsidP="008B44DD">
            <w:pPr>
              <w:jc w:val="right"/>
              <w:rPr>
                <w:rFonts w:asciiTheme="minorHAnsi" w:hAnsiTheme="minorHAnsi" w:cs="Calibri"/>
                <w:b/>
                <w:bCs/>
                <w:sz w:val="18"/>
                <w:szCs w:val="18"/>
                <w:lang w:val="sq-AL"/>
              </w:rPr>
            </w:pPr>
            <w:r w:rsidRPr="000441DE">
              <w:rPr>
                <w:rFonts w:asciiTheme="minorHAnsi" w:hAnsiTheme="minorHAnsi" w:cs="Calibri"/>
                <w:b/>
                <w:bCs/>
                <w:sz w:val="16"/>
                <w:szCs w:val="16"/>
              </w:rPr>
              <w:t>-1,659</w:t>
            </w:r>
          </w:p>
        </w:tc>
        <w:tc>
          <w:tcPr>
            <w:tcW w:w="1187" w:type="dxa"/>
            <w:tcBorders>
              <w:top w:val="single" w:sz="8" w:space="0" w:color="auto"/>
              <w:left w:val="nil"/>
              <w:bottom w:val="single" w:sz="8" w:space="0" w:color="auto"/>
              <w:right w:val="double" w:sz="6" w:space="0" w:color="auto"/>
            </w:tcBorders>
            <w:shd w:val="clear" w:color="auto" w:fill="auto"/>
            <w:noWrap/>
            <w:vAlign w:val="center"/>
            <w:hideMark/>
          </w:tcPr>
          <w:p w14:paraId="6557F56E" w14:textId="77777777" w:rsidR="000441DE" w:rsidRPr="000441DE" w:rsidRDefault="000441DE" w:rsidP="008B44DD">
            <w:pPr>
              <w:jc w:val="right"/>
              <w:rPr>
                <w:rFonts w:asciiTheme="minorHAnsi" w:hAnsiTheme="minorHAnsi" w:cs="Calibri"/>
                <w:b/>
                <w:bCs/>
                <w:sz w:val="18"/>
                <w:szCs w:val="18"/>
                <w:lang w:val="sq-AL"/>
              </w:rPr>
            </w:pPr>
            <w:r w:rsidRPr="000441DE">
              <w:rPr>
                <w:rFonts w:asciiTheme="minorHAnsi" w:hAnsiTheme="minorHAnsi" w:cs="Calibri"/>
                <w:b/>
                <w:bCs/>
                <w:sz w:val="16"/>
                <w:szCs w:val="16"/>
              </w:rPr>
              <w:t>88%</w:t>
            </w:r>
          </w:p>
        </w:tc>
      </w:tr>
      <w:tr w:rsidR="000441DE" w:rsidRPr="000441DE" w14:paraId="59AFAB68" w14:textId="77777777" w:rsidTr="000441DE">
        <w:trPr>
          <w:trHeight w:val="154"/>
          <w:jc w:val="center"/>
        </w:trPr>
        <w:tc>
          <w:tcPr>
            <w:tcW w:w="468" w:type="dxa"/>
            <w:tcBorders>
              <w:top w:val="nil"/>
              <w:left w:val="double" w:sz="6" w:space="0" w:color="auto"/>
              <w:bottom w:val="single" w:sz="4" w:space="0" w:color="auto"/>
              <w:right w:val="single" w:sz="4" w:space="0" w:color="auto"/>
            </w:tcBorders>
            <w:shd w:val="clear" w:color="auto" w:fill="auto"/>
            <w:noWrap/>
            <w:vAlign w:val="center"/>
            <w:hideMark/>
          </w:tcPr>
          <w:p w14:paraId="1DC917FB" w14:textId="77777777" w:rsidR="000441DE" w:rsidRPr="000441DE" w:rsidRDefault="000441DE" w:rsidP="008B44DD">
            <w:pPr>
              <w:jc w:val="right"/>
              <w:rPr>
                <w:rFonts w:asciiTheme="minorHAnsi" w:hAnsiTheme="minorHAnsi" w:cs="Calibri"/>
                <w:sz w:val="16"/>
                <w:szCs w:val="16"/>
                <w:lang w:val="sq-AL"/>
              </w:rPr>
            </w:pPr>
            <w:r w:rsidRPr="000441DE">
              <w:rPr>
                <w:rFonts w:asciiTheme="minorHAnsi" w:hAnsiTheme="minorHAnsi" w:cs="Calibri"/>
                <w:sz w:val="16"/>
                <w:szCs w:val="16"/>
                <w:lang w:val="sq-AL"/>
              </w:rPr>
              <w:t>I.1</w:t>
            </w:r>
          </w:p>
        </w:tc>
        <w:tc>
          <w:tcPr>
            <w:tcW w:w="4408" w:type="dxa"/>
            <w:tcBorders>
              <w:top w:val="nil"/>
              <w:left w:val="nil"/>
              <w:bottom w:val="single" w:sz="4" w:space="0" w:color="auto"/>
              <w:right w:val="single" w:sz="4" w:space="0" w:color="auto"/>
            </w:tcBorders>
            <w:shd w:val="clear" w:color="auto" w:fill="auto"/>
            <w:noWrap/>
            <w:vAlign w:val="center"/>
            <w:hideMark/>
          </w:tcPr>
          <w:p w14:paraId="46A9C13D" w14:textId="77777777" w:rsidR="000441DE" w:rsidRPr="000441DE" w:rsidRDefault="000441DE" w:rsidP="008B44DD">
            <w:pPr>
              <w:jc w:val="both"/>
              <w:rPr>
                <w:rFonts w:asciiTheme="minorHAnsi" w:hAnsiTheme="minorHAnsi" w:cs="Calibri"/>
                <w:i/>
                <w:iCs/>
                <w:sz w:val="18"/>
                <w:szCs w:val="18"/>
                <w:lang w:val="sq-AL"/>
              </w:rPr>
            </w:pPr>
            <w:r w:rsidRPr="000441DE">
              <w:rPr>
                <w:rFonts w:asciiTheme="minorHAnsi" w:hAnsiTheme="minorHAnsi" w:cs="Calibri"/>
                <w:i/>
                <w:iCs/>
                <w:sz w:val="18"/>
                <w:szCs w:val="18"/>
                <w:lang w:val="sq-AL"/>
              </w:rPr>
              <w:t>Taksa mbi pasurinë</w:t>
            </w:r>
          </w:p>
        </w:tc>
        <w:tc>
          <w:tcPr>
            <w:tcW w:w="1165" w:type="dxa"/>
            <w:tcBorders>
              <w:top w:val="nil"/>
              <w:left w:val="nil"/>
              <w:bottom w:val="single" w:sz="4" w:space="0" w:color="auto"/>
              <w:right w:val="single" w:sz="4" w:space="0" w:color="auto"/>
            </w:tcBorders>
            <w:shd w:val="clear" w:color="auto" w:fill="auto"/>
            <w:noWrap/>
            <w:vAlign w:val="center"/>
            <w:hideMark/>
          </w:tcPr>
          <w:p w14:paraId="79671ED1" w14:textId="77777777" w:rsidR="000441DE" w:rsidRPr="000441DE" w:rsidRDefault="000441DE" w:rsidP="008B44DD">
            <w:pPr>
              <w:jc w:val="right"/>
              <w:rPr>
                <w:rFonts w:asciiTheme="minorHAnsi" w:hAnsiTheme="minorHAnsi" w:cs="Calibri"/>
                <w:i/>
                <w:iCs/>
                <w:sz w:val="18"/>
                <w:szCs w:val="18"/>
                <w:lang w:val="sq-AL"/>
              </w:rPr>
            </w:pPr>
            <w:r w:rsidRPr="000441DE">
              <w:rPr>
                <w:rFonts w:asciiTheme="minorHAnsi" w:hAnsiTheme="minorHAnsi" w:cs="Calibri"/>
                <w:i/>
                <w:iCs/>
                <w:sz w:val="16"/>
                <w:szCs w:val="16"/>
              </w:rPr>
              <w:t>2,729</w:t>
            </w:r>
          </w:p>
        </w:tc>
        <w:tc>
          <w:tcPr>
            <w:tcW w:w="1165" w:type="dxa"/>
            <w:tcBorders>
              <w:top w:val="nil"/>
              <w:left w:val="nil"/>
              <w:bottom w:val="single" w:sz="4" w:space="0" w:color="auto"/>
              <w:right w:val="single" w:sz="4" w:space="0" w:color="auto"/>
            </w:tcBorders>
            <w:shd w:val="clear" w:color="auto" w:fill="auto"/>
            <w:noWrap/>
            <w:vAlign w:val="center"/>
            <w:hideMark/>
          </w:tcPr>
          <w:p w14:paraId="04163A15" w14:textId="77777777" w:rsidR="000441DE" w:rsidRPr="000441DE" w:rsidRDefault="000441DE" w:rsidP="008B44DD">
            <w:pPr>
              <w:jc w:val="right"/>
              <w:rPr>
                <w:rFonts w:asciiTheme="minorHAnsi" w:hAnsiTheme="minorHAnsi" w:cs="Calibri"/>
                <w:i/>
                <w:iCs/>
                <w:sz w:val="18"/>
                <w:szCs w:val="18"/>
                <w:lang w:val="sq-AL"/>
              </w:rPr>
            </w:pPr>
            <w:r w:rsidRPr="000441DE">
              <w:rPr>
                <w:rFonts w:asciiTheme="minorHAnsi" w:hAnsiTheme="minorHAnsi" w:cs="Calibri"/>
                <w:i/>
                <w:iCs/>
                <w:sz w:val="16"/>
                <w:szCs w:val="16"/>
              </w:rPr>
              <w:t>2,958</w:t>
            </w:r>
          </w:p>
        </w:tc>
        <w:tc>
          <w:tcPr>
            <w:tcW w:w="1276" w:type="dxa"/>
            <w:tcBorders>
              <w:top w:val="nil"/>
              <w:left w:val="nil"/>
              <w:bottom w:val="single" w:sz="4" w:space="0" w:color="auto"/>
              <w:right w:val="single" w:sz="4" w:space="0" w:color="auto"/>
            </w:tcBorders>
            <w:shd w:val="clear" w:color="auto" w:fill="auto"/>
            <w:noWrap/>
            <w:vAlign w:val="center"/>
            <w:hideMark/>
          </w:tcPr>
          <w:p w14:paraId="63BED85F" w14:textId="77777777" w:rsidR="000441DE" w:rsidRPr="000441DE" w:rsidRDefault="000441DE" w:rsidP="008B44DD">
            <w:pPr>
              <w:jc w:val="right"/>
              <w:rPr>
                <w:rFonts w:asciiTheme="minorHAnsi" w:hAnsiTheme="minorHAnsi" w:cs="Calibri"/>
                <w:sz w:val="18"/>
                <w:szCs w:val="18"/>
                <w:lang w:val="sq-AL"/>
              </w:rPr>
            </w:pPr>
            <w:r w:rsidRPr="000441DE">
              <w:rPr>
                <w:rFonts w:asciiTheme="minorHAnsi" w:hAnsiTheme="minorHAnsi" w:cs="Calibri"/>
                <w:sz w:val="16"/>
                <w:szCs w:val="16"/>
              </w:rPr>
              <w:t>-229</w:t>
            </w:r>
          </w:p>
        </w:tc>
        <w:tc>
          <w:tcPr>
            <w:tcW w:w="1187" w:type="dxa"/>
            <w:tcBorders>
              <w:top w:val="nil"/>
              <w:left w:val="nil"/>
              <w:bottom w:val="single" w:sz="4" w:space="0" w:color="auto"/>
              <w:right w:val="double" w:sz="6" w:space="0" w:color="auto"/>
            </w:tcBorders>
            <w:shd w:val="clear" w:color="auto" w:fill="auto"/>
            <w:noWrap/>
            <w:vAlign w:val="center"/>
            <w:hideMark/>
          </w:tcPr>
          <w:p w14:paraId="2B7F9CD0" w14:textId="77777777" w:rsidR="000441DE" w:rsidRPr="000441DE" w:rsidRDefault="000441DE" w:rsidP="008B44DD">
            <w:pPr>
              <w:jc w:val="right"/>
              <w:rPr>
                <w:rFonts w:asciiTheme="minorHAnsi" w:hAnsiTheme="minorHAnsi" w:cs="Calibri"/>
                <w:sz w:val="18"/>
                <w:szCs w:val="18"/>
                <w:lang w:val="sq-AL"/>
              </w:rPr>
            </w:pPr>
            <w:r w:rsidRPr="000441DE">
              <w:rPr>
                <w:rFonts w:asciiTheme="minorHAnsi" w:hAnsiTheme="minorHAnsi" w:cs="Calibri"/>
                <w:sz w:val="16"/>
                <w:szCs w:val="16"/>
              </w:rPr>
              <w:t>92%</w:t>
            </w:r>
          </w:p>
        </w:tc>
      </w:tr>
      <w:tr w:rsidR="000441DE" w:rsidRPr="000441DE" w14:paraId="2AB839C0" w14:textId="77777777" w:rsidTr="000441DE">
        <w:trPr>
          <w:trHeight w:val="154"/>
          <w:jc w:val="center"/>
        </w:trPr>
        <w:tc>
          <w:tcPr>
            <w:tcW w:w="468" w:type="dxa"/>
            <w:tcBorders>
              <w:top w:val="nil"/>
              <w:left w:val="double" w:sz="6" w:space="0" w:color="auto"/>
              <w:bottom w:val="single" w:sz="4" w:space="0" w:color="auto"/>
              <w:right w:val="single" w:sz="4" w:space="0" w:color="auto"/>
            </w:tcBorders>
            <w:shd w:val="clear" w:color="auto" w:fill="auto"/>
            <w:noWrap/>
            <w:vAlign w:val="center"/>
            <w:hideMark/>
          </w:tcPr>
          <w:p w14:paraId="434F9870" w14:textId="77777777" w:rsidR="000441DE" w:rsidRPr="000441DE" w:rsidRDefault="000441DE" w:rsidP="008B44DD">
            <w:pPr>
              <w:jc w:val="right"/>
              <w:rPr>
                <w:rFonts w:asciiTheme="minorHAnsi" w:hAnsiTheme="minorHAnsi" w:cs="Calibri"/>
                <w:sz w:val="16"/>
                <w:szCs w:val="16"/>
                <w:lang w:val="sq-AL"/>
              </w:rPr>
            </w:pPr>
            <w:r w:rsidRPr="000441DE">
              <w:rPr>
                <w:rFonts w:asciiTheme="minorHAnsi" w:hAnsiTheme="minorHAnsi" w:cs="Calibri"/>
                <w:sz w:val="16"/>
                <w:szCs w:val="16"/>
                <w:lang w:val="sq-AL"/>
              </w:rPr>
              <w:t>I.2</w:t>
            </w:r>
          </w:p>
        </w:tc>
        <w:tc>
          <w:tcPr>
            <w:tcW w:w="4408" w:type="dxa"/>
            <w:tcBorders>
              <w:top w:val="nil"/>
              <w:left w:val="nil"/>
              <w:bottom w:val="single" w:sz="4" w:space="0" w:color="auto"/>
              <w:right w:val="single" w:sz="4" w:space="0" w:color="auto"/>
            </w:tcBorders>
            <w:shd w:val="clear" w:color="auto" w:fill="auto"/>
            <w:noWrap/>
            <w:vAlign w:val="center"/>
            <w:hideMark/>
          </w:tcPr>
          <w:p w14:paraId="5F97CA7E" w14:textId="77777777" w:rsidR="000441DE" w:rsidRPr="000441DE" w:rsidRDefault="000441DE" w:rsidP="008B44DD">
            <w:pPr>
              <w:jc w:val="both"/>
              <w:rPr>
                <w:rFonts w:asciiTheme="minorHAnsi" w:hAnsiTheme="minorHAnsi" w:cs="Calibri"/>
                <w:i/>
                <w:iCs/>
                <w:sz w:val="18"/>
                <w:szCs w:val="18"/>
                <w:lang w:val="sq-AL"/>
              </w:rPr>
            </w:pPr>
            <w:r w:rsidRPr="000441DE">
              <w:rPr>
                <w:rFonts w:asciiTheme="minorHAnsi" w:hAnsiTheme="minorHAnsi" w:cs="Calibri"/>
                <w:i/>
                <w:iCs/>
                <w:sz w:val="18"/>
                <w:szCs w:val="18"/>
                <w:lang w:val="sq-AL"/>
              </w:rPr>
              <w:t>Taksa e biznesit të vogël</w:t>
            </w:r>
          </w:p>
        </w:tc>
        <w:tc>
          <w:tcPr>
            <w:tcW w:w="1165" w:type="dxa"/>
            <w:tcBorders>
              <w:top w:val="nil"/>
              <w:left w:val="nil"/>
              <w:bottom w:val="single" w:sz="4" w:space="0" w:color="auto"/>
              <w:right w:val="single" w:sz="4" w:space="0" w:color="auto"/>
            </w:tcBorders>
            <w:shd w:val="clear" w:color="auto" w:fill="auto"/>
            <w:noWrap/>
            <w:vAlign w:val="center"/>
            <w:hideMark/>
          </w:tcPr>
          <w:p w14:paraId="5D401A64" w14:textId="77777777" w:rsidR="000441DE" w:rsidRPr="000441DE" w:rsidRDefault="000441DE" w:rsidP="008B44DD">
            <w:pPr>
              <w:jc w:val="right"/>
              <w:rPr>
                <w:rFonts w:asciiTheme="minorHAnsi" w:hAnsiTheme="minorHAnsi" w:cs="Calibri"/>
                <w:i/>
                <w:iCs/>
                <w:sz w:val="18"/>
                <w:szCs w:val="18"/>
                <w:lang w:val="sq-AL"/>
              </w:rPr>
            </w:pPr>
            <w:r w:rsidRPr="000441DE">
              <w:rPr>
                <w:rFonts w:asciiTheme="minorHAnsi" w:hAnsiTheme="minorHAnsi" w:cs="Calibri"/>
                <w:i/>
                <w:iCs/>
                <w:sz w:val="16"/>
                <w:szCs w:val="16"/>
              </w:rPr>
              <w:t>27</w:t>
            </w:r>
          </w:p>
        </w:tc>
        <w:tc>
          <w:tcPr>
            <w:tcW w:w="1165" w:type="dxa"/>
            <w:tcBorders>
              <w:top w:val="nil"/>
              <w:left w:val="nil"/>
              <w:bottom w:val="single" w:sz="4" w:space="0" w:color="auto"/>
              <w:right w:val="single" w:sz="4" w:space="0" w:color="auto"/>
            </w:tcBorders>
            <w:shd w:val="clear" w:color="auto" w:fill="auto"/>
            <w:noWrap/>
            <w:vAlign w:val="center"/>
            <w:hideMark/>
          </w:tcPr>
          <w:p w14:paraId="7F414744" w14:textId="77777777" w:rsidR="000441DE" w:rsidRPr="000441DE" w:rsidRDefault="000441DE" w:rsidP="008B44DD">
            <w:pPr>
              <w:jc w:val="right"/>
              <w:rPr>
                <w:rFonts w:asciiTheme="minorHAnsi" w:hAnsiTheme="minorHAnsi" w:cs="Calibri"/>
                <w:i/>
                <w:iCs/>
                <w:sz w:val="18"/>
                <w:szCs w:val="18"/>
                <w:lang w:val="sq-AL"/>
              </w:rPr>
            </w:pPr>
            <w:r w:rsidRPr="000441DE">
              <w:rPr>
                <w:rFonts w:asciiTheme="minorHAnsi" w:hAnsiTheme="minorHAnsi" w:cs="Calibri"/>
                <w:i/>
                <w:iCs/>
                <w:sz w:val="16"/>
                <w:szCs w:val="16"/>
              </w:rPr>
              <w:t>38</w:t>
            </w:r>
          </w:p>
        </w:tc>
        <w:tc>
          <w:tcPr>
            <w:tcW w:w="1276" w:type="dxa"/>
            <w:tcBorders>
              <w:top w:val="nil"/>
              <w:left w:val="nil"/>
              <w:bottom w:val="single" w:sz="4" w:space="0" w:color="auto"/>
              <w:right w:val="single" w:sz="4" w:space="0" w:color="auto"/>
            </w:tcBorders>
            <w:shd w:val="clear" w:color="auto" w:fill="auto"/>
            <w:noWrap/>
            <w:vAlign w:val="center"/>
            <w:hideMark/>
          </w:tcPr>
          <w:p w14:paraId="0657ECD9" w14:textId="77777777" w:rsidR="000441DE" w:rsidRPr="000441DE" w:rsidRDefault="000441DE" w:rsidP="008B44DD">
            <w:pPr>
              <w:jc w:val="right"/>
              <w:rPr>
                <w:rFonts w:asciiTheme="minorHAnsi" w:hAnsiTheme="minorHAnsi" w:cs="Calibri"/>
                <w:sz w:val="18"/>
                <w:szCs w:val="18"/>
                <w:lang w:val="sq-AL"/>
              </w:rPr>
            </w:pPr>
            <w:r w:rsidRPr="000441DE">
              <w:rPr>
                <w:rFonts w:asciiTheme="minorHAnsi" w:hAnsiTheme="minorHAnsi" w:cs="Calibri"/>
                <w:sz w:val="16"/>
                <w:szCs w:val="16"/>
              </w:rPr>
              <w:t>-12</w:t>
            </w:r>
          </w:p>
        </w:tc>
        <w:tc>
          <w:tcPr>
            <w:tcW w:w="1187" w:type="dxa"/>
            <w:tcBorders>
              <w:top w:val="nil"/>
              <w:left w:val="nil"/>
              <w:bottom w:val="single" w:sz="4" w:space="0" w:color="auto"/>
              <w:right w:val="double" w:sz="6" w:space="0" w:color="auto"/>
            </w:tcBorders>
            <w:shd w:val="clear" w:color="auto" w:fill="auto"/>
            <w:noWrap/>
            <w:vAlign w:val="center"/>
            <w:hideMark/>
          </w:tcPr>
          <w:p w14:paraId="7625FF18" w14:textId="77777777" w:rsidR="000441DE" w:rsidRPr="000441DE" w:rsidRDefault="000441DE" w:rsidP="008B44DD">
            <w:pPr>
              <w:jc w:val="right"/>
              <w:rPr>
                <w:rFonts w:asciiTheme="minorHAnsi" w:hAnsiTheme="minorHAnsi" w:cs="Calibri"/>
                <w:sz w:val="18"/>
                <w:szCs w:val="18"/>
                <w:lang w:val="sq-AL"/>
              </w:rPr>
            </w:pPr>
            <w:r w:rsidRPr="000441DE">
              <w:rPr>
                <w:rFonts w:asciiTheme="minorHAnsi" w:hAnsiTheme="minorHAnsi" w:cs="Calibri"/>
                <w:sz w:val="16"/>
                <w:szCs w:val="16"/>
              </w:rPr>
              <w:t>70%</w:t>
            </w:r>
          </w:p>
        </w:tc>
      </w:tr>
      <w:tr w:rsidR="000441DE" w:rsidRPr="000441DE" w14:paraId="7A3263E9" w14:textId="77777777" w:rsidTr="000441DE">
        <w:trPr>
          <w:trHeight w:val="154"/>
          <w:jc w:val="center"/>
        </w:trPr>
        <w:tc>
          <w:tcPr>
            <w:tcW w:w="468" w:type="dxa"/>
            <w:tcBorders>
              <w:top w:val="nil"/>
              <w:left w:val="double" w:sz="6" w:space="0" w:color="auto"/>
              <w:bottom w:val="nil"/>
              <w:right w:val="single" w:sz="4" w:space="0" w:color="auto"/>
            </w:tcBorders>
            <w:shd w:val="clear" w:color="auto" w:fill="auto"/>
            <w:noWrap/>
            <w:vAlign w:val="center"/>
            <w:hideMark/>
          </w:tcPr>
          <w:p w14:paraId="788C424E" w14:textId="77777777" w:rsidR="000441DE" w:rsidRPr="000441DE" w:rsidRDefault="000441DE" w:rsidP="008B44DD">
            <w:pPr>
              <w:jc w:val="right"/>
              <w:rPr>
                <w:rFonts w:asciiTheme="minorHAnsi" w:hAnsiTheme="minorHAnsi" w:cs="Calibri"/>
                <w:sz w:val="16"/>
                <w:szCs w:val="16"/>
                <w:lang w:val="sq-AL"/>
              </w:rPr>
            </w:pPr>
            <w:r w:rsidRPr="000441DE">
              <w:rPr>
                <w:rFonts w:asciiTheme="minorHAnsi" w:hAnsiTheme="minorHAnsi" w:cs="Calibri"/>
                <w:sz w:val="16"/>
                <w:szCs w:val="16"/>
                <w:lang w:val="sq-AL"/>
              </w:rPr>
              <w:t>I.3</w:t>
            </w:r>
          </w:p>
        </w:tc>
        <w:tc>
          <w:tcPr>
            <w:tcW w:w="4408" w:type="dxa"/>
            <w:tcBorders>
              <w:top w:val="nil"/>
              <w:left w:val="nil"/>
              <w:bottom w:val="nil"/>
              <w:right w:val="single" w:sz="4" w:space="0" w:color="auto"/>
            </w:tcBorders>
            <w:shd w:val="clear" w:color="auto" w:fill="auto"/>
            <w:noWrap/>
            <w:vAlign w:val="center"/>
            <w:hideMark/>
          </w:tcPr>
          <w:p w14:paraId="37D89615" w14:textId="77777777" w:rsidR="000441DE" w:rsidRPr="000441DE" w:rsidRDefault="000441DE" w:rsidP="008B44DD">
            <w:pPr>
              <w:rPr>
                <w:rFonts w:asciiTheme="minorHAnsi" w:hAnsiTheme="minorHAnsi" w:cs="Calibri"/>
                <w:i/>
                <w:iCs/>
                <w:sz w:val="18"/>
                <w:szCs w:val="18"/>
                <w:lang w:val="sq-AL"/>
              </w:rPr>
            </w:pPr>
            <w:r w:rsidRPr="000441DE">
              <w:rPr>
                <w:rFonts w:asciiTheme="minorHAnsi" w:hAnsiTheme="minorHAnsi" w:cs="Calibri"/>
                <w:i/>
                <w:iCs/>
                <w:sz w:val="18"/>
                <w:szCs w:val="18"/>
                <w:lang w:val="sq-AL"/>
              </w:rPr>
              <w:t>Taksa Lokale</w:t>
            </w:r>
          </w:p>
        </w:tc>
        <w:tc>
          <w:tcPr>
            <w:tcW w:w="1165" w:type="dxa"/>
            <w:tcBorders>
              <w:top w:val="nil"/>
              <w:left w:val="nil"/>
              <w:bottom w:val="nil"/>
              <w:right w:val="single" w:sz="4" w:space="0" w:color="auto"/>
            </w:tcBorders>
            <w:shd w:val="clear" w:color="auto" w:fill="auto"/>
            <w:noWrap/>
            <w:vAlign w:val="center"/>
            <w:hideMark/>
          </w:tcPr>
          <w:p w14:paraId="0B028544" w14:textId="77777777" w:rsidR="000441DE" w:rsidRPr="000441DE" w:rsidRDefault="000441DE" w:rsidP="008B44DD">
            <w:pPr>
              <w:jc w:val="right"/>
              <w:rPr>
                <w:rFonts w:asciiTheme="minorHAnsi" w:hAnsiTheme="minorHAnsi" w:cs="Calibri"/>
                <w:i/>
                <w:iCs/>
                <w:sz w:val="18"/>
                <w:szCs w:val="18"/>
                <w:lang w:val="sq-AL"/>
              </w:rPr>
            </w:pPr>
            <w:r w:rsidRPr="000441DE">
              <w:rPr>
                <w:rFonts w:asciiTheme="minorHAnsi" w:hAnsiTheme="minorHAnsi" w:cs="Calibri"/>
                <w:i/>
                <w:iCs/>
                <w:sz w:val="16"/>
                <w:szCs w:val="16"/>
              </w:rPr>
              <w:t>9,684</w:t>
            </w:r>
          </w:p>
        </w:tc>
        <w:tc>
          <w:tcPr>
            <w:tcW w:w="1165" w:type="dxa"/>
            <w:tcBorders>
              <w:top w:val="nil"/>
              <w:left w:val="nil"/>
              <w:bottom w:val="nil"/>
              <w:right w:val="single" w:sz="4" w:space="0" w:color="auto"/>
            </w:tcBorders>
            <w:shd w:val="clear" w:color="auto" w:fill="auto"/>
            <w:noWrap/>
            <w:vAlign w:val="center"/>
            <w:hideMark/>
          </w:tcPr>
          <w:p w14:paraId="7ABF28D0" w14:textId="77777777" w:rsidR="000441DE" w:rsidRPr="000441DE" w:rsidRDefault="000441DE" w:rsidP="008B44DD">
            <w:pPr>
              <w:jc w:val="right"/>
              <w:rPr>
                <w:rFonts w:asciiTheme="minorHAnsi" w:hAnsiTheme="minorHAnsi" w:cs="Calibri"/>
                <w:i/>
                <w:iCs/>
                <w:sz w:val="18"/>
                <w:szCs w:val="18"/>
                <w:lang w:val="sq-AL"/>
              </w:rPr>
            </w:pPr>
            <w:r w:rsidRPr="000441DE">
              <w:rPr>
                <w:rFonts w:asciiTheme="minorHAnsi" w:hAnsiTheme="minorHAnsi" w:cs="Calibri"/>
                <w:i/>
                <w:iCs/>
                <w:sz w:val="16"/>
                <w:szCs w:val="16"/>
              </w:rPr>
              <w:t>11,102</w:t>
            </w:r>
          </w:p>
        </w:tc>
        <w:tc>
          <w:tcPr>
            <w:tcW w:w="1276" w:type="dxa"/>
            <w:tcBorders>
              <w:top w:val="nil"/>
              <w:left w:val="nil"/>
              <w:bottom w:val="nil"/>
              <w:right w:val="single" w:sz="4" w:space="0" w:color="auto"/>
            </w:tcBorders>
            <w:shd w:val="clear" w:color="auto" w:fill="auto"/>
            <w:noWrap/>
            <w:vAlign w:val="center"/>
            <w:hideMark/>
          </w:tcPr>
          <w:p w14:paraId="128DACBA" w14:textId="77777777" w:rsidR="000441DE" w:rsidRPr="000441DE" w:rsidRDefault="000441DE" w:rsidP="008B44DD">
            <w:pPr>
              <w:jc w:val="right"/>
              <w:rPr>
                <w:rFonts w:asciiTheme="minorHAnsi" w:hAnsiTheme="minorHAnsi" w:cs="Calibri"/>
                <w:sz w:val="18"/>
                <w:szCs w:val="18"/>
                <w:lang w:val="sq-AL"/>
              </w:rPr>
            </w:pPr>
            <w:r w:rsidRPr="000441DE">
              <w:rPr>
                <w:rFonts w:asciiTheme="minorHAnsi" w:hAnsiTheme="minorHAnsi" w:cs="Calibri"/>
                <w:sz w:val="16"/>
                <w:szCs w:val="16"/>
              </w:rPr>
              <w:t>-1,418</w:t>
            </w:r>
          </w:p>
        </w:tc>
        <w:tc>
          <w:tcPr>
            <w:tcW w:w="1187" w:type="dxa"/>
            <w:tcBorders>
              <w:top w:val="nil"/>
              <w:left w:val="nil"/>
              <w:bottom w:val="nil"/>
              <w:right w:val="double" w:sz="6" w:space="0" w:color="auto"/>
            </w:tcBorders>
            <w:shd w:val="clear" w:color="auto" w:fill="auto"/>
            <w:noWrap/>
            <w:vAlign w:val="center"/>
            <w:hideMark/>
          </w:tcPr>
          <w:p w14:paraId="6028041B" w14:textId="77777777" w:rsidR="000441DE" w:rsidRPr="000441DE" w:rsidRDefault="000441DE" w:rsidP="008B44DD">
            <w:pPr>
              <w:jc w:val="right"/>
              <w:rPr>
                <w:rFonts w:asciiTheme="minorHAnsi" w:hAnsiTheme="minorHAnsi" w:cs="Calibri"/>
                <w:sz w:val="18"/>
                <w:szCs w:val="18"/>
                <w:lang w:val="sq-AL"/>
              </w:rPr>
            </w:pPr>
            <w:r w:rsidRPr="000441DE">
              <w:rPr>
                <w:rFonts w:asciiTheme="minorHAnsi" w:hAnsiTheme="minorHAnsi" w:cs="Calibri"/>
                <w:sz w:val="16"/>
                <w:szCs w:val="16"/>
              </w:rPr>
              <w:t>87%</w:t>
            </w:r>
          </w:p>
        </w:tc>
      </w:tr>
      <w:tr w:rsidR="000441DE" w:rsidRPr="000441DE" w14:paraId="29B33A8C" w14:textId="77777777" w:rsidTr="000441DE">
        <w:trPr>
          <w:trHeight w:val="154"/>
          <w:jc w:val="center"/>
        </w:trPr>
        <w:tc>
          <w:tcPr>
            <w:tcW w:w="468" w:type="dxa"/>
            <w:tcBorders>
              <w:top w:val="single" w:sz="8" w:space="0" w:color="auto"/>
              <w:left w:val="double" w:sz="6" w:space="0" w:color="auto"/>
              <w:bottom w:val="single" w:sz="8" w:space="0" w:color="auto"/>
              <w:right w:val="single" w:sz="4" w:space="0" w:color="auto"/>
            </w:tcBorders>
            <w:shd w:val="clear" w:color="auto" w:fill="auto"/>
            <w:noWrap/>
            <w:vAlign w:val="center"/>
            <w:hideMark/>
          </w:tcPr>
          <w:p w14:paraId="7A2FD541" w14:textId="77777777" w:rsidR="000441DE" w:rsidRPr="000441DE" w:rsidRDefault="000441DE" w:rsidP="008B44DD">
            <w:pPr>
              <w:jc w:val="center"/>
              <w:rPr>
                <w:rFonts w:asciiTheme="minorHAnsi" w:hAnsiTheme="minorHAnsi" w:cs="Calibri"/>
                <w:b/>
                <w:bCs/>
                <w:sz w:val="16"/>
                <w:szCs w:val="16"/>
                <w:lang w:val="sq-AL"/>
              </w:rPr>
            </w:pPr>
            <w:r w:rsidRPr="000441DE">
              <w:rPr>
                <w:rFonts w:asciiTheme="minorHAnsi" w:hAnsiTheme="minorHAnsi" w:cs="Calibri"/>
                <w:b/>
                <w:bCs/>
                <w:sz w:val="16"/>
                <w:szCs w:val="16"/>
                <w:lang w:val="sq-AL"/>
              </w:rPr>
              <w:t>II.</w:t>
            </w:r>
          </w:p>
        </w:tc>
        <w:tc>
          <w:tcPr>
            <w:tcW w:w="4408" w:type="dxa"/>
            <w:tcBorders>
              <w:top w:val="single" w:sz="8" w:space="0" w:color="auto"/>
              <w:left w:val="nil"/>
              <w:bottom w:val="single" w:sz="8" w:space="0" w:color="auto"/>
              <w:right w:val="single" w:sz="4" w:space="0" w:color="auto"/>
            </w:tcBorders>
            <w:shd w:val="clear" w:color="auto" w:fill="auto"/>
            <w:noWrap/>
            <w:vAlign w:val="center"/>
            <w:hideMark/>
          </w:tcPr>
          <w:p w14:paraId="1815294F" w14:textId="77777777" w:rsidR="000441DE" w:rsidRPr="000441DE" w:rsidRDefault="000441DE" w:rsidP="008B44DD">
            <w:pPr>
              <w:jc w:val="both"/>
              <w:rPr>
                <w:rFonts w:asciiTheme="minorHAnsi" w:hAnsiTheme="minorHAnsi" w:cs="Calibri"/>
                <w:b/>
                <w:bCs/>
                <w:sz w:val="18"/>
                <w:szCs w:val="18"/>
                <w:lang w:val="sq-AL"/>
              </w:rPr>
            </w:pPr>
            <w:r w:rsidRPr="000441DE">
              <w:rPr>
                <w:rFonts w:asciiTheme="minorHAnsi" w:hAnsiTheme="minorHAnsi" w:cs="Calibri"/>
                <w:b/>
                <w:bCs/>
                <w:sz w:val="18"/>
                <w:szCs w:val="18"/>
                <w:lang w:val="sq-AL"/>
              </w:rPr>
              <w:t>Shpenzime nga Pushtetit Vendor</w:t>
            </w:r>
          </w:p>
        </w:tc>
        <w:tc>
          <w:tcPr>
            <w:tcW w:w="1165" w:type="dxa"/>
            <w:tcBorders>
              <w:top w:val="single" w:sz="8" w:space="0" w:color="auto"/>
              <w:left w:val="nil"/>
              <w:bottom w:val="single" w:sz="8" w:space="0" w:color="auto"/>
              <w:right w:val="single" w:sz="4" w:space="0" w:color="auto"/>
            </w:tcBorders>
            <w:shd w:val="clear" w:color="auto" w:fill="auto"/>
            <w:noWrap/>
            <w:vAlign w:val="center"/>
            <w:hideMark/>
          </w:tcPr>
          <w:p w14:paraId="7EDE7790" w14:textId="77777777" w:rsidR="000441DE" w:rsidRPr="000441DE" w:rsidRDefault="000441DE" w:rsidP="008B44DD">
            <w:pPr>
              <w:jc w:val="right"/>
              <w:rPr>
                <w:rFonts w:asciiTheme="minorHAnsi" w:hAnsiTheme="minorHAnsi" w:cs="Calibri"/>
                <w:b/>
                <w:bCs/>
                <w:sz w:val="18"/>
                <w:szCs w:val="18"/>
                <w:lang w:val="sq-AL"/>
              </w:rPr>
            </w:pPr>
            <w:r w:rsidRPr="000441DE">
              <w:rPr>
                <w:rFonts w:asciiTheme="minorHAnsi" w:hAnsiTheme="minorHAnsi" w:cs="Calibri"/>
                <w:b/>
                <w:bCs/>
                <w:sz w:val="16"/>
                <w:szCs w:val="16"/>
              </w:rPr>
              <w:t>23,753</w:t>
            </w:r>
          </w:p>
        </w:tc>
        <w:tc>
          <w:tcPr>
            <w:tcW w:w="1165" w:type="dxa"/>
            <w:tcBorders>
              <w:top w:val="single" w:sz="8" w:space="0" w:color="auto"/>
              <w:left w:val="nil"/>
              <w:bottom w:val="single" w:sz="8" w:space="0" w:color="auto"/>
              <w:right w:val="single" w:sz="4" w:space="0" w:color="auto"/>
            </w:tcBorders>
            <w:shd w:val="clear" w:color="auto" w:fill="auto"/>
            <w:noWrap/>
            <w:vAlign w:val="center"/>
            <w:hideMark/>
          </w:tcPr>
          <w:p w14:paraId="379DD489" w14:textId="77777777" w:rsidR="000441DE" w:rsidRPr="000441DE" w:rsidRDefault="000441DE" w:rsidP="008B44DD">
            <w:pPr>
              <w:jc w:val="right"/>
              <w:rPr>
                <w:rFonts w:asciiTheme="minorHAnsi" w:hAnsiTheme="minorHAnsi" w:cs="Calibri"/>
                <w:b/>
                <w:bCs/>
                <w:sz w:val="18"/>
                <w:szCs w:val="18"/>
                <w:lang w:val="sq-AL"/>
              </w:rPr>
            </w:pPr>
            <w:r w:rsidRPr="000441DE">
              <w:rPr>
                <w:rFonts w:asciiTheme="minorHAnsi" w:hAnsiTheme="minorHAnsi" w:cs="Calibri"/>
                <w:b/>
                <w:bCs/>
                <w:sz w:val="16"/>
                <w:szCs w:val="16"/>
              </w:rPr>
              <w:t>24,479</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14:paraId="3CEF641C" w14:textId="77777777" w:rsidR="000441DE" w:rsidRPr="000441DE" w:rsidRDefault="000441DE" w:rsidP="008B44DD">
            <w:pPr>
              <w:jc w:val="right"/>
              <w:rPr>
                <w:rFonts w:asciiTheme="minorHAnsi" w:hAnsiTheme="minorHAnsi" w:cs="Calibri"/>
                <w:b/>
                <w:bCs/>
                <w:sz w:val="18"/>
                <w:szCs w:val="18"/>
                <w:lang w:val="sq-AL"/>
              </w:rPr>
            </w:pPr>
            <w:r w:rsidRPr="000441DE">
              <w:rPr>
                <w:rFonts w:asciiTheme="minorHAnsi" w:hAnsiTheme="minorHAnsi" w:cs="Calibri"/>
                <w:b/>
                <w:bCs/>
                <w:sz w:val="16"/>
                <w:szCs w:val="16"/>
              </w:rPr>
              <w:t>-725</w:t>
            </w:r>
          </w:p>
        </w:tc>
        <w:tc>
          <w:tcPr>
            <w:tcW w:w="1187" w:type="dxa"/>
            <w:tcBorders>
              <w:top w:val="single" w:sz="8" w:space="0" w:color="auto"/>
              <w:left w:val="nil"/>
              <w:bottom w:val="single" w:sz="8" w:space="0" w:color="auto"/>
              <w:right w:val="double" w:sz="6" w:space="0" w:color="auto"/>
            </w:tcBorders>
            <w:shd w:val="clear" w:color="auto" w:fill="auto"/>
            <w:noWrap/>
            <w:vAlign w:val="center"/>
            <w:hideMark/>
          </w:tcPr>
          <w:p w14:paraId="46E065EE" w14:textId="77777777" w:rsidR="000441DE" w:rsidRPr="000441DE" w:rsidRDefault="000441DE" w:rsidP="008B44DD">
            <w:pPr>
              <w:jc w:val="right"/>
              <w:rPr>
                <w:rFonts w:asciiTheme="minorHAnsi" w:hAnsiTheme="minorHAnsi" w:cs="Calibri"/>
                <w:b/>
                <w:bCs/>
                <w:sz w:val="18"/>
                <w:szCs w:val="18"/>
                <w:lang w:val="sq-AL"/>
              </w:rPr>
            </w:pPr>
            <w:r w:rsidRPr="000441DE">
              <w:rPr>
                <w:rFonts w:asciiTheme="minorHAnsi" w:hAnsiTheme="minorHAnsi" w:cs="Calibri"/>
                <w:b/>
                <w:bCs/>
                <w:sz w:val="16"/>
                <w:szCs w:val="16"/>
              </w:rPr>
              <w:t>97%</w:t>
            </w:r>
          </w:p>
        </w:tc>
      </w:tr>
      <w:tr w:rsidR="000441DE" w:rsidRPr="000441DE" w14:paraId="14DF9858" w14:textId="77777777" w:rsidTr="000441DE">
        <w:trPr>
          <w:trHeight w:val="154"/>
          <w:jc w:val="center"/>
        </w:trPr>
        <w:tc>
          <w:tcPr>
            <w:tcW w:w="468" w:type="dxa"/>
            <w:tcBorders>
              <w:top w:val="nil"/>
              <w:left w:val="double" w:sz="6" w:space="0" w:color="auto"/>
              <w:bottom w:val="single" w:sz="4" w:space="0" w:color="auto"/>
              <w:right w:val="single" w:sz="4" w:space="0" w:color="auto"/>
            </w:tcBorders>
            <w:shd w:val="clear" w:color="auto" w:fill="auto"/>
            <w:noWrap/>
            <w:vAlign w:val="center"/>
            <w:hideMark/>
          </w:tcPr>
          <w:p w14:paraId="5BD9D397" w14:textId="77777777" w:rsidR="000441DE" w:rsidRPr="000441DE" w:rsidRDefault="000441DE" w:rsidP="008B44DD">
            <w:pPr>
              <w:jc w:val="right"/>
              <w:rPr>
                <w:rFonts w:asciiTheme="minorHAnsi" w:hAnsiTheme="minorHAnsi" w:cs="Calibri"/>
                <w:b/>
                <w:bCs/>
                <w:sz w:val="16"/>
                <w:szCs w:val="16"/>
                <w:lang w:val="sq-AL"/>
              </w:rPr>
            </w:pPr>
            <w:r w:rsidRPr="000441DE">
              <w:rPr>
                <w:rFonts w:asciiTheme="minorHAnsi" w:hAnsiTheme="minorHAnsi" w:cs="Calibri"/>
                <w:b/>
                <w:bCs/>
                <w:sz w:val="16"/>
                <w:szCs w:val="16"/>
                <w:lang w:val="sq-AL"/>
              </w:rPr>
              <w:t>II.1</w:t>
            </w:r>
          </w:p>
        </w:tc>
        <w:tc>
          <w:tcPr>
            <w:tcW w:w="4408" w:type="dxa"/>
            <w:tcBorders>
              <w:top w:val="nil"/>
              <w:left w:val="nil"/>
              <w:bottom w:val="single" w:sz="4" w:space="0" w:color="auto"/>
              <w:right w:val="single" w:sz="4" w:space="0" w:color="auto"/>
            </w:tcBorders>
            <w:shd w:val="clear" w:color="auto" w:fill="auto"/>
            <w:noWrap/>
            <w:vAlign w:val="center"/>
            <w:hideMark/>
          </w:tcPr>
          <w:p w14:paraId="4E9733AD" w14:textId="77777777" w:rsidR="000441DE" w:rsidRPr="000441DE" w:rsidRDefault="000441DE" w:rsidP="008B44DD">
            <w:pPr>
              <w:jc w:val="both"/>
              <w:rPr>
                <w:rFonts w:asciiTheme="minorHAnsi" w:hAnsiTheme="minorHAnsi" w:cs="Calibri"/>
                <w:b/>
                <w:bCs/>
                <w:i/>
                <w:iCs/>
                <w:sz w:val="18"/>
                <w:szCs w:val="18"/>
                <w:lang w:val="sq-AL"/>
              </w:rPr>
            </w:pPr>
            <w:r w:rsidRPr="000441DE">
              <w:rPr>
                <w:rFonts w:asciiTheme="minorHAnsi" w:hAnsiTheme="minorHAnsi" w:cs="Calibri"/>
                <w:b/>
                <w:bCs/>
                <w:i/>
                <w:iCs/>
                <w:sz w:val="18"/>
                <w:szCs w:val="18"/>
                <w:lang w:val="sq-AL"/>
              </w:rPr>
              <w:t>Shpenzime Korente</w:t>
            </w:r>
          </w:p>
        </w:tc>
        <w:tc>
          <w:tcPr>
            <w:tcW w:w="1165" w:type="dxa"/>
            <w:tcBorders>
              <w:top w:val="nil"/>
              <w:left w:val="nil"/>
              <w:bottom w:val="single" w:sz="4" w:space="0" w:color="auto"/>
              <w:right w:val="single" w:sz="4" w:space="0" w:color="auto"/>
            </w:tcBorders>
            <w:shd w:val="clear" w:color="auto" w:fill="auto"/>
            <w:noWrap/>
            <w:vAlign w:val="center"/>
            <w:hideMark/>
          </w:tcPr>
          <w:p w14:paraId="19A65C4D" w14:textId="77777777" w:rsidR="000441DE" w:rsidRPr="000441DE" w:rsidRDefault="000441DE" w:rsidP="008B44DD">
            <w:pPr>
              <w:jc w:val="right"/>
              <w:rPr>
                <w:rFonts w:asciiTheme="minorHAnsi" w:hAnsiTheme="minorHAnsi" w:cs="Calibri"/>
                <w:b/>
                <w:bCs/>
                <w:i/>
                <w:iCs/>
                <w:sz w:val="18"/>
                <w:szCs w:val="18"/>
                <w:lang w:val="sq-AL"/>
              </w:rPr>
            </w:pPr>
            <w:r w:rsidRPr="000441DE">
              <w:rPr>
                <w:rFonts w:asciiTheme="minorHAnsi" w:hAnsiTheme="minorHAnsi" w:cs="Calibri"/>
                <w:b/>
                <w:bCs/>
                <w:i/>
                <w:iCs/>
                <w:sz w:val="16"/>
                <w:szCs w:val="16"/>
              </w:rPr>
              <w:t>18,796</w:t>
            </w:r>
          </w:p>
        </w:tc>
        <w:tc>
          <w:tcPr>
            <w:tcW w:w="1165" w:type="dxa"/>
            <w:tcBorders>
              <w:top w:val="nil"/>
              <w:left w:val="nil"/>
              <w:bottom w:val="single" w:sz="4" w:space="0" w:color="auto"/>
              <w:right w:val="single" w:sz="4" w:space="0" w:color="auto"/>
            </w:tcBorders>
            <w:shd w:val="clear" w:color="auto" w:fill="auto"/>
            <w:noWrap/>
            <w:vAlign w:val="center"/>
            <w:hideMark/>
          </w:tcPr>
          <w:p w14:paraId="1E2FB165" w14:textId="77777777" w:rsidR="000441DE" w:rsidRPr="000441DE" w:rsidRDefault="000441DE" w:rsidP="008B44DD">
            <w:pPr>
              <w:jc w:val="right"/>
              <w:rPr>
                <w:rFonts w:asciiTheme="minorHAnsi" w:hAnsiTheme="minorHAnsi" w:cs="Calibri"/>
                <w:b/>
                <w:bCs/>
                <w:i/>
                <w:iCs/>
                <w:sz w:val="18"/>
                <w:szCs w:val="18"/>
                <w:lang w:val="sq-AL"/>
              </w:rPr>
            </w:pPr>
            <w:r w:rsidRPr="000441DE">
              <w:rPr>
                <w:rFonts w:asciiTheme="minorHAnsi" w:hAnsiTheme="minorHAnsi" w:cs="Calibri"/>
                <w:b/>
                <w:bCs/>
                <w:i/>
                <w:iCs/>
                <w:sz w:val="16"/>
                <w:szCs w:val="16"/>
              </w:rPr>
              <w:t>17,730</w:t>
            </w:r>
          </w:p>
        </w:tc>
        <w:tc>
          <w:tcPr>
            <w:tcW w:w="1276" w:type="dxa"/>
            <w:tcBorders>
              <w:top w:val="nil"/>
              <w:left w:val="nil"/>
              <w:bottom w:val="single" w:sz="4" w:space="0" w:color="auto"/>
              <w:right w:val="single" w:sz="4" w:space="0" w:color="auto"/>
            </w:tcBorders>
            <w:shd w:val="clear" w:color="auto" w:fill="auto"/>
            <w:noWrap/>
            <w:vAlign w:val="center"/>
            <w:hideMark/>
          </w:tcPr>
          <w:p w14:paraId="26B524BE" w14:textId="77777777" w:rsidR="000441DE" w:rsidRPr="000441DE" w:rsidRDefault="000441DE" w:rsidP="008B44DD">
            <w:pPr>
              <w:jc w:val="right"/>
              <w:rPr>
                <w:rFonts w:asciiTheme="minorHAnsi" w:hAnsiTheme="minorHAnsi" w:cs="Calibri"/>
                <w:b/>
                <w:bCs/>
                <w:i/>
                <w:iCs/>
                <w:sz w:val="18"/>
                <w:szCs w:val="18"/>
                <w:lang w:val="sq-AL"/>
              </w:rPr>
            </w:pPr>
            <w:r w:rsidRPr="000441DE">
              <w:rPr>
                <w:rFonts w:asciiTheme="minorHAnsi" w:hAnsiTheme="minorHAnsi" w:cs="Calibri"/>
                <w:b/>
                <w:bCs/>
                <w:i/>
                <w:iCs/>
                <w:sz w:val="16"/>
                <w:szCs w:val="16"/>
              </w:rPr>
              <w:t>1,066</w:t>
            </w:r>
          </w:p>
        </w:tc>
        <w:tc>
          <w:tcPr>
            <w:tcW w:w="1187" w:type="dxa"/>
            <w:tcBorders>
              <w:top w:val="nil"/>
              <w:left w:val="nil"/>
              <w:bottom w:val="single" w:sz="4" w:space="0" w:color="auto"/>
              <w:right w:val="double" w:sz="6" w:space="0" w:color="auto"/>
            </w:tcBorders>
            <w:shd w:val="clear" w:color="auto" w:fill="auto"/>
            <w:noWrap/>
            <w:vAlign w:val="center"/>
            <w:hideMark/>
          </w:tcPr>
          <w:p w14:paraId="0E4F5795" w14:textId="77777777" w:rsidR="000441DE" w:rsidRPr="000441DE" w:rsidRDefault="000441DE" w:rsidP="008B44DD">
            <w:pPr>
              <w:jc w:val="right"/>
              <w:rPr>
                <w:rFonts w:asciiTheme="minorHAnsi" w:hAnsiTheme="minorHAnsi" w:cs="Calibri"/>
                <w:b/>
                <w:bCs/>
                <w:i/>
                <w:iCs/>
                <w:sz w:val="18"/>
                <w:szCs w:val="18"/>
                <w:lang w:val="sq-AL"/>
              </w:rPr>
            </w:pPr>
            <w:r w:rsidRPr="000441DE">
              <w:rPr>
                <w:rFonts w:asciiTheme="minorHAnsi" w:hAnsiTheme="minorHAnsi" w:cs="Calibri"/>
                <w:b/>
                <w:bCs/>
                <w:i/>
                <w:iCs/>
                <w:sz w:val="16"/>
                <w:szCs w:val="16"/>
              </w:rPr>
              <w:t>106%</w:t>
            </w:r>
          </w:p>
        </w:tc>
      </w:tr>
      <w:tr w:rsidR="000441DE" w:rsidRPr="000441DE" w14:paraId="651FA26F" w14:textId="77777777" w:rsidTr="000441DE">
        <w:trPr>
          <w:trHeight w:val="154"/>
          <w:jc w:val="center"/>
        </w:trPr>
        <w:tc>
          <w:tcPr>
            <w:tcW w:w="468" w:type="dxa"/>
            <w:tcBorders>
              <w:top w:val="nil"/>
              <w:left w:val="double" w:sz="6" w:space="0" w:color="auto"/>
              <w:bottom w:val="single" w:sz="4" w:space="0" w:color="auto"/>
              <w:right w:val="single" w:sz="4" w:space="0" w:color="auto"/>
            </w:tcBorders>
            <w:shd w:val="clear" w:color="auto" w:fill="auto"/>
            <w:noWrap/>
            <w:vAlign w:val="center"/>
            <w:hideMark/>
          </w:tcPr>
          <w:p w14:paraId="60E417B2" w14:textId="77777777" w:rsidR="000441DE" w:rsidRPr="000441DE" w:rsidRDefault="000441DE" w:rsidP="008B44DD">
            <w:pPr>
              <w:jc w:val="right"/>
              <w:rPr>
                <w:rFonts w:asciiTheme="minorHAnsi" w:hAnsiTheme="minorHAnsi" w:cs="Calibri"/>
                <w:sz w:val="16"/>
                <w:szCs w:val="16"/>
                <w:lang w:val="sq-AL"/>
              </w:rPr>
            </w:pPr>
            <w:r w:rsidRPr="000441DE">
              <w:rPr>
                <w:rFonts w:asciiTheme="minorHAnsi" w:hAnsiTheme="minorHAnsi" w:cs="Calibri"/>
                <w:sz w:val="16"/>
                <w:szCs w:val="16"/>
                <w:lang w:val="sq-AL"/>
              </w:rPr>
              <w:t> </w:t>
            </w:r>
          </w:p>
        </w:tc>
        <w:tc>
          <w:tcPr>
            <w:tcW w:w="4408" w:type="dxa"/>
            <w:tcBorders>
              <w:top w:val="nil"/>
              <w:left w:val="nil"/>
              <w:bottom w:val="single" w:sz="4" w:space="0" w:color="auto"/>
              <w:right w:val="single" w:sz="4" w:space="0" w:color="auto"/>
            </w:tcBorders>
            <w:shd w:val="clear" w:color="auto" w:fill="auto"/>
            <w:noWrap/>
            <w:vAlign w:val="center"/>
            <w:hideMark/>
          </w:tcPr>
          <w:p w14:paraId="296DFC8E" w14:textId="77777777" w:rsidR="000441DE" w:rsidRPr="000441DE" w:rsidRDefault="000441DE" w:rsidP="008B44DD">
            <w:pPr>
              <w:jc w:val="both"/>
              <w:rPr>
                <w:rFonts w:asciiTheme="minorHAnsi" w:hAnsiTheme="minorHAnsi" w:cs="Calibri"/>
                <w:i/>
                <w:iCs/>
                <w:sz w:val="18"/>
                <w:szCs w:val="18"/>
                <w:lang w:val="sq-AL"/>
              </w:rPr>
            </w:pPr>
            <w:r w:rsidRPr="000441DE">
              <w:rPr>
                <w:rFonts w:asciiTheme="minorHAnsi" w:hAnsiTheme="minorHAnsi" w:cs="Calibri"/>
                <w:i/>
                <w:iCs/>
                <w:sz w:val="18"/>
                <w:szCs w:val="18"/>
                <w:lang w:val="sq-AL"/>
              </w:rPr>
              <w:t xml:space="preserve">Personeli </w:t>
            </w:r>
          </w:p>
        </w:tc>
        <w:tc>
          <w:tcPr>
            <w:tcW w:w="1165" w:type="dxa"/>
            <w:tcBorders>
              <w:top w:val="nil"/>
              <w:left w:val="nil"/>
              <w:bottom w:val="single" w:sz="4" w:space="0" w:color="auto"/>
              <w:right w:val="single" w:sz="4" w:space="0" w:color="auto"/>
            </w:tcBorders>
            <w:shd w:val="clear" w:color="auto" w:fill="auto"/>
            <w:noWrap/>
            <w:vAlign w:val="center"/>
            <w:hideMark/>
          </w:tcPr>
          <w:p w14:paraId="7B7E94D8" w14:textId="77777777" w:rsidR="000441DE" w:rsidRPr="000441DE" w:rsidRDefault="000441DE" w:rsidP="008B44DD">
            <w:pPr>
              <w:jc w:val="right"/>
              <w:rPr>
                <w:rFonts w:asciiTheme="minorHAnsi" w:hAnsiTheme="minorHAnsi" w:cs="Calibri"/>
                <w:i/>
                <w:iCs/>
                <w:sz w:val="18"/>
                <w:szCs w:val="18"/>
                <w:lang w:val="sq-AL"/>
              </w:rPr>
            </w:pPr>
            <w:r w:rsidRPr="000441DE">
              <w:rPr>
                <w:rFonts w:asciiTheme="minorHAnsi" w:hAnsiTheme="minorHAnsi" w:cs="Calibri"/>
                <w:i/>
                <w:iCs/>
                <w:sz w:val="16"/>
                <w:szCs w:val="16"/>
              </w:rPr>
              <w:t>11,581</w:t>
            </w:r>
          </w:p>
        </w:tc>
        <w:tc>
          <w:tcPr>
            <w:tcW w:w="1165" w:type="dxa"/>
            <w:tcBorders>
              <w:top w:val="nil"/>
              <w:left w:val="nil"/>
              <w:bottom w:val="single" w:sz="4" w:space="0" w:color="auto"/>
              <w:right w:val="single" w:sz="4" w:space="0" w:color="auto"/>
            </w:tcBorders>
            <w:shd w:val="clear" w:color="auto" w:fill="auto"/>
            <w:noWrap/>
            <w:vAlign w:val="center"/>
            <w:hideMark/>
          </w:tcPr>
          <w:p w14:paraId="42212AB0" w14:textId="77777777" w:rsidR="000441DE" w:rsidRPr="000441DE" w:rsidRDefault="000441DE" w:rsidP="008B44DD">
            <w:pPr>
              <w:jc w:val="right"/>
              <w:rPr>
                <w:rFonts w:asciiTheme="minorHAnsi" w:hAnsiTheme="minorHAnsi" w:cs="Calibri"/>
                <w:i/>
                <w:iCs/>
                <w:sz w:val="18"/>
                <w:szCs w:val="18"/>
                <w:lang w:val="sq-AL"/>
              </w:rPr>
            </w:pPr>
            <w:r w:rsidRPr="000441DE">
              <w:rPr>
                <w:rFonts w:asciiTheme="minorHAnsi" w:hAnsiTheme="minorHAnsi" w:cs="Calibri"/>
                <w:i/>
                <w:iCs/>
                <w:sz w:val="16"/>
                <w:szCs w:val="16"/>
              </w:rPr>
              <w:t>10,108</w:t>
            </w:r>
          </w:p>
        </w:tc>
        <w:tc>
          <w:tcPr>
            <w:tcW w:w="1276" w:type="dxa"/>
            <w:tcBorders>
              <w:top w:val="nil"/>
              <w:left w:val="nil"/>
              <w:bottom w:val="single" w:sz="4" w:space="0" w:color="auto"/>
              <w:right w:val="single" w:sz="4" w:space="0" w:color="auto"/>
            </w:tcBorders>
            <w:shd w:val="clear" w:color="auto" w:fill="auto"/>
            <w:noWrap/>
            <w:vAlign w:val="center"/>
            <w:hideMark/>
          </w:tcPr>
          <w:p w14:paraId="0D6F8479" w14:textId="77777777" w:rsidR="000441DE" w:rsidRPr="000441DE" w:rsidRDefault="000441DE" w:rsidP="008B44DD">
            <w:pPr>
              <w:jc w:val="right"/>
              <w:rPr>
                <w:rFonts w:asciiTheme="minorHAnsi" w:hAnsiTheme="minorHAnsi" w:cs="Calibri"/>
                <w:sz w:val="18"/>
                <w:szCs w:val="18"/>
                <w:lang w:val="sq-AL"/>
              </w:rPr>
            </w:pPr>
            <w:r w:rsidRPr="000441DE">
              <w:rPr>
                <w:rFonts w:asciiTheme="minorHAnsi" w:hAnsiTheme="minorHAnsi" w:cs="Calibri"/>
                <w:sz w:val="16"/>
                <w:szCs w:val="16"/>
              </w:rPr>
              <w:t>1,474</w:t>
            </w:r>
          </w:p>
        </w:tc>
        <w:tc>
          <w:tcPr>
            <w:tcW w:w="1187" w:type="dxa"/>
            <w:tcBorders>
              <w:top w:val="nil"/>
              <w:left w:val="nil"/>
              <w:bottom w:val="single" w:sz="4" w:space="0" w:color="auto"/>
              <w:right w:val="double" w:sz="6" w:space="0" w:color="auto"/>
            </w:tcBorders>
            <w:shd w:val="clear" w:color="auto" w:fill="auto"/>
            <w:noWrap/>
            <w:vAlign w:val="center"/>
            <w:hideMark/>
          </w:tcPr>
          <w:p w14:paraId="0A39C3F7" w14:textId="77777777" w:rsidR="000441DE" w:rsidRPr="000441DE" w:rsidRDefault="000441DE" w:rsidP="008B44DD">
            <w:pPr>
              <w:jc w:val="right"/>
              <w:rPr>
                <w:rFonts w:asciiTheme="minorHAnsi" w:hAnsiTheme="minorHAnsi" w:cs="Calibri"/>
                <w:sz w:val="18"/>
                <w:szCs w:val="18"/>
                <w:lang w:val="sq-AL"/>
              </w:rPr>
            </w:pPr>
            <w:r w:rsidRPr="000441DE">
              <w:rPr>
                <w:rFonts w:asciiTheme="minorHAnsi" w:hAnsiTheme="minorHAnsi" w:cs="Calibri"/>
                <w:sz w:val="16"/>
                <w:szCs w:val="16"/>
              </w:rPr>
              <w:t>115%</w:t>
            </w:r>
          </w:p>
        </w:tc>
      </w:tr>
      <w:tr w:rsidR="000441DE" w:rsidRPr="000441DE" w14:paraId="2B0A3466" w14:textId="77777777" w:rsidTr="000441DE">
        <w:trPr>
          <w:trHeight w:val="154"/>
          <w:jc w:val="center"/>
        </w:trPr>
        <w:tc>
          <w:tcPr>
            <w:tcW w:w="468" w:type="dxa"/>
            <w:tcBorders>
              <w:top w:val="nil"/>
              <w:left w:val="double" w:sz="6" w:space="0" w:color="auto"/>
              <w:bottom w:val="single" w:sz="4" w:space="0" w:color="auto"/>
              <w:right w:val="single" w:sz="4" w:space="0" w:color="auto"/>
            </w:tcBorders>
            <w:shd w:val="clear" w:color="auto" w:fill="auto"/>
            <w:noWrap/>
            <w:vAlign w:val="center"/>
            <w:hideMark/>
          </w:tcPr>
          <w:p w14:paraId="09A77603" w14:textId="77777777" w:rsidR="000441DE" w:rsidRPr="000441DE" w:rsidRDefault="000441DE" w:rsidP="008B44DD">
            <w:pPr>
              <w:jc w:val="right"/>
              <w:rPr>
                <w:rFonts w:asciiTheme="minorHAnsi" w:hAnsiTheme="minorHAnsi" w:cs="Calibri"/>
                <w:sz w:val="16"/>
                <w:szCs w:val="16"/>
                <w:lang w:val="sq-AL"/>
              </w:rPr>
            </w:pPr>
            <w:r w:rsidRPr="000441DE">
              <w:rPr>
                <w:rFonts w:asciiTheme="minorHAnsi" w:hAnsiTheme="minorHAnsi" w:cs="Calibri"/>
                <w:sz w:val="16"/>
                <w:szCs w:val="16"/>
                <w:lang w:val="sq-AL"/>
              </w:rPr>
              <w:t> </w:t>
            </w:r>
          </w:p>
        </w:tc>
        <w:tc>
          <w:tcPr>
            <w:tcW w:w="4408" w:type="dxa"/>
            <w:tcBorders>
              <w:top w:val="nil"/>
              <w:left w:val="nil"/>
              <w:bottom w:val="single" w:sz="4" w:space="0" w:color="auto"/>
              <w:right w:val="single" w:sz="4" w:space="0" w:color="auto"/>
            </w:tcBorders>
            <w:shd w:val="clear" w:color="auto" w:fill="auto"/>
            <w:noWrap/>
            <w:vAlign w:val="center"/>
            <w:hideMark/>
          </w:tcPr>
          <w:p w14:paraId="786703F7" w14:textId="77777777" w:rsidR="000441DE" w:rsidRPr="000441DE" w:rsidRDefault="000441DE" w:rsidP="008B44DD">
            <w:pPr>
              <w:rPr>
                <w:rFonts w:asciiTheme="minorHAnsi" w:hAnsiTheme="minorHAnsi" w:cs="Calibri"/>
                <w:i/>
                <w:iCs/>
                <w:sz w:val="18"/>
                <w:szCs w:val="18"/>
                <w:lang w:val="sq-AL"/>
              </w:rPr>
            </w:pPr>
            <w:r w:rsidRPr="000441DE">
              <w:rPr>
                <w:rFonts w:asciiTheme="minorHAnsi" w:hAnsiTheme="minorHAnsi" w:cs="Calibri"/>
                <w:i/>
                <w:iCs/>
                <w:sz w:val="18"/>
                <w:szCs w:val="18"/>
                <w:lang w:val="sq-AL"/>
              </w:rPr>
              <w:t>Shpenzime Oper. Mirmbajtje</w:t>
            </w:r>
          </w:p>
        </w:tc>
        <w:tc>
          <w:tcPr>
            <w:tcW w:w="1165" w:type="dxa"/>
            <w:tcBorders>
              <w:top w:val="nil"/>
              <w:left w:val="nil"/>
              <w:bottom w:val="single" w:sz="4" w:space="0" w:color="auto"/>
              <w:right w:val="single" w:sz="4" w:space="0" w:color="auto"/>
            </w:tcBorders>
            <w:shd w:val="clear" w:color="auto" w:fill="auto"/>
            <w:noWrap/>
            <w:vAlign w:val="center"/>
            <w:hideMark/>
          </w:tcPr>
          <w:p w14:paraId="23100162" w14:textId="77777777" w:rsidR="000441DE" w:rsidRPr="000441DE" w:rsidRDefault="000441DE" w:rsidP="008B44DD">
            <w:pPr>
              <w:jc w:val="right"/>
              <w:rPr>
                <w:rFonts w:asciiTheme="minorHAnsi" w:hAnsiTheme="minorHAnsi" w:cs="Calibri"/>
                <w:i/>
                <w:iCs/>
                <w:sz w:val="18"/>
                <w:szCs w:val="18"/>
                <w:lang w:val="sq-AL"/>
              </w:rPr>
            </w:pPr>
            <w:r w:rsidRPr="000441DE">
              <w:rPr>
                <w:rFonts w:asciiTheme="minorHAnsi" w:hAnsiTheme="minorHAnsi" w:cs="Calibri"/>
                <w:i/>
                <w:iCs/>
                <w:sz w:val="16"/>
                <w:szCs w:val="16"/>
              </w:rPr>
              <w:t>6,344</w:t>
            </w:r>
          </w:p>
        </w:tc>
        <w:tc>
          <w:tcPr>
            <w:tcW w:w="1165" w:type="dxa"/>
            <w:tcBorders>
              <w:top w:val="nil"/>
              <w:left w:val="nil"/>
              <w:bottom w:val="single" w:sz="4" w:space="0" w:color="auto"/>
              <w:right w:val="single" w:sz="4" w:space="0" w:color="auto"/>
            </w:tcBorders>
            <w:shd w:val="clear" w:color="auto" w:fill="auto"/>
            <w:noWrap/>
            <w:vAlign w:val="center"/>
            <w:hideMark/>
          </w:tcPr>
          <w:p w14:paraId="3811E0BF" w14:textId="77777777" w:rsidR="000441DE" w:rsidRPr="000441DE" w:rsidRDefault="000441DE" w:rsidP="008B44DD">
            <w:pPr>
              <w:jc w:val="right"/>
              <w:rPr>
                <w:rFonts w:asciiTheme="minorHAnsi" w:hAnsiTheme="minorHAnsi" w:cs="Calibri"/>
                <w:i/>
                <w:iCs/>
                <w:sz w:val="18"/>
                <w:szCs w:val="18"/>
                <w:lang w:val="sq-AL"/>
              </w:rPr>
            </w:pPr>
            <w:r w:rsidRPr="000441DE">
              <w:rPr>
                <w:rFonts w:asciiTheme="minorHAnsi" w:hAnsiTheme="minorHAnsi" w:cs="Calibri"/>
                <w:i/>
                <w:iCs/>
                <w:sz w:val="16"/>
                <w:szCs w:val="16"/>
              </w:rPr>
              <w:t>5,886</w:t>
            </w:r>
          </w:p>
        </w:tc>
        <w:tc>
          <w:tcPr>
            <w:tcW w:w="1276" w:type="dxa"/>
            <w:tcBorders>
              <w:top w:val="nil"/>
              <w:left w:val="nil"/>
              <w:bottom w:val="single" w:sz="4" w:space="0" w:color="auto"/>
              <w:right w:val="single" w:sz="4" w:space="0" w:color="auto"/>
            </w:tcBorders>
            <w:shd w:val="clear" w:color="auto" w:fill="auto"/>
            <w:noWrap/>
            <w:vAlign w:val="center"/>
            <w:hideMark/>
          </w:tcPr>
          <w:p w14:paraId="20E7D88E" w14:textId="77777777" w:rsidR="000441DE" w:rsidRPr="000441DE" w:rsidRDefault="000441DE" w:rsidP="008B44DD">
            <w:pPr>
              <w:jc w:val="right"/>
              <w:rPr>
                <w:rFonts w:asciiTheme="minorHAnsi" w:hAnsiTheme="minorHAnsi" w:cs="Calibri"/>
                <w:sz w:val="18"/>
                <w:szCs w:val="18"/>
                <w:lang w:val="sq-AL"/>
              </w:rPr>
            </w:pPr>
            <w:r w:rsidRPr="000441DE">
              <w:rPr>
                <w:rFonts w:asciiTheme="minorHAnsi" w:hAnsiTheme="minorHAnsi" w:cs="Calibri"/>
                <w:sz w:val="16"/>
                <w:szCs w:val="16"/>
              </w:rPr>
              <w:t>458</w:t>
            </w:r>
          </w:p>
        </w:tc>
        <w:tc>
          <w:tcPr>
            <w:tcW w:w="1187" w:type="dxa"/>
            <w:tcBorders>
              <w:top w:val="nil"/>
              <w:left w:val="nil"/>
              <w:bottom w:val="single" w:sz="4" w:space="0" w:color="auto"/>
              <w:right w:val="double" w:sz="6" w:space="0" w:color="auto"/>
            </w:tcBorders>
            <w:shd w:val="clear" w:color="auto" w:fill="auto"/>
            <w:noWrap/>
            <w:vAlign w:val="center"/>
            <w:hideMark/>
          </w:tcPr>
          <w:p w14:paraId="796B78E7" w14:textId="77777777" w:rsidR="000441DE" w:rsidRPr="000441DE" w:rsidRDefault="000441DE" w:rsidP="008B44DD">
            <w:pPr>
              <w:jc w:val="right"/>
              <w:rPr>
                <w:rFonts w:asciiTheme="minorHAnsi" w:hAnsiTheme="minorHAnsi" w:cs="Calibri"/>
                <w:sz w:val="18"/>
                <w:szCs w:val="18"/>
                <w:lang w:val="sq-AL"/>
              </w:rPr>
            </w:pPr>
            <w:r w:rsidRPr="000441DE">
              <w:rPr>
                <w:rFonts w:asciiTheme="minorHAnsi" w:hAnsiTheme="minorHAnsi" w:cs="Calibri"/>
                <w:sz w:val="16"/>
                <w:szCs w:val="16"/>
              </w:rPr>
              <w:t>108%</w:t>
            </w:r>
          </w:p>
        </w:tc>
      </w:tr>
      <w:tr w:rsidR="000441DE" w:rsidRPr="000441DE" w14:paraId="5091BCB8" w14:textId="77777777" w:rsidTr="000441DE">
        <w:trPr>
          <w:trHeight w:val="154"/>
          <w:jc w:val="center"/>
        </w:trPr>
        <w:tc>
          <w:tcPr>
            <w:tcW w:w="468" w:type="dxa"/>
            <w:tcBorders>
              <w:top w:val="nil"/>
              <w:left w:val="double" w:sz="6" w:space="0" w:color="auto"/>
              <w:bottom w:val="single" w:sz="4" w:space="0" w:color="auto"/>
              <w:right w:val="single" w:sz="4" w:space="0" w:color="auto"/>
            </w:tcBorders>
            <w:shd w:val="clear" w:color="auto" w:fill="auto"/>
            <w:noWrap/>
            <w:vAlign w:val="center"/>
            <w:hideMark/>
          </w:tcPr>
          <w:p w14:paraId="4188F7E9" w14:textId="77777777" w:rsidR="000441DE" w:rsidRPr="000441DE" w:rsidRDefault="000441DE" w:rsidP="008B44DD">
            <w:pPr>
              <w:jc w:val="right"/>
              <w:rPr>
                <w:rFonts w:asciiTheme="minorHAnsi" w:hAnsiTheme="minorHAnsi" w:cs="Calibri"/>
                <w:sz w:val="16"/>
                <w:szCs w:val="16"/>
                <w:lang w:val="sq-AL"/>
              </w:rPr>
            </w:pPr>
            <w:r w:rsidRPr="000441DE">
              <w:rPr>
                <w:rFonts w:asciiTheme="minorHAnsi" w:hAnsiTheme="minorHAnsi" w:cs="Calibri"/>
                <w:sz w:val="16"/>
                <w:szCs w:val="16"/>
                <w:lang w:val="sq-AL"/>
              </w:rPr>
              <w:t> </w:t>
            </w:r>
          </w:p>
        </w:tc>
        <w:tc>
          <w:tcPr>
            <w:tcW w:w="4408" w:type="dxa"/>
            <w:tcBorders>
              <w:top w:val="nil"/>
              <w:left w:val="nil"/>
              <w:bottom w:val="single" w:sz="4" w:space="0" w:color="auto"/>
              <w:right w:val="single" w:sz="4" w:space="0" w:color="auto"/>
            </w:tcBorders>
            <w:shd w:val="clear" w:color="auto" w:fill="auto"/>
            <w:noWrap/>
            <w:vAlign w:val="center"/>
            <w:hideMark/>
          </w:tcPr>
          <w:p w14:paraId="3E9B6ABB" w14:textId="77777777" w:rsidR="000441DE" w:rsidRPr="000441DE" w:rsidRDefault="000441DE" w:rsidP="008B44DD">
            <w:pPr>
              <w:rPr>
                <w:rFonts w:asciiTheme="minorHAnsi" w:hAnsiTheme="minorHAnsi" w:cs="Calibri"/>
                <w:i/>
                <w:iCs/>
                <w:sz w:val="18"/>
                <w:szCs w:val="18"/>
                <w:lang w:val="sq-AL"/>
              </w:rPr>
            </w:pPr>
            <w:r w:rsidRPr="000441DE">
              <w:rPr>
                <w:rFonts w:asciiTheme="minorHAnsi" w:hAnsiTheme="minorHAnsi" w:cs="Calibri"/>
                <w:i/>
                <w:iCs/>
                <w:sz w:val="18"/>
                <w:szCs w:val="18"/>
                <w:lang w:val="sq-AL"/>
              </w:rPr>
              <w:t>Subvencione</w:t>
            </w:r>
          </w:p>
        </w:tc>
        <w:tc>
          <w:tcPr>
            <w:tcW w:w="1165" w:type="dxa"/>
            <w:tcBorders>
              <w:top w:val="nil"/>
              <w:left w:val="nil"/>
              <w:bottom w:val="single" w:sz="4" w:space="0" w:color="auto"/>
              <w:right w:val="single" w:sz="4" w:space="0" w:color="auto"/>
            </w:tcBorders>
            <w:shd w:val="clear" w:color="auto" w:fill="auto"/>
            <w:noWrap/>
            <w:vAlign w:val="center"/>
            <w:hideMark/>
          </w:tcPr>
          <w:p w14:paraId="6B5A4D8A" w14:textId="77777777" w:rsidR="000441DE" w:rsidRPr="000441DE" w:rsidRDefault="000441DE" w:rsidP="008B44DD">
            <w:pPr>
              <w:jc w:val="right"/>
              <w:rPr>
                <w:rFonts w:asciiTheme="minorHAnsi" w:hAnsiTheme="minorHAnsi" w:cs="Calibri"/>
                <w:i/>
                <w:iCs/>
                <w:sz w:val="18"/>
                <w:szCs w:val="18"/>
                <w:lang w:val="sq-AL"/>
              </w:rPr>
            </w:pPr>
            <w:r w:rsidRPr="000441DE">
              <w:rPr>
                <w:rFonts w:asciiTheme="minorHAnsi" w:hAnsiTheme="minorHAnsi" w:cs="Calibri"/>
                <w:i/>
                <w:iCs/>
                <w:sz w:val="16"/>
                <w:szCs w:val="16"/>
              </w:rPr>
              <w:t>195</w:t>
            </w:r>
          </w:p>
        </w:tc>
        <w:tc>
          <w:tcPr>
            <w:tcW w:w="1165" w:type="dxa"/>
            <w:tcBorders>
              <w:top w:val="nil"/>
              <w:left w:val="nil"/>
              <w:bottom w:val="single" w:sz="4" w:space="0" w:color="auto"/>
              <w:right w:val="single" w:sz="4" w:space="0" w:color="auto"/>
            </w:tcBorders>
            <w:shd w:val="clear" w:color="auto" w:fill="auto"/>
            <w:noWrap/>
            <w:vAlign w:val="center"/>
            <w:hideMark/>
          </w:tcPr>
          <w:p w14:paraId="025D9D86" w14:textId="77777777" w:rsidR="000441DE" w:rsidRPr="000441DE" w:rsidRDefault="000441DE" w:rsidP="008B44DD">
            <w:pPr>
              <w:jc w:val="right"/>
              <w:rPr>
                <w:rFonts w:asciiTheme="minorHAnsi" w:hAnsiTheme="minorHAnsi" w:cs="Calibri"/>
                <w:i/>
                <w:iCs/>
                <w:sz w:val="18"/>
                <w:szCs w:val="18"/>
                <w:lang w:val="sq-AL"/>
              </w:rPr>
            </w:pPr>
            <w:r w:rsidRPr="000441DE">
              <w:rPr>
                <w:rFonts w:asciiTheme="minorHAnsi" w:hAnsiTheme="minorHAnsi" w:cs="Calibri"/>
                <w:i/>
                <w:iCs/>
                <w:sz w:val="16"/>
                <w:szCs w:val="16"/>
              </w:rPr>
              <w:t>71</w:t>
            </w:r>
          </w:p>
        </w:tc>
        <w:tc>
          <w:tcPr>
            <w:tcW w:w="1276" w:type="dxa"/>
            <w:tcBorders>
              <w:top w:val="nil"/>
              <w:left w:val="nil"/>
              <w:bottom w:val="single" w:sz="4" w:space="0" w:color="auto"/>
              <w:right w:val="single" w:sz="4" w:space="0" w:color="auto"/>
            </w:tcBorders>
            <w:shd w:val="clear" w:color="auto" w:fill="auto"/>
            <w:noWrap/>
            <w:vAlign w:val="center"/>
            <w:hideMark/>
          </w:tcPr>
          <w:p w14:paraId="5C70D0DB" w14:textId="77777777" w:rsidR="000441DE" w:rsidRPr="000441DE" w:rsidRDefault="000441DE" w:rsidP="008B44DD">
            <w:pPr>
              <w:jc w:val="right"/>
              <w:rPr>
                <w:rFonts w:asciiTheme="minorHAnsi" w:hAnsiTheme="minorHAnsi" w:cs="Calibri"/>
                <w:sz w:val="18"/>
                <w:szCs w:val="18"/>
                <w:lang w:val="sq-AL"/>
              </w:rPr>
            </w:pPr>
            <w:r w:rsidRPr="000441DE">
              <w:rPr>
                <w:rFonts w:asciiTheme="minorHAnsi" w:hAnsiTheme="minorHAnsi" w:cs="Calibri"/>
                <w:sz w:val="16"/>
                <w:szCs w:val="16"/>
              </w:rPr>
              <w:t>124</w:t>
            </w:r>
          </w:p>
        </w:tc>
        <w:tc>
          <w:tcPr>
            <w:tcW w:w="1187" w:type="dxa"/>
            <w:tcBorders>
              <w:top w:val="nil"/>
              <w:left w:val="nil"/>
              <w:bottom w:val="single" w:sz="4" w:space="0" w:color="auto"/>
              <w:right w:val="double" w:sz="6" w:space="0" w:color="auto"/>
            </w:tcBorders>
            <w:shd w:val="clear" w:color="auto" w:fill="auto"/>
            <w:noWrap/>
            <w:vAlign w:val="center"/>
            <w:hideMark/>
          </w:tcPr>
          <w:p w14:paraId="6F093DB8" w14:textId="77777777" w:rsidR="000441DE" w:rsidRPr="000441DE" w:rsidRDefault="000441DE" w:rsidP="008B44DD">
            <w:pPr>
              <w:jc w:val="right"/>
              <w:rPr>
                <w:rFonts w:asciiTheme="minorHAnsi" w:hAnsiTheme="minorHAnsi" w:cs="Calibri"/>
                <w:sz w:val="18"/>
                <w:szCs w:val="18"/>
                <w:lang w:val="sq-AL"/>
              </w:rPr>
            </w:pPr>
            <w:r w:rsidRPr="000441DE">
              <w:rPr>
                <w:rFonts w:asciiTheme="minorHAnsi" w:hAnsiTheme="minorHAnsi" w:cs="Calibri"/>
                <w:sz w:val="16"/>
                <w:szCs w:val="16"/>
              </w:rPr>
              <w:t>275%</w:t>
            </w:r>
          </w:p>
        </w:tc>
      </w:tr>
      <w:tr w:rsidR="000441DE" w:rsidRPr="000441DE" w14:paraId="6746DAB5" w14:textId="77777777" w:rsidTr="000441DE">
        <w:trPr>
          <w:trHeight w:val="154"/>
          <w:jc w:val="center"/>
        </w:trPr>
        <w:tc>
          <w:tcPr>
            <w:tcW w:w="468" w:type="dxa"/>
            <w:tcBorders>
              <w:top w:val="nil"/>
              <w:left w:val="double" w:sz="6" w:space="0" w:color="auto"/>
              <w:bottom w:val="single" w:sz="4" w:space="0" w:color="auto"/>
              <w:right w:val="single" w:sz="4" w:space="0" w:color="auto"/>
            </w:tcBorders>
            <w:shd w:val="clear" w:color="auto" w:fill="auto"/>
            <w:noWrap/>
            <w:vAlign w:val="center"/>
            <w:hideMark/>
          </w:tcPr>
          <w:p w14:paraId="0201C8DF" w14:textId="77777777" w:rsidR="000441DE" w:rsidRPr="000441DE" w:rsidRDefault="000441DE" w:rsidP="008B44DD">
            <w:pPr>
              <w:jc w:val="right"/>
              <w:rPr>
                <w:rFonts w:asciiTheme="minorHAnsi" w:hAnsiTheme="minorHAnsi" w:cs="Calibri"/>
                <w:sz w:val="16"/>
                <w:szCs w:val="16"/>
                <w:lang w:val="sq-AL"/>
              </w:rPr>
            </w:pPr>
            <w:r w:rsidRPr="000441DE">
              <w:rPr>
                <w:rFonts w:asciiTheme="minorHAnsi" w:hAnsiTheme="minorHAnsi" w:cs="Calibri"/>
                <w:sz w:val="16"/>
                <w:szCs w:val="16"/>
                <w:lang w:val="sq-AL"/>
              </w:rPr>
              <w:t> </w:t>
            </w:r>
          </w:p>
        </w:tc>
        <w:tc>
          <w:tcPr>
            <w:tcW w:w="4408" w:type="dxa"/>
            <w:tcBorders>
              <w:top w:val="nil"/>
              <w:left w:val="nil"/>
              <w:bottom w:val="single" w:sz="4" w:space="0" w:color="auto"/>
              <w:right w:val="single" w:sz="4" w:space="0" w:color="auto"/>
            </w:tcBorders>
            <w:shd w:val="clear" w:color="auto" w:fill="auto"/>
            <w:noWrap/>
            <w:vAlign w:val="center"/>
            <w:hideMark/>
          </w:tcPr>
          <w:p w14:paraId="1983C750" w14:textId="77777777" w:rsidR="000441DE" w:rsidRPr="000441DE" w:rsidRDefault="000441DE" w:rsidP="008B44DD">
            <w:pPr>
              <w:rPr>
                <w:rFonts w:asciiTheme="minorHAnsi" w:hAnsiTheme="minorHAnsi" w:cs="Calibri"/>
                <w:i/>
                <w:iCs/>
                <w:sz w:val="18"/>
                <w:szCs w:val="18"/>
                <w:lang w:val="sq-AL"/>
              </w:rPr>
            </w:pPr>
            <w:r w:rsidRPr="000441DE">
              <w:rPr>
                <w:rFonts w:asciiTheme="minorHAnsi" w:hAnsiTheme="minorHAnsi" w:cs="Calibri"/>
                <w:i/>
                <w:iCs/>
                <w:sz w:val="18"/>
                <w:szCs w:val="18"/>
                <w:lang w:val="sq-AL"/>
              </w:rPr>
              <w:t>Te tjera</w:t>
            </w:r>
          </w:p>
        </w:tc>
        <w:tc>
          <w:tcPr>
            <w:tcW w:w="1165" w:type="dxa"/>
            <w:tcBorders>
              <w:top w:val="nil"/>
              <w:left w:val="nil"/>
              <w:bottom w:val="single" w:sz="4" w:space="0" w:color="auto"/>
              <w:right w:val="single" w:sz="4" w:space="0" w:color="auto"/>
            </w:tcBorders>
            <w:shd w:val="clear" w:color="auto" w:fill="auto"/>
            <w:noWrap/>
            <w:vAlign w:val="center"/>
            <w:hideMark/>
          </w:tcPr>
          <w:p w14:paraId="6F8219A9" w14:textId="77777777" w:rsidR="000441DE" w:rsidRPr="000441DE" w:rsidRDefault="000441DE" w:rsidP="008B44DD">
            <w:pPr>
              <w:jc w:val="right"/>
              <w:rPr>
                <w:rFonts w:asciiTheme="minorHAnsi" w:hAnsiTheme="minorHAnsi" w:cs="Calibri"/>
                <w:i/>
                <w:iCs/>
                <w:sz w:val="18"/>
                <w:szCs w:val="18"/>
                <w:lang w:val="sq-AL"/>
              </w:rPr>
            </w:pPr>
            <w:r w:rsidRPr="000441DE">
              <w:rPr>
                <w:rFonts w:asciiTheme="minorHAnsi" w:hAnsiTheme="minorHAnsi" w:cs="Calibri"/>
                <w:i/>
                <w:iCs/>
                <w:sz w:val="16"/>
                <w:szCs w:val="16"/>
              </w:rPr>
              <w:t>676</w:t>
            </w:r>
          </w:p>
        </w:tc>
        <w:tc>
          <w:tcPr>
            <w:tcW w:w="1165" w:type="dxa"/>
            <w:tcBorders>
              <w:top w:val="nil"/>
              <w:left w:val="nil"/>
              <w:bottom w:val="single" w:sz="4" w:space="0" w:color="auto"/>
              <w:right w:val="single" w:sz="4" w:space="0" w:color="auto"/>
            </w:tcBorders>
            <w:shd w:val="clear" w:color="auto" w:fill="auto"/>
            <w:noWrap/>
            <w:vAlign w:val="center"/>
            <w:hideMark/>
          </w:tcPr>
          <w:p w14:paraId="6D1F51D1" w14:textId="77777777" w:rsidR="000441DE" w:rsidRPr="000441DE" w:rsidRDefault="000441DE" w:rsidP="008B44DD">
            <w:pPr>
              <w:jc w:val="right"/>
              <w:rPr>
                <w:rFonts w:asciiTheme="minorHAnsi" w:hAnsiTheme="minorHAnsi" w:cs="Calibri"/>
                <w:i/>
                <w:iCs/>
                <w:sz w:val="18"/>
                <w:szCs w:val="18"/>
                <w:lang w:val="sq-AL"/>
              </w:rPr>
            </w:pPr>
            <w:r w:rsidRPr="000441DE">
              <w:rPr>
                <w:rFonts w:asciiTheme="minorHAnsi" w:hAnsiTheme="minorHAnsi" w:cs="Calibri"/>
                <w:i/>
                <w:iCs/>
                <w:sz w:val="16"/>
                <w:szCs w:val="16"/>
              </w:rPr>
              <w:t>1,666</w:t>
            </w:r>
          </w:p>
        </w:tc>
        <w:tc>
          <w:tcPr>
            <w:tcW w:w="1276" w:type="dxa"/>
            <w:tcBorders>
              <w:top w:val="nil"/>
              <w:left w:val="nil"/>
              <w:bottom w:val="single" w:sz="4" w:space="0" w:color="auto"/>
              <w:right w:val="single" w:sz="4" w:space="0" w:color="auto"/>
            </w:tcBorders>
            <w:shd w:val="clear" w:color="auto" w:fill="auto"/>
            <w:noWrap/>
            <w:vAlign w:val="center"/>
            <w:hideMark/>
          </w:tcPr>
          <w:p w14:paraId="6592AEA4" w14:textId="77777777" w:rsidR="000441DE" w:rsidRPr="000441DE" w:rsidRDefault="000441DE" w:rsidP="008B44DD">
            <w:pPr>
              <w:jc w:val="right"/>
              <w:rPr>
                <w:rFonts w:asciiTheme="minorHAnsi" w:hAnsiTheme="minorHAnsi" w:cs="Calibri"/>
                <w:sz w:val="18"/>
                <w:szCs w:val="18"/>
                <w:lang w:val="sq-AL"/>
              </w:rPr>
            </w:pPr>
            <w:r w:rsidRPr="000441DE">
              <w:rPr>
                <w:rFonts w:asciiTheme="minorHAnsi" w:hAnsiTheme="minorHAnsi" w:cs="Calibri"/>
                <w:sz w:val="16"/>
                <w:szCs w:val="16"/>
              </w:rPr>
              <w:t>-990</w:t>
            </w:r>
          </w:p>
        </w:tc>
        <w:tc>
          <w:tcPr>
            <w:tcW w:w="1187" w:type="dxa"/>
            <w:tcBorders>
              <w:top w:val="nil"/>
              <w:left w:val="nil"/>
              <w:bottom w:val="single" w:sz="4" w:space="0" w:color="auto"/>
              <w:right w:val="double" w:sz="6" w:space="0" w:color="auto"/>
            </w:tcBorders>
            <w:shd w:val="clear" w:color="auto" w:fill="auto"/>
            <w:noWrap/>
            <w:vAlign w:val="center"/>
            <w:hideMark/>
          </w:tcPr>
          <w:p w14:paraId="4742C330" w14:textId="77777777" w:rsidR="000441DE" w:rsidRPr="000441DE" w:rsidRDefault="000441DE" w:rsidP="008B44DD">
            <w:pPr>
              <w:jc w:val="right"/>
              <w:rPr>
                <w:rFonts w:asciiTheme="minorHAnsi" w:hAnsiTheme="minorHAnsi" w:cs="Calibri"/>
                <w:sz w:val="18"/>
                <w:szCs w:val="18"/>
                <w:lang w:val="sq-AL"/>
              </w:rPr>
            </w:pPr>
            <w:r w:rsidRPr="000441DE">
              <w:rPr>
                <w:rFonts w:asciiTheme="minorHAnsi" w:hAnsiTheme="minorHAnsi" w:cs="Calibri"/>
                <w:sz w:val="16"/>
                <w:szCs w:val="16"/>
              </w:rPr>
              <w:t>41%</w:t>
            </w:r>
          </w:p>
        </w:tc>
      </w:tr>
      <w:tr w:rsidR="000441DE" w:rsidRPr="000441DE" w14:paraId="1B377CF1" w14:textId="77777777" w:rsidTr="000441DE">
        <w:trPr>
          <w:trHeight w:val="154"/>
          <w:jc w:val="center"/>
        </w:trPr>
        <w:tc>
          <w:tcPr>
            <w:tcW w:w="468" w:type="dxa"/>
            <w:tcBorders>
              <w:top w:val="nil"/>
              <w:left w:val="double" w:sz="6" w:space="0" w:color="auto"/>
              <w:bottom w:val="double" w:sz="6" w:space="0" w:color="auto"/>
              <w:right w:val="single" w:sz="4" w:space="0" w:color="auto"/>
            </w:tcBorders>
            <w:shd w:val="clear" w:color="auto" w:fill="auto"/>
            <w:noWrap/>
            <w:vAlign w:val="center"/>
            <w:hideMark/>
          </w:tcPr>
          <w:p w14:paraId="24413C87" w14:textId="77777777" w:rsidR="000441DE" w:rsidRPr="000441DE" w:rsidRDefault="000441DE" w:rsidP="008B44DD">
            <w:pPr>
              <w:jc w:val="right"/>
              <w:rPr>
                <w:rFonts w:asciiTheme="minorHAnsi" w:hAnsiTheme="minorHAnsi" w:cs="Calibri"/>
                <w:b/>
                <w:bCs/>
                <w:sz w:val="16"/>
                <w:szCs w:val="16"/>
                <w:lang w:val="sq-AL"/>
              </w:rPr>
            </w:pPr>
            <w:r w:rsidRPr="000441DE">
              <w:rPr>
                <w:rFonts w:asciiTheme="minorHAnsi" w:hAnsiTheme="minorHAnsi" w:cs="Calibri"/>
                <w:b/>
                <w:bCs/>
                <w:sz w:val="16"/>
                <w:szCs w:val="16"/>
                <w:lang w:val="sq-AL"/>
              </w:rPr>
              <w:t>II.2</w:t>
            </w:r>
          </w:p>
        </w:tc>
        <w:tc>
          <w:tcPr>
            <w:tcW w:w="4408" w:type="dxa"/>
            <w:tcBorders>
              <w:top w:val="nil"/>
              <w:left w:val="nil"/>
              <w:bottom w:val="double" w:sz="6" w:space="0" w:color="auto"/>
              <w:right w:val="single" w:sz="4" w:space="0" w:color="auto"/>
            </w:tcBorders>
            <w:shd w:val="clear" w:color="auto" w:fill="auto"/>
            <w:noWrap/>
            <w:vAlign w:val="center"/>
            <w:hideMark/>
          </w:tcPr>
          <w:p w14:paraId="75BBDAA9" w14:textId="77777777" w:rsidR="000441DE" w:rsidRPr="000441DE" w:rsidRDefault="000441DE" w:rsidP="008B44DD">
            <w:pPr>
              <w:jc w:val="both"/>
              <w:rPr>
                <w:rFonts w:asciiTheme="minorHAnsi" w:hAnsiTheme="minorHAnsi" w:cs="Calibri"/>
                <w:b/>
                <w:bCs/>
                <w:i/>
                <w:iCs/>
                <w:sz w:val="18"/>
                <w:szCs w:val="18"/>
                <w:lang w:val="sq-AL"/>
              </w:rPr>
            </w:pPr>
            <w:r w:rsidRPr="000441DE">
              <w:rPr>
                <w:rFonts w:asciiTheme="minorHAnsi" w:hAnsiTheme="minorHAnsi" w:cs="Calibri"/>
                <w:b/>
                <w:bCs/>
                <w:i/>
                <w:iCs/>
                <w:sz w:val="18"/>
                <w:szCs w:val="18"/>
                <w:lang w:val="sq-AL"/>
              </w:rPr>
              <w:t>Shpenzime Kapitale</w:t>
            </w:r>
          </w:p>
        </w:tc>
        <w:tc>
          <w:tcPr>
            <w:tcW w:w="1165" w:type="dxa"/>
            <w:tcBorders>
              <w:top w:val="nil"/>
              <w:left w:val="nil"/>
              <w:bottom w:val="double" w:sz="6" w:space="0" w:color="auto"/>
              <w:right w:val="single" w:sz="4" w:space="0" w:color="auto"/>
            </w:tcBorders>
            <w:shd w:val="clear" w:color="auto" w:fill="auto"/>
            <w:noWrap/>
            <w:vAlign w:val="center"/>
            <w:hideMark/>
          </w:tcPr>
          <w:p w14:paraId="42C07A82" w14:textId="77777777" w:rsidR="000441DE" w:rsidRPr="000441DE" w:rsidRDefault="000441DE" w:rsidP="008B44DD">
            <w:pPr>
              <w:jc w:val="right"/>
              <w:rPr>
                <w:rFonts w:asciiTheme="minorHAnsi" w:hAnsiTheme="minorHAnsi" w:cs="Calibri"/>
                <w:b/>
                <w:bCs/>
                <w:i/>
                <w:iCs/>
                <w:sz w:val="18"/>
                <w:szCs w:val="18"/>
                <w:lang w:val="sq-AL"/>
              </w:rPr>
            </w:pPr>
            <w:r w:rsidRPr="000441DE">
              <w:rPr>
                <w:rFonts w:asciiTheme="minorHAnsi" w:hAnsiTheme="minorHAnsi" w:cs="Calibri"/>
                <w:b/>
                <w:bCs/>
                <w:i/>
                <w:iCs/>
                <w:sz w:val="16"/>
                <w:szCs w:val="16"/>
              </w:rPr>
              <w:t>4,957</w:t>
            </w:r>
          </w:p>
        </w:tc>
        <w:tc>
          <w:tcPr>
            <w:tcW w:w="1165" w:type="dxa"/>
            <w:tcBorders>
              <w:top w:val="nil"/>
              <w:left w:val="nil"/>
              <w:bottom w:val="double" w:sz="6" w:space="0" w:color="auto"/>
              <w:right w:val="single" w:sz="4" w:space="0" w:color="auto"/>
            </w:tcBorders>
            <w:shd w:val="clear" w:color="auto" w:fill="auto"/>
            <w:noWrap/>
            <w:vAlign w:val="center"/>
            <w:hideMark/>
          </w:tcPr>
          <w:p w14:paraId="6D28A377" w14:textId="77777777" w:rsidR="000441DE" w:rsidRPr="000441DE" w:rsidRDefault="000441DE" w:rsidP="008B44DD">
            <w:pPr>
              <w:jc w:val="right"/>
              <w:rPr>
                <w:rFonts w:asciiTheme="minorHAnsi" w:hAnsiTheme="minorHAnsi" w:cs="Calibri"/>
                <w:b/>
                <w:bCs/>
                <w:i/>
                <w:iCs/>
                <w:sz w:val="18"/>
                <w:szCs w:val="18"/>
                <w:lang w:val="sq-AL"/>
              </w:rPr>
            </w:pPr>
            <w:r w:rsidRPr="000441DE">
              <w:rPr>
                <w:rFonts w:asciiTheme="minorHAnsi" w:hAnsiTheme="minorHAnsi" w:cs="Calibri"/>
                <w:b/>
                <w:bCs/>
                <w:i/>
                <w:iCs/>
                <w:sz w:val="16"/>
                <w:szCs w:val="16"/>
              </w:rPr>
              <w:t>6,749</w:t>
            </w:r>
          </w:p>
        </w:tc>
        <w:tc>
          <w:tcPr>
            <w:tcW w:w="1276" w:type="dxa"/>
            <w:tcBorders>
              <w:top w:val="nil"/>
              <w:left w:val="nil"/>
              <w:bottom w:val="double" w:sz="6" w:space="0" w:color="auto"/>
              <w:right w:val="single" w:sz="4" w:space="0" w:color="auto"/>
            </w:tcBorders>
            <w:shd w:val="clear" w:color="auto" w:fill="auto"/>
            <w:noWrap/>
            <w:vAlign w:val="center"/>
            <w:hideMark/>
          </w:tcPr>
          <w:p w14:paraId="4B140F0E" w14:textId="77777777" w:rsidR="000441DE" w:rsidRPr="000441DE" w:rsidRDefault="000441DE" w:rsidP="008B44DD">
            <w:pPr>
              <w:jc w:val="right"/>
              <w:rPr>
                <w:rFonts w:asciiTheme="minorHAnsi" w:hAnsiTheme="minorHAnsi" w:cs="Calibri"/>
                <w:b/>
                <w:bCs/>
                <w:i/>
                <w:iCs/>
                <w:sz w:val="18"/>
                <w:szCs w:val="18"/>
                <w:lang w:val="sq-AL"/>
              </w:rPr>
            </w:pPr>
            <w:r w:rsidRPr="000441DE">
              <w:rPr>
                <w:rFonts w:asciiTheme="minorHAnsi" w:hAnsiTheme="minorHAnsi" w:cs="Calibri"/>
                <w:b/>
                <w:bCs/>
                <w:i/>
                <w:iCs/>
                <w:sz w:val="16"/>
                <w:szCs w:val="16"/>
              </w:rPr>
              <w:t>-1,791</w:t>
            </w:r>
          </w:p>
        </w:tc>
        <w:tc>
          <w:tcPr>
            <w:tcW w:w="1187" w:type="dxa"/>
            <w:tcBorders>
              <w:top w:val="nil"/>
              <w:left w:val="nil"/>
              <w:bottom w:val="double" w:sz="6" w:space="0" w:color="auto"/>
              <w:right w:val="double" w:sz="6" w:space="0" w:color="auto"/>
            </w:tcBorders>
            <w:shd w:val="clear" w:color="auto" w:fill="auto"/>
            <w:noWrap/>
            <w:vAlign w:val="center"/>
            <w:hideMark/>
          </w:tcPr>
          <w:p w14:paraId="5B926B9E" w14:textId="77777777" w:rsidR="000441DE" w:rsidRPr="000441DE" w:rsidRDefault="000441DE" w:rsidP="008B44DD">
            <w:pPr>
              <w:jc w:val="right"/>
              <w:rPr>
                <w:rFonts w:asciiTheme="minorHAnsi" w:hAnsiTheme="minorHAnsi" w:cs="Calibri"/>
                <w:b/>
                <w:bCs/>
                <w:i/>
                <w:iCs/>
                <w:sz w:val="18"/>
                <w:szCs w:val="18"/>
                <w:lang w:val="sq-AL"/>
              </w:rPr>
            </w:pPr>
            <w:r w:rsidRPr="000441DE">
              <w:rPr>
                <w:rFonts w:asciiTheme="minorHAnsi" w:hAnsiTheme="minorHAnsi" w:cs="Calibri"/>
                <w:b/>
                <w:bCs/>
                <w:i/>
                <w:iCs/>
                <w:sz w:val="16"/>
                <w:szCs w:val="16"/>
              </w:rPr>
              <w:t>73%</w:t>
            </w:r>
          </w:p>
        </w:tc>
      </w:tr>
    </w:tbl>
    <w:p w14:paraId="3AC0FCA6" w14:textId="77777777" w:rsidR="00365D90" w:rsidRPr="00365D90" w:rsidRDefault="00C01196" w:rsidP="00365D90">
      <w:pPr>
        <w:pStyle w:val="Caption"/>
        <w:rPr>
          <w:rFonts w:asciiTheme="minorHAnsi" w:eastAsia="SimSun" w:hAnsiTheme="minorHAnsi"/>
          <w:b w:val="0"/>
          <w:bCs w:val="0"/>
          <w:i/>
          <w:color w:val="auto"/>
          <w:sz w:val="20"/>
          <w:szCs w:val="24"/>
          <w:lang w:val="sq-AL"/>
        </w:rPr>
      </w:pPr>
      <w:r>
        <w:rPr>
          <w:rFonts w:asciiTheme="minorHAnsi" w:eastAsia="SimSun" w:hAnsiTheme="minorHAnsi"/>
          <w:b w:val="0"/>
          <w:bCs w:val="0"/>
          <w:i/>
          <w:color w:val="auto"/>
          <w:sz w:val="20"/>
          <w:szCs w:val="24"/>
          <w:lang w:val="sq-AL"/>
        </w:rPr>
        <w:t>Burimi: Drejtoria e Financave Vendore, Ministria e Financave dhe Ekonomisë (2023)</w:t>
      </w:r>
    </w:p>
    <w:p w14:paraId="18A930A4" w14:textId="77777777" w:rsidR="00931F3E" w:rsidRPr="00460DDA" w:rsidRDefault="00931F3E" w:rsidP="00931F3E">
      <w:pPr>
        <w:spacing w:line="276" w:lineRule="auto"/>
        <w:ind w:firstLine="567"/>
        <w:jc w:val="both"/>
        <w:rPr>
          <w:rFonts w:asciiTheme="minorHAnsi" w:hAnsiTheme="minorHAnsi"/>
          <w:i/>
          <w:sz w:val="4"/>
          <w:szCs w:val="8"/>
          <w:lang w:val="sq-AL"/>
        </w:rPr>
      </w:pPr>
    </w:p>
    <w:p w14:paraId="2DBBD03B" w14:textId="77777777" w:rsidR="00931F3E" w:rsidRPr="00460DDA" w:rsidRDefault="00931F3E" w:rsidP="00342953">
      <w:pPr>
        <w:spacing w:after="120" w:line="276" w:lineRule="auto"/>
        <w:jc w:val="both"/>
        <w:rPr>
          <w:rFonts w:asciiTheme="minorHAnsi" w:hAnsiTheme="minorHAnsi"/>
          <w:lang w:val="sq-AL"/>
        </w:rPr>
      </w:pPr>
      <w:r w:rsidRPr="00460DDA">
        <w:rPr>
          <w:rFonts w:asciiTheme="minorHAnsi" w:hAnsiTheme="minorHAnsi"/>
          <w:i/>
          <w:u w:val="single"/>
          <w:lang w:val="sq-AL"/>
        </w:rPr>
        <w:lastRenderedPageBreak/>
        <w:t>Shpenzimet e Personelit</w:t>
      </w:r>
      <w:r w:rsidRPr="00460DDA">
        <w:rPr>
          <w:rFonts w:asciiTheme="minorHAnsi" w:hAnsiTheme="minorHAnsi"/>
          <w:lang w:val="sq-AL"/>
        </w:rPr>
        <w:t xml:space="preserve"> </w:t>
      </w:r>
      <w:r w:rsidR="000441DE" w:rsidRPr="00BA4DA2">
        <w:rPr>
          <w:rFonts w:asciiTheme="minorHAnsi" w:hAnsiTheme="minorHAnsi"/>
          <w:lang w:val="sq-AL"/>
        </w:rPr>
        <w:t>përbëjnë një pjesë të konsiderueshme të shpenzimeve totale të njësive të veqeverisjes vendore me rreth 48.8%. Për 5 mujorin e vitit 2023 këto shpenzime janë realizuar në masën 11,581 milion lekë ose rreth 1,474 milion lekë më shumë se e njëjta periudhë e një vitit më parë. Rritja e këtyre shpenzimeve për vitin 2023, argumentohet kryesisht me faktin e rishikimit të nivelit të pagës minimale, por edhe të rishikimit të kategorive të pagave në kuadër të përmirësimit të politikave të pagave në NJVQV-të</w:t>
      </w:r>
      <w:r w:rsidRPr="00460DDA">
        <w:rPr>
          <w:rFonts w:asciiTheme="minorHAnsi" w:hAnsiTheme="minorHAnsi"/>
          <w:lang w:val="sq-AL"/>
        </w:rPr>
        <w:t>.</w:t>
      </w:r>
    </w:p>
    <w:p w14:paraId="19303A4F" w14:textId="77777777" w:rsidR="00931F3E" w:rsidRPr="00460DDA" w:rsidRDefault="00931F3E" w:rsidP="00931F3E">
      <w:pPr>
        <w:spacing w:before="120" w:after="120" w:line="276" w:lineRule="auto"/>
        <w:jc w:val="both"/>
        <w:rPr>
          <w:rFonts w:asciiTheme="minorHAnsi" w:hAnsiTheme="minorHAnsi"/>
          <w:lang w:val="sq-AL"/>
        </w:rPr>
      </w:pPr>
      <w:r w:rsidRPr="00460DDA">
        <w:rPr>
          <w:rFonts w:asciiTheme="minorHAnsi" w:hAnsiTheme="minorHAnsi"/>
          <w:i/>
          <w:u w:val="single"/>
          <w:lang w:val="sq-AL"/>
        </w:rPr>
        <w:t>Shpenzimet Operative</w:t>
      </w:r>
      <w:r w:rsidRPr="00460DDA">
        <w:rPr>
          <w:rFonts w:asciiTheme="minorHAnsi" w:hAnsiTheme="minorHAnsi"/>
          <w:lang w:val="sq-AL"/>
        </w:rPr>
        <w:t xml:space="preserve"> </w:t>
      </w:r>
      <w:r w:rsidR="000441DE" w:rsidRPr="00BA4DA2">
        <w:rPr>
          <w:rFonts w:asciiTheme="minorHAnsi" w:hAnsiTheme="minorHAnsi"/>
          <w:lang w:val="sq-AL"/>
        </w:rPr>
        <w:t>që janë shumë të rëndësishme për mbarëvajtjen dhe ushtrimin e funksioneve. Këto shpenzime në 5 mujorin 2023 rezultojnë me rritje sipas të dhënave faktike të thesarit. Shpenzimet operative përbëjnë rreth 26.7% të shpenzimeve korrente në total për 5 mujorin e parë të vitit 2023, një pjesë kjo e konsiderueshme për buxhetin njësive të vetëqeverisjes vendore. Këto shpenzime gjatë periudhës 5 mujore 2023 janë realizuar afërsisht në masën 6,344 milion lekë ose rreth 458 milion lekë më shumë se e njëjta periudhë e vitit 2022</w:t>
      </w:r>
      <w:r w:rsidRPr="00460DDA">
        <w:rPr>
          <w:rFonts w:asciiTheme="minorHAnsi" w:hAnsiTheme="minorHAnsi"/>
          <w:lang w:val="sq-AL"/>
        </w:rPr>
        <w:t>.</w:t>
      </w:r>
    </w:p>
    <w:p w14:paraId="6A399820" w14:textId="77777777" w:rsidR="00931F3E" w:rsidRPr="00460DDA" w:rsidRDefault="00931F3E" w:rsidP="00931F3E">
      <w:pPr>
        <w:spacing w:before="120" w:after="120" w:line="276" w:lineRule="auto"/>
        <w:jc w:val="both"/>
        <w:rPr>
          <w:rFonts w:asciiTheme="minorHAnsi" w:hAnsiTheme="minorHAnsi"/>
          <w:lang w:val="sq-AL"/>
        </w:rPr>
      </w:pPr>
      <w:r w:rsidRPr="00460DDA">
        <w:rPr>
          <w:rFonts w:asciiTheme="minorHAnsi" w:hAnsiTheme="minorHAnsi"/>
          <w:i/>
          <w:u w:val="single"/>
          <w:lang w:val="sq-AL"/>
        </w:rPr>
        <w:t>Shpenzimet për subvencione dhe të tjera</w:t>
      </w:r>
      <w:r w:rsidRPr="00460DDA">
        <w:rPr>
          <w:rFonts w:asciiTheme="minorHAnsi" w:hAnsiTheme="minorHAnsi"/>
          <w:lang w:val="sq-AL"/>
        </w:rPr>
        <w:t xml:space="preserve"> </w:t>
      </w:r>
      <w:r w:rsidR="000441DE" w:rsidRPr="00BA4DA2">
        <w:rPr>
          <w:rFonts w:asciiTheme="minorHAnsi" w:hAnsiTheme="minorHAnsi"/>
          <w:lang w:val="sq-AL"/>
        </w:rPr>
        <w:t>janë shpenzimet që zhvillojnë njësitë e vetëqeverisjes vendore për të subvencionuar dhe mbuluar funksione të tjera administrative. Referuar të dhënave në tabelën mësipërme, në raport me 5 mujorin e parë të vitit 2022, shpenzime për subvencione në 5 mujorin 2023 janë rritur me 175% ose 124 milion lekë, ndërkohë, shpenzimet e tjera janë realizuar në masën rreth 676 milion lekë ose rreth 990 milion lekë më pak se 5 mujori i parë i vitit 2022</w:t>
      </w:r>
      <w:r w:rsidRPr="00460DDA">
        <w:rPr>
          <w:rFonts w:asciiTheme="minorHAnsi" w:hAnsiTheme="minorHAnsi"/>
          <w:lang w:val="sq-AL"/>
        </w:rPr>
        <w:t>.</w:t>
      </w:r>
    </w:p>
    <w:p w14:paraId="3E8E0301" w14:textId="77777777" w:rsidR="00931F3E" w:rsidRPr="00460DDA" w:rsidRDefault="00931F3E" w:rsidP="00092976">
      <w:pPr>
        <w:spacing w:line="276" w:lineRule="auto"/>
        <w:jc w:val="both"/>
        <w:rPr>
          <w:rFonts w:asciiTheme="minorHAnsi" w:hAnsiTheme="minorHAnsi"/>
          <w:lang w:val="sq-AL"/>
        </w:rPr>
      </w:pPr>
      <w:r w:rsidRPr="00460DDA">
        <w:rPr>
          <w:rFonts w:asciiTheme="minorHAnsi" w:hAnsiTheme="minorHAnsi"/>
          <w:i/>
          <w:u w:val="single"/>
          <w:lang w:val="sq-AL"/>
        </w:rPr>
        <w:t>Shpenzimet Kapitale</w:t>
      </w:r>
      <w:r w:rsidRPr="00460DDA">
        <w:rPr>
          <w:rFonts w:asciiTheme="minorHAnsi" w:hAnsiTheme="minorHAnsi"/>
          <w:lang w:val="sq-AL"/>
        </w:rPr>
        <w:t xml:space="preserve"> </w:t>
      </w:r>
      <w:r w:rsidR="000441DE" w:rsidRPr="00BA4DA2">
        <w:rPr>
          <w:rFonts w:asciiTheme="minorHAnsi" w:hAnsiTheme="minorHAnsi"/>
          <w:lang w:val="sq-AL"/>
        </w:rPr>
        <w:t>janë një zë mjaft i rëndësishëm në buxhetin vendor, për shkak sepse këto shpenzime sjellin në mënyrë direkte dhe indirekte zhvillim ekonomik dhe për rrjedhojë ndikojnë mirëqënien e qytetarëve. Nga tabela e mësipërme vëmë re që në krahasim me një vit më parë gjatë 5 mujorit të parë të vitit 2023 shpenzimet për investime janë realizuar faktikisht me rreth 1,791 milion lekë më pak se 2022, ose janë realizuar 27% më pak. Rritja e peshës së tyre në raport me totalin e shpenzimeve vendore përbën një shtysë të rëndësishme në angazhimin për zhvillimin infrastrukturor përmes pushtetit vendor. Sa i përket këtij treguesi për vitin 2023, raporti që zënë shpenzimet kapitale ndaj shpenzimeve totale të buxhetit vendor është në 20.9%</w:t>
      </w:r>
      <w:r w:rsidRPr="00460DDA">
        <w:rPr>
          <w:rFonts w:asciiTheme="minorHAnsi" w:hAnsiTheme="minorHAnsi"/>
          <w:lang w:val="sq-AL"/>
        </w:rPr>
        <w:t>.</w:t>
      </w:r>
    </w:p>
    <w:p w14:paraId="69160F1C" w14:textId="77777777" w:rsidR="000441DE" w:rsidRDefault="000441DE" w:rsidP="00931F3E">
      <w:pPr>
        <w:spacing w:before="120" w:after="120" w:line="276" w:lineRule="auto"/>
        <w:jc w:val="both"/>
        <w:rPr>
          <w:rFonts w:asciiTheme="minorHAnsi" w:hAnsiTheme="minorHAnsi"/>
          <w:b/>
          <w:i/>
          <w:lang w:val="sq-AL"/>
        </w:rPr>
      </w:pPr>
    </w:p>
    <w:p w14:paraId="0E4E8588" w14:textId="77777777" w:rsidR="00931F3E" w:rsidRPr="00460DDA" w:rsidRDefault="00931F3E" w:rsidP="00931F3E">
      <w:pPr>
        <w:spacing w:before="120" w:after="120" w:line="276" w:lineRule="auto"/>
        <w:jc w:val="both"/>
        <w:rPr>
          <w:rFonts w:asciiTheme="minorHAnsi" w:hAnsiTheme="minorHAnsi"/>
          <w:lang w:val="sq-AL"/>
        </w:rPr>
      </w:pPr>
      <w:r w:rsidRPr="00342953">
        <w:rPr>
          <w:rFonts w:asciiTheme="minorHAnsi" w:hAnsiTheme="minorHAnsi"/>
          <w:b/>
          <w:i/>
          <w:lang w:val="sq-AL"/>
        </w:rPr>
        <w:t>Fondi i rindërtimit</w:t>
      </w:r>
      <w:r w:rsidRPr="00342953">
        <w:rPr>
          <w:rFonts w:asciiTheme="minorHAnsi" w:hAnsiTheme="minorHAnsi"/>
          <w:i/>
          <w:lang w:val="sq-AL"/>
        </w:rPr>
        <w:t xml:space="preserve"> </w:t>
      </w:r>
      <w:r w:rsidR="000441DE" w:rsidRPr="007470B8">
        <w:rPr>
          <w:rFonts w:asciiTheme="minorHAnsi" w:hAnsiTheme="minorHAnsi"/>
          <w:lang w:val="sq-AL"/>
        </w:rPr>
        <w:t>është pjesë e shpenzimeve të buxhetit vendor që ka ndikuar gjithshtu në rritjen ekonomike të njësive të vetëqeverisjes vendore. Financimi për NJVQV p</w:t>
      </w:r>
      <w:r w:rsidR="000441DE">
        <w:rPr>
          <w:rFonts w:asciiTheme="minorHAnsi" w:hAnsiTheme="minorHAnsi"/>
          <w:lang w:val="sq-AL"/>
        </w:rPr>
        <w:t>ë</w:t>
      </w:r>
      <w:r w:rsidR="000441DE" w:rsidRPr="007470B8">
        <w:rPr>
          <w:rFonts w:asciiTheme="minorHAnsi" w:hAnsiTheme="minorHAnsi"/>
          <w:lang w:val="sq-AL"/>
        </w:rPr>
        <w:t>r 5</w:t>
      </w:r>
      <w:r w:rsidR="000441DE">
        <w:rPr>
          <w:rFonts w:asciiTheme="minorHAnsi" w:hAnsiTheme="minorHAnsi"/>
          <w:lang w:val="sq-AL"/>
        </w:rPr>
        <w:t>M</w:t>
      </w:r>
      <w:r w:rsidR="000441DE" w:rsidRPr="007470B8">
        <w:rPr>
          <w:rFonts w:asciiTheme="minorHAnsi" w:hAnsiTheme="minorHAnsi"/>
          <w:lang w:val="sq-AL"/>
        </w:rPr>
        <w:t xml:space="preserve"> 2023, ku përfshihet vet</w:t>
      </w:r>
      <w:r w:rsidR="000441DE">
        <w:rPr>
          <w:rFonts w:asciiTheme="minorHAnsi" w:hAnsiTheme="minorHAnsi"/>
          <w:lang w:val="sq-AL"/>
        </w:rPr>
        <w:t>ë</w:t>
      </w:r>
      <w:r w:rsidR="000441DE" w:rsidRPr="007470B8">
        <w:rPr>
          <w:rFonts w:asciiTheme="minorHAnsi" w:hAnsiTheme="minorHAnsi"/>
          <w:lang w:val="sq-AL"/>
        </w:rPr>
        <w:t>m mbartja e fondit të akorduar me VKM, por e papërdorur në vitin 2022, është  6.3 miliard lekë, ndërkohë që përdorimi deri në fund të 5</w:t>
      </w:r>
      <w:r w:rsidR="000441DE">
        <w:rPr>
          <w:rFonts w:asciiTheme="minorHAnsi" w:hAnsiTheme="minorHAnsi"/>
          <w:lang w:val="sq-AL"/>
        </w:rPr>
        <w:t>M</w:t>
      </w:r>
      <w:r w:rsidR="000441DE" w:rsidRPr="007470B8">
        <w:rPr>
          <w:rFonts w:asciiTheme="minorHAnsi" w:hAnsiTheme="minorHAnsi"/>
          <w:lang w:val="sq-AL"/>
        </w:rPr>
        <w:t xml:space="preserve"> 2023 është rreth 2.4 miliard lekë. Detajimin e fondit të rindërtimit sipas natyrës së shpenzimeve, e paraqesim në tabelën e mëposhtme</w:t>
      </w:r>
      <w:r w:rsidRPr="00460DDA">
        <w:rPr>
          <w:rFonts w:asciiTheme="minorHAnsi" w:hAnsiTheme="minorHAnsi"/>
          <w:lang w:val="sq-AL"/>
        </w:rPr>
        <w:t>:</w:t>
      </w:r>
    </w:p>
    <w:p w14:paraId="75657C82" w14:textId="149665A1" w:rsidR="00931F3E" w:rsidRPr="00342953" w:rsidRDefault="00462131" w:rsidP="00462131">
      <w:pPr>
        <w:pStyle w:val="Caption"/>
        <w:spacing w:after="0"/>
        <w:rPr>
          <w:rFonts w:asciiTheme="minorHAnsi" w:hAnsiTheme="minorHAnsi"/>
          <w:b w:val="0"/>
          <w:bCs w:val="0"/>
          <w:i/>
          <w:color w:val="auto"/>
          <w:sz w:val="22"/>
          <w:szCs w:val="22"/>
          <w:lang w:val="sq-AL"/>
        </w:rPr>
      </w:pPr>
      <w:bookmarkStart w:id="71" w:name="_Toc107496746"/>
      <w:r w:rsidRPr="00462131">
        <w:rPr>
          <w:rFonts w:asciiTheme="minorHAnsi" w:hAnsiTheme="minorHAnsi"/>
          <w:b w:val="0"/>
          <w:bCs w:val="0"/>
          <w:i/>
          <w:color w:val="auto"/>
          <w:sz w:val="22"/>
          <w:szCs w:val="22"/>
          <w:lang w:val="sq-AL"/>
        </w:rPr>
        <w:t xml:space="preserve">Tabela </w:t>
      </w:r>
      <w:r w:rsidRPr="00462131">
        <w:rPr>
          <w:rFonts w:asciiTheme="minorHAnsi" w:hAnsiTheme="minorHAnsi"/>
          <w:b w:val="0"/>
          <w:bCs w:val="0"/>
          <w:i/>
          <w:color w:val="auto"/>
          <w:sz w:val="22"/>
          <w:szCs w:val="22"/>
          <w:lang w:val="sq-AL"/>
        </w:rPr>
        <w:fldChar w:fldCharType="begin"/>
      </w:r>
      <w:r w:rsidRPr="00462131">
        <w:rPr>
          <w:rFonts w:asciiTheme="minorHAnsi" w:hAnsiTheme="minorHAnsi"/>
          <w:b w:val="0"/>
          <w:bCs w:val="0"/>
          <w:i/>
          <w:color w:val="auto"/>
          <w:sz w:val="22"/>
          <w:szCs w:val="22"/>
          <w:lang w:val="sq-AL"/>
        </w:rPr>
        <w:instrText xml:space="preserve"> SEQ Tabela \* ARABIC </w:instrText>
      </w:r>
      <w:r w:rsidRPr="00462131">
        <w:rPr>
          <w:rFonts w:asciiTheme="minorHAnsi" w:hAnsiTheme="minorHAnsi"/>
          <w:b w:val="0"/>
          <w:bCs w:val="0"/>
          <w:i/>
          <w:color w:val="auto"/>
          <w:sz w:val="22"/>
          <w:szCs w:val="22"/>
          <w:lang w:val="sq-AL"/>
        </w:rPr>
        <w:fldChar w:fldCharType="separate"/>
      </w:r>
      <w:r w:rsidR="00C153A9">
        <w:rPr>
          <w:rFonts w:asciiTheme="minorHAnsi" w:hAnsiTheme="minorHAnsi"/>
          <w:b w:val="0"/>
          <w:bCs w:val="0"/>
          <w:i/>
          <w:noProof/>
          <w:color w:val="auto"/>
          <w:sz w:val="22"/>
          <w:szCs w:val="22"/>
          <w:lang w:val="sq-AL"/>
        </w:rPr>
        <w:t>10</w:t>
      </w:r>
      <w:r w:rsidRPr="00462131">
        <w:rPr>
          <w:rFonts w:asciiTheme="minorHAnsi" w:hAnsiTheme="minorHAnsi"/>
          <w:b w:val="0"/>
          <w:bCs w:val="0"/>
          <w:i/>
          <w:color w:val="auto"/>
          <w:sz w:val="22"/>
          <w:szCs w:val="22"/>
          <w:lang w:val="sq-AL"/>
        </w:rPr>
        <w:fldChar w:fldCharType="end"/>
      </w:r>
      <w:r w:rsidR="00931F3E" w:rsidRPr="00342953">
        <w:rPr>
          <w:rFonts w:asciiTheme="minorHAnsi" w:hAnsiTheme="minorHAnsi"/>
          <w:b w:val="0"/>
          <w:bCs w:val="0"/>
          <w:i/>
          <w:color w:val="auto"/>
          <w:sz w:val="22"/>
          <w:szCs w:val="22"/>
          <w:lang w:val="sq-AL"/>
        </w:rPr>
        <w:t>: Shpenzimet e fondit të rindërtimit akorduar për pushtetin vendor sipas natyrës (në milion lekë)</w:t>
      </w:r>
      <w:bookmarkEnd w:id="71"/>
    </w:p>
    <w:tbl>
      <w:tblPr>
        <w:tblW w:w="8338" w:type="dxa"/>
        <w:jc w:val="center"/>
        <w:tblLook w:val="04A0" w:firstRow="1" w:lastRow="0" w:firstColumn="1" w:lastColumn="0" w:noHBand="0" w:noVBand="1"/>
      </w:tblPr>
      <w:tblGrid>
        <w:gridCol w:w="3995"/>
        <w:gridCol w:w="2117"/>
        <w:gridCol w:w="2226"/>
      </w:tblGrid>
      <w:tr w:rsidR="000441DE" w14:paraId="73187BA4" w14:textId="77777777" w:rsidTr="000441DE">
        <w:trPr>
          <w:trHeight w:val="231"/>
          <w:jc w:val="center"/>
        </w:trPr>
        <w:tc>
          <w:tcPr>
            <w:tcW w:w="3995" w:type="dxa"/>
            <w:vMerge w:val="restart"/>
            <w:tcBorders>
              <w:top w:val="double" w:sz="6" w:space="0" w:color="auto"/>
              <w:left w:val="double" w:sz="6" w:space="0" w:color="auto"/>
              <w:bottom w:val="nil"/>
              <w:right w:val="single" w:sz="4" w:space="0" w:color="auto"/>
            </w:tcBorders>
            <w:shd w:val="clear" w:color="000000" w:fill="DBE5F1"/>
            <w:noWrap/>
            <w:vAlign w:val="center"/>
            <w:hideMark/>
          </w:tcPr>
          <w:p w14:paraId="516679B7" w14:textId="77777777" w:rsidR="000441DE" w:rsidRDefault="000441DE" w:rsidP="008B44DD">
            <w:pPr>
              <w:jc w:val="center"/>
              <w:rPr>
                <w:rFonts w:ascii="Calibri" w:hAnsi="Calibri" w:cs="Calibri"/>
                <w:b/>
                <w:bCs/>
                <w:sz w:val="18"/>
                <w:szCs w:val="18"/>
              </w:rPr>
            </w:pPr>
            <w:r>
              <w:rPr>
                <w:rFonts w:ascii="Calibri" w:hAnsi="Calibri" w:cs="Calibri"/>
                <w:b/>
                <w:bCs/>
                <w:sz w:val="18"/>
                <w:szCs w:val="18"/>
              </w:rPr>
              <w:t>E  M  Ë  R  T  I  M  I</w:t>
            </w:r>
          </w:p>
        </w:tc>
        <w:tc>
          <w:tcPr>
            <w:tcW w:w="2117" w:type="dxa"/>
            <w:tcBorders>
              <w:top w:val="double" w:sz="6" w:space="0" w:color="auto"/>
              <w:left w:val="nil"/>
              <w:bottom w:val="nil"/>
              <w:right w:val="nil"/>
            </w:tcBorders>
            <w:shd w:val="clear" w:color="000000" w:fill="DBE5F1"/>
            <w:noWrap/>
            <w:vAlign w:val="center"/>
            <w:hideMark/>
          </w:tcPr>
          <w:p w14:paraId="6358504C" w14:textId="77777777" w:rsidR="000441DE" w:rsidRDefault="000441DE" w:rsidP="008B44DD">
            <w:pPr>
              <w:jc w:val="center"/>
              <w:rPr>
                <w:rFonts w:ascii="Calibri" w:hAnsi="Calibri" w:cs="Calibri"/>
                <w:b/>
                <w:bCs/>
                <w:sz w:val="18"/>
                <w:szCs w:val="18"/>
              </w:rPr>
            </w:pPr>
            <w:r>
              <w:rPr>
                <w:rFonts w:ascii="Calibri" w:hAnsi="Calibri" w:cs="Calibri"/>
                <w:b/>
                <w:bCs/>
                <w:sz w:val="18"/>
                <w:szCs w:val="18"/>
              </w:rPr>
              <w:t>Buxheti total 5-mujor</w:t>
            </w:r>
          </w:p>
        </w:tc>
        <w:tc>
          <w:tcPr>
            <w:tcW w:w="2225" w:type="dxa"/>
            <w:tcBorders>
              <w:top w:val="double" w:sz="6" w:space="0" w:color="auto"/>
              <w:left w:val="single" w:sz="4" w:space="0" w:color="auto"/>
              <w:bottom w:val="nil"/>
              <w:right w:val="double" w:sz="6" w:space="0" w:color="auto"/>
            </w:tcBorders>
            <w:shd w:val="clear" w:color="000000" w:fill="DBE5F1"/>
            <w:noWrap/>
            <w:vAlign w:val="center"/>
            <w:hideMark/>
          </w:tcPr>
          <w:p w14:paraId="4E0D6640" w14:textId="77777777" w:rsidR="000441DE" w:rsidRDefault="000441DE" w:rsidP="008B44DD">
            <w:pPr>
              <w:jc w:val="center"/>
              <w:rPr>
                <w:rFonts w:ascii="Calibri" w:hAnsi="Calibri" w:cs="Calibri"/>
                <w:b/>
                <w:bCs/>
                <w:sz w:val="18"/>
                <w:szCs w:val="18"/>
              </w:rPr>
            </w:pPr>
            <w:r>
              <w:rPr>
                <w:rFonts w:ascii="Calibri" w:hAnsi="Calibri" w:cs="Calibri"/>
                <w:b/>
                <w:bCs/>
                <w:sz w:val="18"/>
                <w:szCs w:val="18"/>
              </w:rPr>
              <w:t>Fakt 5 mujori</w:t>
            </w:r>
          </w:p>
        </w:tc>
      </w:tr>
      <w:tr w:rsidR="000441DE" w14:paraId="753045B8" w14:textId="77777777" w:rsidTr="000441DE">
        <w:trPr>
          <w:trHeight w:val="219"/>
          <w:jc w:val="center"/>
        </w:trPr>
        <w:tc>
          <w:tcPr>
            <w:tcW w:w="3995" w:type="dxa"/>
            <w:vMerge/>
            <w:tcBorders>
              <w:top w:val="double" w:sz="6" w:space="0" w:color="auto"/>
              <w:left w:val="double" w:sz="6" w:space="0" w:color="auto"/>
              <w:bottom w:val="nil"/>
              <w:right w:val="single" w:sz="4" w:space="0" w:color="auto"/>
            </w:tcBorders>
            <w:vAlign w:val="center"/>
            <w:hideMark/>
          </w:tcPr>
          <w:p w14:paraId="0D4C2CFB" w14:textId="77777777" w:rsidR="000441DE" w:rsidRDefault="000441DE" w:rsidP="008B44DD">
            <w:pPr>
              <w:rPr>
                <w:rFonts w:ascii="Calibri" w:hAnsi="Calibri" w:cs="Calibri"/>
                <w:b/>
                <w:bCs/>
                <w:sz w:val="18"/>
                <w:szCs w:val="18"/>
              </w:rPr>
            </w:pPr>
          </w:p>
        </w:tc>
        <w:tc>
          <w:tcPr>
            <w:tcW w:w="4343" w:type="dxa"/>
            <w:gridSpan w:val="2"/>
            <w:tcBorders>
              <w:top w:val="single" w:sz="4" w:space="0" w:color="auto"/>
              <w:left w:val="nil"/>
              <w:bottom w:val="single" w:sz="4" w:space="0" w:color="auto"/>
              <w:right w:val="double" w:sz="6" w:space="0" w:color="000000"/>
            </w:tcBorders>
            <w:shd w:val="clear" w:color="000000" w:fill="DBE5F1"/>
            <w:noWrap/>
            <w:vAlign w:val="center"/>
            <w:hideMark/>
          </w:tcPr>
          <w:p w14:paraId="3E6649F6" w14:textId="77777777" w:rsidR="000441DE" w:rsidRDefault="000441DE" w:rsidP="008B44DD">
            <w:pPr>
              <w:jc w:val="center"/>
              <w:rPr>
                <w:rFonts w:ascii="Calibri" w:hAnsi="Calibri" w:cs="Calibri"/>
                <w:b/>
                <w:bCs/>
                <w:sz w:val="18"/>
                <w:szCs w:val="18"/>
              </w:rPr>
            </w:pPr>
            <w:r>
              <w:rPr>
                <w:rFonts w:ascii="Calibri" w:hAnsi="Calibri" w:cs="Calibri"/>
                <w:b/>
                <w:bCs/>
                <w:sz w:val="18"/>
                <w:szCs w:val="18"/>
              </w:rPr>
              <w:t>2023</w:t>
            </w:r>
          </w:p>
        </w:tc>
      </w:tr>
      <w:tr w:rsidR="000441DE" w14:paraId="06200AB9" w14:textId="77777777" w:rsidTr="000441DE">
        <w:trPr>
          <w:trHeight w:val="231"/>
          <w:jc w:val="center"/>
        </w:trPr>
        <w:tc>
          <w:tcPr>
            <w:tcW w:w="3995" w:type="dxa"/>
            <w:tcBorders>
              <w:top w:val="single" w:sz="4" w:space="0" w:color="auto"/>
              <w:left w:val="double" w:sz="6" w:space="0" w:color="auto"/>
              <w:bottom w:val="single" w:sz="8" w:space="0" w:color="auto"/>
              <w:right w:val="single" w:sz="4" w:space="0" w:color="auto"/>
            </w:tcBorders>
            <w:shd w:val="clear" w:color="auto" w:fill="auto"/>
            <w:noWrap/>
            <w:vAlign w:val="center"/>
            <w:hideMark/>
          </w:tcPr>
          <w:p w14:paraId="57EF9E80" w14:textId="77777777" w:rsidR="000441DE" w:rsidRDefault="000441DE" w:rsidP="008B44DD">
            <w:pPr>
              <w:rPr>
                <w:rFonts w:ascii="Calibri" w:hAnsi="Calibri" w:cs="Calibri"/>
                <w:b/>
                <w:bCs/>
                <w:sz w:val="18"/>
                <w:szCs w:val="18"/>
              </w:rPr>
            </w:pPr>
            <w:r>
              <w:rPr>
                <w:rFonts w:ascii="Calibri" w:hAnsi="Calibri" w:cs="Calibri"/>
                <w:b/>
                <w:bCs/>
                <w:sz w:val="18"/>
                <w:szCs w:val="18"/>
              </w:rPr>
              <w:t>Fondi i Rindërtimit</w:t>
            </w:r>
          </w:p>
        </w:tc>
        <w:tc>
          <w:tcPr>
            <w:tcW w:w="2117" w:type="dxa"/>
            <w:tcBorders>
              <w:top w:val="nil"/>
              <w:left w:val="nil"/>
              <w:bottom w:val="single" w:sz="8" w:space="0" w:color="auto"/>
              <w:right w:val="single" w:sz="4" w:space="0" w:color="auto"/>
            </w:tcBorders>
            <w:shd w:val="clear" w:color="auto" w:fill="auto"/>
            <w:noWrap/>
            <w:vAlign w:val="center"/>
            <w:hideMark/>
          </w:tcPr>
          <w:p w14:paraId="1EA07BAE" w14:textId="77777777" w:rsidR="000441DE" w:rsidRDefault="000441DE" w:rsidP="008B44DD">
            <w:pPr>
              <w:jc w:val="center"/>
              <w:rPr>
                <w:rFonts w:ascii="Calibri" w:hAnsi="Calibri" w:cs="Calibri"/>
                <w:b/>
                <w:bCs/>
                <w:sz w:val="18"/>
                <w:szCs w:val="18"/>
              </w:rPr>
            </w:pPr>
            <w:r w:rsidRPr="009863D5">
              <w:rPr>
                <w:rFonts w:ascii="Calibri" w:hAnsi="Calibri" w:cs="Calibri"/>
                <w:b/>
                <w:bCs/>
                <w:sz w:val="18"/>
                <w:szCs w:val="18"/>
              </w:rPr>
              <w:t>6,344</w:t>
            </w:r>
          </w:p>
        </w:tc>
        <w:tc>
          <w:tcPr>
            <w:tcW w:w="2225" w:type="dxa"/>
            <w:tcBorders>
              <w:top w:val="nil"/>
              <w:left w:val="nil"/>
              <w:bottom w:val="single" w:sz="8" w:space="0" w:color="auto"/>
              <w:right w:val="double" w:sz="6" w:space="0" w:color="auto"/>
            </w:tcBorders>
            <w:shd w:val="clear" w:color="auto" w:fill="auto"/>
            <w:noWrap/>
            <w:vAlign w:val="center"/>
            <w:hideMark/>
          </w:tcPr>
          <w:p w14:paraId="0DB57A43" w14:textId="77777777" w:rsidR="000441DE" w:rsidRDefault="000441DE" w:rsidP="008B44DD">
            <w:pPr>
              <w:jc w:val="center"/>
              <w:rPr>
                <w:rFonts w:ascii="Calibri" w:hAnsi="Calibri" w:cs="Calibri"/>
                <w:b/>
                <w:bCs/>
                <w:sz w:val="18"/>
                <w:szCs w:val="18"/>
              </w:rPr>
            </w:pPr>
            <w:r>
              <w:rPr>
                <w:rFonts w:ascii="Calibri" w:hAnsi="Calibri" w:cs="Calibri"/>
                <w:b/>
                <w:bCs/>
                <w:sz w:val="18"/>
                <w:szCs w:val="18"/>
              </w:rPr>
              <w:t>2,481</w:t>
            </w:r>
          </w:p>
        </w:tc>
      </w:tr>
      <w:tr w:rsidR="000441DE" w14:paraId="3EC51A3C" w14:textId="77777777" w:rsidTr="000441DE">
        <w:trPr>
          <w:trHeight w:val="231"/>
          <w:jc w:val="center"/>
        </w:trPr>
        <w:tc>
          <w:tcPr>
            <w:tcW w:w="3995" w:type="dxa"/>
            <w:tcBorders>
              <w:top w:val="nil"/>
              <w:left w:val="double" w:sz="6" w:space="0" w:color="auto"/>
              <w:bottom w:val="single" w:sz="8" w:space="0" w:color="C0C0C0"/>
              <w:right w:val="single" w:sz="4" w:space="0" w:color="auto"/>
            </w:tcBorders>
            <w:shd w:val="clear" w:color="auto" w:fill="auto"/>
            <w:noWrap/>
            <w:vAlign w:val="center"/>
            <w:hideMark/>
          </w:tcPr>
          <w:p w14:paraId="16481F65" w14:textId="77777777" w:rsidR="000441DE" w:rsidRDefault="000441DE" w:rsidP="008B44DD">
            <w:pPr>
              <w:jc w:val="both"/>
              <w:rPr>
                <w:rFonts w:ascii="Calibri" w:hAnsi="Calibri" w:cs="Calibri"/>
                <w:i/>
                <w:iCs/>
                <w:sz w:val="18"/>
                <w:szCs w:val="18"/>
              </w:rPr>
            </w:pPr>
            <w:r>
              <w:rPr>
                <w:rFonts w:ascii="Calibri" w:hAnsi="Calibri" w:cs="Calibri"/>
                <w:i/>
                <w:iCs/>
                <w:sz w:val="18"/>
                <w:szCs w:val="18"/>
              </w:rPr>
              <w:t>Shpenzime kapitale</w:t>
            </w:r>
          </w:p>
        </w:tc>
        <w:tc>
          <w:tcPr>
            <w:tcW w:w="2117" w:type="dxa"/>
            <w:tcBorders>
              <w:top w:val="nil"/>
              <w:left w:val="nil"/>
              <w:bottom w:val="single" w:sz="8" w:space="0" w:color="C0C0C0"/>
              <w:right w:val="nil"/>
            </w:tcBorders>
            <w:shd w:val="clear" w:color="auto" w:fill="auto"/>
            <w:noWrap/>
            <w:hideMark/>
          </w:tcPr>
          <w:p w14:paraId="67E92467" w14:textId="77777777" w:rsidR="000441DE" w:rsidRDefault="000441DE" w:rsidP="008B44DD">
            <w:pPr>
              <w:jc w:val="center"/>
              <w:rPr>
                <w:rFonts w:ascii="Calibri" w:hAnsi="Calibri" w:cs="Calibri"/>
                <w:i/>
                <w:iCs/>
                <w:sz w:val="18"/>
                <w:szCs w:val="18"/>
              </w:rPr>
            </w:pPr>
            <w:r w:rsidRPr="009863D5">
              <w:rPr>
                <w:rFonts w:ascii="Calibri" w:hAnsi="Calibri" w:cs="Calibri"/>
                <w:i/>
                <w:iCs/>
                <w:sz w:val="18"/>
                <w:szCs w:val="18"/>
              </w:rPr>
              <w:t>3,236</w:t>
            </w:r>
          </w:p>
        </w:tc>
        <w:tc>
          <w:tcPr>
            <w:tcW w:w="2225" w:type="dxa"/>
            <w:tcBorders>
              <w:top w:val="nil"/>
              <w:left w:val="single" w:sz="4" w:space="0" w:color="auto"/>
              <w:bottom w:val="single" w:sz="8" w:space="0" w:color="C0C0C0"/>
              <w:right w:val="double" w:sz="6" w:space="0" w:color="auto"/>
            </w:tcBorders>
            <w:shd w:val="clear" w:color="auto" w:fill="auto"/>
            <w:noWrap/>
            <w:hideMark/>
          </w:tcPr>
          <w:p w14:paraId="762684E4" w14:textId="77777777" w:rsidR="000441DE" w:rsidRDefault="000441DE" w:rsidP="008B44DD">
            <w:pPr>
              <w:jc w:val="center"/>
              <w:rPr>
                <w:rFonts w:ascii="Calibri" w:hAnsi="Calibri" w:cs="Calibri"/>
                <w:i/>
                <w:iCs/>
                <w:sz w:val="18"/>
                <w:szCs w:val="18"/>
              </w:rPr>
            </w:pPr>
            <w:r w:rsidRPr="009863D5">
              <w:rPr>
                <w:rFonts w:ascii="Calibri" w:hAnsi="Calibri" w:cs="Calibri"/>
                <w:i/>
                <w:iCs/>
                <w:sz w:val="18"/>
                <w:szCs w:val="18"/>
              </w:rPr>
              <w:t>1,484</w:t>
            </w:r>
          </w:p>
        </w:tc>
      </w:tr>
      <w:tr w:rsidR="000441DE" w14:paraId="2ED554D1" w14:textId="77777777" w:rsidTr="000441DE">
        <w:trPr>
          <w:trHeight w:val="231"/>
          <w:jc w:val="center"/>
        </w:trPr>
        <w:tc>
          <w:tcPr>
            <w:tcW w:w="3995" w:type="dxa"/>
            <w:tcBorders>
              <w:top w:val="nil"/>
              <w:left w:val="double" w:sz="6" w:space="0" w:color="auto"/>
              <w:bottom w:val="single" w:sz="8" w:space="0" w:color="C0C0C0"/>
              <w:right w:val="single" w:sz="4" w:space="0" w:color="auto"/>
            </w:tcBorders>
            <w:shd w:val="clear" w:color="auto" w:fill="auto"/>
            <w:noWrap/>
            <w:vAlign w:val="center"/>
            <w:hideMark/>
          </w:tcPr>
          <w:p w14:paraId="2A8C4FEE" w14:textId="77777777" w:rsidR="000441DE" w:rsidRDefault="000441DE" w:rsidP="008B44DD">
            <w:pPr>
              <w:jc w:val="both"/>
              <w:rPr>
                <w:rFonts w:ascii="Calibri" w:hAnsi="Calibri" w:cs="Calibri"/>
                <w:i/>
                <w:iCs/>
                <w:sz w:val="18"/>
                <w:szCs w:val="18"/>
              </w:rPr>
            </w:pPr>
            <w:r>
              <w:rPr>
                <w:rFonts w:ascii="Calibri" w:hAnsi="Calibri" w:cs="Calibri"/>
                <w:i/>
                <w:iCs/>
                <w:sz w:val="18"/>
                <w:szCs w:val="18"/>
              </w:rPr>
              <w:t>Shpenzime operative e mirëmbajtje</w:t>
            </w:r>
          </w:p>
        </w:tc>
        <w:tc>
          <w:tcPr>
            <w:tcW w:w="2117" w:type="dxa"/>
            <w:tcBorders>
              <w:top w:val="nil"/>
              <w:left w:val="nil"/>
              <w:bottom w:val="single" w:sz="8" w:space="0" w:color="C0C0C0"/>
              <w:right w:val="nil"/>
            </w:tcBorders>
            <w:shd w:val="clear" w:color="auto" w:fill="auto"/>
            <w:noWrap/>
            <w:hideMark/>
          </w:tcPr>
          <w:p w14:paraId="63E33905" w14:textId="77777777" w:rsidR="000441DE" w:rsidRDefault="000441DE" w:rsidP="008B44DD">
            <w:pPr>
              <w:jc w:val="center"/>
              <w:rPr>
                <w:rFonts w:ascii="Calibri" w:hAnsi="Calibri" w:cs="Calibri"/>
                <w:i/>
                <w:iCs/>
                <w:sz w:val="18"/>
                <w:szCs w:val="18"/>
              </w:rPr>
            </w:pPr>
            <w:r w:rsidRPr="009863D5">
              <w:rPr>
                <w:rFonts w:ascii="Calibri" w:hAnsi="Calibri" w:cs="Calibri"/>
                <w:i/>
                <w:iCs/>
                <w:sz w:val="18"/>
                <w:szCs w:val="18"/>
              </w:rPr>
              <w:t>494</w:t>
            </w:r>
          </w:p>
        </w:tc>
        <w:tc>
          <w:tcPr>
            <w:tcW w:w="2225" w:type="dxa"/>
            <w:tcBorders>
              <w:top w:val="nil"/>
              <w:left w:val="single" w:sz="4" w:space="0" w:color="auto"/>
              <w:bottom w:val="single" w:sz="8" w:space="0" w:color="C0C0C0"/>
              <w:right w:val="double" w:sz="6" w:space="0" w:color="auto"/>
            </w:tcBorders>
            <w:shd w:val="clear" w:color="auto" w:fill="auto"/>
            <w:noWrap/>
            <w:hideMark/>
          </w:tcPr>
          <w:p w14:paraId="1F0F73AC" w14:textId="77777777" w:rsidR="000441DE" w:rsidRDefault="000441DE" w:rsidP="008B44DD">
            <w:pPr>
              <w:jc w:val="center"/>
              <w:rPr>
                <w:rFonts w:ascii="Calibri" w:hAnsi="Calibri" w:cs="Calibri"/>
                <w:i/>
                <w:iCs/>
                <w:sz w:val="18"/>
                <w:szCs w:val="18"/>
              </w:rPr>
            </w:pPr>
            <w:r w:rsidRPr="009863D5">
              <w:rPr>
                <w:rFonts w:ascii="Calibri" w:hAnsi="Calibri" w:cs="Calibri"/>
                <w:i/>
                <w:iCs/>
                <w:sz w:val="18"/>
                <w:szCs w:val="18"/>
              </w:rPr>
              <w:t>26.4</w:t>
            </w:r>
          </w:p>
        </w:tc>
      </w:tr>
      <w:tr w:rsidR="000441DE" w14:paraId="2FD04265" w14:textId="77777777" w:rsidTr="000441DE">
        <w:trPr>
          <w:trHeight w:val="231"/>
          <w:jc w:val="center"/>
        </w:trPr>
        <w:tc>
          <w:tcPr>
            <w:tcW w:w="3995" w:type="dxa"/>
            <w:tcBorders>
              <w:top w:val="nil"/>
              <w:left w:val="double" w:sz="6" w:space="0" w:color="auto"/>
              <w:bottom w:val="double" w:sz="6" w:space="0" w:color="auto"/>
              <w:right w:val="single" w:sz="4" w:space="0" w:color="auto"/>
            </w:tcBorders>
            <w:shd w:val="clear" w:color="auto" w:fill="auto"/>
            <w:noWrap/>
            <w:vAlign w:val="center"/>
            <w:hideMark/>
          </w:tcPr>
          <w:p w14:paraId="4923ACC4" w14:textId="77777777" w:rsidR="000441DE" w:rsidRDefault="000441DE" w:rsidP="008B44DD">
            <w:pPr>
              <w:rPr>
                <w:rFonts w:ascii="Calibri" w:hAnsi="Calibri" w:cs="Calibri"/>
                <w:i/>
                <w:iCs/>
                <w:sz w:val="18"/>
                <w:szCs w:val="18"/>
              </w:rPr>
            </w:pPr>
            <w:r>
              <w:rPr>
                <w:rFonts w:ascii="Calibri" w:hAnsi="Calibri" w:cs="Calibri"/>
                <w:i/>
                <w:iCs/>
                <w:sz w:val="18"/>
                <w:szCs w:val="18"/>
              </w:rPr>
              <w:t>Transferta për familjet dhe individët</w:t>
            </w:r>
          </w:p>
        </w:tc>
        <w:tc>
          <w:tcPr>
            <w:tcW w:w="2117" w:type="dxa"/>
            <w:tcBorders>
              <w:top w:val="nil"/>
              <w:left w:val="nil"/>
              <w:bottom w:val="double" w:sz="6" w:space="0" w:color="auto"/>
              <w:right w:val="nil"/>
            </w:tcBorders>
            <w:shd w:val="clear" w:color="auto" w:fill="auto"/>
            <w:noWrap/>
            <w:hideMark/>
          </w:tcPr>
          <w:p w14:paraId="78A7C90B" w14:textId="77777777" w:rsidR="000441DE" w:rsidRDefault="000441DE" w:rsidP="008B44DD">
            <w:pPr>
              <w:jc w:val="center"/>
              <w:rPr>
                <w:rFonts w:ascii="Calibri" w:hAnsi="Calibri" w:cs="Calibri"/>
                <w:i/>
                <w:iCs/>
                <w:sz w:val="18"/>
                <w:szCs w:val="18"/>
              </w:rPr>
            </w:pPr>
            <w:r w:rsidRPr="009863D5">
              <w:rPr>
                <w:rFonts w:ascii="Calibri" w:hAnsi="Calibri" w:cs="Calibri"/>
                <w:i/>
                <w:iCs/>
                <w:sz w:val="18"/>
                <w:szCs w:val="18"/>
              </w:rPr>
              <w:t>2,614</w:t>
            </w:r>
          </w:p>
        </w:tc>
        <w:tc>
          <w:tcPr>
            <w:tcW w:w="2225" w:type="dxa"/>
            <w:tcBorders>
              <w:top w:val="nil"/>
              <w:left w:val="single" w:sz="4" w:space="0" w:color="auto"/>
              <w:bottom w:val="double" w:sz="6" w:space="0" w:color="auto"/>
              <w:right w:val="double" w:sz="6" w:space="0" w:color="auto"/>
            </w:tcBorders>
            <w:shd w:val="clear" w:color="auto" w:fill="auto"/>
            <w:noWrap/>
            <w:hideMark/>
          </w:tcPr>
          <w:p w14:paraId="57D8B623" w14:textId="77777777" w:rsidR="000441DE" w:rsidRDefault="000441DE" w:rsidP="008B44DD">
            <w:pPr>
              <w:jc w:val="center"/>
              <w:rPr>
                <w:rFonts w:ascii="Calibri" w:hAnsi="Calibri" w:cs="Calibri"/>
                <w:i/>
                <w:iCs/>
                <w:sz w:val="18"/>
                <w:szCs w:val="18"/>
              </w:rPr>
            </w:pPr>
            <w:r w:rsidRPr="009863D5">
              <w:rPr>
                <w:rFonts w:ascii="Calibri" w:hAnsi="Calibri" w:cs="Calibri"/>
                <w:i/>
                <w:iCs/>
                <w:sz w:val="18"/>
                <w:szCs w:val="18"/>
              </w:rPr>
              <w:t>971</w:t>
            </w:r>
          </w:p>
        </w:tc>
      </w:tr>
    </w:tbl>
    <w:p w14:paraId="638FE2D3" w14:textId="77777777" w:rsidR="00365D90" w:rsidRDefault="00C01196" w:rsidP="00342953">
      <w:pPr>
        <w:pStyle w:val="Caption"/>
        <w:ind w:firstLine="720"/>
        <w:rPr>
          <w:rFonts w:asciiTheme="minorHAnsi" w:eastAsia="SimSun" w:hAnsiTheme="minorHAnsi"/>
          <w:b w:val="0"/>
          <w:bCs w:val="0"/>
          <w:i/>
          <w:color w:val="auto"/>
          <w:sz w:val="20"/>
          <w:szCs w:val="24"/>
          <w:lang w:val="sq-AL"/>
        </w:rPr>
      </w:pPr>
      <w:r>
        <w:rPr>
          <w:rFonts w:asciiTheme="minorHAnsi" w:eastAsia="SimSun" w:hAnsiTheme="minorHAnsi"/>
          <w:b w:val="0"/>
          <w:bCs w:val="0"/>
          <w:i/>
          <w:color w:val="auto"/>
          <w:sz w:val="20"/>
          <w:szCs w:val="24"/>
          <w:lang w:val="sq-AL"/>
        </w:rPr>
        <w:t>Burimi: Drejtoria e Financave Vendore, Ministria e Financave dhe Ekonomisë (2023)</w:t>
      </w:r>
    </w:p>
    <w:p w14:paraId="21FD9318" w14:textId="77777777" w:rsidR="004A5D25" w:rsidRDefault="004A5D25" w:rsidP="004A5D25">
      <w:pPr>
        <w:rPr>
          <w:rFonts w:eastAsia="SimSun"/>
          <w:lang w:val="sq-AL"/>
        </w:rPr>
      </w:pPr>
    </w:p>
    <w:p w14:paraId="1800BC6A" w14:textId="77777777" w:rsidR="00E74AAC" w:rsidRPr="004A5D25" w:rsidRDefault="00E74AAC" w:rsidP="004A5D25">
      <w:pPr>
        <w:rPr>
          <w:rFonts w:eastAsia="SimSun"/>
          <w:lang w:val="sq-AL"/>
        </w:rPr>
      </w:pPr>
    </w:p>
    <w:p w14:paraId="6F48E6ED" w14:textId="77777777" w:rsidR="00B55813" w:rsidRPr="0065598A" w:rsidRDefault="007532D4" w:rsidP="002334F6">
      <w:pPr>
        <w:pStyle w:val="Heading2"/>
        <w:rPr>
          <w:rFonts w:eastAsia="SimSun"/>
          <w:i/>
          <w:sz w:val="27"/>
          <w:szCs w:val="27"/>
        </w:rPr>
      </w:pPr>
      <w:bookmarkStart w:id="72" w:name="_Toc107496989"/>
      <w:r w:rsidRPr="00D16876">
        <w:rPr>
          <w:szCs w:val="28"/>
        </w:rPr>
        <w:lastRenderedPageBreak/>
        <w:t>III.3</w:t>
      </w:r>
      <w:r w:rsidRPr="00D16876">
        <w:rPr>
          <w:szCs w:val="28"/>
        </w:rPr>
        <w:tab/>
      </w:r>
      <w:r w:rsidRPr="00D16876">
        <w:rPr>
          <w:sz w:val="26"/>
          <w:szCs w:val="26"/>
        </w:rPr>
        <w:t xml:space="preserve">Fondi Rezervë, Fondi i Kontigjencës, Fondi i </w:t>
      </w:r>
      <w:r w:rsidR="00DB684D" w:rsidRPr="00D16876">
        <w:rPr>
          <w:sz w:val="26"/>
          <w:szCs w:val="26"/>
        </w:rPr>
        <w:t>Rindërtimit</w:t>
      </w:r>
      <w:bookmarkEnd w:id="72"/>
      <w:r w:rsidRPr="0065598A">
        <w:rPr>
          <w:sz w:val="27"/>
          <w:szCs w:val="27"/>
        </w:rPr>
        <w:t xml:space="preserve"> </w:t>
      </w:r>
    </w:p>
    <w:p w14:paraId="5AD009AF" w14:textId="77777777" w:rsidR="00630D88" w:rsidRPr="00630D88" w:rsidRDefault="00630D88" w:rsidP="00630D88">
      <w:pPr>
        <w:spacing w:line="276" w:lineRule="auto"/>
        <w:jc w:val="both"/>
        <w:rPr>
          <w:rFonts w:asciiTheme="minorHAnsi" w:hAnsiTheme="minorHAnsi"/>
          <w:sz w:val="8"/>
          <w:szCs w:val="8"/>
          <w:lang w:val="sq-AL"/>
        </w:rPr>
      </w:pPr>
    </w:p>
    <w:p w14:paraId="7A105484" w14:textId="77777777" w:rsidR="00E32ADB" w:rsidRDefault="00E32ADB" w:rsidP="00E32ADB">
      <w:pPr>
        <w:spacing w:line="276" w:lineRule="auto"/>
        <w:jc w:val="both"/>
        <w:rPr>
          <w:rFonts w:asciiTheme="minorHAnsi" w:hAnsiTheme="minorHAnsi"/>
          <w:szCs w:val="22"/>
          <w:lang w:val="sq-AL"/>
        </w:rPr>
      </w:pPr>
      <w:r w:rsidRPr="00640D2C">
        <w:rPr>
          <w:rFonts w:asciiTheme="minorHAnsi" w:hAnsiTheme="minorHAnsi"/>
          <w:szCs w:val="22"/>
          <w:lang w:val="sq-AL"/>
        </w:rPr>
        <w:t>Në analizën e shpenzimeve për periudhën janar-qershor 202</w:t>
      </w:r>
      <w:r w:rsidR="00670AB7">
        <w:rPr>
          <w:rFonts w:asciiTheme="minorHAnsi" w:hAnsiTheme="minorHAnsi"/>
          <w:szCs w:val="22"/>
          <w:lang w:val="sq-AL"/>
        </w:rPr>
        <w:t>3</w:t>
      </w:r>
      <w:r w:rsidRPr="00640D2C">
        <w:rPr>
          <w:rFonts w:asciiTheme="minorHAnsi" w:hAnsiTheme="minorHAnsi"/>
          <w:szCs w:val="22"/>
          <w:lang w:val="sq-AL"/>
        </w:rPr>
        <w:t>, janë përfshirë edhe shpenzimet e realizuara nga përdorimet e fondit rezervë të buxhetit të shtetit, të fondit të rindërtimit dhe të fondit të kontigjencës. Më konkretisht:</w:t>
      </w:r>
    </w:p>
    <w:p w14:paraId="5F8732E7" w14:textId="77777777" w:rsidR="00F20612" w:rsidRPr="00B80F6E" w:rsidRDefault="00F20612" w:rsidP="00E32ADB">
      <w:pPr>
        <w:spacing w:line="276" w:lineRule="auto"/>
        <w:jc w:val="both"/>
        <w:rPr>
          <w:rFonts w:asciiTheme="minorHAnsi" w:hAnsiTheme="minorHAnsi"/>
          <w:sz w:val="2"/>
          <w:szCs w:val="22"/>
          <w:lang w:val="sq-AL"/>
        </w:rPr>
      </w:pPr>
    </w:p>
    <w:p w14:paraId="60B8B7EF" w14:textId="77777777" w:rsidR="00DB2AAF" w:rsidRPr="00DB2AAF" w:rsidRDefault="00DB2AAF" w:rsidP="00DB2AAF">
      <w:pPr>
        <w:spacing w:before="240" w:line="276" w:lineRule="auto"/>
        <w:jc w:val="both"/>
        <w:rPr>
          <w:rFonts w:asciiTheme="minorHAnsi" w:hAnsiTheme="minorHAnsi"/>
          <w:bCs/>
          <w:lang w:val="sq-AL"/>
        </w:rPr>
      </w:pPr>
      <w:r w:rsidRPr="00DB2AAF">
        <w:rPr>
          <w:rFonts w:asciiTheme="minorHAnsi" w:hAnsiTheme="minorHAnsi"/>
          <w:b/>
          <w:lang w:val="sq-AL"/>
        </w:rPr>
        <w:t>Fondi Rezervë</w:t>
      </w:r>
      <w:r>
        <w:rPr>
          <w:rFonts w:asciiTheme="minorHAnsi" w:hAnsiTheme="minorHAnsi"/>
          <w:b/>
          <w:lang w:val="sq-AL"/>
        </w:rPr>
        <w:t xml:space="preserve"> –</w:t>
      </w:r>
      <w:r w:rsidRPr="00DB2AAF">
        <w:rPr>
          <w:rFonts w:asciiTheme="minorHAnsi" w:hAnsiTheme="minorHAnsi"/>
          <w:b/>
          <w:lang w:val="sq-AL"/>
        </w:rPr>
        <w:t xml:space="preserve"> </w:t>
      </w:r>
      <w:r w:rsidRPr="00DB2AAF">
        <w:rPr>
          <w:rFonts w:asciiTheme="minorHAnsi" w:hAnsiTheme="minorHAnsi"/>
          <w:lang w:val="sq-AL"/>
        </w:rPr>
        <w:t>Ligji nr.</w:t>
      </w:r>
      <w:r w:rsidR="00670AB7">
        <w:rPr>
          <w:rFonts w:asciiTheme="minorHAnsi" w:hAnsiTheme="minorHAnsi"/>
          <w:lang w:val="sq-AL"/>
        </w:rPr>
        <w:t>84</w:t>
      </w:r>
      <w:r w:rsidRPr="00DB2AAF">
        <w:rPr>
          <w:rFonts w:asciiTheme="minorHAnsi" w:hAnsiTheme="minorHAnsi"/>
          <w:lang w:val="sq-AL"/>
        </w:rPr>
        <w:t>/202</w:t>
      </w:r>
      <w:r w:rsidR="00670AB7">
        <w:rPr>
          <w:rFonts w:asciiTheme="minorHAnsi" w:hAnsiTheme="minorHAnsi"/>
          <w:lang w:val="sq-AL"/>
        </w:rPr>
        <w:t>2</w:t>
      </w:r>
      <w:r w:rsidRPr="00DB2AAF">
        <w:rPr>
          <w:rFonts w:asciiTheme="minorHAnsi" w:hAnsiTheme="minorHAnsi"/>
          <w:lang w:val="sq-AL"/>
        </w:rPr>
        <w:t xml:space="preserve"> “Për buxhetin e vitit 202</w:t>
      </w:r>
      <w:r w:rsidR="00670AB7">
        <w:rPr>
          <w:rFonts w:asciiTheme="minorHAnsi" w:hAnsiTheme="minorHAnsi"/>
          <w:lang w:val="sq-AL"/>
        </w:rPr>
        <w:t>3</w:t>
      </w:r>
      <w:r w:rsidRPr="00DB2AAF">
        <w:rPr>
          <w:rFonts w:asciiTheme="minorHAnsi" w:hAnsiTheme="minorHAnsi"/>
          <w:lang w:val="sq-AL"/>
        </w:rPr>
        <w:t xml:space="preserve">”, miratoi Fondin Rezervë të Buxhetit të Shtetit në masën  </w:t>
      </w:r>
      <w:r w:rsidR="00670AB7">
        <w:rPr>
          <w:rFonts w:asciiTheme="minorHAnsi" w:hAnsiTheme="minorHAnsi"/>
          <w:bCs/>
          <w:lang w:val="sq-AL"/>
        </w:rPr>
        <w:t>3.5</w:t>
      </w:r>
      <w:r w:rsidRPr="00DB2AAF">
        <w:rPr>
          <w:rFonts w:asciiTheme="minorHAnsi" w:hAnsiTheme="minorHAnsi"/>
          <w:bCs/>
          <w:lang w:val="sq-AL"/>
        </w:rPr>
        <w:t xml:space="preserve"> miliardë lekë, </w:t>
      </w:r>
      <w:r w:rsidRPr="00DB2AAF">
        <w:rPr>
          <w:rFonts w:asciiTheme="minorHAnsi" w:hAnsiTheme="minorHAnsi"/>
          <w:lang w:val="sq-AL"/>
        </w:rPr>
        <w:t xml:space="preserve">ndërkohë që </w:t>
      </w:r>
      <w:r w:rsidRPr="00670AB7">
        <w:rPr>
          <w:rFonts w:asciiTheme="minorHAnsi" w:hAnsiTheme="minorHAnsi"/>
          <w:lang w:val="sq-AL"/>
        </w:rPr>
        <w:t>Neni 14 përcakton përdorimin i tij si</w:t>
      </w:r>
      <w:r w:rsidRPr="00DB2AAF">
        <w:rPr>
          <w:rFonts w:asciiTheme="minorHAnsi" w:hAnsiTheme="minorHAnsi"/>
          <w:lang w:val="sq-AL"/>
        </w:rPr>
        <w:t xml:space="preserve"> më poshtë:</w:t>
      </w:r>
    </w:p>
    <w:p w14:paraId="29753ADF" w14:textId="77777777" w:rsidR="00DB2AAF" w:rsidRPr="00193698" w:rsidRDefault="00670AB7" w:rsidP="00056DE5">
      <w:pPr>
        <w:numPr>
          <w:ilvl w:val="0"/>
          <w:numId w:val="24"/>
        </w:numPr>
        <w:spacing w:before="120" w:after="120" w:line="276" w:lineRule="auto"/>
        <w:contextualSpacing/>
        <w:jc w:val="both"/>
        <w:rPr>
          <w:rFonts w:asciiTheme="minorHAnsi" w:hAnsiTheme="minorHAnsi"/>
          <w:bCs/>
          <w:i/>
          <w:lang w:val="sq-AL"/>
        </w:rPr>
      </w:pPr>
      <w:r>
        <w:rPr>
          <w:rFonts w:asciiTheme="minorHAnsi" w:hAnsiTheme="minorHAnsi"/>
          <w:bCs/>
          <w:i/>
          <w:lang w:val="sq-AL"/>
        </w:rPr>
        <w:t>1 7</w:t>
      </w:r>
      <w:r w:rsidR="00DB2AAF" w:rsidRPr="00193698">
        <w:rPr>
          <w:rFonts w:asciiTheme="minorHAnsi" w:hAnsiTheme="minorHAnsi"/>
          <w:bCs/>
          <w:i/>
          <w:lang w:val="sq-AL"/>
        </w:rPr>
        <w:t xml:space="preserve">00 milionë lekë për raste të paparashikuara të njësive të qeverisjes së përgjithshme; </w:t>
      </w:r>
    </w:p>
    <w:p w14:paraId="116037D5" w14:textId="77777777" w:rsidR="00DB2AAF" w:rsidRPr="00193698" w:rsidRDefault="00DB2AAF" w:rsidP="00DB2AAF">
      <w:pPr>
        <w:spacing w:line="276" w:lineRule="auto"/>
        <w:ind w:firstLine="340"/>
        <w:jc w:val="both"/>
        <w:rPr>
          <w:rFonts w:asciiTheme="minorHAnsi" w:hAnsiTheme="minorHAnsi"/>
          <w:bCs/>
          <w:i/>
          <w:lang w:val="sq-AL"/>
        </w:rPr>
      </w:pPr>
      <w:r w:rsidRPr="00193698">
        <w:rPr>
          <w:rFonts w:asciiTheme="minorHAnsi" w:hAnsiTheme="minorHAnsi"/>
          <w:bCs/>
          <w:i/>
          <w:lang w:val="sq-AL"/>
        </w:rPr>
        <w:t>b)</w:t>
      </w:r>
      <w:r w:rsidRPr="00193698">
        <w:rPr>
          <w:rFonts w:asciiTheme="minorHAnsi" w:hAnsiTheme="minorHAnsi"/>
          <w:bCs/>
          <w:i/>
          <w:lang w:val="sq-AL"/>
        </w:rPr>
        <w:tab/>
      </w:r>
      <w:r w:rsidR="00670AB7">
        <w:rPr>
          <w:rFonts w:asciiTheme="minorHAnsi" w:hAnsiTheme="minorHAnsi"/>
          <w:bCs/>
          <w:i/>
          <w:lang w:val="sq-AL"/>
        </w:rPr>
        <w:t>1 8</w:t>
      </w:r>
      <w:r w:rsidRPr="00193698">
        <w:rPr>
          <w:rFonts w:asciiTheme="minorHAnsi" w:hAnsiTheme="minorHAnsi"/>
          <w:bCs/>
          <w:i/>
          <w:lang w:val="sq-AL"/>
        </w:rPr>
        <w:t xml:space="preserve">00 milionë lekë për </w:t>
      </w:r>
      <w:r w:rsidR="00670AB7" w:rsidRPr="00DE302C">
        <w:rPr>
          <w:rFonts w:asciiTheme="minorHAnsi" w:hAnsiTheme="minorHAnsi"/>
          <w:bCs/>
          <w:i/>
          <w:lang w:val="sq-AL"/>
        </w:rPr>
        <w:t>përballimin e kostos së zgjedhjeve</w:t>
      </w:r>
      <w:r w:rsidR="00670AB7">
        <w:rPr>
          <w:rFonts w:asciiTheme="minorHAnsi" w:hAnsiTheme="minorHAnsi"/>
          <w:bCs/>
          <w:i/>
          <w:lang w:val="sq-AL"/>
        </w:rPr>
        <w:t xml:space="preserve"> vendore</w:t>
      </w:r>
      <w:r w:rsidRPr="00193698">
        <w:rPr>
          <w:rFonts w:asciiTheme="minorHAnsi" w:hAnsiTheme="minorHAnsi"/>
          <w:bCs/>
          <w:i/>
          <w:lang w:val="sq-AL"/>
        </w:rPr>
        <w:t>.</w:t>
      </w:r>
    </w:p>
    <w:p w14:paraId="334AB069" w14:textId="77777777" w:rsidR="00DB2AAF" w:rsidRPr="00F20612" w:rsidRDefault="00DB2AAF" w:rsidP="00670AB7">
      <w:pPr>
        <w:widowControl w:val="0"/>
        <w:autoSpaceDE w:val="0"/>
        <w:autoSpaceDN w:val="0"/>
        <w:adjustRightInd w:val="0"/>
        <w:spacing w:before="240" w:line="276" w:lineRule="auto"/>
        <w:jc w:val="both"/>
        <w:rPr>
          <w:rFonts w:asciiTheme="minorHAnsi" w:hAnsiTheme="minorHAnsi"/>
          <w:i/>
          <w:lang w:val="sq-AL"/>
        </w:rPr>
      </w:pPr>
      <w:r w:rsidRPr="00F20612">
        <w:rPr>
          <w:rFonts w:asciiTheme="minorHAnsi" w:hAnsiTheme="minorHAnsi"/>
          <w:i/>
          <w:lang w:val="sq-AL"/>
        </w:rPr>
        <w:t>Deri në datën 30 Qershor 202</w:t>
      </w:r>
      <w:r w:rsidR="00F20612">
        <w:rPr>
          <w:rFonts w:asciiTheme="minorHAnsi" w:hAnsiTheme="minorHAnsi"/>
          <w:i/>
          <w:lang w:val="sq-AL"/>
        </w:rPr>
        <w:t>3</w:t>
      </w:r>
      <w:r w:rsidRPr="00F20612">
        <w:rPr>
          <w:rFonts w:asciiTheme="minorHAnsi" w:hAnsiTheme="minorHAnsi"/>
          <w:i/>
          <w:lang w:val="sq-AL"/>
        </w:rPr>
        <w:t xml:space="preserve">, përdorimi ka qenë si mëposhtë (tabela analitike </w:t>
      </w:r>
      <w:r w:rsidR="00AD1FE9" w:rsidRPr="00F20612">
        <w:rPr>
          <w:rFonts w:asciiTheme="minorHAnsi" w:hAnsiTheme="minorHAnsi"/>
          <w:i/>
          <w:lang w:val="sq-AL"/>
        </w:rPr>
        <w:t>m</w:t>
      </w:r>
      <w:r w:rsidR="009647C4" w:rsidRPr="00F20612">
        <w:rPr>
          <w:rFonts w:asciiTheme="minorHAnsi" w:hAnsiTheme="minorHAnsi"/>
          <w:i/>
          <w:lang w:val="sq-AL"/>
        </w:rPr>
        <w:t>ë</w:t>
      </w:r>
      <w:r w:rsidR="00AD1FE9" w:rsidRPr="00F20612">
        <w:rPr>
          <w:rFonts w:asciiTheme="minorHAnsi" w:hAnsiTheme="minorHAnsi"/>
          <w:i/>
          <w:lang w:val="sq-AL"/>
        </w:rPr>
        <w:t>posht</w:t>
      </w:r>
      <w:r w:rsidR="009647C4" w:rsidRPr="00F20612">
        <w:rPr>
          <w:rFonts w:asciiTheme="minorHAnsi" w:hAnsiTheme="minorHAnsi"/>
          <w:i/>
          <w:lang w:val="sq-AL"/>
        </w:rPr>
        <w:t>ë</w:t>
      </w:r>
      <w:r w:rsidRPr="00F20612">
        <w:rPr>
          <w:rFonts w:asciiTheme="minorHAnsi" w:hAnsiTheme="minorHAnsi"/>
          <w:i/>
          <w:lang w:val="sq-AL"/>
        </w:rPr>
        <w:t>):</w:t>
      </w:r>
    </w:p>
    <w:p w14:paraId="535E714D" w14:textId="77777777" w:rsidR="00F20612" w:rsidRPr="00F20612" w:rsidRDefault="00F20612" w:rsidP="00F20612">
      <w:pPr>
        <w:spacing w:line="276" w:lineRule="auto"/>
        <w:ind w:left="360"/>
        <w:contextualSpacing/>
        <w:jc w:val="both"/>
        <w:rPr>
          <w:rFonts w:asciiTheme="minorHAnsi" w:hAnsiTheme="minorHAnsi"/>
          <w:sz w:val="8"/>
          <w:lang w:val="sq-AL"/>
        </w:rPr>
      </w:pPr>
    </w:p>
    <w:p w14:paraId="692D89E9" w14:textId="77777777" w:rsidR="00DB2AAF" w:rsidRPr="00F20612" w:rsidRDefault="00DB2AAF" w:rsidP="00056DE5">
      <w:pPr>
        <w:numPr>
          <w:ilvl w:val="0"/>
          <w:numId w:val="23"/>
        </w:numPr>
        <w:spacing w:line="276" w:lineRule="auto"/>
        <w:ind w:left="360"/>
        <w:contextualSpacing/>
        <w:jc w:val="both"/>
        <w:rPr>
          <w:rFonts w:asciiTheme="minorHAnsi" w:hAnsiTheme="minorHAnsi"/>
          <w:lang w:val="sq-AL"/>
        </w:rPr>
      </w:pPr>
      <w:r w:rsidRPr="00F20612">
        <w:rPr>
          <w:rFonts w:asciiTheme="minorHAnsi" w:hAnsiTheme="minorHAnsi"/>
          <w:lang w:val="sq-AL"/>
        </w:rPr>
        <w:t>Fondi Rezervë për raste të paparashikuara të njësive të qeverisjes së përgjithshme është përdorur nëpërmjet 8 V</w:t>
      </w:r>
      <w:r w:rsidRPr="00F20612">
        <w:rPr>
          <w:rFonts w:asciiTheme="minorHAnsi" w:hAnsiTheme="minorHAnsi"/>
          <w:spacing w:val="-1"/>
          <w:lang w:val="sq-AL"/>
        </w:rPr>
        <w:t xml:space="preserve">endimeve të Këshillit të </w:t>
      </w:r>
      <w:r w:rsidRPr="00F20612">
        <w:rPr>
          <w:rFonts w:asciiTheme="minorHAnsi" w:hAnsiTheme="minorHAnsi"/>
          <w:spacing w:val="7"/>
          <w:lang w:val="sq-AL"/>
        </w:rPr>
        <w:t xml:space="preserve">Ministrave (VKM) me vlerë totale prej </w:t>
      </w:r>
      <w:r w:rsidR="00670AB7" w:rsidRPr="00F20612">
        <w:rPr>
          <w:rFonts w:asciiTheme="minorHAnsi" w:hAnsiTheme="minorHAnsi"/>
          <w:spacing w:val="7"/>
          <w:lang w:val="sq-AL"/>
        </w:rPr>
        <w:t xml:space="preserve">1 324.3 </w:t>
      </w:r>
      <w:r w:rsidRPr="00F20612">
        <w:rPr>
          <w:rFonts w:asciiTheme="minorHAnsi" w:hAnsiTheme="minorHAnsi"/>
          <w:spacing w:val="7"/>
          <w:lang w:val="sq-AL"/>
        </w:rPr>
        <w:t>milionë</w:t>
      </w:r>
      <w:r w:rsidRPr="00F20612">
        <w:rPr>
          <w:rFonts w:asciiTheme="minorHAnsi" w:hAnsiTheme="minorHAnsi"/>
          <w:lang w:val="sq-AL"/>
        </w:rPr>
        <w:t xml:space="preserve"> lekë, nga </w:t>
      </w:r>
      <w:r w:rsidR="00670AB7" w:rsidRPr="00F20612">
        <w:rPr>
          <w:rFonts w:asciiTheme="minorHAnsi" w:hAnsiTheme="minorHAnsi"/>
          <w:lang w:val="sq-AL"/>
        </w:rPr>
        <w:t>1.7</w:t>
      </w:r>
      <w:r w:rsidRPr="00F20612">
        <w:rPr>
          <w:rFonts w:asciiTheme="minorHAnsi" w:hAnsiTheme="minorHAnsi"/>
          <w:lang w:val="sq-AL"/>
        </w:rPr>
        <w:t xml:space="preserve"> miliardë lekë të planifikuara ose në rreth </w:t>
      </w:r>
      <w:r w:rsidR="00670AB7" w:rsidRPr="00F20612">
        <w:rPr>
          <w:rFonts w:asciiTheme="minorHAnsi" w:hAnsiTheme="minorHAnsi"/>
          <w:lang w:val="sq-AL"/>
        </w:rPr>
        <w:t>77.9</w:t>
      </w:r>
      <w:r w:rsidRPr="00F20612">
        <w:rPr>
          <w:rFonts w:asciiTheme="minorHAnsi" w:hAnsiTheme="minorHAnsi"/>
          <w:lang w:val="sq-AL"/>
        </w:rPr>
        <w:t xml:space="preserve"> përqind të planit. Nga këto: </w:t>
      </w:r>
    </w:p>
    <w:p w14:paraId="1310A1EA" w14:textId="77777777" w:rsidR="00DB2AAF" w:rsidRPr="00193698" w:rsidRDefault="00670AB7" w:rsidP="003F6B21">
      <w:pPr>
        <w:widowControl w:val="0"/>
        <w:numPr>
          <w:ilvl w:val="1"/>
          <w:numId w:val="10"/>
        </w:numPr>
        <w:tabs>
          <w:tab w:val="left" w:pos="810"/>
          <w:tab w:val="left" w:pos="1170"/>
        </w:tabs>
        <w:autoSpaceDE w:val="0"/>
        <w:autoSpaceDN w:val="0"/>
        <w:adjustRightInd w:val="0"/>
        <w:spacing w:line="276" w:lineRule="auto"/>
        <w:ind w:left="810"/>
        <w:contextualSpacing/>
        <w:jc w:val="both"/>
        <w:rPr>
          <w:rFonts w:asciiTheme="minorHAnsi" w:hAnsiTheme="minorHAnsi"/>
          <w:i/>
          <w:lang w:val="sq-AL"/>
        </w:rPr>
      </w:pPr>
      <w:r>
        <w:rPr>
          <w:rFonts w:asciiTheme="minorHAnsi" w:hAnsiTheme="minorHAnsi"/>
          <w:i/>
          <w:lang w:val="sq-AL"/>
        </w:rPr>
        <w:t>25</w:t>
      </w:r>
      <w:r w:rsidR="00DB2AAF" w:rsidRPr="00193698">
        <w:rPr>
          <w:rFonts w:asciiTheme="minorHAnsi" w:hAnsiTheme="minorHAnsi"/>
          <w:i/>
          <w:lang w:val="sq-AL"/>
        </w:rPr>
        <w:t xml:space="preserve"> milion lekë ose 2 përqind e planit janë përdorur për shpenzime personeli (paga dhe sigurime shoqërore).</w:t>
      </w:r>
    </w:p>
    <w:p w14:paraId="00204190" w14:textId="77777777" w:rsidR="00DB2AAF" w:rsidRDefault="00670AB7" w:rsidP="003F6B21">
      <w:pPr>
        <w:widowControl w:val="0"/>
        <w:numPr>
          <w:ilvl w:val="1"/>
          <w:numId w:val="10"/>
        </w:numPr>
        <w:tabs>
          <w:tab w:val="left" w:pos="990"/>
        </w:tabs>
        <w:autoSpaceDE w:val="0"/>
        <w:autoSpaceDN w:val="0"/>
        <w:adjustRightInd w:val="0"/>
        <w:spacing w:line="276" w:lineRule="auto"/>
        <w:ind w:left="810"/>
        <w:contextualSpacing/>
        <w:jc w:val="both"/>
        <w:rPr>
          <w:rFonts w:asciiTheme="minorHAnsi" w:hAnsiTheme="minorHAnsi"/>
          <w:i/>
          <w:lang w:val="sq-AL"/>
        </w:rPr>
      </w:pPr>
      <w:r>
        <w:rPr>
          <w:rFonts w:asciiTheme="minorHAnsi" w:hAnsiTheme="minorHAnsi"/>
          <w:i/>
          <w:lang w:val="sq-AL"/>
        </w:rPr>
        <w:t>559.4</w:t>
      </w:r>
      <w:r w:rsidR="00DB2AAF" w:rsidRPr="00193698">
        <w:rPr>
          <w:rFonts w:asciiTheme="minorHAnsi" w:hAnsiTheme="minorHAnsi"/>
          <w:i/>
          <w:lang w:val="sq-AL"/>
        </w:rPr>
        <w:t xml:space="preserve"> milionë lekë ose </w:t>
      </w:r>
      <w:r>
        <w:rPr>
          <w:rFonts w:asciiTheme="minorHAnsi" w:hAnsiTheme="minorHAnsi"/>
          <w:i/>
          <w:lang w:val="sq-AL"/>
        </w:rPr>
        <w:t>42</w:t>
      </w:r>
      <w:r w:rsidR="00DB2AAF" w:rsidRPr="00193698">
        <w:rPr>
          <w:rFonts w:asciiTheme="minorHAnsi" w:hAnsiTheme="minorHAnsi"/>
          <w:i/>
          <w:lang w:val="sq-AL"/>
        </w:rPr>
        <w:t xml:space="preserve"> përqind e planit janë akorduar për shpenzime të tjera korrente (shpenzime operative dhe transferta të brendshme e të jashtme).</w:t>
      </w:r>
    </w:p>
    <w:p w14:paraId="707FE396" w14:textId="77777777" w:rsidR="00670AB7" w:rsidRPr="00193698" w:rsidRDefault="00F20612" w:rsidP="003F6B21">
      <w:pPr>
        <w:widowControl w:val="0"/>
        <w:numPr>
          <w:ilvl w:val="1"/>
          <w:numId w:val="10"/>
        </w:numPr>
        <w:tabs>
          <w:tab w:val="left" w:pos="990"/>
        </w:tabs>
        <w:autoSpaceDE w:val="0"/>
        <w:autoSpaceDN w:val="0"/>
        <w:adjustRightInd w:val="0"/>
        <w:spacing w:line="276" w:lineRule="auto"/>
        <w:ind w:left="810"/>
        <w:contextualSpacing/>
        <w:jc w:val="both"/>
        <w:rPr>
          <w:rFonts w:asciiTheme="minorHAnsi" w:hAnsiTheme="minorHAnsi"/>
          <w:i/>
          <w:lang w:val="sq-AL"/>
        </w:rPr>
      </w:pPr>
      <w:r w:rsidRPr="00DE302C">
        <w:rPr>
          <w:rFonts w:asciiTheme="minorHAnsi" w:hAnsiTheme="minorHAnsi"/>
          <w:i/>
          <w:lang w:val="sq-AL"/>
        </w:rPr>
        <w:t>739.9 milionë lekë ose 56 përqind e planit janë akorduar për shpenzime kapitale</w:t>
      </w:r>
    </w:p>
    <w:p w14:paraId="754AED1F" w14:textId="77777777" w:rsidR="00F20612" w:rsidRPr="00F20612" w:rsidRDefault="00F20612" w:rsidP="00F20612">
      <w:pPr>
        <w:spacing w:line="276" w:lineRule="auto"/>
        <w:ind w:left="360"/>
        <w:contextualSpacing/>
        <w:jc w:val="both"/>
        <w:rPr>
          <w:rFonts w:asciiTheme="minorHAnsi" w:hAnsiTheme="minorHAnsi"/>
          <w:i/>
          <w:sz w:val="12"/>
          <w:lang w:val="sq-AL"/>
        </w:rPr>
      </w:pPr>
    </w:p>
    <w:p w14:paraId="5677C19C" w14:textId="77777777" w:rsidR="00DB2AAF" w:rsidRPr="00F20612" w:rsidRDefault="00DB2AAF" w:rsidP="00056DE5">
      <w:pPr>
        <w:numPr>
          <w:ilvl w:val="0"/>
          <w:numId w:val="23"/>
        </w:numPr>
        <w:spacing w:line="276" w:lineRule="auto"/>
        <w:ind w:left="360"/>
        <w:contextualSpacing/>
        <w:jc w:val="both"/>
        <w:rPr>
          <w:rFonts w:asciiTheme="minorHAnsi" w:hAnsiTheme="minorHAnsi"/>
          <w:i/>
          <w:lang w:val="sq-AL"/>
        </w:rPr>
      </w:pPr>
      <w:r w:rsidRPr="00F20612">
        <w:rPr>
          <w:rFonts w:asciiTheme="minorHAnsi" w:hAnsiTheme="minorHAnsi"/>
          <w:lang w:val="sq-AL"/>
        </w:rPr>
        <w:t xml:space="preserve">Gjendja e papërdorur e fondit rezervë të buxhetit të shtetit, në datën 30 Qershor 2022, rezulton </w:t>
      </w:r>
      <w:r w:rsidR="00F20612" w:rsidRPr="00F20612">
        <w:rPr>
          <w:rFonts w:asciiTheme="minorHAnsi" w:hAnsiTheme="minorHAnsi"/>
          <w:i/>
          <w:u w:val="single"/>
          <w:lang w:val="sq-AL"/>
        </w:rPr>
        <w:t>375.6</w:t>
      </w:r>
      <w:r w:rsidRPr="00F20612">
        <w:rPr>
          <w:rFonts w:asciiTheme="minorHAnsi" w:hAnsiTheme="minorHAnsi"/>
          <w:i/>
          <w:u w:val="single"/>
          <w:lang w:val="sq-AL"/>
        </w:rPr>
        <w:t xml:space="preserve"> milionë lekë</w:t>
      </w:r>
      <w:r w:rsidRPr="00F20612">
        <w:rPr>
          <w:rFonts w:asciiTheme="minorHAnsi" w:hAnsiTheme="minorHAnsi"/>
          <w:i/>
          <w:lang w:val="sq-AL"/>
        </w:rPr>
        <w:t xml:space="preserve">. </w:t>
      </w:r>
    </w:p>
    <w:p w14:paraId="26D03296" w14:textId="77777777" w:rsidR="00AD1FE9" w:rsidRDefault="00F20612" w:rsidP="00AD1FE9">
      <w:pPr>
        <w:spacing w:line="276" w:lineRule="auto"/>
        <w:ind w:left="-180"/>
        <w:contextualSpacing/>
        <w:jc w:val="center"/>
        <w:rPr>
          <w:rFonts w:asciiTheme="minorHAnsi" w:hAnsiTheme="minorHAnsi"/>
          <w:i/>
          <w:lang w:val="sq-AL"/>
        </w:rPr>
      </w:pPr>
      <w:r w:rsidRPr="00DE302C">
        <w:rPr>
          <w:rFonts w:asciiTheme="minorHAnsi" w:hAnsiTheme="minorHAnsi"/>
          <w:iCs/>
          <w:noProof/>
          <w:lang w:val="sq-AL"/>
        </w:rPr>
        <w:drawing>
          <wp:anchor distT="0" distB="0" distL="114300" distR="114300" simplePos="0" relativeHeight="251698688" behindDoc="0" locked="0" layoutInCell="1" allowOverlap="1" wp14:anchorId="76196A0B" wp14:editId="48062B58">
            <wp:simplePos x="0" y="0"/>
            <wp:positionH relativeFrom="page">
              <wp:posOffset>552450</wp:posOffset>
            </wp:positionH>
            <wp:positionV relativeFrom="paragraph">
              <wp:posOffset>214630</wp:posOffset>
            </wp:positionV>
            <wp:extent cx="6485890" cy="3943350"/>
            <wp:effectExtent l="0" t="0" r="0" b="0"/>
            <wp:wrapSquare wrapText="bothSides"/>
            <wp:docPr id="95324658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485890" cy="3943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317E55" w14:textId="77777777" w:rsidR="00DB2AAF" w:rsidRPr="00130559" w:rsidRDefault="00DB2AAF" w:rsidP="00DB2AAF">
      <w:pPr>
        <w:spacing w:line="276" w:lineRule="auto"/>
        <w:ind w:left="360"/>
        <w:contextualSpacing/>
        <w:jc w:val="both"/>
        <w:rPr>
          <w:rFonts w:asciiTheme="minorHAnsi" w:hAnsiTheme="minorHAnsi"/>
          <w:i/>
          <w:lang w:val="sq-AL"/>
        </w:rPr>
      </w:pPr>
    </w:p>
    <w:p w14:paraId="31C8548D" w14:textId="4E1A2CC4" w:rsidR="0088508A" w:rsidRPr="002348DF" w:rsidRDefault="0088508A" w:rsidP="0088508A">
      <w:pPr>
        <w:tabs>
          <w:tab w:val="left" w:pos="990"/>
        </w:tabs>
        <w:spacing w:before="120" w:after="120" w:line="276" w:lineRule="auto"/>
        <w:contextualSpacing/>
        <w:jc w:val="both"/>
        <w:rPr>
          <w:rFonts w:asciiTheme="minorHAnsi" w:eastAsia="MS Mincho" w:hAnsiTheme="minorHAnsi"/>
          <w:lang w:val="sq-AL"/>
        </w:rPr>
      </w:pPr>
      <w:r w:rsidRPr="00DE302C">
        <w:rPr>
          <w:rFonts w:asciiTheme="minorHAnsi" w:eastAsia="MS Mincho" w:hAnsiTheme="minorHAnsi"/>
          <w:b/>
          <w:iCs/>
          <w:lang w:val="sq-AL"/>
        </w:rPr>
        <w:lastRenderedPageBreak/>
        <w:t>Fondi “Kontigjencë”</w:t>
      </w:r>
      <w:r w:rsidRPr="00DE302C">
        <w:rPr>
          <w:rFonts w:asciiTheme="minorHAnsi" w:eastAsia="MS Mincho" w:hAnsiTheme="minorHAnsi"/>
          <w:iCs/>
          <w:lang w:val="sq-AL"/>
        </w:rPr>
        <w:t xml:space="preserve"> </w:t>
      </w:r>
      <w:r>
        <w:rPr>
          <w:rFonts w:asciiTheme="minorHAnsi" w:eastAsia="MS Mincho" w:hAnsiTheme="minorHAnsi"/>
          <w:iCs/>
          <w:lang w:val="sq-AL"/>
        </w:rPr>
        <w:t xml:space="preserve">– Ky fond </w:t>
      </w:r>
      <w:r w:rsidR="00683D76">
        <w:rPr>
          <w:rFonts w:asciiTheme="minorHAnsi" w:eastAsia="MS Mincho" w:hAnsiTheme="minorHAnsi"/>
          <w:iCs/>
          <w:lang w:val="sq-AL"/>
        </w:rPr>
        <w:t>ë</w:t>
      </w:r>
      <w:r>
        <w:rPr>
          <w:rFonts w:asciiTheme="minorHAnsi" w:eastAsia="MS Mincho" w:hAnsiTheme="minorHAnsi"/>
          <w:iCs/>
          <w:lang w:val="sq-AL"/>
        </w:rPr>
        <w:t>sht</w:t>
      </w:r>
      <w:r w:rsidR="00683D76">
        <w:rPr>
          <w:rFonts w:asciiTheme="minorHAnsi" w:eastAsia="MS Mincho" w:hAnsiTheme="minorHAnsi"/>
          <w:iCs/>
          <w:lang w:val="sq-AL"/>
        </w:rPr>
        <w:t>ë</w:t>
      </w:r>
      <w:r>
        <w:rPr>
          <w:rFonts w:asciiTheme="minorHAnsi" w:eastAsia="MS Mincho" w:hAnsiTheme="minorHAnsi"/>
          <w:iCs/>
          <w:lang w:val="sq-AL"/>
        </w:rPr>
        <w:t xml:space="preserve"> </w:t>
      </w:r>
      <w:r w:rsidRPr="00DE302C">
        <w:rPr>
          <w:rFonts w:asciiTheme="minorHAnsi" w:eastAsia="MS Mincho" w:hAnsiTheme="minorHAnsi"/>
          <w:iCs/>
          <w:lang w:val="sq-AL"/>
        </w:rPr>
        <w:t xml:space="preserve">planifikuar </w:t>
      </w:r>
      <w:r>
        <w:rPr>
          <w:rFonts w:asciiTheme="minorHAnsi" w:eastAsia="MS Mincho" w:hAnsiTheme="minorHAnsi"/>
          <w:iCs/>
          <w:lang w:val="sq-AL"/>
        </w:rPr>
        <w:t>n</w:t>
      </w:r>
      <w:r w:rsidR="00683D76">
        <w:rPr>
          <w:rFonts w:asciiTheme="minorHAnsi" w:eastAsia="MS Mincho" w:hAnsiTheme="minorHAnsi"/>
          <w:iCs/>
          <w:lang w:val="sq-AL"/>
        </w:rPr>
        <w:t>ë</w:t>
      </w:r>
      <w:r>
        <w:rPr>
          <w:rFonts w:asciiTheme="minorHAnsi" w:eastAsia="MS Mincho" w:hAnsiTheme="minorHAnsi"/>
          <w:iCs/>
          <w:lang w:val="sq-AL"/>
        </w:rPr>
        <w:t xml:space="preserve"> mas</w:t>
      </w:r>
      <w:r w:rsidR="00683D76">
        <w:rPr>
          <w:rFonts w:asciiTheme="minorHAnsi" w:eastAsia="MS Mincho" w:hAnsiTheme="minorHAnsi"/>
          <w:iCs/>
          <w:lang w:val="sq-AL"/>
        </w:rPr>
        <w:t>ë</w:t>
      </w:r>
      <w:r>
        <w:rPr>
          <w:rFonts w:asciiTheme="minorHAnsi" w:eastAsia="MS Mincho" w:hAnsiTheme="minorHAnsi"/>
          <w:iCs/>
          <w:lang w:val="sq-AL"/>
        </w:rPr>
        <w:t>n</w:t>
      </w:r>
      <w:r w:rsidRPr="00DE302C">
        <w:rPr>
          <w:rFonts w:asciiTheme="minorHAnsi" w:eastAsia="MS Mincho" w:hAnsiTheme="minorHAnsi"/>
          <w:iCs/>
          <w:lang w:val="sq-AL"/>
        </w:rPr>
        <w:t xml:space="preserve"> 12 miliardë lekë</w:t>
      </w:r>
      <w:r>
        <w:rPr>
          <w:rFonts w:asciiTheme="minorHAnsi" w:eastAsia="MS Mincho" w:hAnsiTheme="minorHAnsi"/>
          <w:iCs/>
          <w:lang w:val="sq-AL"/>
        </w:rPr>
        <w:t>,</w:t>
      </w:r>
      <w:r w:rsidRPr="00DE302C">
        <w:rPr>
          <w:rFonts w:asciiTheme="minorHAnsi" w:eastAsia="MS Mincho" w:hAnsiTheme="minorHAnsi"/>
          <w:iCs/>
          <w:lang w:val="sq-AL"/>
        </w:rPr>
        <w:t xml:space="preserve"> për t’u përdorur me VKM për raste të paparashikuara</w:t>
      </w:r>
      <w:r>
        <w:rPr>
          <w:rFonts w:asciiTheme="minorHAnsi" w:eastAsia="MS Mincho" w:hAnsiTheme="minorHAnsi"/>
          <w:iCs/>
          <w:lang w:val="sq-AL"/>
        </w:rPr>
        <w:t>. D</w:t>
      </w:r>
      <w:r w:rsidRPr="00DE302C">
        <w:rPr>
          <w:rFonts w:asciiTheme="minorHAnsi" w:eastAsia="MS Mincho" w:hAnsiTheme="minorHAnsi"/>
          <w:iCs/>
          <w:lang w:val="sq-AL"/>
        </w:rPr>
        <w:t xml:space="preserve">eri më datë 30.06.2023, </w:t>
      </w:r>
      <w:r>
        <w:rPr>
          <w:rFonts w:asciiTheme="minorHAnsi" w:eastAsia="MS Mincho" w:hAnsiTheme="minorHAnsi"/>
          <w:iCs/>
          <w:lang w:val="sq-AL"/>
        </w:rPr>
        <w:t xml:space="preserve">ai </w:t>
      </w:r>
      <w:r w:rsidRPr="00DE302C">
        <w:rPr>
          <w:rFonts w:asciiTheme="minorHAnsi" w:eastAsia="MS Mincho" w:hAnsiTheme="minorHAnsi"/>
          <w:iCs/>
          <w:lang w:val="sq-AL"/>
        </w:rPr>
        <w:t xml:space="preserve">është akorduar në </w:t>
      </w:r>
      <w:r w:rsidRPr="002348DF">
        <w:rPr>
          <w:rFonts w:asciiTheme="minorHAnsi" w:eastAsia="MS Mincho" w:hAnsiTheme="minorHAnsi"/>
          <w:iCs/>
          <w:lang w:val="sq-AL"/>
        </w:rPr>
        <w:t xml:space="preserve">masën </w:t>
      </w:r>
      <w:r w:rsidR="002348DF" w:rsidRPr="002348DF">
        <w:rPr>
          <w:rFonts w:asciiTheme="minorHAnsi" w:eastAsia="MS Mincho" w:hAnsiTheme="minorHAnsi"/>
          <w:iCs/>
          <w:lang w:val="sq-AL"/>
        </w:rPr>
        <w:t>6 492 milionë lekë ose 54.1 përqind e planit, dh</w:t>
      </w:r>
      <w:r w:rsidR="002348DF" w:rsidRPr="002348DF">
        <w:rPr>
          <w:rFonts w:asciiTheme="minorHAnsi" w:eastAsia="MS Mincho" w:hAnsiTheme="minorHAnsi"/>
          <w:bCs/>
          <w:lang w:val="sq-AL"/>
        </w:rPr>
        <w:t>e konkretisht</w:t>
      </w:r>
      <w:r w:rsidRPr="002348DF">
        <w:rPr>
          <w:rFonts w:asciiTheme="minorHAnsi" w:eastAsia="MS Mincho" w:hAnsiTheme="minorHAnsi"/>
          <w:bCs/>
          <w:lang w:val="sq-AL"/>
        </w:rPr>
        <w:t>:</w:t>
      </w:r>
    </w:p>
    <w:p w14:paraId="6D607E9C" w14:textId="77777777" w:rsidR="0088508A" w:rsidRPr="0088508A" w:rsidRDefault="0088508A" w:rsidP="0088508A">
      <w:pPr>
        <w:widowControl w:val="0"/>
        <w:numPr>
          <w:ilvl w:val="1"/>
          <w:numId w:val="10"/>
        </w:numPr>
        <w:tabs>
          <w:tab w:val="left" w:pos="810"/>
          <w:tab w:val="left" w:pos="1170"/>
        </w:tabs>
        <w:autoSpaceDE w:val="0"/>
        <w:autoSpaceDN w:val="0"/>
        <w:adjustRightInd w:val="0"/>
        <w:spacing w:line="276" w:lineRule="auto"/>
        <w:ind w:left="810"/>
        <w:contextualSpacing/>
        <w:jc w:val="both"/>
        <w:rPr>
          <w:rFonts w:asciiTheme="minorHAnsi" w:hAnsiTheme="minorHAnsi"/>
          <w:i/>
          <w:lang w:val="sq-AL"/>
        </w:rPr>
      </w:pPr>
      <w:r w:rsidRPr="0088508A">
        <w:rPr>
          <w:rFonts w:asciiTheme="minorHAnsi" w:hAnsiTheme="minorHAnsi"/>
          <w:i/>
          <w:lang w:val="sq-AL"/>
        </w:rPr>
        <w:t>Me VKM nr.114 datë 01.03.2023 “Për përdorimin e Fondit të Kontigjencës për kompensimin financiar të rritjes së kontributeve të sigurimeve shoqërore dhe shëndetësore, për cdo të punësuar me pagë minimale, për shkak të rritjes së kësaj page në shkalle vendi, është akorduar fondi prej 452 milionë lekë</w:t>
      </w:r>
      <w:r>
        <w:rPr>
          <w:rFonts w:asciiTheme="minorHAnsi" w:hAnsiTheme="minorHAnsi"/>
          <w:i/>
          <w:lang w:val="sq-AL"/>
        </w:rPr>
        <w:t xml:space="preserve"> p</w:t>
      </w:r>
      <w:r w:rsidR="00683D76">
        <w:rPr>
          <w:rFonts w:asciiTheme="minorHAnsi" w:hAnsiTheme="minorHAnsi"/>
          <w:i/>
          <w:lang w:val="sq-AL"/>
        </w:rPr>
        <w:t>ë</w:t>
      </w:r>
      <w:r>
        <w:rPr>
          <w:rFonts w:asciiTheme="minorHAnsi" w:hAnsiTheme="minorHAnsi"/>
          <w:i/>
          <w:lang w:val="sq-AL"/>
        </w:rPr>
        <w:t>r MFE</w:t>
      </w:r>
      <w:r w:rsidRPr="0088508A">
        <w:rPr>
          <w:rFonts w:asciiTheme="minorHAnsi" w:hAnsiTheme="minorHAnsi"/>
          <w:i/>
          <w:lang w:val="sq-AL"/>
        </w:rPr>
        <w:t>.</w:t>
      </w:r>
    </w:p>
    <w:p w14:paraId="29E61B43" w14:textId="77777777" w:rsidR="0088508A" w:rsidRPr="0088508A" w:rsidRDefault="0088508A" w:rsidP="0088508A">
      <w:pPr>
        <w:widowControl w:val="0"/>
        <w:numPr>
          <w:ilvl w:val="1"/>
          <w:numId w:val="10"/>
        </w:numPr>
        <w:tabs>
          <w:tab w:val="left" w:pos="810"/>
          <w:tab w:val="left" w:pos="1170"/>
        </w:tabs>
        <w:autoSpaceDE w:val="0"/>
        <w:autoSpaceDN w:val="0"/>
        <w:adjustRightInd w:val="0"/>
        <w:spacing w:line="276" w:lineRule="auto"/>
        <w:ind w:left="810"/>
        <w:contextualSpacing/>
        <w:jc w:val="both"/>
        <w:rPr>
          <w:rFonts w:asciiTheme="minorHAnsi" w:hAnsiTheme="minorHAnsi"/>
          <w:i/>
          <w:lang w:val="sq-AL"/>
        </w:rPr>
      </w:pPr>
      <w:r w:rsidRPr="0088508A">
        <w:rPr>
          <w:rFonts w:asciiTheme="minorHAnsi" w:hAnsiTheme="minorHAnsi"/>
          <w:i/>
          <w:lang w:val="sq-AL"/>
        </w:rPr>
        <w:t>Me VKM nr.187 date 31.03.2023 “Për shpërblimin e pensionistëve”, është akorduar fondi prej 3 536.7 milionë lekë</w:t>
      </w:r>
      <w:r>
        <w:rPr>
          <w:rFonts w:asciiTheme="minorHAnsi" w:hAnsiTheme="minorHAnsi"/>
          <w:i/>
          <w:lang w:val="sq-AL"/>
        </w:rPr>
        <w:t xml:space="preserve"> p</w:t>
      </w:r>
      <w:r w:rsidR="00683D76">
        <w:rPr>
          <w:rFonts w:asciiTheme="minorHAnsi" w:hAnsiTheme="minorHAnsi"/>
          <w:i/>
          <w:lang w:val="sq-AL"/>
        </w:rPr>
        <w:t>ë</w:t>
      </w:r>
      <w:r>
        <w:rPr>
          <w:rFonts w:asciiTheme="minorHAnsi" w:hAnsiTheme="minorHAnsi"/>
          <w:i/>
          <w:lang w:val="sq-AL"/>
        </w:rPr>
        <w:t>r MFE</w:t>
      </w:r>
      <w:r w:rsidRPr="0088508A">
        <w:rPr>
          <w:rFonts w:asciiTheme="minorHAnsi" w:hAnsiTheme="minorHAnsi"/>
          <w:i/>
          <w:lang w:val="sq-AL"/>
        </w:rPr>
        <w:t>.</w:t>
      </w:r>
    </w:p>
    <w:p w14:paraId="7BB0A517" w14:textId="23D38652" w:rsidR="0088508A" w:rsidRPr="002348DF" w:rsidRDefault="0088508A" w:rsidP="0088508A">
      <w:pPr>
        <w:widowControl w:val="0"/>
        <w:numPr>
          <w:ilvl w:val="1"/>
          <w:numId w:val="10"/>
        </w:numPr>
        <w:tabs>
          <w:tab w:val="left" w:pos="810"/>
          <w:tab w:val="left" w:pos="1170"/>
        </w:tabs>
        <w:autoSpaceDE w:val="0"/>
        <w:autoSpaceDN w:val="0"/>
        <w:adjustRightInd w:val="0"/>
        <w:spacing w:line="276" w:lineRule="auto"/>
        <w:ind w:left="810"/>
        <w:contextualSpacing/>
        <w:jc w:val="both"/>
        <w:rPr>
          <w:rFonts w:asciiTheme="minorHAnsi" w:hAnsiTheme="minorHAnsi"/>
          <w:i/>
          <w:lang w:val="sq-AL"/>
        </w:rPr>
      </w:pPr>
      <w:r w:rsidRPr="0088508A">
        <w:rPr>
          <w:rFonts w:asciiTheme="minorHAnsi" w:hAnsiTheme="minorHAnsi"/>
          <w:i/>
          <w:lang w:val="sq-AL"/>
        </w:rPr>
        <w:t xml:space="preserve">Në zbatim të VKM-ve </w:t>
      </w:r>
      <w:r>
        <w:rPr>
          <w:rFonts w:asciiTheme="minorHAnsi" w:hAnsiTheme="minorHAnsi"/>
          <w:i/>
          <w:lang w:val="sq-AL"/>
        </w:rPr>
        <w:t>nr.</w:t>
      </w:r>
      <w:r w:rsidRPr="0088508A">
        <w:rPr>
          <w:rFonts w:asciiTheme="minorHAnsi" w:hAnsiTheme="minorHAnsi"/>
          <w:i/>
          <w:lang w:val="sq-AL"/>
        </w:rPr>
        <w:t>238-245 të datës 20.04</w:t>
      </w:r>
      <w:r>
        <w:rPr>
          <w:rFonts w:asciiTheme="minorHAnsi" w:hAnsiTheme="minorHAnsi"/>
          <w:i/>
          <w:lang w:val="sq-AL"/>
        </w:rPr>
        <w:t>.2023</w:t>
      </w:r>
      <w:r w:rsidRPr="0088508A">
        <w:rPr>
          <w:rFonts w:asciiTheme="minorHAnsi" w:hAnsiTheme="minorHAnsi"/>
          <w:i/>
          <w:lang w:val="sq-AL"/>
        </w:rPr>
        <w:t xml:space="preserve">, të cilat përfaqësojne miratimin e ndryshimit ë të nivelit të pagave për disa </w:t>
      </w:r>
      <w:r w:rsidRPr="002348DF">
        <w:rPr>
          <w:rFonts w:asciiTheme="minorHAnsi" w:hAnsiTheme="minorHAnsi"/>
          <w:i/>
          <w:lang w:val="sq-AL"/>
        </w:rPr>
        <w:t xml:space="preserve">kategori punonjësish, </w:t>
      </w:r>
      <w:r w:rsidR="002348DF" w:rsidRPr="002348DF">
        <w:rPr>
          <w:rFonts w:asciiTheme="minorHAnsi" w:hAnsiTheme="minorHAnsi"/>
          <w:i/>
          <w:lang w:val="sq-AL"/>
        </w:rPr>
        <w:t>si dhe në zbatim të VK</w:t>
      </w:r>
      <w:r w:rsidR="002348DF">
        <w:rPr>
          <w:rFonts w:asciiTheme="minorHAnsi" w:hAnsiTheme="minorHAnsi"/>
          <w:i/>
          <w:lang w:val="sq-AL"/>
        </w:rPr>
        <w:t xml:space="preserve">M-ve </w:t>
      </w:r>
      <w:r w:rsidR="002348DF" w:rsidRPr="002348DF">
        <w:rPr>
          <w:rFonts w:asciiTheme="minorHAnsi" w:hAnsiTheme="minorHAnsi"/>
          <w:i/>
          <w:lang w:val="sq-AL"/>
        </w:rPr>
        <w:t>nr.325</w:t>
      </w:r>
      <w:r w:rsidR="002348DF">
        <w:rPr>
          <w:rFonts w:asciiTheme="minorHAnsi" w:hAnsiTheme="minorHAnsi"/>
          <w:i/>
          <w:lang w:val="sq-AL"/>
        </w:rPr>
        <w:t>-</w:t>
      </w:r>
      <w:r w:rsidR="002348DF" w:rsidRPr="002348DF">
        <w:rPr>
          <w:rFonts w:asciiTheme="minorHAnsi" w:hAnsiTheme="minorHAnsi"/>
          <w:i/>
          <w:lang w:val="sq-AL"/>
        </w:rPr>
        <w:t>326 datë 31.05.2023 “Për ndryshimin e nivelit të pagave të kategorive të tjera të punonjësve”, janë akorduar fondet përkatëse për përballimin e efekteve financiare shtesë prej 2 503.2 milionë lekë</w:t>
      </w:r>
      <w:r w:rsidRPr="002348DF">
        <w:rPr>
          <w:rFonts w:asciiTheme="minorHAnsi" w:hAnsiTheme="minorHAnsi"/>
          <w:i/>
          <w:lang w:val="sq-AL"/>
        </w:rPr>
        <w:t xml:space="preserve">. </w:t>
      </w:r>
    </w:p>
    <w:p w14:paraId="42BA55B2" w14:textId="77777777" w:rsidR="0088508A" w:rsidRPr="0088508A" w:rsidRDefault="0088508A" w:rsidP="0088508A">
      <w:pPr>
        <w:tabs>
          <w:tab w:val="left" w:pos="990"/>
        </w:tabs>
        <w:spacing w:before="240" w:after="120" w:line="276" w:lineRule="auto"/>
        <w:jc w:val="both"/>
        <w:rPr>
          <w:rFonts w:asciiTheme="minorHAnsi" w:eastAsia="MS Mincho" w:hAnsiTheme="minorHAnsi"/>
          <w:iCs/>
          <w:lang w:val="sq-AL"/>
        </w:rPr>
      </w:pPr>
      <w:r w:rsidRPr="0088508A">
        <w:rPr>
          <w:rFonts w:asciiTheme="minorHAnsi" w:eastAsia="MS Mincho" w:hAnsiTheme="minorHAnsi"/>
          <w:b/>
          <w:iCs/>
          <w:lang w:val="sq-AL"/>
        </w:rPr>
        <w:t>Kontigjenc</w:t>
      </w:r>
      <w:r>
        <w:rPr>
          <w:rFonts w:asciiTheme="minorHAnsi" w:eastAsia="MS Mincho" w:hAnsiTheme="minorHAnsi"/>
          <w:b/>
          <w:iCs/>
          <w:lang w:val="sq-AL"/>
        </w:rPr>
        <w:t>a</w:t>
      </w:r>
      <w:r w:rsidRPr="0088508A">
        <w:rPr>
          <w:rFonts w:asciiTheme="minorHAnsi" w:eastAsia="MS Mincho" w:hAnsiTheme="minorHAnsi"/>
          <w:b/>
          <w:iCs/>
          <w:lang w:val="sq-AL"/>
        </w:rPr>
        <w:t xml:space="preserve"> për </w:t>
      </w:r>
      <w:r>
        <w:rPr>
          <w:rFonts w:asciiTheme="minorHAnsi" w:eastAsia="MS Mincho" w:hAnsiTheme="minorHAnsi"/>
          <w:b/>
          <w:iCs/>
          <w:lang w:val="sq-AL"/>
        </w:rPr>
        <w:t>M</w:t>
      </w:r>
      <w:r w:rsidRPr="0088508A">
        <w:rPr>
          <w:rFonts w:asciiTheme="minorHAnsi" w:eastAsia="MS Mincho" w:hAnsiTheme="minorHAnsi"/>
          <w:b/>
          <w:iCs/>
          <w:lang w:val="sq-AL"/>
        </w:rPr>
        <w:t xml:space="preserve">bështetjen e </w:t>
      </w:r>
      <w:r>
        <w:rPr>
          <w:rFonts w:asciiTheme="minorHAnsi" w:eastAsia="MS Mincho" w:hAnsiTheme="minorHAnsi"/>
          <w:b/>
          <w:iCs/>
          <w:lang w:val="sq-AL"/>
        </w:rPr>
        <w:t>S</w:t>
      </w:r>
      <w:r w:rsidRPr="0088508A">
        <w:rPr>
          <w:rFonts w:asciiTheme="minorHAnsi" w:eastAsia="MS Mincho" w:hAnsiTheme="minorHAnsi"/>
          <w:b/>
          <w:iCs/>
          <w:lang w:val="sq-AL"/>
        </w:rPr>
        <w:t xml:space="preserve">ektorit </w:t>
      </w:r>
      <w:r>
        <w:rPr>
          <w:rFonts w:asciiTheme="minorHAnsi" w:eastAsia="MS Mincho" w:hAnsiTheme="minorHAnsi"/>
          <w:b/>
          <w:iCs/>
          <w:lang w:val="sq-AL"/>
        </w:rPr>
        <w:t>E</w:t>
      </w:r>
      <w:r w:rsidRPr="0088508A">
        <w:rPr>
          <w:rFonts w:asciiTheme="minorHAnsi" w:eastAsia="MS Mincho" w:hAnsiTheme="minorHAnsi"/>
          <w:b/>
          <w:iCs/>
          <w:lang w:val="sq-AL"/>
        </w:rPr>
        <w:t xml:space="preserve">nergjitik” </w:t>
      </w:r>
      <w:r w:rsidRPr="0088508A">
        <w:rPr>
          <w:rFonts w:asciiTheme="minorHAnsi" w:eastAsia="MS Mincho" w:hAnsiTheme="minorHAnsi"/>
          <w:iCs/>
          <w:lang w:val="sq-AL"/>
        </w:rPr>
        <w:t>– Ky fond i</w:t>
      </w:r>
      <w:r>
        <w:rPr>
          <w:rFonts w:asciiTheme="minorHAnsi" w:eastAsia="MS Mincho" w:hAnsiTheme="minorHAnsi"/>
          <w:iCs/>
          <w:lang w:val="sq-AL"/>
        </w:rPr>
        <w:t xml:space="preserve"> </w:t>
      </w:r>
      <w:r w:rsidRPr="0088508A">
        <w:rPr>
          <w:rFonts w:asciiTheme="minorHAnsi" w:eastAsia="MS Mincho" w:hAnsiTheme="minorHAnsi"/>
          <w:iCs/>
          <w:lang w:val="sq-AL"/>
        </w:rPr>
        <w:t>planifikuar në masën 12 miliardë lekë për t’u akorduar me VKM, deri më datë 30.06.2023 rezulton i papërdorur.</w:t>
      </w:r>
    </w:p>
    <w:p w14:paraId="01766EB3" w14:textId="77777777" w:rsidR="0088508A" w:rsidRPr="0088508A" w:rsidRDefault="0088508A" w:rsidP="0088508A">
      <w:pPr>
        <w:widowControl w:val="0"/>
        <w:autoSpaceDE w:val="0"/>
        <w:autoSpaceDN w:val="0"/>
        <w:adjustRightInd w:val="0"/>
        <w:spacing w:before="240" w:after="120" w:line="276" w:lineRule="auto"/>
        <w:contextualSpacing/>
        <w:jc w:val="both"/>
        <w:rPr>
          <w:rFonts w:asciiTheme="minorHAnsi" w:hAnsiTheme="minorHAnsi"/>
          <w:b/>
          <w:sz w:val="12"/>
          <w:lang w:val="sq-AL"/>
        </w:rPr>
      </w:pPr>
    </w:p>
    <w:p w14:paraId="3781851F" w14:textId="77777777" w:rsidR="00DB2AAF" w:rsidRPr="00DB2AAF" w:rsidRDefault="00DB2AAF" w:rsidP="0088508A">
      <w:pPr>
        <w:widowControl w:val="0"/>
        <w:autoSpaceDE w:val="0"/>
        <w:autoSpaceDN w:val="0"/>
        <w:adjustRightInd w:val="0"/>
        <w:spacing w:before="240" w:after="120" w:line="276" w:lineRule="auto"/>
        <w:contextualSpacing/>
        <w:jc w:val="both"/>
        <w:rPr>
          <w:rFonts w:asciiTheme="minorHAnsi" w:hAnsiTheme="minorHAnsi"/>
          <w:lang w:val="sq-AL"/>
        </w:rPr>
      </w:pPr>
      <w:r w:rsidRPr="00DB2AAF">
        <w:rPr>
          <w:rFonts w:asciiTheme="minorHAnsi" w:hAnsiTheme="minorHAnsi"/>
          <w:b/>
          <w:lang w:val="sq-AL"/>
        </w:rPr>
        <w:t>Kontingjenca për Risqet e Borxhit</w:t>
      </w:r>
      <w:r w:rsidRPr="00DB2AAF">
        <w:rPr>
          <w:rFonts w:asciiTheme="minorHAnsi" w:hAnsiTheme="minorHAnsi"/>
          <w:lang w:val="sq-AL"/>
        </w:rPr>
        <w:t xml:space="preserve"> – Ky fond prej 4 </w:t>
      </w:r>
      <w:r w:rsidR="0088508A">
        <w:rPr>
          <w:rFonts w:asciiTheme="minorHAnsi" w:hAnsiTheme="minorHAnsi"/>
          <w:lang w:val="sq-AL"/>
        </w:rPr>
        <w:t>9</w:t>
      </w:r>
      <w:r w:rsidRPr="00DB2AAF">
        <w:rPr>
          <w:rFonts w:asciiTheme="minorHAnsi" w:hAnsiTheme="minorHAnsi"/>
          <w:lang w:val="sq-AL"/>
        </w:rPr>
        <w:t>00 milionë lekë përdoret nga ministri përgjegjës për financat për të kompensuar rreziqe potenciale nga luhatjet në kurset e këmbimit ose normat e interesit, me ndikim në shpenzimet për interesa. Deri në 30.06.202</w:t>
      </w:r>
      <w:r w:rsidR="0088508A">
        <w:rPr>
          <w:rFonts w:asciiTheme="minorHAnsi" w:hAnsiTheme="minorHAnsi"/>
          <w:lang w:val="sq-AL"/>
        </w:rPr>
        <w:t>3</w:t>
      </w:r>
      <w:r w:rsidRPr="00DB2AAF">
        <w:rPr>
          <w:rFonts w:asciiTheme="minorHAnsi" w:hAnsiTheme="minorHAnsi"/>
          <w:lang w:val="sq-AL"/>
        </w:rPr>
        <w:t>, ai rezulton i papërdorur.</w:t>
      </w:r>
    </w:p>
    <w:p w14:paraId="7EDCC3A9" w14:textId="77777777" w:rsidR="00DB2AAF" w:rsidRPr="009B471B" w:rsidRDefault="00DB2AAF" w:rsidP="00DB2AAF">
      <w:pPr>
        <w:spacing w:line="276" w:lineRule="auto"/>
        <w:jc w:val="both"/>
        <w:rPr>
          <w:rFonts w:asciiTheme="minorHAnsi" w:hAnsiTheme="minorHAnsi"/>
          <w:b/>
          <w:i/>
          <w:sz w:val="12"/>
          <w:lang w:val="sq-AL"/>
        </w:rPr>
      </w:pPr>
    </w:p>
    <w:p w14:paraId="764B280C" w14:textId="77777777" w:rsidR="0088508A" w:rsidRDefault="0088508A" w:rsidP="0088508A">
      <w:pPr>
        <w:spacing w:line="276" w:lineRule="auto"/>
        <w:jc w:val="both"/>
        <w:rPr>
          <w:rFonts w:asciiTheme="minorHAnsi" w:hAnsiTheme="minorHAnsi"/>
          <w:b/>
          <w:i/>
          <w:lang w:val="sq-AL"/>
        </w:rPr>
      </w:pPr>
    </w:p>
    <w:p w14:paraId="551BC3AA" w14:textId="77777777" w:rsidR="0088508A" w:rsidRDefault="0088508A" w:rsidP="0088508A">
      <w:pPr>
        <w:spacing w:line="276" w:lineRule="auto"/>
        <w:jc w:val="both"/>
        <w:rPr>
          <w:rFonts w:asciiTheme="minorHAnsi" w:hAnsiTheme="minorHAnsi"/>
          <w:b/>
          <w:i/>
          <w:lang w:val="sq-AL"/>
        </w:rPr>
      </w:pPr>
    </w:p>
    <w:p w14:paraId="252E3B75" w14:textId="77777777" w:rsidR="0088508A" w:rsidRPr="00DE302C" w:rsidRDefault="00DB2AAF" w:rsidP="0088508A">
      <w:pPr>
        <w:spacing w:line="276" w:lineRule="auto"/>
        <w:jc w:val="both"/>
        <w:rPr>
          <w:rFonts w:asciiTheme="minorHAnsi" w:hAnsiTheme="minorHAnsi"/>
          <w:lang w:val="sq-AL"/>
        </w:rPr>
      </w:pPr>
      <w:r w:rsidRPr="00DB2AAF">
        <w:rPr>
          <w:rFonts w:asciiTheme="minorHAnsi" w:hAnsiTheme="minorHAnsi"/>
          <w:b/>
          <w:i/>
          <w:lang w:val="sq-AL"/>
        </w:rPr>
        <w:t>Fondi i Rindërtimit</w:t>
      </w:r>
      <w:r w:rsidRPr="00DB2AAF">
        <w:rPr>
          <w:rFonts w:asciiTheme="minorHAnsi" w:hAnsiTheme="minorHAnsi"/>
          <w:i/>
          <w:lang w:val="sq-AL"/>
        </w:rPr>
        <w:t xml:space="preserve"> </w:t>
      </w:r>
      <w:r w:rsidRPr="00DB2AAF">
        <w:rPr>
          <w:rFonts w:asciiTheme="minorHAnsi" w:hAnsiTheme="minorHAnsi"/>
          <w:lang w:val="sq-AL"/>
        </w:rPr>
        <w:t xml:space="preserve">– Në </w:t>
      </w:r>
      <w:r>
        <w:rPr>
          <w:rFonts w:asciiTheme="minorHAnsi" w:hAnsiTheme="minorHAnsi"/>
          <w:lang w:val="sq-AL"/>
        </w:rPr>
        <w:t>L</w:t>
      </w:r>
      <w:r w:rsidRPr="00DB2AAF">
        <w:rPr>
          <w:rFonts w:asciiTheme="minorHAnsi" w:hAnsiTheme="minorHAnsi"/>
          <w:lang w:val="sq-AL"/>
        </w:rPr>
        <w:t xml:space="preserve">igjin </w:t>
      </w:r>
      <w:r>
        <w:rPr>
          <w:rFonts w:asciiTheme="minorHAnsi" w:hAnsiTheme="minorHAnsi"/>
          <w:lang w:val="sq-AL"/>
        </w:rPr>
        <w:t>n</w:t>
      </w:r>
      <w:r w:rsidRPr="00DB2AAF">
        <w:rPr>
          <w:rFonts w:asciiTheme="minorHAnsi" w:hAnsiTheme="minorHAnsi"/>
          <w:lang w:val="sq-AL"/>
        </w:rPr>
        <w:t>r.</w:t>
      </w:r>
      <w:r w:rsidR="0088508A" w:rsidRPr="00DE302C">
        <w:rPr>
          <w:rFonts w:asciiTheme="minorHAnsi" w:hAnsiTheme="minorHAnsi"/>
          <w:lang w:val="sq-AL"/>
        </w:rPr>
        <w:t>84/2022 “</w:t>
      </w:r>
      <w:r w:rsidR="0088508A" w:rsidRPr="00DE302C">
        <w:rPr>
          <w:rFonts w:asciiTheme="minorHAnsi" w:hAnsiTheme="minorHAnsi"/>
          <w:i/>
          <w:lang w:val="sq-AL"/>
        </w:rPr>
        <w:t xml:space="preserve">Për buxhetin e vitit 2023”, </w:t>
      </w:r>
      <w:r w:rsidR="0088508A" w:rsidRPr="00DE302C">
        <w:rPr>
          <w:rFonts w:asciiTheme="minorHAnsi" w:hAnsiTheme="minorHAnsi"/>
          <w:lang w:val="sq-AL"/>
        </w:rPr>
        <w:t>në nenin 7 të tij është përcaktuar se:</w:t>
      </w:r>
    </w:p>
    <w:p w14:paraId="79ABC427" w14:textId="77777777" w:rsidR="0088508A" w:rsidRDefault="0088508A" w:rsidP="0088508A">
      <w:pPr>
        <w:ind w:firstLine="432"/>
        <w:jc w:val="center"/>
        <w:rPr>
          <w:rFonts w:asciiTheme="minorHAnsi" w:eastAsia="Calibri" w:hAnsiTheme="minorHAnsi"/>
          <w:bCs/>
          <w:i/>
          <w:iCs/>
          <w:lang w:val="sq-AL"/>
        </w:rPr>
      </w:pPr>
      <w:r w:rsidRPr="00DE302C">
        <w:rPr>
          <w:rFonts w:asciiTheme="minorHAnsi" w:hAnsiTheme="minorHAnsi"/>
          <w:bCs/>
          <w:i/>
          <w:lang w:val="sq-AL"/>
        </w:rPr>
        <w:t>“</w:t>
      </w:r>
      <w:r w:rsidRPr="00DE302C">
        <w:rPr>
          <w:rFonts w:asciiTheme="minorHAnsi" w:eastAsia="Calibri" w:hAnsiTheme="minorHAnsi"/>
          <w:bCs/>
          <w:i/>
          <w:iCs/>
          <w:lang w:val="sq-AL"/>
        </w:rPr>
        <w:t xml:space="preserve">Fondi i rindërtimit për përballimin e pasojave të tërmetit të vitit 2019 prej 5 000 milionë lekësh përdoret për të përballuar kostot për projektet e miratuara dhe të pafinancuara </w:t>
      </w:r>
    </w:p>
    <w:p w14:paraId="4D910567" w14:textId="77777777" w:rsidR="0088508A" w:rsidRPr="00DE302C" w:rsidRDefault="0088508A" w:rsidP="0088508A">
      <w:pPr>
        <w:ind w:firstLine="432"/>
        <w:jc w:val="center"/>
        <w:rPr>
          <w:rFonts w:asciiTheme="minorHAnsi" w:eastAsia="Calibri" w:hAnsiTheme="minorHAnsi"/>
          <w:bCs/>
          <w:i/>
          <w:iCs/>
          <w:lang w:val="sq-AL"/>
        </w:rPr>
      </w:pPr>
      <w:r w:rsidRPr="00DE302C">
        <w:rPr>
          <w:rFonts w:asciiTheme="minorHAnsi" w:eastAsia="Calibri" w:hAnsiTheme="minorHAnsi"/>
          <w:bCs/>
          <w:i/>
          <w:iCs/>
          <w:lang w:val="sq-AL"/>
        </w:rPr>
        <w:t>të viteve të mëparshme dhe pjesa e mbetur për projekte të reja.</w:t>
      </w:r>
    </w:p>
    <w:p w14:paraId="4F89165C" w14:textId="77777777" w:rsidR="0088508A" w:rsidRDefault="0088508A" w:rsidP="0088508A">
      <w:pPr>
        <w:ind w:firstLine="432"/>
        <w:jc w:val="center"/>
        <w:rPr>
          <w:rFonts w:asciiTheme="minorHAnsi" w:eastAsia="Calibri" w:hAnsiTheme="minorHAnsi"/>
          <w:bCs/>
          <w:i/>
          <w:iCs/>
          <w:lang w:val="sq-AL"/>
        </w:rPr>
      </w:pPr>
      <w:r w:rsidRPr="00DE302C">
        <w:rPr>
          <w:rFonts w:asciiTheme="minorHAnsi" w:eastAsia="Calibri" w:hAnsiTheme="minorHAnsi"/>
          <w:bCs/>
          <w:i/>
          <w:iCs/>
          <w:lang w:val="sq-AL"/>
        </w:rPr>
        <w:t xml:space="preserve">Ky fond shton kufijtë e shpenzimeve për çdo ministri dhe institucion në </w:t>
      </w:r>
    </w:p>
    <w:p w14:paraId="592BAE5F" w14:textId="77777777" w:rsidR="0088508A" w:rsidRDefault="0088508A" w:rsidP="0088508A">
      <w:pPr>
        <w:ind w:firstLine="432"/>
        <w:jc w:val="center"/>
        <w:rPr>
          <w:rFonts w:asciiTheme="minorHAnsi" w:eastAsia="Calibri" w:hAnsiTheme="minorHAnsi"/>
          <w:bCs/>
          <w:i/>
          <w:iCs/>
          <w:lang w:val="sq-AL"/>
        </w:rPr>
      </w:pPr>
      <w:r w:rsidRPr="00DE302C">
        <w:rPr>
          <w:rFonts w:asciiTheme="minorHAnsi" w:eastAsia="Calibri" w:hAnsiTheme="minorHAnsi"/>
          <w:bCs/>
          <w:i/>
          <w:iCs/>
          <w:lang w:val="sq-AL"/>
        </w:rPr>
        <w:t>nivel programi dhe kufijtë e transfertës së pakushtëzuar, të miratuar</w:t>
      </w:r>
    </w:p>
    <w:p w14:paraId="7BCD6260" w14:textId="77777777" w:rsidR="0088508A" w:rsidRPr="00DE302C" w:rsidRDefault="0088508A" w:rsidP="0088508A">
      <w:pPr>
        <w:ind w:firstLine="432"/>
        <w:jc w:val="center"/>
        <w:rPr>
          <w:rFonts w:asciiTheme="minorHAnsi" w:eastAsia="Calibri" w:hAnsiTheme="minorHAnsi"/>
          <w:bCs/>
          <w:i/>
          <w:iCs/>
          <w:lang w:val="sq-AL"/>
        </w:rPr>
      </w:pPr>
      <w:r w:rsidRPr="00DE302C">
        <w:rPr>
          <w:rFonts w:asciiTheme="minorHAnsi" w:eastAsia="Calibri" w:hAnsiTheme="minorHAnsi"/>
          <w:bCs/>
          <w:i/>
          <w:iCs/>
          <w:lang w:val="sq-AL"/>
        </w:rPr>
        <w:t xml:space="preserve">në tabelat 1 dhe 3, </w:t>
      </w:r>
      <w:r w:rsidRPr="00DE302C">
        <w:rPr>
          <w:rFonts w:asciiTheme="minorHAnsi" w:eastAsia="Calibri" w:hAnsiTheme="minorHAnsi"/>
          <w:bCs/>
          <w:i/>
          <w:iCs/>
          <w:color w:val="000000"/>
          <w:lang w:val="sq-AL"/>
        </w:rPr>
        <w:t xml:space="preserve">të përmendura </w:t>
      </w:r>
      <w:r w:rsidRPr="00DE302C">
        <w:rPr>
          <w:rFonts w:asciiTheme="minorHAnsi" w:eastAsia="Calibri" w:hAnsiTheme="minorHAnsi"/>
          <w:bCs/>
          <w:i/>
          <w:iCs/>
          <w:lang w:val="sq-AL"/>
        </w:rPr>
        <w:t>në nenet 11 e 15 të këtij ligji.</w:t>
      </w:r>
    </w:p>
    <w:p w14:paraId="11440459" w14:textId="77777777" w:rsidR="0088508A" w:rsidRDefault="0088508A" w:rsidP="0088508A">
      <w:pPr>
        <w:jc w:val="center"/>
        <w:rPr>
          <w:rFonts w:asciiTheme="minorHAnsi" w:eastAsia="Calibri" w:hAnsiTheme="minorHAnsi"/>
          <w:bCs/>
          <w:i/>
          <w:iCs/>
          <w:lang w:val="sq-AL"/>
        </w:rPr>
      </w:pPr>
      <w:r w:rsidRPr="00DE302C">
        <w:rPr>
          <w:rFonts w:asciiTheme="minorHAnsi" w:eastAsia="Calibri" w:hAnsiTheme="minorHAnsi"/>
          <w:bCs/>
          <w:i/>
          <w:iCs/>
          <w:lang w:val="sq-AL"/>
        </w:rPr>
        <w:t xml:space="preserve">Çdo e ardhur në formë granti, me destinacion përballimin e pasojave të tërmetit,  </w:t>
      </w:r>
    </w:p>
    <w:p w14:paraId="79678D64" w14:textId="77777777" w:rsidR="0088508A" w:rsidRDefault="0088508A" w:rsidP="0088508A">
      <w:pPr>
        <w:jc w:val="center"/>
        <w:rPr>
          <w:rFonts w:asciiTheme="minorHAnsi" w:eastAsia="Calibri" w:hAnsiTheme="minorHAnsi"/>
          <w:bCs/>
          <w:i/>
          <w:iCs/>
          <w:lang w:val="sq-AL"/>
        </w:rPr>
      </w:pPr>
      <w:r w:rsidRPr="00DE302C">
        <w:rPr>
          <w:rFonts w:asciiTheme="minorHAnsi" w:eastAsia="Calibri" w:hAnsiTheme="minorHAnsi"/>
          <w:bCs/>
          <w:i/>
          <w:iCs/>
          <w:lang w:val="sq-AL"/>
        </w:rPr>
        <w:t xml:space="preserve">rrit në të njëjtën masë të ardhurat dhe shpenzimet e fondit të rindërtimit, </w:t>
      </w:r>
    </w:p>
    <w:p w14:paraId="14A824F9" w14:textId="77777777" w:rsidR="0088508A" w:rsidRDefault="0088508A" w:rsidP="0088508A">
      <w:pPr>
        <w:jc w:val="center"/>
        <w:rPr>
          <w:rFonts w:asciiTheme="minorHAnsi" w:eastAsia="Calibri" w:hAnsiTheme="minorHAnsi"/>
          <w:bCs/>
          <w:i/>
          <w:iCs/>
          <w:lang w:val="sq-AL"/>
        </w:rPr>
      </w:pPr>
      <w:r w:rsidRPr="00DE302C">
        <w:rPr>
          <w:rFonts w:asciiTheme="minorHAnsi" w:eastAsia="Calibri" w:hAnsiTheme="minorHAnsi"/>
          <w:bCs/>
          <w:i/>
          <w:iCs/>
          <w:lang w:val="sq-AL"/>
        </w:rPr>
        <w:t>duke shtuar kufijtë e përcaktuar në nenet 1, 2, 3 e 11, si dhe kufijtë e miratuar</w:t>
      </w:r>
    </w:p>
    <w:p w14:paraId="119F30D0" w14:textId="77777777" w:rsidR="0088508A" w:rsidRPr="00DE302C" w:rsidRDefault="0088508A" w:rsidP="0088508A">
      <w:pPr>
        <w:jc w:val="center"/>
        <w:rPr>
          <w:rFonts w:asciiTheme="minorHAnsi" w:hAnsiTheme="minorHAnsi"/>
          <w:i/>
          <w:iCs/>
          <w:lang w:val="sq-AL"/>
        </w:rPr>
      </w:pPr>
      <w:r w:rsidRPr="00DE302C">
        <w:rPr>
          <w:rFonts w:asciiTheme="minorHAnsi" w:eastAsia="Calibri" w:hAnsiTheme="minorHAnsi"/>
          <w:bCs/>
          <w:i/>
          <w:iCs/>
          <w:lang w:val="sq-AL"/>
        </w:rPr>
        <w:t xml:space="preserve">në tabelat  1, 3 dhe 4, </w:t>
      </w:r>
      <w:r w:rsidRPr="00DE302C">
        <w:rPr>
          <w:rFonts w:asciiTheme="minorHAnsi" w:eastAsia="Calibri" w:hAnsiTheme="minorHAnsi"/>
          <w:bCs/>
          <w:i/>
          <w:iCs/>
          <w:color w:val="000000"/>
          <w:lang w:val="sq-AL"/>
        </w:rPr>
        <w:t xml:space="preserve">të përmendura </w:t>
      </w:r>
      <w:r w:rsidRPr="00DE302C">
        <w:rPr>
          <w:rFonts w:asciiTheme="minorHAnsi" w:eastAsia="Calibri" w:hAnsiTheme="minorHAnsi"/>
          <w:bCs/>
          <w:i/>
          <w:iCs/>
          <w:lang w:val="sq-AL"/>
        </w:rPr>
        <w:t>në nenet 11 e 15 të këtij ligji</w:t>
      </w:r>
      <w:r w:rsidRPr="00DE302C">
        <w:rPr>
          <w:rFonts w:asciiTheme="minorHAnsi" w:hAnsiTheme="minorHAnsi"/>
          <w:bCs/>
          <w:i/>
          <w:iCs/>
          <w:lang w:val="sq-AL"/>
        </w:rPr>
        <w:t>.”</w:t>
      </w:r>
    </w:p>
    <w:p w14:paraId="23205290" w14:textId="77777777" w:rsidR="0088508A" w:rsidRPr="00DE302C" w:rsidRDefault="0088508A" w:rsidP="0088508A">
      <w:pPr>
        <w:widowControl w:val="0"/>
        <w:autoSpaceDE w:val="0"/>
        <w:autoSpaceDN w:val="0"/>
        <w:adjustRightInd w:val="0"/>
        <w:spacing w:line="276" w:lineRule="auto"/>
        <w:jc w:val="both"/>
        <w:rPr>
          <w:rFonts w:asciiTheme="minorHAnsi" w:hAnsiTheme="minorHAnsi"/>
          <w:i/>
          <w:sz w:val="8"/>
          <w:szCs w:val="12"/>
          <w:u w:val="single"/>
          <w:lang w:val="sq-AL"/>
        </w:rPr>
      </w:pPr>
    </w:p>
    <w:p w14:paraId="2A0C1E3A" w14:textId="77777777" w:rsidR="0088508A" w:rsidRPr="00DE302C" w:rsidRDefault="0088508A" w:rsidP="0088508A">
      <w:pPr>
        <w:widowControl w:val="0"/>
        <w:autoSpaceDE w:val="0"/>
        <w:autoSpaceDN w:val="0"/>
        <w:adjustRightInd w:val="0"/>
        <w:jc w:val="both"/>
        <w:rPr>
          <w:rFonts w:asciiTheme="minorHAnsi" w:hAnsiTheme="minorHAnsi"/>
          <w:i/>
          <w:u w:val="single"/>
          <w:lang w:val="sq-AL"/>
        </w:rPr>
      </w:pPr>
    </w:p>
    <w:p w14:paraId="2DF06E97" w14:textId="77777777" w:rsidR="0088508A" w:rsidRPr="00DE302C" w:rsidRDefault="0088508A" w:rsidP="0088508A">
      <w:pPr>
        <w:widowControl w:val="0"/>
        <w:autoSpaceDE w:val="0"/>
        <w:autoSpaceDN w:val="0"/>
        <w:adjustRightInd w:val="0"/>
        <w:jc w:val="both"/>
        <w:rPr>
          <w:rFonts w:asciiTheme="minorHAnsi" w:hAnsiTheme="minorHAnsi"/>
          <w:lang w:val="sq-AL"/>
        </w:rPr>
      </w:pPr>
      <w:r w:rsidRPr="00DE302C">
        <w:rPr>
          <w:rFonts w:asciiTheme="minorHAnsi" w:hAnsiTheme="minorHAnsi"/>
          <w:i/>
          <w:u w:val="single"/>
          <w:lang w:val="sq-AL"/>
        </w:rPr>
        <w:t>Deri në datën 30 Qershor 2023</w:t>
      </w:r>
      <w:r w:rsidRPr="00DE302C">
        <w:rPr>
          <w:rFonts w:asciiTheme="minorHAnsi" w:hAnsiTheme="minorHAnsi"/>
          <w:lang w:val="sq-AL"/>
        </w:rPr>
        <w:t>, përdorimi i Fondit të Rindërtimit me Vendime të Këshillit të Ministrave, rezulton në masën prej 1 795 milionë lekë ose 35.9 përqind</w:t>
      </w:r>
      <w:r>
        <w:rPr>
          <w:rFonts w:asciiTheme="minorHAnsi" w:hAnsiTheme="minorHAnsi"/>
          <w:lang w:val="sq-AL"/>
        </w:rPr>
        <w:t xml:space="preserve"> e planit 2023, i gjithi i ak</w:t>
      </w:r>
      <w:r w:rsidRPr="00DE302C">
        <w:rPr>
          <w:rFonts w:asciiTheme="minorHAnsi" w:hAnsiTheme="minorHAnsi"/>
          <w:lang w:val="sq-AL"/>
        </w:rPr>
        <w:t>orduar për Njësitë e Qeverisjes Qendrore (FZHSH).</w:t>
      </w:r>
    </w:p>
    <w:p w14:paraId="7BCF5052" w14:textId="77777777" w:rsidR="004A5D25" w:rsidRDefault="004A5D25" w:rsidP="0088508A">
      <w:pPr>
        <w:spacing w:line="276" w:lineRule="auto"/>
        <w:jc w:val="both"/>
        <w:rPr>
          <w:rFonts w:asciiTheme="minorHAnsi" w:hAnsiTheme="minorHAnsi"/>
          <w:i/>
          <w:u w:val="single"/>
          <w:lang w:val="sq-AL"/>
        </w:rPr>
      </w:pPr>
    </w:p>
    <w:p w14:paraId="5B496634" w14:textId="24C8A76E" w:rsidR="004A5D25" w:rsidRDefault="004A5D25" w:rsidP="00462131">
      <w:pPr>
        <w:spacing w:before="120" w:line="276" w:lineRule="auto"/>
        <w:contextualSpacing/>
        <w:jc w:val="both"/>
        <w:rPr>
          <w:rFonts w:asciiTheme="minorHAnsi" w:hAnsiTheme="minorHAnsi"/>
          <w:sz w:val="22"/>
          <w:lang w:val="sq-AL"/>
        </w:rPr>
      </w:pPr>
    </w:p>
    <w:p w14:paraId="40CBFCFB" w14:textId="6CB4F0BD" w:rsidR="00B80F6E" w:rsidRDefault="00B80F6E" w:rsidP="00462131">
      <w:pPr>
        <w:spacing w:before="120" w:line="276" w:lineRule="auto"/>
        <w:contextualSpacing/>
        <w:jc w:val="both"/>
        <w:rPr>
          <w:rFonts w:asciiTheme="minorHAnsi" w:hAnsiTheme="minorHAnsi"/>
          <w:sz w:val="22"/>
          <w:lang w:val="sq-AL"/>
        </w:rPr>
      </w:pPr>
    </w:p>
    <w:p w14:paraId="74846E67" w14:textId="178C6D6A" w:rsidR="00B80F6E" w:rsidRDefault="00B80F6E" w:rsidP="00462131">
      <w:pPr>
        <w:spacing w:before="120" w:line="276" w:lineRule="auto"/>
        <w:contextualSpacing/>
        <w:jc w:val="both"/>
        <w:rPr>
          <w:rFonts w:asciiTheme="minorHAnsi" w:hAnsiTheme="minorHAnsi"/>
          <w:sz w:val="22"/>
          <w:lang w:val="sq-AL"/>
        </w:rPr>
      </w:pPr>
    </w:p>
    <w:p w14:paraId="014E4910" w14:textId="77777777" w:rsidR="00B80F6E" w:rsidRDefault="00B80F6E" w:rsidP="00462131">
      <w:pPr>
        <w:spacing w:before="120" w:line="276" w:lineRule="auto"/>
        <w:contextualSpacing/>
        <w:jc w:val="both"/>
        <w:rPr>
          <w:rFonts w:asciiTheme="minorHAnsi" w:hAnsiTheme="minorHAnsi"/>
          <w:sz w:val="22"/>
          <w:lang w:val="sq-AL"/>
        </w:rPr>
      </w:pPr>
    </w:p>
    <w:p w14:paraId="7B39E738" w14:textId="77777777" w:rsidR="00956F90" w:rsidRPr="0065598A" w:rsidRDefault="00956F90" w:rsidP="002334F6">
      <w:pPr>
        <w:pStyle w:val="Heading2"/>
      </w:pPr>
      <w:bookmarkStart w:id="73" w:name="_Toc107496990"/>
      <w:r w:rsidRPr="008A27A7">
        <w:lastRenderedPageBreak/>
        <w:t>III.</w:t>
      </w:r>
      <w:r w:rsidR="00F30431" w:rsidRPr="008A27A7">
        <w:t>4</w:t>
      </w:r>
      <w:r w:rsidRPr="008A27A7">
        <w:tab/>
        <w:t>Pritshm</w:t>
      </w:r>
      <w:r w:rsidR="007E20C2" w:rsidRPr="008A27A7">
        <w:t>ë</w:t>
      </w:r>
      <w:r w:rsidRPr="008A27A7">
        <w:t>ri</w:t>
      </w:r>
      <w:r w:rsidR="00FC337D" w:rsidRPr="008A27A7">
        <w:t>a</w:t>
      </w:r>
      <w:r w:rsidRPr="008A27A7">
        <w:t xml:space="preserve"> e Shpenzimeve Buxhetore </w:t>
      </w:r>
      <w:r w:rsidR="00FC337D" w:rsidRPr="008A27A7">
        <w:t>deri n</w:t>
      </w:r>
      <w:r w:rsidR="000960BA" w:rsidRPr="008A27A7">
        <w:t>ë</w:t>
      </w:r>
      <w:r w:rsidR="00FC337D" w:rsidRPr="008A27A7">
        <w:t xml:space="preserve"> fund t</w:t>
      </w:r>
      <w:r w:rsidR="000960BA" w:rsidRPr="008A27A7">
        <w:t>ë</w:t>
      </w:r>
      <w:r w:rsidR="00FC337D" w:rsidRPr="008A27A7">
        <w:t xml:space="preserve"> vitit</w:t>
      </w:r>
      <w:r w:rsidRPr="008A27A7">
        <w:t xml:space="preserve"> 20</w:t>
      </w:r>
      <w:r w:rsidR="008E422C" w:rsidRPr="008A27A7">
        <w:t>2</w:t>
      </w:r>
      <w:bookmarkEnd w:id="73"/>
      <w:r w:rsidR="00367A15">
        <w:t>3</w:t>
      </w:r>
      <w:r w:rsidR="00FB4DB9">
        <w:t xml:space="preserve"> </w:t>
      </w:r>
    </w:p>
    <w:p w14:paraId="77685264" w14:textId="77777777" w:rsidR="0092452B" w:rsidRPr="0092452B" w:rsidRDefault="0092452B" w:rsidP="0092452B">
      <w:pPr>
        <w:spacing w:line="276" w:lineRule="auto"/>
        <w:jc w:val="both"/>
        <w:rPr>
          <w:rFonts w:asciiTheme="minorHAnsi" w:hAnsiTheme="minorHAnsi"/>
          <w:sz w:val="8"/>
          <w:szCs w:val="8"/>
          <w:lang w:val="sq-AL"/>
        </w:rPr>
      </w:pPr>
    </w:p>
    <w:p w14:paraId="782DBAB0" w14:textId="77777777" w:rsidR="00DB5C58" w:rsidRDefault="00DB5C58" w:rsidP="00BD0863">
      <w:pPr>
        <w:spacing w:line="276" w:lineRule="auto"/>
        <w:jc w:val="both"/>
        <w:rPr>
          <w:rFonts w:asciiTheme="minorHAnsi" w:hAnsiTheme="minorHAnsi"/>
          <w:lang w:val="sq-AL"/>
        </w:rPr>
      </w:pPr>
      <w:r w:rsidRPr="006C6319">
        <w:rPr>
          <w:rFonts w:asciiTheme="minorHAnsi" w:hAnsiTheme="minorHAnsi"/>
          <w:noProof/>
          <w:lang w:val="sq-AL"/>
        </w:rPr>
        <w:t>Sjellim n</w:t>
      </w:r>
      <w:r w:rsidR="006C6319">
        <w:rPr>
          <w:rFonts w:asciiTheme="minorHAnsi" w:hAnsiTheme="minorHAnsi"/>
          <w:noProof/>
          <w:lang w:val="sq-AL"/>
        </w:rPr>
        <w:t>ë</w:t>
      </w:r>
      <w:r w:rsidRPr="006C6319">
        <w:rPr>
          <w:rFonts w:asciiTheme="minorHAnsi" w:hAnsiTheme="minorHAnsi"/>
          <w:noProof/>
          <w:lang w:val="sq-AL"/>
        </w:rPr>
        <w:t xml:space="preserve"> v</w:t>
      </w:r>
      <w:r w:rsidR="006C6319">
        <w:rPr>
          <w:rFonts w:asciiTheme="minorHAnsi" w:hAnsiTheme="minorHAnsi"/>
          <w:noProof/>
          <w:lang w:val="sq-AL"/>
        </w:rPr>
        <w:t>ë</w:t>
      </w:r>
      <w:r w:rsidRPr="006C6319">
        <w:rPr>
          <w:rFonts w:asciiTheme="minorHAnsi" w:hAnsiTheme="minorHAnsi"/>
          <w:noProof/>
          <w:lang w:val="sq-AL"/>
        </w:rPr>
        <w:t>mendje se</w:t>
      </w:r>
      <w:r w:rsidR="0020231A">
        <w:rPr>
          <w:rFonts w:asciiTheme="minorHAnsi" w:hAnsiTheme="minorHAnsi"/>
          <w:noProof/>
          <w:lang w:val="sq-AL"/>
        </w:rPr>
        <w:t xml:space="preserve">, ndryshe nga </w:t>
      </w:r>
      <w:r w:rsidR="00683D76">
        <w:rPr>
          <w:rFonts w:asciiTheme="minorHAnsi" w:hAnsiTheme="minorHAnsi"/>
          <w:noProof/>
          <w:lang w:val="sq-AL"/>
        </w:rPr>
        <w:t xml:space="preserve">dinamika e viteve të fundit sidomos e periudhës gjatë dhe pas pandemisë Covid19, përgjatë gjysmës së parë të vitit 2023 </w:t>
      </w:r>
      <w:r w:rsidRPr="006C6319">
        <w:rPr>
          <w:rFonts w:asciiTheme="minorHAnsi" w:hAnsiTheme="minorHAnsi"/>
          <w:lang w:val="sq-AL"/>
        </w:rPr>
        <w:t xml:space="preserve">ligji i buxhetit </w:t>
      </w:r>
      <w:r w:rsidR="00683D76">
        <w:rPr>
          <w:rFonts w:asciiTheme="minorHAnsi" w:hAnsiTheme="minorHAnsi"/>
          <w:lang w:val="sq-AL"/>
        </w:rPr>
        <w:t xml:space="preserve">nuk </w:t>
      </w:r>
      <w:r w:rsidR="00EB3166">
        <w:rPr>
          <w:rFonts w:asciiTheme="minorHAnsi" w:hAnsiTheme="minorHAnsi"/>
          <w:lang w:val="sq-AL"/>
        </w:rPr>
        <w:t>është</w:t>
      </w:r>
      <w:r w:rsidR="00683D76">
        <w:rPr>
          <w:rFonts w:asciiTheme="minorHAnsi" w:hAnsiTheme="minorHAnsi"/>
          <w:lang w:val="sq-AL"/>
        </w:rPr>
        <w:t xml:space="preserve"> rishikuar</w:t>
      </w:r>
      <w:r w:rsidRPr="006C6319">
        <w:rPr>
          <w:rFonts w:asciiTheme="minorHAnsi" w:hAnsiTheme="minorHAnsi"/>
          <w:lang w:val="sq-AL"/>
        </w:rPr>
        <w:t xml:space="preserve"> </w:t>
      </w:r>
      <w:r w:rsidR="00683D76">
        <w:rPr>
          <w:rFonts w:asciiTheme="minorHAnsi" w:hAnsiTheme="minorHAnsi"/>
          <w:lang w:val="sq-AL"/>
        </w:rPr>
        <w:t xml:space="preserve">asnjëherë </w:t>
      </w:r>
      <w:r w:rsidRPr="006C6319">
        <w:rPr>
          <w:rFonts w:asciiTheme="minorHAnsi" w:hAnsiTheme="minorHAnsi"/>
          <w:lang w:val="sq-AL"/>
        </w:rPr>
        <w:t>p</w:t>
      </w:r>
      <w:r w:rsidR="006C6319">
        <w:rPr>
          <w:rFonts w:asciiTheme="minorHAnsi" w:hAnsiTheme="minorHAnsi"/>
          <w:lang w:val="sq-AL"/>
        </w:rPr>
        <w:t>ë</w:t>
      </w:r>
      <w:r w:rsidRPr="006C6319">
        <w:rPr>
          <w:rFonts w:asciiTheme="minorHAnsi" w:hAnsiTheme="minorHAnsi"/>
          <w:lang w:val="sq-AL"/>
        </w:rPr>
        <w:t xml:space="preserve">rmes </w:t>
      </w:r>
      <w:r w:rsidR="004529D6">
        <w:rPr>
          <w:rFonts w:asciiTheme="minorHAnsi" w:hAnsiTheme="minorHAnsi"/>
          <w:lang w:val="sq-AL"/>
        </w:rPr>
        <w:t>procedures s</w:t>
      </w:r>
      <w:r w:rsidR="004A254F">
        <w:rPr>
          <w:rFonts w:asciiTheme="minorHAnsi" w:hAnsiTheme="minorHAnsi"/>
          <w:lang w:val="sq-AL"/>
        </w:rPr>
        <w:t>ë</w:t>
      </w:r>
      <w:r w:rsidR="004529D6">
        <w:rPr>
          <w:rFonts w:asciiTheme="minorHAnsi" w:hAnsiTheme="minorHAnsi"/>
          <w:lang w:val="sq-AL"/>
        </w:rPr>
        <w:t xml:space="preserve"> Akt</w:t>
      </w:r>
      <w:r w:rsidR="007E215E">
        <w:rPr>
          <w:rFonts w:asciiTheme="minorHAnsi" w:hAnsiTheme="minorHAnsi"/>
          <w:lang w:val="sq-AL"/>
        </w:rPr>
        <w:t>it</w:t>
      </w:r>
      <w:r w:rsidRPr="006C6319">
        <w:rPr>
          <w:rFonts w:asciiTheme="minorHAnsi" w:hAnsiTheme="minorHAnsi"/>
          <w:lang w:val="sq-AL"/>
        </w:rPr>
        <w:t xml:space="preserve"> Normativ</w:t>
      </w:r>
      <w:r w:rsidR="00683D76">
        <w:rPr>
          <w:rFonts w:asciiTheme="minorHAnsi" w:hAnsiTheme="minorHAnsi"/>
          <w:lang w:val="sq-AL"/>
        </w:rPr>
        <w:t xml:space="preserve">. Ky në vetvete përbën një zhvillim pozitiv të konsiderueshëm, në kuadër edhe të angazhimeve me partnerët për reduktimin progresiv deri në shmangien e plotë të rishikimeve të ligjit vjetor të buxhetit me procedurën e Aktit Normativ. </w:t>
      </w:r>
    </w:p>
    <w:p w14:paraId="355D5AE0" w14:textId="77777777" w:rsidR="00051316" w:rsidRPr="002B0076" w:rsidRDefault="00051316" w:rsidP="00BD0863">
      <w:pPr>
        <w:spacing w:line="276" w:lineRule="auto"/>
        <w:jc w:val="both"/>
        <w:rPr>
          <w:rFonts w:asciiTheme="minorHAnsi" w:hAnsiTheme="minorHAnsi"/>
          <w:sz w:val="8"/>
          <w:szCs w:val="8"/>
          <w:u w:val="single"/>
          <w:lang w:val="sq-AL"/>
        </w:rPr>
      </w:pPr>
    </w:p>
    <w:p w14:paraId="597425FB" w14:textId="0879ECCC" w:rsidR="00E74AAC" w:rsidRDefault="002B0076" w:rsidP="00BD0863">
      <w:pPr>
        <w:spacing w:line="276" w:lineRule="auto"/>
        <w:jc w:val="both"/>
        <w:rPr>
          <w:rFonts w:asciiTheme="minorHAnsi" w:hAnsiTheme="minorHAnsi"/>
          <w:noProof/>
          <w:lang w:val="sq-AL"/>
        </w:rPr>
      </w:pPr>
      <w:r w:rsidRPr="0065598A">
        <w:rPr>
          <w:rFonts w:asciiTheme="minorHAnsi" w:hAnsiTheme="minorHAnsi"/>
          <w:lang w:val="sq-AL"/>
        </w:rPr>
        <w:t>Shpenzimet</w:t>
      </w:r>
      <w:r w:rsidRPr="0065598A">
        <w:rPr>
          <w:rFonts w:asciiTheme="minorHAnsi" w:hAnsiTheme="minorHAnsi"/>
          <w:noProof/>
          <w:lang w:val="sq-AL"/>
        </w:rPr>
        <w:t xml:space="preserve"> e përgjithshme për vitin 20</w:t>
      </w:r>
      <w:r>
        <w:rPr>
          <w:rFonts w:asciiTheme="minorHAnsi" w:hAnsiTheme="minorHAnsi"/>
          <w:noProof/>
          <w:lang w:val="sq-AL"/>
        </w:rPr>
        <w:t>2</w:t>
      </w:r>
      <w:r w:rsidR="00683D76">
        <w:rPr>
          <w:rFonts w:asciiTheme="minorHAnsi" w:hAnsiTheme="minorHAnsi"/>
          <w:noProof/>
          <w:lang w:val="sq-AL"/>
        </w:rPr>
        <w:t>3</w:t>
      </w:r>
      <w:r w:rsidRPr="0065598A">
        <w:rPr>
          <w:rFonts w:asciiTheme="minorHAnsi" w:hAnsiTheme="minorHAnsi"/>
          <w:noProof/>
          <w:lang w:val="sq-AL"/>
        </w:rPr>
        <w:t>, vlerësuar mbi bazën e ecurisë dhe performancës së tyre gjatë periudhës Janar-Maj 20</w:t>
      </w:r>
      <w:r>
        <w:rPr>
          <w:rFonts w:asciiTheme="minorHAnsi" w:hAnsiTheme="minorHAnsi"/>
          <w:noProof/>
          <w:lang w:val="sq-AL"/>
        </w:rPr>
        <w:t>2</w:t>
      </w:r>
      <w:r w:rsidR="00683D76">
        <w:rPr>
          <w:rFonts w:asciiTheme="minorHAnsi" w:hAnsiTheme="minorHAnsi"/>
          <w:noProof/>
          <w:lang w:val="sq-AL"/>
        </w:rPr>
        <w:t>3</w:t>
      </w:r>
      <w:r w:rsidRPr="0065598A">
        <w:rPr>
          <w:rFonts w:asciiTheme="minorHAnsi" w:hAnsiTheme="minorHAnsi"/>
          <w:noProof/>
          <w:lang w:val="sq-AL"/>
        </w:rPr>
        <w:t xml:space="preserve">, paraqesin një pritshmëri përgjithësisht në linjë me parashikimet </w:t>
      </w:r>
      <w:r>
        <w:rPr>
          <w:rFonts w:asciiTheme="minorHAnsi" w:hAnsiTheme="minorHAnsi"/>
          <w:noProof/>
          <w:lang w:val="sq-AL"/>
        </w:rPr>
        <w:t>e Ministrisë së Financave dhe Ekonomisë, sipas drejtimeve të politikave kryesore.</w:t>
      </w:r>
      <w:r w:rsidRPr="007E571D">
        <w:rPr>
          <w:rFonts w:asciiTheme="minorHAnsi" w:hAnsiTheme="minorHAnsi"/>
          <w:noProof/>
          <w:lang w:val="sq-AL"/>
        </w:rPr>
        <w:t xml:space="preserve"> Sidoqoftë, një parashikim më i saktë lidhur me pritshmërinë deri në fund të vitit 20</w:t>
      </w:r>
      <w:r>
        <w:rPr>
          <w:rFonts w:asciiTheme="minorHAnsi" w:hAnsiTheme="minorHAnsi"/>
          <w:noProof/>
          <w:lang w:val="sq-AL"/>
        </w:rPr>
        <w:t>2</w:t>
      </w:r>
      <w:r w:rsidR="00683D76">
        <w:rPr>
          <w:rFonts w:asciiTheme="minorHAnsi" w:hAnsiTheme="minorHAnsi"/>
          <w:noProof/>
          <w:lang w:val="sq-AL"/>
        </w:rPr>
        <w:t>3</w:t>
      </w:r>
      <w:r w:rsidRPr="007E571D">
        <w:rPr>
          <w:rFonts w:asciiTheme="minorHAnsi" w:hAnsiTheme="minorHAnsi"/>
          <w:noProof/>
          <w:lang w:val="sq-AL"/>
        </w:rPr>
        <w:t xml:space="preserve"> </w:t>
      </w:r>
      <w:r>
        <w:rPr>
          <w:rFonts w:asciiTheme="minorHAnsi" w:hAnsiTheme="minorHAnsi"/>
          <w:noProof/>
          <w:lang w:val="sq-AL"/>
        </w:rPr>
        <w:t>të</w:t>
      </w:r>
      <w:r w:rsidRPr="007E571D">
        <w:rPr>
          <w:rFonts w:asciiTheme="minorHAnsi" w:hAnsiTheme="minorHAnsi"/>
          <w:noProof/>
          <w:lang w:val="sq-AL"/>
        </w:rPr>
        <w:t xml:space="preserve"> realizmit të </w:t>
      </w:r>
      <w:r>
        <w:rPr>
          <w:rFonts w:asciiTheme="minorHAnsi" w:hAnsiTheme="minorHAnsi"/>
          <w:noProof/>
          <w:lang w:val="sq-AL"/>
        </w:rPr>
        <w:t>shpenzimeve, sidomos investimeve publike,</w:t>
      </w:r>
      <w:r w:rsidRPr="007E571D">
        <w:rPr>
          <w:rFonts w:asciiTheme="minorHAnsi" w:hAnsiTheme="minorHAnsi"/>
          <w:noProof/>
          <w:lang w:val="sq-AL"/>
        </w:rPr>
        <w:t xml:space="preserve"> do të jetë i mundur vetëm pas analizës së ecurisë 9 mujore të tyre. Kjo, duke konsideruar tremujorin e fundit të çdo viti buxhetor</w:t>
      </w:r>
      <w:r>
        <w:rPr>
          <w:rFonts w:asciiTheme="minorHAnsi" w:hAnsiTheme="minorHAnsi"/>
          <w:noProof/>
          <w:lang w:val="sq-AL"/>
        </w:rPr>
        <w:t>,</w:t>
      </w:r>
      <w:r w:rsidRPr="007E571D">
        <w:rPr>
          <w:rFonts w:asciiTheme="minorHAnsi" w:hAnsiTheme="minorHAnsi"/>
          <w:noProof/>
          <w:lang w:val="sq-AL"/>
        </w:rPr>
        <w:t xml:space="preserve"> si periudhën me performancë më të lartë përsa i përket investimeve publike në tërësi dhe atyre në infrastrukturë në veçanti</w:t>
      </w:r>
      <w:r w:rsidR="00683D76">
        <w:rPr>
          <w:rFonts w:asciiTheme="minorHAnsi" w:hAnsiTheme="minorHAnsi"/>
          <w:noProof/>
          <w:lang w:val="sq-AL"/>
        </w:rPr>
        <w:t>.</w:t>
      </w:r>
    </w:p>
    <w:p w14:paraId="487E0974" w14:textId="62CF58D2" w:rsidR="00BD0863" w:rsidRDefault="00BD0863" w:rsidP="00BD0863">
      <w:pPr>
        <w:jc w:val="both"/>
        <w:rPr>
          <w:rFonts w:asciiTheme="minorHAnsi" w:hAnsiTheme="minorHAnsi"/>
          <w:u w:val="single"/>
          <w:lang w:val="sq-AL"/>
        </w:rPr>
      </w:pPr>
    </w:p>
    <w:p w14:paraId="478F49E7" w14:textId="77777777" w:rsidR="00BD0863" w:rsidRDefault="00BD0863" w:rsidP="00BD0863">
      <w:pPr>
        <w:jc w:val="both"/>
        <w:rPr>
          <w:rFonts w:asciiTheme="minorHAnsi" w:hAnsiTheme="minorHAnsi"/>
          <w:u w:val="single"/>
          <w:lang w:val="sq-AL"/>
        </w:rPr>
      </w:pPr>
    </w:p>
    <w:p w14:paraId="57E1E985" w14:textId="77777777" w:rsidR="00E812EF" w:rsidRPr="00051316" w:rsidRDefault="002570C3" w:rsidP="00B95810">
      <w:pPr>
        <w:pStyle w:val="Heading1"/>
        <w:numPr>
          <w:ilvl w:val="0"/>
          <w:numId w:val="1"/>
        </w:numPr>
        <w:spacing w:line="276" w:lineRule="auto"/>
        <w:ind w:left="720"/>
        <w:jc w:val="both"/>
        <w:rPr>
          <w:sz w:val="32"/>
          <w:u w:val="none"/>
        </w:rPr>
      </w:pPr>
      <w:bookmarkStart w:id="74" w:name="_Toc107496991"/>
      <w:r w:rsidRPr="00051316">
        <w:rPr>
          <w:sz w:val="32"/>
          <w:u w:val="none"/>
        </w:rPr>
        <w:t xml:space="preserve">BORXHI </w:t>
      </w:r>
      <w:r w:rsidR="00A14825" w:rsidRPr="00051316">
        <w:rPr>
          <w:sz w:val="32"/>
          <w:u w:val="none"/>
        </w:rPr>
        <w:t>PUBLIK</w:t>
      </w:r>
      <w:bookmarkEnd w:id="74"/>
      <w:r w:rsidR="00A14825" w:rsidRPr="00051316">
        <w:rPr>
          <w:sz w:val="32"/>
          <w:u w:val="none"/>
        </w:rPr>
        <w:t xml:space="preserve"> </w:t>
      </w:r>
      <w:bookmarkEnd w:id="0"/>
    </w:p>
    <w:p w14:paraId="10C87D45" w14:textId="77777777" w:rsidR="00D14A63" w:rsidRPr="008757B8" w:rsidRDefault="00D14A63" w:rsidP="00D14A63">
      <w:pPr>
        <w:shd w:val="clear" w:color="auto" w:fill="FFFFFF"/>
        <w:tabs>
          <w:tab w:val="left" w:pos="8647"/>
          <w:tab w:val="left" w:pos="8789"/>
        </w:tabs>
        <w:spacing w:before="120" w:line="276" w:lineRule="auto"/>
        <w:ind w:right="-46"/>
        <w:jc w:val="both"/>
        <w:rPr>
          <w:rFonts w:asciiTheme="minorHAnsi" w:hAnsiTheme="minorHAnsi"/>
          <w:noProof/>
        </w:rPr>
      </w:pPr>
      <w:r w:rsidRPr="008757B8">
        <w:rPr>
          <w:rFonts w:asciiTheme="minorHAnsi" w:eastAsia="Calibri" w:hAnsiTheme="minorHAnsi"/>
          <w:noProof/>
          <w:lang w:eastAsia="ja-JP"/>
        </w:rPr>
        <w:t xml:space="preserve">Borxhi publik gjatë tremujorit të parë të vitit 2023 përgjithësisht u karakterizua nga një ecuri pozitive, duke qenë në përputhje me objektivat makro-fiskale, buxhetin e planifikuar për vitin 2023 dhe objektivat e Strategjisë Afatmesme të Menaxhimit të Borxhit </w:t>
      </w:r>
      <w:r w:rsidRPr="008757B8">
        <w:rPr>
          <w:rFonts w:asciiTheme="minorHAnsi" w:eastAsia="Calibri" w:hAnsiTheme="minorHAnsi"/>
          <w:i/>
          <w:noProof/>
          <w:lang w:eastAsia="ja-JP"/>
        </w:rPr>
        <w:t>(SAMB).</w:t>
      </w:r>
      <w:r>
        <w:rPr>
          <w:rFonts w:asciiTheme="minorHAnsi" w:eastAsia="Calibri" w:hAnsiTheme="minorHAnsi"/>
          <w:i/>
          <w:noProof/>
          <w:lang w:eastAsia="ja-JP"/>
        </w:rPr>
        <w:t xml:space="preserve"> </w:t>
      </w:r>
      <w:r w:rsidRPr="008757B8">
        <w:rPr>
          <w:rFonts w:asciiTheme="minorHAnsi" w:hAnsiTheme="minorHAnsi"/>
          <w:noProof/>
        </w:rPr>
        <w:t xml:space="preserve">Huamarrja gjatë </w:t>
      </w:r>
      <w:r>
        <w:rPr>
          <w:rFonts w:asciiTheme="minorHAnsi" w:hAnsiTheme="minorHAnsi"/>
          <w:noProof/>
        </w:rPr>
        <w:t>T1</w:t>
      </w:r>
      <w:r w:rsidRPr="008757B8">
        <w:rPr>
          <w:rFonts w:asciiTheme="minorHAnsi" w:hAnsiTheme="minorHAnsi"/>
          <w:noProof/>
        </w:rPr>
        <w:t xml:space="preserve"> 2023 u realizua në linjë me buxhetin e vitit 2023 si edhe përgjithësisht në linjë me Planin e Huamarrjes së vitit 2023. Nëpërmjet huamarrjes u mundësua rifinancimi i borxhit ekzistues, si edhe financimi i pjesshëm i deficitit të planifikuar për vitin 2023. Huamarrja në terma bruto u realizua në vlerën 128.7 miliard Lekë, nga të cilat 98.4% (ose 126.6 miliard Lekë) u financuan nëpërmjet burimeve të brendshme dhe 1.6% (ose 2.1 miliard Lekë) nëpërmjet burimeve të huaja. </w:t>
      </w:r>
    </w:p>
    <w:p w14:paraId="767A6D65" w14:textId="77777777" w:rsidR="00D14A63" w:rsidRPr="008757B8" w:rsidRDefault="00D14A63" w:rsidP="00D14A63">
      <w:pPr>
        <w:pStyle w:val="Default"/>
        <w:spacing w:before="120" w:line="276" w:lineRule="auto"/>
        <w:ind w:right="-46"/>
        <w:jc w:val="both"/>
        <w:rPr>
          <w:rFonts w:asciiTheme="minorHAnsi" w:hAnsiTheme="minorHAnsi"/>
          <w:noProof/>
        </w:rPr>
      </w:pPr>
      <w:r w:rsidRPr="008757B8">
        <w:rPr>
          <w:rFonts w:asciiTheme="minorHAnsi" w:eastAsia="Calibri" w:hAnsiTheme="minorHAnsi"/>
          <w:noProof/>
          <w:color w:val="auto"/>
        </w:rPr>
        <w:t xml:space="preserve">Gjatë periudhës janar-mars 2023, menaxhimi i borxhit ka vijuar të ketë fokusin në drejtim të reduktimit të ekspozimit ndaj risqeve duke mbajtur koston në nivelin më të ulët të mundshëm. </w:t>
      </w:r>
      <w:r w:rsidRPr="008757B8">
        <w:rPr>
          <w:rFonts w:asciiTheme="minorHAnsi" w:hAnsiTheme="minorHAnsi"/>
        </w:rPr>
        <w:t xml:space="preserve">Gjatë kësaj periudhe, menaxhimi i risqeve të portofolit të borxhit shtetëror nuk ka mundur të evoluojë plotësisht në drejtim të objektivave strategjikë afatmesëm, por </w:t>
      </w:r>
      <w:r w:rsidRPr="008757B8">
        <w:rPr>
          <w:rFonts w:asciiTheme="minorHAnsi" w:eastAsia="Calibri" w:hAnsiTheme="minorHAnsi"/>
          <w:noProof/>
          <w:color w:val="auto"/>
        </w:rPr>
        <w:t xml:space="preserve">përmirësimi i strukturës së borxhit, kryesisht në aspektin e reduktimit të ekspozimit ndaj riskut të rifinancimit dhe riskut të normave të interesit do vijojë të mbetet fokusi kryesor në menaxhimin e borxhit, në mënyrë që tregues të këtyre risqeve të tregojnë përmirësim në periudhat në vijim. </w:t>
      </w:r>
      <w:r w:rsidRPr="008757B8">
        <w:rPr>
          <w:rFonts w:asciiTheme="minorHAnsi" w:hAnsiTheme="minorHAnsi"/>
          <w:noProof/>
        </w:rPr>
        <w:t xml:space="preserve">Krahasuar me </w:t>
      </w:r>
      <w:r>
        <w:rPr>
          <w:rFonts w:asciiTheme="minorHAnsi" w:hAnsiTheme="minorHAnsi"/>
          <w:noProof/>
        </w:rPr>
        <w:t>T1</w:t>
      </w:r>
      <w:r w:rsidRPr="008757B8">
        <w:rPr>
          <w:rFonts w:asciiTheme="minorHAnsi" w:hAnsiTheme="minorHAnsi"/>
          <w:noProof/>
        </w:rPr>
        <w:t xml:space="preserve"> 2022, shpenzimet për interesa vlerësohen rreth 1.02 miliard Lekë më të larta, kjo për shkak të rritjes së normave të interesit kryesisht në kategorinë e instrumenteve afatshkurtër gjatë gjysmës së dytë të vitit 2022. </w:t>
      </w:r>
    </w:p>
    <w:p w14:paraId="51C3B7C6" w14:textId="77777777" w:rsidR="00051316" w:rsidRPr="00051316" w:rsidRDefault="00D14A63" w:rsidP="00D14A63">
      <w:pPr>
        <w:shd w:val="clear" w:color="auto" w:fill="FFFFFF"/>
        <w:tabs>
          <w:tab w:val="left" w:pos="8647"/>
          <w:tab w:val="left" w:pos="8789"/>
        </w:tabs>
        <w:spacing w:before="120" w:line="276" w:lineRule="auto"/>
        <w:ind w:right="-46"/>
        <w:jc w:val="both"/>
        <w:rPr>
          <w:rFonts w:asciiTheme="minorHAnsi" w:eastAsia="Calibri" w:hAnsiTheme="minorHAnsi"/>
          <w:noProof/>
          <w:lang w:eastAsia="ja-JP"/>
        </w:rPr>
      </w:pPr>
      <w:r w:rsidRPr="008757B8">
        <w:rPr>
          <w:rFonts w:asciiTheme="minorHAnsi" w:eastAsia="Calibri" w:hAnsiTheme="minorHAnsi"/>
          <w:noProof/>
          <w:lang w:eastAsia="ja-JP"/>
        </w:rPr>
        <w:t>Në përputhje me objektivat e Strategjisë Afatmesme të Menaxhimit të Borxhit, gjatë tremujorit të parë të vitit 2023 u vijua me aktivitete në drejtim të zhvillimit të tregut të titujve shtetërorë.</w:t>
      </w:r>
      <w:r>
        <w:rPr>
          <w:rFonts w:asciiTheme="minorHAnsi" w:eastAsia="Calibri" w:hAnsiTheme="minorHAnsi"/>
          <w:noProof/>
          <w:lang w:eastAsia="ja-JP"/>
        </w:rPr>
        <w:t xml:space="preserve"> </w:t>
      </w:r>
      <w:r w:rsidRPr="008757B8">
        <w:rPr>
          <w:rFonts w:asciiTheme="minorHAnsi" w:hAnsiTheme="minorHAnsi"/>
          <w:noProof/>
          <w:color w:val="000000"/>
        </w:rPr>
        <w:t xml:space="preserve">Në vazhdim të angazhimit të ndërmarrë në lidhje me përmirësimin e mëtejshëm të tregut primar dhe zhvillimin e tregut sekondar të titujve shtetërorë, përgjatë </w:t>
      </w:r>
      <w:r>
        <w:rPr>
          <w:rFonts w:asciiTheme="minorHAnsi" w:hAnsiTheme="minorHAnsi"/>
          <w:noProof/>
          <w:color w:val="000000"/>
        </w:rPr>
        <w:t>T1</w:t>
      </w:r>
      <w:r w:rsidRPr="008757B8">
        <w:rPr>
          <w:rFonts w:asciiTheme="minorHAnsi" w:hAnsiTheme="minorHAnsi"/>
          <w:noProof/>
          <w:color w:val="000000"/>
        </w:rPr>
        <w:t xml:space="preserve"> 2023 është vijuar me praktikat që kontribuojnë në krijimin e madhësive referencë dhe konsolidimin e kurbës së yield-it</w:t>
      </w:r>
      <w:r w:rsidR="00051316" w:rsidRPr="00D52A22">
        <w:rPr>
          <w:rFonts w:asciiTheme="minorHAnsi" w:hAnsiTheme="minorHAnsi"/>
          <w:noProof/>
          <w:color w:val="000000"/>
        </w:rPr>
        <w:t>.</w:t>
      </w:r>
    </w:p>
    <w:p w14:paraId="5C6DF8FA" w14:textId="77777777" w:rsidR="00D7570A" w:rsidRDefault="00D7570A" w:rsidP="004F651C">
      <w:pPr>
        <w:spacing w:line="276" w:lineRule="auto"/>
        <w:jc w:val="both"/>
        <w:rPr>
          <w:rFonts w:asciiTheme="minorHAnsi" w:eastAsia="MS Mincho" w:hAnsiTheme="minorHAnsi"/>
          <w:lang w:val="sq-AL"/>
        </w:rPr>
      </w:pPr>
    </w:p>
    <w:p w14:paraId="01F564B1" w14:textId="77777777" w:rsidR="00D14A63" w:rsidRDefault="00D14A63" w:rsidP="004F651C">
      <w:pPr>
        <w:spacing w:line="276" w:lineRule="auto"/>
        <w:jc w:val="both"/>
        <w:rPr>
          <w:rFonts w:asciiTheme="minorHAnsi" w:eastAsia="MS Mincho" w:hAnsiTheme="minorHAnsi"/>
          <w:lang w:val="sq-AL"/>
        </w:rPr>
      </w:pPr>
    </w:p>
    <w:p w14:paraId="1C4B925D" w14:textId="77777777" w:rsidR="00591367" w:rsidRDefault="00CB4875" w:rsidP="002334F6">
      <w:pPr>
        <w:pStyle w:val="Heading2"/>
      </w:pPr>
      <w:bookmarkStart w:id="75" w:name="_Toc107496992"/>
      <w:r w:rsidRPr="0065598A">
        <w:lastRenderedPageBreak/>
        <w:t>I</w:t>
      </w:r>
      <w:r w:rsidR="006C73CF" w:rsidRPr="0065598A">
        <w:t>V.1</w:t>
      </w:r>
      <w:r w:rsidR="006C73CF" w:rsidRPr="0065598A">
        <w:tab/>
        <w:t xml:space="preserve">Stoku i Borxhit </w:t>
      </w:r>
      <w:r w:rsidR="00996855" w:rsidRPr="0065598A">
        <w:t>Publik</w:t>
      </w:r>
      <w:bookmarkEnd w:id="75"/>
    </w:p>
    <w:p w14:paraId="1A3ACB29" w14:textId="77777777" w:rsidR="004F651C" w:rsidRDefault="000C34A9" w:rsidP="004F651C">
      <w:pPr>
        <w:spacing w:line="276" w:lineRule="auto"/>
        <w:jc w:val="both"/>
        <w:rPr>
          <w:rFonts w:asciiTheme="minorHAnsi" w:hAnsiTheme="minorHAnsi"/>
          <w:lang w:val="sq-AL"/>
        </w:rPr>
      </w:pPr>
      <w:r w:rsidRPr="008757B8">
        <w:rPr>
          <w:rFonts w:asciiTheme="minorHAnsi" w:hAnsiTheme="minorHAnsi"/>
          <w:noProof/>
        </w:rPr>
        <w:t>Në fund të muajit mars 2023, borxhi publik u vlerësua në nivelin 1,377</w:t>
      </w:r>
      <w:r w:rsidR="001F5F64">
        <w:rPr>
          <w:rFonts w:asciiTheme="minorHAnsi" w:hAnsiTheme="minorHAnsi"/>
          <w:noProof/>
        </w:rPr>
        <w:t xml:space="preserve">mld </w:t>
      </w:r>
      <w:r w:rsidRPr="008757B8">
        <w:rPr>
          <w:rFonts w:asciiTheme="minorHAnsi" w:hAnsiTheme="minorHAnsi"/>
          <w:noProof/>
        </w:rPr>
        <w:t>Lekë ose 63.3% e PBB. Në terma nominal, stoku i borxhit publik është ulur me rreth 1.7</w:t>
      </w:r>
      <w:r w:rsidR="001F5F64">
        <w:rPr>
          <w:rFonts w:asciiTheme="minorHAnsi" w:hAnsiTheme="minorHAnsi"/>
          <w:noProof/>
        </w:rPr>
        <w:t>mld</w:t>
      </w:r>
      <w:r w:rsidRPr="008757B8">
        <w:rPr>
          <w:rFonts w:asciiTheme="minorHAnsi" w:hAnsiTheme="minorHAnsi"/>
          <w:noProof/>
        </w:rPr>
        <w:t xml:space="preserve"> Lekë krahasuar me fundin e vitit 2022, nga të cilat 11.8</w:t>
      </w:r>
      <w:r w:rsidR="001F5F64">
        <w:rPr>
          <w:rFonts w:asciiTheme="minorHAnsi" w:hAnsiTheme="minorHAnsi"/>
          <w:noProof/>
        </w:rPr>
        <w:t>mld</w:t>
      </w:r>
      <w:r w:rsidRPr="008757B8">
        <w:rPr>
          <w:rFonts w:asciiTheme="minorHAnsi" w:hAnsiTheme="minorHAnsi"/>
          <w:noProof/>
        </w:rPr>
        <w:t xml:space="preserve"> Lekë i korrespondojnë rritjes së borxhit të brendshëm dhe</w:t>
      </w:r>
      <w:r w:rsidR="001F5F64">
        <w:rPr>
          <w:rFonts w:asciiTheme="minorHAnsi" w:hAnsiTheme="minorHAnsi"/>
          <w:noProof/>
        </w:rPr>
        <w:t xml:space="preserve"> -</w:t>
      </w:r>
      <w:r w:rsidRPr="008757B8">
        <w:rPr>
          <w:rFonts w:asciiTheme="minorHAnsi" w:hAnsiTheme="minorHAnsi"/>
          <w:noProof/>
        </w:rPr>
        <w:t>13.5</w:t>
      </w:r>
      <w:r w:rsidR="001F5F64">
        <w:rPr>
          <w:rFonts w:asciiTheme="minorHAnsi" w:hAnsiTheme="minorHAnsi"/>
          <w:noProof/>
        </w:rPr>
        <w:t>mld</w:t>
      </w:r>
      <w:r w:rsidRPr="008757B8">
        <w:rPr>
          <w:rFonts w:asciiTheme="minorHAnsi" w:hAnsiTheme="minorHAnsi"/>
          <w:noProof/>
        </w:rPr>
        <w:t xml:space="preserve"> Lekë uljes së borxhit të jashtëm. Ulja e borxhit të jashtëm në vlerë nominale ka ardhur për shkak se gjatë kësaj periudhe ripagesat e borxhit të jashtëm kanë qenë më të larta se disbursimet si dhe </w:t>
      </w:r>
      <w:r w:rsidR="001F5F64">
        <w:rPr>
          <w:rFonts w:asciiTheme="minorHAnsi" w:hAnsiTheme="minorHAnsi"/>
          <w:noProof/>
        </w:rPr>
        <w:t xml:space="preserve">nga </w:t>
      </w:r>
      <w:r w:rsidRPr="008757B8">
        <w:rPr>
          <w:rFonts w:asciiTheme="minorHAnsi" w:hAnsiTheme="minorHAnsi"/>
          <w:noProof/>
        </w:rPr>
        <w:t xml:space="preserve">efekti </w:t>
      </w:r>
      <w:r w:rsidR="001F5F64">
        <w:rPr>
          <w:rFonts w:asciiTheme="minorHAnsi" w:hAnsiTheme="minorHAnsi"/>
          <w:noProof/>
        </w:rPr>
        <w:t>i</w:t>
      </w:r>
      <w:r w:rsidRPr="008757B8">
        <w:rPr>
          <w:rFonts w:asciiTheme="minorHAnsi" w:hAnsiTheme="minorHAnsi"/>
          <w:noProof/>
        </w:rPr>
        <w:t xml:space="preserve"> kursit të këmbimit. Gjatë </w:t>
      </w:r>
      <w:r w:rsidR="001F5F64">
        <w:rPr>
          <w:rFonts w:asciiTheme="minorHAnsi" w:hAnsiTheme="minorHAnsi"/>
          <w:noProof/>
        </w:rPr>
        <w:t>T1 2023</w:t>
      </w:r>
      <w:r w:rsidRPr="008757B8">
        <w:rPr>
          <w:rFonts w:asciiTheme="minorHAnsi" w:hAnsiTheme="minorHAnsi"/>
          <w:noProof/>
        </w:rPr>
        <w:t xml:space="preserve"> është llogaritur një efekt i kursit të këmbimit në portofolin e borxhit të shprehur në valutë prej rreth 6.8</w:t>
      </w:r>
      <w:r w:rsidR="001F5F64">
        <w:rPr>
          <w:rFonts w:asciiTheme="minorHAnsi" w:hAnsiTheme="minorHAnsi"/>
          <w:noProof/>
        </w:rPr>
        <w:t>mld</w:t>
      </w:r>
      <w:r w:rsidRPr="008757B8">
        <w:rPr>
          <w:rFonts w:asciiTheme="minorHAnsi" w:hAnsiTheme="minorHAnsi"/>
          <w:noProof/>
        </w:rPr>
        <w:t xml:space="preserve"> lekë, ose rreth 0.3% të PBB</w:t>
      </w:r>
      <w:r w:rsidR="004F651C" w:rsidRPr="00591367">
        <w:rPr>
          <w:rFonts w:asciiTheme="minorHAnsi" w:hAnsiTheme="minorHAnsi"/>
          <w:lang w:val="sq-AL"/>
        </w:rPr>
        <w:t xml:space="preserve">. </w:t>
      </w:r>
    </w:p>
    <w:p w14:paraId="5C90A169" w14:textId="77777777" w:rsidR="004F651C" w:rsidRPr="004F651C" w:rsidRDefault="004F651C" w:rsidP="004F651C">
      <w:pPr>
        <w:ind w:right="-46"/>
        <w:rPr>
          <w:rFonts w:asciiTheme="minorHAnsi" w:hAnsiTheme="minorHAnsi"/>
          <w:i/>
          <w:noProof/>
          <w:sz w:val="8"/>
          <w:szCs w:val="8"/>
        </w:rPr>
      </w:pPr>
    </w:p>
    <w:p w14:paraId="338D17DB" w14:textId="7C89F2BB" w:rsidR="004F651C" w:rsidRPr="004F651C" w:rsidRDefault="004F651C" w:rsidP="004F651C">
      <w:pPr>
        <w:spacing w:line="276" w:lineRule="auto"/>
        <w:ind w:right="-46"/>
        <w:rPr>
          <w:rFonts w:asciiTheme="minorHAnsi" w:hAnsiTheme="minorHAnsi"/>
          <w:i/>
          <w:noProof/>
          <w:sz w:val="22"/>
        </w:rPr>
      </w:pPr>
      <w:bookmarkStart w:id="76" w:name="_Toc107498125"/>
      <w:r w:rsidRPr="004F651C">
        <w:rPr>
          <w:rFonts w:asciiTheme="minorHAnsi" w:hAnsiTheme="minorHAnsi"/>
          <w:i/>
          <w:noProof/>
          <w:sz w:val="22"/>
        </w:rPr>
        <w:t xml:space="preserve">Grafiku </w:t>
      </w:r>
      <w:r w:rsidRPr="004F651C">
        <w:rPr>
          <w:rFonts w:asciiTheme="minorHAnsi" w:hAnsiTheme="minorHAnsi"/>
          <w:i/>
          <w:noProof/>
          <w:sz w:val="22"/>
        </w:rPr>
        <w:fldChar w:fldCharType="begin"/>
      </w:r>
      <w:r w:rsidRPr="004F651C">
        <w:rPr>
          <w:rFonts w:asciiTheme="minorHAnsi" w:hAnsiTheme="minorHAnsi"/>
          <w:i/>
          <w:noProof/>
          <w:sz w:val="22"/>
        </w:rPr>
        <w:instrText xml:space="preserve"> SEQ Grafiku \* ARABIC </w:instrText>
      </w:r>
      <w:r w:rsidRPr="004F651C">
        <w:rPr>
          <w:rFonts w:asciiTheme="minorHAnsi" w:hAnsiTheme="minorHAnsi"/>
          <w:i/>
          <w:noProof/>
          <w:sz w:val="22"/>
        </w:rPr>
        <w:fldChar w:fldCharType="separate"/>
      </w:r>
      <w:r w:rsidR="00C153A9">
        <w:rPr>
          <w:rFonts w:asciiTheme="minorHAnsi" w:hAnsiTheme="minorHAnsi"/>
          <w:i/>
          <w:noProof/>
          <w:sz w:val="22"/>
        </w:rPr>
        <w:t>33</w:t>
      </w:r>
      <w:r w:rsidRPr="004F651C">
        <w:rPr>
          <w:rFonts w:asciiTheme="minorHAnsi" w:hAnsiTheme="minorHAnsi"/>
          <w:i/>
          <w:noProof/>
          <w:sz w:val="22"/>
        </w:rPr>
        <w:fldChar w:fldCharType="end"/>
      </w:r>
      <w:r w:rsidRPr="004F651C">
        <w:rPr>
          <w:rFonts w:asciiTheme="minorHAnsi" w:hAnsiTheme="minorHAnsi"/>
          <w:i/>
          <w:noProof/>
          <w:sz w:val="22"/>
        </w:rPr>
        <w:t>: Borxhi publik në vlerë absolute dhe relative ndaj PBB (201</w:t>
      </w:r>
      <w:r w:rsidR="001F5F64">
        <w:rPr>
          <w:rFonts w:asciiTheme="minorHAnsi" w:hAnsiTheme="minorHAnsi"/>
          <w:i/>
          <w:noProof/>
          <w:sz w:val="22"/>
        </w:rPr>
        <w:t>8</w:t>
      </w:r>
      <w:r w:rsidRPr="004F651C">
        <w:rPr>
          <w:rFonts w:asciiTheme="minorHAnsi" w:hAnsiTheme="minorHAnsi"/>
          <w:i/>
          <w:noProof/>
          <w:sz w:val="22"/>
        </w:rPr>
        <w:t>–Mars 202</w:t>
      </w:r>
      <w:r w:rsidR="001F5F64">
        <w:rPr>
          <w:rFonts w:asciiTheme="minorHAnsi" w:hAnsiTheme="minorHAnsi"/>
          <w:i/>
          <w:noProof/>
          <w:sz w:val="22"/>
        </w:rPr>
        <w:t>3</w:t>
      </w:r>
      <w:r w:rsidRPr="004F651C">
        <w:rPr>
          <w:rFonts w:asciiTheme="minorHAnsi" w:hAnsiTheme="minorHAnsi"/>
          <w:i/>
          <w:noProof/>
          <w:sz w:val="22"/>
        </w:rPr>
        <w:t>)</w:t>
      </w:r>
      <w:bookmarkEnd w:id="76"/>
    </w:p>
    <w:p w14:paraId="46D8F6D0" w14:textId="77777777" w:rsidR="00051316" w:rsidRPr="00D52A22" w:rsidRDefault="001F5F64" w:rsidP="00051316">
      <w:pPr>
        <w:pStyle w:val="ListParagraph"/>
        <w:spacing w:line="276" w:lineRule="auto"/>
        <w:ind w:left="0" w:right="-188"/>
        <w:jc w:val="center"/>
        <w:rPr>
          <w:rFonts w:asciiTheme="minorHAnsi" w:hAnsiTheme="minorHAnsi"/>
          <w:noProof/>
        </w:rPr>
      </w:pPr>
      <w:r w:rsidRPr="008757B8">
        <w:rPr>
          <w:rFonts w:asciiTheme="minorHAnsi" w:hAnsiTheme="minorHAnsi"/>
          <w:noProof/>
        </w:rPr>
        <w:drawing>
          <wp:inline distT="0" distB="0" distL="0" distR="0" wp14:anchorId="3B1831DA" wp14:editId="2A3D3EEE">
            <wp:extent cx="5594985" cy="1562100"/>
            <wp:effectExtent l="0" t="0" r="5715" b="0"/>
            <wp:docPr id="25" name="Chart 25">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0C8163A1" w14:textId="77777777" w:rsidR="004F651C" w:rsidRPr="00591367" w:rsidRDefault="00ED2C0C" w:rsidP="004F651C">
      <w:pPr>
        <w:tabs>
          <w:tab w:val="left" w:pos="540"/>
        </w:tabs>
        <w:spacing w:line="276" w:lineRule="auto"/>
        <w:rPr>
          <w:rFonts w:asciiTheme="minorHAnsi" w:hAnsiTheme="minorHAnsi"/>
          <w:i/>
          <w:sz w:val="20"/>
          <w:lang w:val="sq-AL"/>
        </w:rPr>
      </w:pPr>
      <w:r>
        <w:rPr>
          <w:rFonts w:asciiTheme="minorHAnsi" w:hAnsiTheme="minorHAnsi"/>
          <w:i/>
          <w:sz w:val="20"/>
          <w:lang w:val="sq-AL"/>
        </w:rPr>
        <w:tab/>
      </w:r>
      <w:r w:rsidR="00193978">
        <w:rPr>
          <w:rFonts w:asciiTheme="minorHAnsi" w:hAnsiTheme="minorHAnsi"/>
          <w:i/>
          <w:sz w:val="20"/>
          <w:lang w:val="sq-AL"/>
        </w:rPr>
        <w:t>Burimi: Ministria e Financave dhe Ekonomisë (2023)</w:t>
      </w:r>
    </w:p>
    <w:p w14:paraId="5AD7D7B3" w14:textId="77777777" w:rsidR="004F651C" w:rsidRPr="00591367" w:rsidRDefault="001F5F64" w:rsidP="004F651C">
      <w:pPr>
        <w:spacing w:line="276" w:lineRule="auto"/>
        <w:ind w:right="-46"/>
        <w:jc w:val="both"/>
        <w:rPr>
          <w:rFonts w:asciiTheme="minorHAnsi" w:eastAsia="MS Mincho" w:hAnsiTheme="minorHAnsi"/>
          <w:sz w:val="8"/>
          <w:szCs w:val="8"/>
          <w:lang w:val="sq-AL"/>
        </w:rPr>
      </w:pPr>
      <w:r w:rsidRPr="008757B8">
        <w:rPr>
          <w:rFonts w:asciiTheme="minorHAnsi" w:hAnsiTheme="minorHAnsi"/>
          <w:noProof/>
        </w:rPr>
        <w:t>Niveli i borxhit të brendshëm dhe atij të jashtëm në raport me totalin e borxhit publik janë përkatësisht rreth 54.1% dhe 45.9%, duke ruajtur pothuajse të njëjtin raport si në fund të vitit 2022. Për sa i përket kompozimit të portofolit të borxhit sipas instrumenteve, më shumë se gjysmën e peshës vazhdojnë ta mbajnë instrumentet e tregtueshme (bono thesari, obligacione, eurobond), ndjekur nga huatë e huaja me destinacion financimin e projekteve dhe huatë në formën e mbështetjes buxhetore</w:t>
      </w:r>
      <w:r>
        <w:rPr>
          <w:rFonts w:asciiTheme="minorHAnsi" w:hAnsiTheme="minorHAnsi"/>
          <w:noProof/>
        </w:rPr>
        <w:t xml:space="preserve">. </w:t>
      </w:r>
    </w:p>
    <w:p w14:paraId="257AE16B" w14:textId="678A727E" w:rsidR="004F651C" w:rsidRPr="004F651C" w:rsidRDefault="004F651C" w:rsidP="004F651C">
      <w:pPr>
        <w:spacing w:line="276" w:lineRule="auto"/>
        <w:ind w:right="-46"/>
        <w:rPr>
          <w:rFonts w:asciiTheme="minorHAnsi" w:hAnsiTheme="minorHAnsi"/>
          <w:i/>
          <w:noProof/>
          <w:sz w:val="22"/>
        </w:rPr>
      </w:pPr>
      <w:bookmarkStart w:id="77" w:name="_Toc107498126"/>
      <w:r w:rsidRPr="004F651C">
        <w:rPr>
          <w:rFonts w:asciiTheme="minorHAnsi" w:hAnsiTheme="minorHAnsi"/>
          <w:i/>
          <w:noProof/>
          <w:sz w:val="22"/>
        </w:rPr>
        <w:t xml:space="preserve">Grafiku </w:t>
      </w:r>
      <w:r w:rsidRPr="004F651C">
        <w:rPr>
          <w:rFonts w:asciiTheme="minorHAnsi" w:hAnsiTheme="minorHAnsi"/>
          <w:i/>
          <w:noProof/>
          <w:sz w:val="22"/>
        </w:rPr>
        <w:fldChar w:fldCharType="begin"/>
      </w:r>
      <w:r w:rsidRPr="004F651C">
        <w:rPr>
          <w:rFonts w:asciiTheme="minorHAnsi" w:hAnsiTheme="minorHAnsi"/>
          <w:i/>
          <w:noProof/>
          <w:sz w:val="22"/>
        </w:rPr>
        <w:instrText xml:space="preserve"> SEQ Grafiku \* ARABIC </w:instrText>
      </w:r>
      <w:r w:rsidRPr="004F651C">
        <w:rPr>
          <w:rFonts w:asciiTheme="minorHAnsi" w:hAnsiTheme="minorHAnsi"/>
          <w:i/>
          <w:noProof/>
          <w:sz w:val="22"/>
        </w:rPr>
        <w:fldChar w:fldCharType="separate"/>
      </w:r>
      <w:r w:rsidR="00C153A9">
        <w:rPr>
          <w:rFonts w:asciiTheme="minorHAnsi" w:hAnsiTheme="minorHAnsi"/>
          <w:i/>
          <w:noProof/>
          <w:sz w:val="22"/>
        </w:rPr>
        <w:t>34</w:t>
      </w:r>
      <w:r w:rsidRPr="004F651C">
        <w:rPr>
          <w:rFonts w:asciiTheme="minorHAnsi" w:hAnsiTheme="minorHAnsi"/>
          <w:i/>
          <w:noProof/>
          <w:sz w:val="22"/>
        </w:rPr>
        <w:fldChar w:fldCharType="end"/>
      </w:r>
      <w:r w:rsidRPr="004F651C">
        <w:rPr>
          <w:rFonts w:asciiTheme="minorHAnsi" w:hAnsiTheme="minorHAnsi"/>
          <w:i/>
          <w:noProof/>
          <w:sz w:val="22"/>
        </w:rPr>
        <w:t>: Përbërja e borxhit të qeverisjes qendrore në raport me totalin (201</w:t>
      </w:r>
      <w:r w:rsidR="001F5F64">
        <w:rPr>
          <w:rFonts w:asciiTheme="minorHAnsi" w:hAnsiTheme="minorHAnsi"/>
          <w:i/>
          <w:noProof/>
          <w:sz w:val="22"/>
        </w:rPr>
        <w:t>8</w:t>
      </w:r>
      <w:r w:rsidRPr="004F651C">
        <w:rPr>
          <w:rFonts w:asciiTheme="minorHAnsi" w:hAnsiTheme="minorHAnsi"/>
          <w:i/>
          <w:noProof/>
          <w:sz w:val="22"/>
        </w:rPr>
        <w:t>-Mars 202</w:t>
      </w:r>
      <w:r w:rsidR="001F5F64">
        <w:rPr>
          <w:rFonts w:asciiTheme="minorHAnsi" w:hAnsiTheme="minorHAnsi"/>
          <w:i/>
          <w:noProof/>
          <w:sz w:val="22"/>
        </w:rPr>
        <w:t>3</w:t>
      </w:r>
      <w:r w:rsidRPr="004F651C">
        <w:rPr>
          <w:rFonts w:asciiTheme="minorHAnsi" w:hAnsiTheme="minorHAnsi"/>
          <w:i/>
          <w:noProof/>
          <w:sz w:val="22"/>
        </w:rPr>
        <w:t>)</w:t>
      </w:r>
      <w:bookmarkEnd w:id="77"/>
    </w:p>
    <w:p w14:paraId="76269538" w14:textId="77777777" w:rsidR="004F651C" w:rsidRPr="00EB3166" w:rsidRDefault="001F5F64" w:rsidP="004F651C">
      <w:pPr>
        <w:spacing w:line="276" w:lineRule="auto"/>
        <w:ind w:right="-46"/>
        <w:jc w:val="center"/>
        <w:rPr>
          <w:rFonts w:asciiTheme="minorHAnsi" w:hAnsiTheme="minorHAnsi"/>
          <w:i/>
          <w:noProof/>
        </w:rPr>
      </w:pPr>
      <w:r w:rsidRPr="008757B8">
        <w:rPr>
          <w:rFonts w:asciiTheme="minorHAnsi" w:hAnsiTheme="minorHAnsi"/>
          <w:noProof/>
        </w:rPr>
        <w:drawing>
          <wp:inline distT="0" distB="0" distL="0" distR="0" wp14:anchorId="0AA3F5EC" wp14:editId="4F1E20D2">
            <wp:extent cx="5731510" cy="1889185"/>
            <wp:effectExtent l="0" t="0" r="2540" b="15875"/>
            <wp:docPr id="27" name="Chart 27">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1376CE5" w14:textId="77777777" w:rsidR="004F651C" w:rsidRPr="00591367" w:rsidRDefault="00193978" w:rsidP="004F651C">
      <w:pPr>
        <w:tabs>
          <w:tab w:val="left" w:pos="540"/>
        </w:tabs>
        <w:spacing w:line="276" w:lineRule="auto"/>
        <w:rPr>
          <w:rFonts w:asciiTheme="minorHAnsi" w:hAnsiTheme="minorHAnsi"/>
          <w:i/>
          <w:sz w:val="20"/>
          <w:lang w:val="sq-AL"/>
        </w:rPr>
      </w:pPr>
      <w:r>
        <w:rPr>
          <w:rFonts w:asciiTheme="minorHAnsi" w:hAnsiTheme="minorHAnsi"/>
          <w:i/>
          <w:sz w:val="20"/>
          <w:lang w:val="sq-AL"/>
        </w:rPr>
        <w:t>Burimi: Ministria e Financave dhe Ekonomisë (2023)</w:t>
      </w:r>
    </w:p>
    <w:p w14:paraId="0659683C" w14:textId="77777777" w:rsidR="007000D1" w:rsidRDefault="001F5F64" w:rsidP="004F651C">
      <w:pPr>
        <w:spacing w:line="276" w:lineRule="auto"/>
        <w:jc w:val="both"/>
        <w:rPr>
          <w:rFonts w:asciiTheme="minorHAnsi" w:hAnsiTheme="minorHAnsi"/>
          <w:i/>
          <w:u w:val="single"/>
          <w:lang w:val="sq-AL"/>
        </w:rPr>
      </w:pPr>
      <w:r w:rsidRPr="008757B8">
        <w:rPr>
          <w:rFonts w:asciiTheme="minorHAnsi" w:hAnsiTheme="minorHAnsi"/>
          <w:noProof/>
        </w:rPr>
        <w:t xml:space="preserve">Borxhi i pushtetit lokal vazhdon të qëndrojë në nivele të ulëta </w:t>
      </w:r>
      <w:r w:rsidRPr="008757B8">
        <w:rPr>
          <w:rFonts w:asciiTheme="minorHAnsi" w:hAnsiTheme="minorHAnsi"/>
          <w:i/>
          <w:noProof/>
        </w:rPr>
        <w:t>(rreth 175 milion Lekë)</w:t>
      </w:r>
      <w:r w:rsidRPr="008757B8">
        <w:rPr>
          <w:rFonts w:asciiTheme="minorHAnsi" w:hAnsiTheme="minorHAnsi"/>
          <w:noProof/>
        </w:rPr>
        <w:t>, kryesisht për shkak të kapaciteteve të ulëta që kanë njësitë e qeverisjes vendore për të marrë borxh të ri. Gjatë tremujorit të parë të vitit 2023 nuk ka pasur asnjë kërkesë nga njësitë e qeverisjes vendore për huamarrje të re</w:t>
      </w:r>
    </w:p>
    <w:p w14:paraId="2F006D83" w14:textId="77777777" w:rsidR="001F5F64" w:rsidRDefault="001F5F64" w:rsidP="004F651C">
      <w:pPr>
        <w:spacing w:line="276" w:lineRule="auto"/>
        <w:jc w:val="both"/>
        <w:rPr>
          <w:rFonts w:asciiTheme="minorHAnsi" w:hAnsiTheme="minorHAnsi"/>
          <w:i/>
          <w:u w:val="single"/>
          <w:lang w:val="sq-AL"/>
        </w:rPr>
      </w:pPr>
    </w:p>
    <w:p w14:paraId="3E75F868" w14:textId="77777777" w:rsidR="004F651C" w:rsidRPr="00D43A95" w:rsidRDefault="004F651C" w:rsidP="004F651C">
      <w:pPr>
        <w:spacing w:line="276" w:lineRule="auto"/>
        <w:jc w:val="both"/>
        <w:rPr>
          <w:rFonts w:asciiTheme="minorHAnsi" w:hAnsiTheme="minorHAnsi"/>
          <w:i/>
          <w:u w:val="single"/>
          <w:lang w:val="sq-AL"/>
        </w:rPr>
      </w:pPr>
      <w:r w:rsidRPr="00D43A95">
        <w:rPr>
          <w:rFonts w:asciiTheme="minorHAnsi" w:hAnsiTheme="minorHAnsi"/>
          <w:i/>
          <w:u w:val="single"/>
          <w:lang w:val="sq-AL"/>
        </w:rPr>
        <w:t>Përbërja e Borxhit Shtetëror</w:t>
      </w:r>
    </w:p>
    <w:p w14:paraId="4EC78200" w14:textId="77777777" w:rsidR="004F651C" w:rsidRDefault="001F5F64" w:rsidP="004F651C">
      <w:pPr>
        <w:tabs>
          <w:tab w:val="left" w:pos="9000"/>
        </w:tabs>
        <w:spacing w:line="276" w:lineRule="auto"/>
        <w:ind w:right="-46"/>
        <w:jc w:val="both"/>
        <w:rPr>
          <w:rFonts w:asciiTheme="minorHAnsi" w:hAnsiTheme="minorHAnsi"/>
          <w:noProof/>
        </w:rPr>
      </w:pPr>
      <w:r w:rsidRPr="008757B8">
        <w:rPr>
          <w:rFonts w:asciiTheme="minorHAnsi" w:hAnsiTheme="minorHAnsi"/>
          <w:noProof/>
        </w:rPr>
        <w:t>Gjatë periudhës janar-mars të vitit 2023 portofoli i borxhit shtetëror vazhdon të dominohet me mbi 50% nga titujt shtetërorë të tregtuar në tregun vendas, në përputhje me objektivat strategjikë për mbajtjen nën kontroll të riskut të kursit të këmbimit</w:t>
      </w:r>
      <w:r w:rsidR="004F651C" w:rsidRPr="00591367">
        <w:rPr>
          <w:rFonts w:asciiTheme="minorHAnsi" w:hAnsiTheme="minorHAnsi"/>
          <w:noProof/>
        </w:rPr>
        <w:t>.</w:t>
      </w:r>
    </w:p>
    <w:p w14:paraId="56D31A22" w14:textId="77777777" w:rsidR="004F651C" w:rsidRPr="00591367" w:rsidRDefault="004F651C" w:rsidP="004F651C">
      <w:pPr>
        <w:pStyle w:val="ListParagraph"/>
        <w:tabs>
          <w:tab w:val="left" w:pos="9000"/>
        </w:tabs>
        <w:spacing w:line="276" w:lineRule="auto"/>
        <w:ind w:right="-188"/>
        <w:jc w:val="both"/>
        <w:rPr>
          <w:rFonts w:asciiTheme="minorHAnsi" w:hAnsiTheme="minorHAnsi"/>
          <w:noProof/>
          <w:sz w:val="8"/>
          <w:szCs w:val="8"/>
        </w:rPr>
      </w:pPr>
    </w:p>
    <w:p w14:paraId="7B9E65E9" w14:textId="25B91B5C" w:rsidR="004F651C" w:rsidRPr="004F651C" w:rsidRDefault="004F651C" w:rsidP="004F651C">
      <w:pPr>
        <w:spacing w:line="276" w:lineRule="auto"/>
        <w:ind w:left="-1418" w:right="-188" w:firstLine="1418"/>
        <w:rPr>
          <w:rFonts w:asciiTheme="minorHAnsi" w:hAnsiTheme="minorHAnsi"/>
          <w:i/>
          <w:noProof/>
          <w:sz w:val="22"/>
        </w:rPr>
      </w:pPr>
      <w:bookmarkStart w:id="78" w:name="_Toc107498127"/>
      <w:r w:rsidRPr="004F651C">
        <w:rPr>
          <w:rFonts w:asciiTheme="minorHAnsi" w:hAnsiTheme="minorHAnsi"/>
          <w:i/>
          <w:noProof/>
          <w:sz w:val="22"/>
        </w:rPr>
        <w:t xml:space="preserve">Grafiku </w:t>
      </w:r>
      <w:r w:rsidRPr="004F651C">
        <w:rPr>
          <w:rFonts w:asciiTheme="minorHAnsi" w:hAnsiTheme="minorHAnsi"/>
          <w:i/>
          <w:noProof/>
          <w:sz w:val="22"/>
        </w:rPr>
        <w:fldChar w:fldCharType="begin"/>
      </w:r>
      <w:r w:rsidRPr="004F651C">
        <w:rPr>
          <w:rFonts w:asciiTheme="minorHAnsi" w:hAnsiTheme="minorHAnsi"/>
          <w:i/>
          <w:noProof/>
          <w:sz w:val="22"/>
        </w:rPr>
        <w:instrText xml:space="preserve"> SEQ Grafiku \* ARABIC </w:instrText>
      </w:r>
      <w:r w:rsidRPr="004F651C">
        <w:rPr>
          <w:rFonts w:asciiTheme="minorHAnsi" w:hAnsiTheme="minorHAnsi"/>
          <w:i/>
          <w:noProof/>
          <w:sz w:val="22"/>
        </w:rPr>
        <w:fldChar w:fldCharType="separate"/>
      </w:r>
      <w:r w:rsidR="00C153A9">
        <w:rPr>
          <w:rFonts w:asciiTheme="minorHAnsi" w:hAnsiTheme="minorHAnsi"/>
          <w:i/>
          <w:noProof/>
          <w:sz w:val="22"/>
        </w:rPr>
        <w:t>35</w:t>
      </w:r>
      <w:r w:rsidRPr="004F651C">
        <w:rPr>
          <w:rFonts w:asciiTheme="minorHAnsi" w:hAnsiTheme="minorHAnsi"/>
          <w:i/>
          <w:noProof/>
          <w:sz w:val="22"/>
        </w:rPr>
        <w:fldChar w:fldCharType="end"/>
      </w:r>
      <w:r w:rsidRPr="004F651C">
        <w:rPr>
          <w:rFonts w:asciiTheme="minorHAnsi" w:hAnsiTheme="minorHAnsi"/>
          <w:i/>
          <w:noProof/>
          <w:sz w:val="22"/>
        </w:rPr>
        <w:t>: Kompozimi i portofolit të borxhit shtetëror sipas instrumenteve (201</w:t>
      </w:r>
      <w:r w:rsidR="001F5F64">
        <w:rPr>
          <w:rFonts w:asciiTheme="minorHAnsi" w:hAnsiTheme="minorHAnsi"/>
          <w:i/>
          <w:noProof/>
          <w:sz w:val="22"/>
        </w:rPr>
        <w:t>8</w:t>
      </w:r>
      <w:r w:rsidRPr="004F651C">
        <w:rPr>
          <w:rFonts w:asciiTheme="minorHAnsi" w:hAnsiTheme="minorHAnsi"/>
          <w:i/>
          <w:noProof/>
          <w:sz w:val="22"/>
        </w:rPr>
        <w:t>–Mars 202</w:t>
      </w:r>
      <w:r w:rsidR="001F5F64">
        <w:rPr>
          <w:rFonts w:asciiTheme="minorHAnsi" w:hAnsiTheme="minorHAnsi"/>
          <w:i/>
          <w:noProof/>
          <w:sz w:val="22"/>
        </w:rPr>
        <w:t>3</w:t>
      </w:r>
      <w:r w:rsidRPr="004F651C">
        <w:rPr>
          <w:rFonts w:asciiTheme="minorHAnsi" w:hAnsiTheme="minorHAnsi"/>
          <w:i/>
          <w:noProof/>
          <w:sz w:val="22"/>
        </w:rPr>
        <w:t>)</w:t>
      </w:r>
      <w:bookmarkEnd w:id="78"/>
    </w:p>
    <w:p w14:paraId="06B89A81" w14:textId="77777777" w:rsidR="004F651C" w:rsidRPr="00EB3166" w:rsidRDefault="001F5F64" w:rsidP="004F651C">
      <w:pPr>
        <w:spacing w:line="276" w:lineRule="auto"/>
        <w:ind w:left="-1418" w:right="-188" w:firstLine="1418"/>
        <w:jc w:val="center"/>
        <w:rPr>
          <w:rFonts w:asciiTheme="minorHAnsi" w:eastAsia="MS Mincho" w:hAnsiTheme="minorHAnsi"/>
          <w:i/>
          <w:noProof/>
          <w:lang w:val="sq-AL"/>
        </w:rPr>
      </w:pPr>
      <w:r w:rsidRPr="008757B8">
        <w:rPr>
          <w:rFonts w:asciiTheme="minorHAnsi" w:hAnsiTheme="minorHAnsi"/>
          <w:noProof/>
        </w:rPr>
        <w:drawing>
          <wp:inline distT="0" distB="0" distL="0" distR="0" wp14:anchorId="51DDFA12" wp14:editId="4BCF5FF4">
            <wp:extent cx="5731510" cy="1842770"/>
            <wp:effectExtent l="0" t="0" r="2540" b="5080"/>
            <wp:docPr id="26" name="Chart 26">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730BE7E7" w14:textId="77777777" w:rsidR="004F651C" w:rsidRPr="00591367" w:rsidRDefault="00193978" w:rsidP="004F651C">
      <w:pPr>
        <w:spacing w:line="276" w:lineRule="auto"/>
        <w:ind w:right="-188" w:firstLine="720"/>
        <w:rPr>
          <w:rFonts w:asciiTheme="minorHAnsi" w:hAnsiTheme="minorHAnsi"/>
          <w:i/>
          <w:noProof/>
          <w:sz w:val="20"/>
          <w:szCs w:val="20"/>
        </w:rPr>
      </w:pPr>
      <w:r>
        <w:rPr>
          <w:rFonts w:asciiTheme="minorHAnsi" w:hAnsiTheme="minorHAnsi"/>
          <w:i/>
          <w:noProof/>
          <w:sz w:val="20"/>
          <w:szCs w:val="20"/>
        </w:rPr>
        <w:t>Burimi: Ministria e Financave dhe Ekonomisë (2023)</w:t>
      </w:r>
    </w:p>
    <w:p w14:paraId="2ACC8D18" w14:textId="77777777" w:rsidR="004F651C" w:rsidRPr="00325B8D" w:rsidRDefault="004F651C" w:rsidP="004F651C">
      <w:pPr>
        <w:spacing w:line="276" w:lineRule="auto"/>
        <w:jc w:val="both"/>
        <w:rPr>
          <w:rFonts w:asciiTheme="minorHAnsi" w:eastAsia="MS Mincho" w:hAnsiTheme="minorHAnsi"/>
          <w:sz w:val="16"/>
          <w:szCs w:val="8"/>
          <w:lang w:val="sq-AL"/>
        </w:rPr>
      </w:pPr>
    </w:p>
    <w:p w14:paraId="044D9515" w14:textId="77777777" w:rsidR="004F651C" w:rsidRDefault="001F5F64" w:rsidP="004F651C">
      <w:pPr>
        <w:spacing w:line="276" w:lineRule="auto"/>
        <w:jc w:val="both"/>
        <w:rPr>
          <w:rFonts w:asciiTheme="minorHAnsi" w:eastAsia="MS Mincho" w:hAnsiTheme="minorHAnsi"/>
          <w:lang w:val="sq-AL"/>
        </w:rPr>
      </w:pPr>
      <w:r w:rsidRPr="008757B8">
        <w:rPr>
          <w:rFonts w:asciiTheme="minorHAnsi" w:hAnsiTheme="minorHAnsi"/>
          <w:noProof/>
        </w:rPr>
        <w:t xml:space="preserve">Në portofolin e  borxhit të brendshëm shtetëror, gjatë </w:t>
      </w:r>
      <w:r>
        <w:rPr>
          <w:rFonts w:asciiTheme="minorHAnsi" w:hAnsiTheme="minorHAnsi"/>
          <w:noProof/>
        </w:rPr>
        <w:t>T1</w:t>
      </w:r>
      <w:r w:rsidRPr="008757B8">
        <w:rPr>
          <w:rFonts w:asciiTheme="minorHAnsi" w:hAnsiTheme="minorHAnsi"/>
          <w:noProof/>
        </w:rPr>
        <w:t xml:space="preserve"> 2023, peshën më të madhe vazhdojnë ta mbajnë titujt afatshkurtër. Pesha e titujve me afat maturimi 1-3 vite ka pësu</w:t>
      </w:r>
      <w:r>
        <w:rPr>
          <w:rFonts w:asciiTheme="minorHAnsi" w:hAnsiTheme="minorHAnsi"/>
          <w:noProof/>
        </w:rPr>
        <w:t>a</w:t>
      </w:r>
      <w:r w:rsidRPr="008757B8">
        <w:rPr>
          <w:rFonts w:asciiTheme="minorHAnsi" w:hAnsiTheme="minorHAnsi"/>
          <w:noProof/>
        </w:rPr>
        <w:t>r një rënie prej 1.6 p.p. në krahasim me atë të fundit 2022, kjo e kompensuar me një rritje me pothuajse në të njëjtën masë të peshës së titujve afatshkurtër.</w:t>
      </w:r>
      <w:r>
        <w:rPr>
          <w:rFonts w:asciiTheme="minorHAnsi" w:hAnsiTheme="minorHAnsi"/>
          <w:noProof/>
        </w:rPr>
        <w:t xml:space="preserve"> </w:t>
      </w:r>
      <w:r w:rsidRPr="008757B8">
        <w:rPr>
          <w:rFonts w:asciiTheme="minorHAnsi" w:hAnsiTheme="minorHAnsi"/>
          <w:noProof/>
        </w:rPr>
        <w:t>Ndërkohë, pesha e titujve me norma interesi të ndryshueshme vijon të mbetet në nivelin prej rreth 1.3%, pasi edhe gjatë kësaj periudhe nuk ka patur emetime të titujve me norma interesi të ndryshueshme, në përputhje me objektivat për reduktimin e riskut të normave të interesit dhe shmangien e fragmentimit të kërkesës për titujt me maturitet të ngjashëm</w:t>
      </w:r>
      <w:r w:rsidR="004F651C" w:rsidRPr="00591367">
        <w:rPr>
          <w:rFonts w:asciiTheme="minorHAnsi" w:eastAsia="MS Mincho" w:hAnsiTheme="minorHAnsi"/>
          <w:lang w:val="sq-AL"/>
        </w:rPr>
        <w:t>.</w:t>
      </w:r>
    </w:p>
    <w:p w14:paraId="2F5D056C" w14:textId="77777777" w:rsidR="004F651C" w:rsidRPr="004F651C" w:rsidRDefault="004F651C" w:rsidP="004F651C">
      <w:pPr>
        <w:spacing w:line="276" w:lineRule="auto"/>
        <w:jc w:val="both"/>
        <w:rPr>
          <w:rFonts w:asciiTheme="minorHAnsi" w:hAnsiTheme="minorHAnsi"/>
          <w:b/>
          <w:bCs/>
          <w:i/>
          <w:noProof/>
          <w:sz w:val="8"/>
          <w:szCs w:val="8"/>
        </w:rPr>
      </w:pPr>
    </w:p>
    <w:p w14:paraId="1EA5BBF4" w14:textId="6A3FB0BB" w:rsidR="004F651C" w:rsidRPr="00E74AAC" w:rsidRDefault="001F5F64" w:rsidP="00462131">
      <w:pPr>
        <w:spacing w:line="276" w:lineRule="auto"/>
        <w:ind w:right="-188"/>
        <w:rPr>
          <w:rFonts w:asciiTheme="minorHAnsi" w:hAnsiTheme="minorHAnsi"/>
          <w:i/>
          <w:noProof/>
          <w:sz w:val="16"/>
        </w:rPr>
      </w:pPr>
      <w:bookmarkStart w:id="79" w:name="_Toc107498128"/>
      <w:r w:rsidRPr="008757B8">
        <w:rPr>
          <w:rFonts w:asciiTheme="minorHAnsi" w:hAnsiTheme="minorHAnsi"/>
          <w:b/>
          <w:noProof/>
        </w:rPr>
        <w:drawing>
          <wp:anchor distT="0" distB="0" distL="114300" distR="114300" simplePos="0" relativeHeight="251690496" behindDoc="1" locked="0" layoutInCell="1" allowOverlap="1" wp14:anchorId="137754AB" wp14:editId="63F7F079">
            <wp:simplePos x="0" y="0"/>
            <wp:positionH relativeFrom="column">
              <wp:posOffset>76200</wp:posOffset>
            </wp:positionH>
            <wp:positionV relativeFrom="paragraph">
              <wp:posOffset>215265</wp:posOffset>
            </wp:positionV>
            <wp:extent cx="2919730" cy="2128520"/>
            <wp:effectExtent l="0" t="0" r="13970" b="5080"/>
            <wp:wrapTight wrapText="bothSides">
              <wp:wrapPolygon edited="0">
                <wp:start x="0" y="0"/>
                <wp:lineTo x="0" y="21458"/>
                <wp:lineTo x="21562" y="21458"/>
                <wp:lineTo x="21562" y="0"/>
                <wp:lineTo x="0" y="0"/>
              </wp:wrapPolygon>
            </wp:wrapTight>
            <wp:docPr id="38" name="Chart 38">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14:sizeRelH relativeFrom="margin">
              <wp14:pctWidth>0</wp14:pctWidth>
            </wp14:sizeRelH>
            <wp14:sizeRelV relativeFrom="margin">
              <wp14:pctHeight>0</wp14:pctHeight>
            </wp14:sizeRelV>
          </wp:anchor>
        </w:drawing>
      </w:r>
      <w:r w:rsidRPr="008757B8">
        <w:rPr>
          <w:rFonts w:asciiTheme="minorHAnsi" w:hAnsiTheme="minorHAnsi"/>
          <w:b/>
          <w:noProof/>
        </w:rPr>
        <w:drawing>
          <wp:anchor distT="0" distB="0" distL="114300" distR="114300" simplePos="0" relativeHeight="251692544" behindDoc="1" locked="0" layoutInCell="1" allowOverlap="1" wp14:anchorId="4FA134F0" wp14:editId="7678CDAD">
            <wp:simplePos x="0" y="0"/>
            <wp:positionH relativeFrom="column">
              <wp:posOffset>3133090</wp:posOffset>
            </wp:positionH>
            <wp:positionV relativeFrom="paragraph">
              <wp:posOffset>216535</wp:posOffset>
            </wp:positionV>
            <wp:extent cx="2845435" cy="2128520"/>
            <wp:effectExtent l="0" t="0" r="12065" b="5080"/>
            <wp:wrapTight wrapText="bothSides">
              <wp:wrapPolygon edited="0">
                <wp:start x="0" y="0"/>
                <wp:lineTo x="0" y="21458"/>
                <wp:lineTo x="21547" y="21458"/>
                <wp:lineTo x="21547" y="0"/>
                <wp:lineTo x="0" y="0"/>
              </wp:wrapPolygon>
            </wp:wrapTight>
            <wp:docPr id="29" name="Chart 29">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004F651C" w:rsidRPr="004F651C">
        <w:rPr>
          <w:rFonts w:asciiTheme="minorHAnsi" w:hAnsiTheme="minorHAnsi"/>
          <w:i/>
          <w:noProof/>
          <w:sz w:val="22"/>
        </w:rPr>
        <w:t xml:space="preserve">Grafiku </w:t>
      </w:r>
      <w:r w:rsidR="004F651C" w:rsidRPr="004F651C">
        <w:rPr>
          <w:rFonts w:asciiTheme="minorHAnsi" w:hAnsiTheme="minorHAnsi"/>
          <w:i/>
          <w:noProof/>
          <w:sz w:val="22"/>
        </w:rPr>
        <w:fldChar w:fldCharType="begin"/>
      </w:r>
      <w:r w:rsidR="004F651C" w:rsidRPr="004F651C">
        <w:rPr>
          <w:rFonts w:asciiTheme="minorHAnsi" w:hAnsiTheme="minorHAnsi"/>
          <w:i/>
          <w:noProof/>
          <w:sz w:val="22"/>
        </w:rPr>
        <w:instrText xml:space="preserve"> SEQ Grafiku \* ARABIC </w:instrText>
      </w:r>
      <w:r w:rsidR="004F651C" w:rsidRPr="004F651C">
        <w:rPr>
          <w:rFonts w:asciiTheme="minorHAnsi" w:hAnsiTheme="minorHAnsi"/>
          <w:i/>
          <w:noProof/>
          <w:sz w:val="22"/>
        </w:rPr>
        <w:fldChar w:fldCharType="separate"/>
      </w:r>
      <w:r w:rsidR="00C153A9">
        <w:rPr>
          <w:rFonts w:asciiTheme="minorHAnsi" w:hAnsiTheme="minorHAnsi"/>
          <w:i/>
          <w:noProof/>
          <w:sz w:val="22"/>
        </w:rPr>
        <w:t>36</w:t>
      </w:r>
      <w:r w:rsidR="004F651C" w:rsidRPr="004F651C">
        <w:rPr>
          <w:rFonts w:asciiTheme="minorHAnsi" w:hAnsiTheme="minorHAnsi"/>
          <w:i/>
          <w:noProof/>
          <w:sz w:val="22"/>
        </w:rPr>
        <w:fldChar w:fldCharType="end"/>
      </w:r>
      <w:r w:rsidR="004F651C" w:rsidRPr="00E74AAC">
        <w:rPr>
          <w:rFonts w:asciiTheme="minorHAnsi" w:hAnsiTheme="minorHAnsi"/>
          <w:i/>
          <w:noProof/>
          <w:sz w:val="20"/>
        </w:rPr>
        <w:t xml:space="preserve">: </w:t>
      </w:r>
      <w:r w:rsidR="004F651C" w:rsidRPr="00E74AAC">
        <w:rPr>
          <w:rFonts w:asciiTheme="minorHAnsi" w:hAnsiTheme="minorHAnsi"/>
          <w:i/>
          <w:noProof/>
          <w:sz w:val="18"/>
          <w:szCs w:val="20"/>
        </w:rPr>
        <w:t>Kompozimi i borxhit të brendshëm shtetëror</w:t>
      </w:r>
      <w:r w:rsidR="00150CE9" w:rsidRPr="00E74AAC">
        <w:rPr>
          <w:rFonts w:asciiTheme="minorHAnsi" w:hAnsiTheme="minorHAnsi"/>
          <w:i/>
          <w:noProof/>
          <w:sz w:val="18"/>
          <w:szCs w:val="20"/>
        </w:rPr>
        <w:t xml:space="preserve"> sipas maturitetit të titujve dhe tipit të interesit</w:t>
      </w:r>
      <w:r w:rsidR="004F651C" w:rsidRPr="00E74AAC">
        <w:rPr>
          <w:rFonts w:asciiTheme="minorHAnsi" w:hAnsiTheme="minorHAnsi"/>
          <w:i/>
          <w:noProof/>
          <w:sz w:val="18"/>
          <w:szCs w:val="20"/>
        </w:rPr>
        <w:t xml:space="preserve"> (201</w:t>
      </w:r>
      <w:r w:rsidR="00150CE9" w:rsidRPr="00E74AAC">
        <w:rPr>
          <w:rFonts w:asciiTheme="minorHAnsi" w:hAnsiTheme="minorHAnsi"/>
          <w:i/>
          <w:noProof/>
          <w:sz w:val="18"/>
          <w:szCs w:val="20"/>
        </w:rPr>
        <w:t>7</w:t>
      </w:r>
      <w:r w:rsidR="004F651C" w:rsidRPr="00E74AAC">
        <w:rPr>
          <w:rFonts w:asciiTheme="minorHAnsi" w:hAnsiTheme="minorHAnsi"/>
          <w:i/>
          <w:noProof/>
          <w:sz w:val="18"/>
          <w:szCs w:val="20"/>
        </w:rPr>
        <w:t>-Mars 202</w:t>
      </w:r>
      <w:r w:rsidR="00150CE9" w:rsidRPr="00E74AAC">
        <w:rPr>
          <w:rFonts w:asciiTheme="minorHAnsi" w:hAnsiTheme="minorHAnsi"/>
          <w:i/>
          <w:noProof/>
          <w:sz w:val="18"/>
          <w:szCs w:val="20"/>
        </w:rPr>
        <w:t>2</w:t>
      </w:r>
      <w:r w:rsidR="004F651C" w:rsidRPr="00E74AAC">
        <w:rPr>
          <w:rFonts w:asciiTheme="minorHAnsi" w:hAnsiTheme="minorHAnsi"/>
          <w:i/>
          <w:noProof/>
          <w:sz w:val="18"/>
          <w:szCs w:val="20"/>
        </w:rPr>
        <w:t>)</w:t>
      </w:r>
      <w:bookmarkEnd w:id="79"/>
    </w:p>
    <w:p w14:paraId="57285090" w14:textId="77777777" w:rsidR="001F5F64" w:rsidRDefault="001F5F64" w:rsidP="001F5F64">
      <w:pPr>
        <w:spacing w:line="276" w:lineRule="auto"/>
        <w:jc w:val="center"/>
        <w:rPr>
          <w:rFonts w:asciiTheme="minorHAnsi" w:hAnsiTheme="minorHAnsi"/>
          <w:b/>
          <w:sz w:val="8"/>
          <w:szCs w:val="8"/>
          <w:lang w:val="sq-AL"/>
        </w:rPr>
      </w:pPr>
    </w:p>
    <w:p w14:paraId="40A784BF" w14:textId="77777777" w:rsidR="004F651C" w:rsidRPr="00847FA6" w:rsidRDefault="00193978" w:rsidP="001F5F64">
      <w:pPr>
        <w:spacing w:line="276" w:lineRule="auto"/>
        <w:jc w:val="center"/>
        <w:rPr>
          <w:rFonts w:asciiTheme="minorHAnsi" w:hAnsiTheme="minorHAnsi"/>
          <w:i/>
          <w:lang w:val="sq-AL"/>
        </w:rPr>
      </w:pPr>
      <w:r>
        <w:rPr>
          <w:rFonts w:asciiTheme="minorHAnsi" w:eastAsia="MS Mincho" w:hAnsiTheme="minorHAnsi"/>
          <w:i/>
          <w:sz w:val="20"/>
          <w:lang w:val="sq-AL"/>
        </w:rPr>
        <w:t>Burimi: Ministria e Financave dhe Ekonomisë (2023)</w:t>
      </w:r>
    </w:p>
    <w:p w14:paraId="759C6475" w14:textId="77777777" w:rsidR="004F651C" w:rsidRDefault="001F5F64" w:rsidP="001F5F64">
      <w:pPr>
        <w:spacing w:before="120" w:line="276" w:lineRule="auto"/>
        <w:ind w:right="-34"/>
        <w:jc w:val="both"/>
        <w:rPr>
          <w:rFonts w:asciiTheme="minorHAnsi" w:hAnsiTheme="minorHAnsi"/>
          <w:lang w:val="sq-AL"/>
        </w:rPr>
      </w:pPr>
      <w:r w:rsidRPr="008757B8">
        <w:rPr>
          <w:rFonts w:asciiTheme="minorHAnsi" w:hAnsiTheme="minorHAnsi"/>
          <w:noProof/>
        </w:rPr>
        <w:t>Në portofolin e borxhit të jashtëm, mbi 60% të peshës e mban borxhi me normë interesi fikse.  Për sa i përket kompozimit sipas instrumenteve, pavarësisht diversifikimit të portofolit drejt instrumenteve të tregtueshme, peshën më të madhe vazhdojnë ta mbajnë huatë me burim kreditorët dypalësh dhe shumëpalësh, me destinacion financimin e projekteve me natyrë zhvillimore</w:t>
      </w:r>
      <w:r w:rsidR="004F651C" w:rsidRPr="00591367">
        <w:rPr>
          <w:rFonts w:asciiTheme="minorHAnsi" w:hAnsiTheme="minorHAnsi"/>
          <w:lang w:val="sq-AL"/>
        </w:rPr>
        <w:t xml:space="preserve">. </w:t>
      </w:r>
    </w:p>
    <w:p w14:paraId="0BC6CAE0" w14:textId="77777777" w:rsidR="001F5F64" w:rsidRDefault="001F5F64" w:rsidP="001F5F64">
      <w:pPr>
        <w:spacing w:before="120" w:line="276" w:lineRule="auto"/>
        <w:ind w:right="-34"/>
        <w:jc w:val="both"/>
        <w:rPr>
          <w:rFonts w:asciiTheme="minorHAnsi" w:hAnsiTheme="minorHAnsi"/>
          <w:noProof/>
          <w:lang w:val="en-GB" w:eastAsia="en-GB"/>
        </w:rPr>
      </w:pPr>
    </w:p>
    <w:p w14:paraId="6461BC47" w14:textId="77777777" w:rsidR="001F5F64" w:rsidRDefault="001F5F64" w:rsidP="001F5F64">
      <w:pPr>
        <w:spacing w:before="120" w:line="276" w:lineRule="auto"/>
        <w:ind w:right="-34"/>
        <w:jc w:val="both"/>
        <w:rPr>
          <w:rFonts w:asciiTheme="minorHAnsi" w:hAnsiTheme="minorHAnsi"/>
          <w:noProof/>
          <w:lang w:val="en-GB" w:eastAsia="en-GB"/>
        </w:rPr>
      </w:pPr>
    </w:p>
    <w:p w14:paraId="1480E5E2" w14:textId="77777777" w:rsidR="001F5F64" w:rsidRDefault="001F5F64" w:rsidP="001F5F64">
      <w:pPr>
        <w:spacing w:before="120" w:line="276" w:lineRule="auto"/>
        <w:ind w:right="-34"/>
        <w:jc w:val="both"/>
        <w:rPr>
          <w:rFonts w:asciiTheme="minorHAnsi" w:hAnsiTheme="minorHAnsi"/>
          <w:noProof/>
          <w:lang w:val="en-GB" w:eastAsia="en-GB"/>
        </w:rPr>
      </w:pPr>
    </w:p>
    <w:p w14:paraId="2FFFCCC5" w14:textId="77777777" w:rsidR="001F5F64" w:rsidRDefault="001F5F64" w:rsidP="001F5F64">
      <w:pPr>
        <w:spacing w:before="120" w:line="276" w:lineRule="auto"/>
        <w:ind w:right="-34"/>
        <w:jc w:val="both"/>
        <w:rPr>
          <w:rFonts w:asciiTheme="minorHAnsi" w:hAnsiTheme="minorHAnsi"/>
          <w:noProof/>
          <w:lang w:val="en-GB" w:eastAsia="en-GB"/>
        </w:rPr>
      </w:pPr>
    </w:p>
    <w:p w14:paraId="035F67DA" w14:textId="77777777" w:rsidR="001F5F64" w:rsidRPr="001F5F64" w:rsidRDefault="001F5F64" w:rsidP="001F5F64">
      <w:pPr>
        <w:spacing w:before="120" w:line="276" w:lineRule="auto"/>
        <w:ind w:right="-34"/>
        <w:jc w:val="both"/>
        <w:rPr>
          <w:rFonts w:asciiTheme="minorHAnsi" w:hAnsiTheme="minorHAnsi"/>
          <w:noProof/>
          <w:lang w:val="en-GB" w:eastAsia="en-GB"/>
        </w:rPr>
      </w:pPr>
    </w:p>
    <w:p w14:paraId="7E1FD834" w14:textId="77777777" w:rsidR="004F651C" w:rsidRPr="0035044A" w:rsidRDefault="004F651C" w:rsidP="004F651C">
      <w:pPr>
        <w:tabs>
          <w:tab w:val="left" w:pos="1916"/>
        </w:tabs>
        <w:spacing w:line="276" w:lineRule="auto"/>
        <w:jc w:val="both"/>
        <w:rPr>
          <w:rFonts w:asciiTheme="minorHAnsi" w:hAnsiTheme="minorHAnsi"/>
          <w:sz w:val="8"/>
          <w:szCs w:val="8"/>
          <w:lang w:val="sq-AL"/>
        </w:rPr>
      </w:pPr>
    </w:p>
    <w:p w14:paraId="26B64412" w14:textId="1C980FBB" w:rsidR="004F651C" w:rsidRPr="004F651C" w:rsidRDefault="001F5F64" w:rsidP="00864A9D">
      <w:pPr>
        <w:pStyle w:val="Caption"/>
        <w:spacing w:after="0"/>
        <w:rPr>
          <w:rFonts w:asciiTheme="minorHAnsi" w:hAnsiTheme="minorHAnsi"/>
          <w:i/>
          <w:sz w:val="22"/>
          <w:szCs w:val="22"/>
          <w:lang w:val="sq-AL"/>
        </w:rPr>
      </w:pPr>
      <w:bookmarkStart w:id="80" w:name="_Toc107498129"/>
      <w:r w:rsidRPr="008757B8">
        <w:rPr>
          <w:rFonts w:asciiTheme="minorHAnsi" w:hAnsiTheme="minorHAnsi"/>
          <w:b w:val="0"/>
          <w:noProof/>
          <w:sz w:val="24"/>
          <w:szCs w:val="24"/>
        </w:rPr>
        <w:drawing>
          <wp:anchor distT="0" distB="0" distL="114300" distR="114300" simplePos="0" relativeHeight="251696640" behindDoc="1" locked="0" layoutInCell="1" allowOverlap="1" wp14:anchorId="33BFAE97" wp14:editId="5B999977">
            <wp:simplePos x="0" y="0"/>
            <wp:positionH relativeFrom="column">
              <wp:posOffset>3174365</wp:posOffset>
            </wp:positionH>
            <wp:positionV relativeFrom="paragraph">
              <wp:posOffset>186055</wp:posOffset>
            </wp:positionV>
            <wp:extent cx="2886075" cy="2047875"/>
            <wp:effectExtent l="0" t="0" r="9525" b="9525"/>
            <wp:wrapTight wrapText="bothSides">
              <wp:wrapPolygon edited="0">
                <wp:start x="0" y="0"/>
                <wp:lineTo x="0" y="21500"/>
                <wp:lineTo x="21529" y="21500"/>
                <wp:lineTo x="21529" y="0"/>
                <wp:lineTo x="0" y="0"/>
              </wp:wrapPolygon>
            </wp:wrapTight>
            <wp:docPr id="39" name="Chart 39">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14:sizeRelH relativeFrom="margin">
              <wp14:pctWidth>0</wp14:pctWidth>
            </wp14:sizeRelH>
            <wp14:sizeRelV relativeFrom="margin">
              <wp14:pctHeight>0</wp14:pctHeight>
            </wp14:sizeRelV>
          </wp:anchor>
        </w:drawing>
      </w:r>
      <w:r w:rsidR="004F651C" w:rsidRPr="004F651C">
        <w:rPr>
          <w:rFonts w:asciiTheme="minorHAnsi" w:hAnsiTheme="minorHAnsi"/>
          <w:b w:val="0"/>
          <w:bCs w:val="0"/>
          <w:i/>
          <w:noProof/>
          <w:color w:val="auto"/>
          <w:sz w:val="22"/>
          <w:szCs w:val="22"/>
        </w:rPr>
        <w:t xml:space="preserve">Grafiku </w:t>
      </w:r>
      <w:r w:rsidR="004F651C" w:rsidRPr="004F651C">
        <w:rPr>
          <w:rFonts w:asciiTheme="minorHAnsi" w:hAnsiTheme="minorHAnsi"/>
          <w:b w:val="0"/>
          <w:bCs w:val="0"/>
          <w:i/>
          <w:noProof/>
          <w:color w:val="auto"/>
          <w:sz w:val="22"/>
          <w:szCs w:val="22"/>
        </w:rPr>
        <w:fldChar w:fldCharType="begin"/>
      </w:r>
      <w:r w:rsidR="004F651C" w:rsidRPr="004F651C">
        <w:rPr>
          <w:rFonts w:asciiTheme="minorHAnsi" w:hAnsiTheme="minorHAnsi"/>
          <w:b w:val="0"/>
          <w:bCs w:val="0"/>
          <w:i/>
          <w:noProof/>
          <w:color w:val="auto"/>
          <w:sz w:val="22"/>
          <w:szCs w:val="22"/>
        </w:rPr>
        <w:instrText xml:space="preserve"> SEQ Grafiku \* ARABIC </w:instrText>
      </w:r>
      <w:r w:rsidR="004F651C" w:rsidRPr="004F651C">
        <w:rPr>
          <w:rFonts w:asciiTheme="minorHAnsi" w:hAnsiTheme="minorHAnsi"/>
          <w:b w:val="0"/>
          <w:bCs w:val="0"/>
          <w:i/>
          <w:noProof/>
          <w:color w:val="auto"/>
          <w:sz w:val="22"/>
          <w:szCs w:val="22"/>
        </w:rPr>
        <w:fldChar w:fldCharType="separate"/>
      </w:r>
      <w:r w:rsidR="00C153A9">
        <w:rPr>
          <w:rFonts w:asciiTheme="minorHAnsi" w:hAnsiTheme="minorHAnsi"/>
          <w:b w:val="0"/>
          <w:bCs w:val="0"/>
          <w:i/>
          <w:noProof/>
          <w:color w:val="auto"/>
          <w:sz w:val="22"/>
          <w:szCs w:val="22"/>
        </w:rPr>
        <w:t>37</w:t>
      </w:r>
      <w:r w:rsidR="004F651C" w:rsidRPr="004F651C">
        <w:rPr>
          <w:rFonts w:asciiTheme="minorHAnsi" w:hAnsiTheme="minorHAnsi"/>
          <w:b w:val="0"/>
          <w:bCs w:val="0"/>
          <w:i/>
          <w:noProof/>
          <w:color w:val="auto"/>
          <w:sz w:val="22"/>
          <w:szCs w:val="22"/>
        </w:rPr>
        <w:fldChar w:fldCharType="end"/>
      </w:r>
      <w:r w:rsidR="004F651C" w:rsidRPr="004F651C">
        <w:rPr>
          <w:rFonts w:asciiTheme="minorHAnsi" w:hAnsiTheme="minorHAnsi"/>
          <w:b w:val="0"/>
          <w:bCs w:val="0"/>
          <w:i/>
          <w:noProof/>
          <w:color w:val="auto"/>
          <w:sz w:val="22"/>
          <w:szCs w:val="22"/>
        </w:rPr>
        <w:t>: Kompozimi i borxhit të jashtëm shtetëror sipas interesit&amp;instrumenteve (201</w:t>
      </w:r>
      <w:r>
        <w:rPr>
          <w:rFonts w:asciiTheme="minorHAnsi" w:hAnsiTheme="minorHAnsi"/>
          <w:b w:val="0"/>
          <w:bCs w:val="0"/>
          <w:i/>
          <w:noProof/>
          <w:color w:val="auto"/>
          <w:sz w:val="22"/>
          <w:szCs w:val="22"/>
        </w:rPr>
        <w:t>8</w:t>
      </w:r>
      <w:r w:rsidR="004F651C" w:rsidRPr="004F651C">
        <w:rPr>
          <w:rFonts w:asciiTheme="minorHAnsi" w:hAnsiTheme="minorHAnsi"/>
          <w:b w:val="0"/>
          <w:bCs w:val="0"/>
          <w:i/>
          <w:noProof/>
          <w:color w:val="auto"/>
          <w:sz w:val="22"/>
          <w:szCs w:val="22"/>
        </w:rPr>
        <w:t>-Mars 202</w:t>
      </w:r>
      <w:r>
        <w:rPr>
          <w:rFonts w:asciiTheme="minorHAnsi" w:hAnsiTheme="minorHAnsi"/>
          <w:b w:val="0"/>
          <w:bCs w:val="0"/>
          <w:i/>
          <w:noProof/>
          <w:color w:val="auto"/>
          <w:sz w:val="22"/>
          <w:szCs w:val="22"/>
        </w:rPr>
        <w:t>3</w:t>
      </w:r>
      <w:r w:rsidR="004F651C" w:rsidRPr="004F651C">
        <w:rPr>
          <w:rFonts w:asciiTheme="minorHAnsi" w:hAnsiTheme="minorHAnsi"/>
          <w:b w:val="0"/>
          <w:bCs w:val="0"/>
          <w:i/>
          <w:noProof/>
          <w:color w:val="auto"/>
          <w:sz w:val="22"/>
          <w:szCs w:val="22"/>
        </w:rPr>
        <w:t>)</w:t>
      </w:r>
      <w:bookmarkEnd w:id="80"/>
    </w:p>
    <w:p w14:paraId="395E1FB6" w14:textId="77777777" w:rsidR="004F651C" w:rsidRDefault="001F5F64" w:rsidP="001F5F64">
      <w:pPr>
        <w:jc w:val="center"/>
        <w:rPr>
          <w:rFonts w:asciiTheme="minorHAnsi" w:hAnsiTheme="minorHAnsi"/>
          <w:i/>
          <w:sz w:val="20"/>
          <w:lang w:val="sq-AL"/>
        </w:rPr>
      </w:pPr>
      <w:r w:rsidRPr="008757B8">
        <w:rPr>
          <w:rFonts w:asciiTheme="minorHAnsi" w:hAnsiTheme="minorHAnsi"/>
          <w:b/>
          <w:noProof/>
        </w:rPr>
        <w:drawing>
          <wp:anchor distT="0" distB="0" distL="114300" distR="114300" simplePos="0" relativeHeight="251694592" behindDoc="1" locked="0" layoutInCell="1" allowOverlap="1" wp14:anchorId="5BAA8C44" wp14:editId="38D3F767">
            <wp:simplePos x="0" y="0"/>
            <wp:positionH relativeFrom="column">
              <wp:posOffset>82550</wp:posOffset>
            </wp:positionH>
            <wp:positionV relativeFrom="paragraph">
              <wp:posOffset>31115</wp:posOffset>
            </wp:positionV>
            <wp:extent cx="2919730" cy="2038350"/>
            <wp:effectExtent l="0" t="0" r="13970" b="0"/>
            <wp:wrapTight wrapText="bothSides">
              <wp:wrapPolygon edited="0">
                <wp:start x="0" y="0"/>
                <wp:lineTo x="0" y="21398"/>
                <wp:lineTo x="21562" y="21398"/>
                <wp:lineTo x="21562" y="0"/>
                <wp:lineTo x="0" y="0"/>
              </wp:wrapPolygon>
            </wp:wrapTight>
            <wp:docPr id="35" name="Chart 35">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14:sizeRelH relativeFrom="margin">
              <wp14:pctWidth>0</wp14:pctWidth>
            </wp14:sizeRelH>
            <wp14:sizeRelV relativeFrom="margin">
              <wp14:pctHeight>0</wp14:pctHeight>
            </wp14:sizeRelV>
          </wp:anchor>
        </w:drawing>
      </w:r>
      <w:r w:rsidR="00193978">
        <w:rPr>
          <w:rFonts w:asciiTheme="minorHAnsi" w:eastAsia="MS Mincho" w:hAnsiTheme="minorHAnsi"/>
          <w:i/>
          <w:sz w:val="20"/>
          <w:lang w:val="sq-AL"/>
        </w:rPr>
        <w:t>Burimi: Ministria e Financave dhe Ekonomisë (2023)</w:t>
      </w:r>
    </w:p>
    <w:p w14:paraId="6AF3534B" w14:textId="77777777" w:rsidR="0035044A" w:rsidRDefault="0035044A" w:rsidP="004F651C">
      <w:pPr>
        <w:spacing w:line="276" w:lineRule="auto"/>
        <w:rPr>
          <w:rFonts w:asciiTheme="minorHAnsi" w:hAnsiTheme="minorHAnsi"/>
          <w:i/>
          <w:sz w:val="20"/>
          <w:lang w:val="sq-AL"/>
        </w:rPr>
      </w:pPr>
    </w:p>
    <w:p w14:paraId="13CF5DB5" w14:textId="77777777" w:rsidR="00D85320" w:rsidRPr="0065598A" w:rsidRDefault="006654D7" w:rsidP="002334F6">
      <w:pPr>
        <w:pStyle w:val="Heading2"/>
      </w:pPr>
      <w:bookmarkStart w:id="81" w:name="_Toc107496993"/>
      <w:r w:rsidRPr="0065598A">
        <w:t>I</w:t>
      </w:r>
      <w:r w:rsidR="00D85320" w:rsidRPr="0065598A">
        <w:t>V.2</w:t>
      </w:r>
      <w:r w:rsidR="00D85320" w:rsidRPr="0065598A">
        <w:tab/>
        <w:t>Menaxhimi i Borxhit</w:t>
      </w:r>
      <w:bookmarkEnd w:id="81"/>
    </w:p>
    <w:p w14:paraId="154AAD2B" w14:textId="77777777" w:rsidR="001F5F64" w:rsidRPr="008757B8" w:rsidRDefault="001F5F64" w:rsidP="001F5F64">
      <w:pPr>
        <w:tabs>
          <w:tab w:val="left" w:pos="8789"/>
        </w:tabs>
        <w:spacing w:before="120" w:line="276" w:lineRule="auto"/>
        <w:ind w:right="-46"/>
        <w:jc w:val="both"/>
        <w:rPr>
          <w:rFonts w:asciiTheme="minorHAnsi" w:hAnsiTheme="minorHAnsi"/>
          <w:noProof/>
        </w:rPr>
      </w:pPr>
      <w:r w:rsidRPr="008757B8">
        <w:rPr>
          <w:rFonts w:asciiTheme="minorHAnsi" w:hAnsiTheme="minorHAnsi"/>
          <w:noProof/>
        </w:rPr>
        <w:t xml:space="preserve">Huamarrja gjatë </w:t>
      </w:r>
      <w:r>
        <w:rPr>
          <w:rFonts w:asciiTheme="minorHAnsi" w:hAnsiTheme="minorHAnsi"/>
          <w:noProof/>
        </w:rPr>
        <w:t>T1</w:t>
      </w:r>
      <w:r w:rsidRPr="008757B8">
        <w:rPr>
          <w:rFonts w:asciiTheme="minorHAnsi" w:hAnsiTheme="minorHAnsi"/>
          <w:noProof/>
        </w:rPr>
        <w:t xml:space="preserve"> 2023 u realizua në linjë me buxhetin e vitit 2023 si edhe përgjithësisht në linjë me Planin e Huamarrjes së vitit 2023. Nëpërmjet huamarrjes u mundësua rifinancimi i borxhit ekzistues, si edhe financimi i pjesshëm i deficitit të planifikuar për vitin 2023.</w:t>
      </w:r>
    </w:p>
    <w:p w14:paraId="6CE1F7E0" w14:textId="77777777" w:rsidR="00513A75" w:rsidRPr="00D808F4" w:rsidRDefault="001F5F64" w:rsidP="001F5F64">
      <w:pPr>
        <w:tabs>
          <w:tab w:val="left" w:pos="360"/>
        </w:tabs>
        <w:spacing w:line="276" w:lineRule="auto"/>
        <w:jc w:val="both"/>
        <w:rPr>
          <w:rFonts w:asciiTheme="minorHAnsi" w:hAnsiTheme="minorHAnsi"/>
          <w:lang w:val="sq-AL"/>
        </w:rPr>
      </w:pPr>
      <w:r w:rsidRPr="008757B8">
        <w:rPr>
          <w:rFonts w:asciiTheme="minorHAnsi" w:hAnsiTheme="minorHAnsi"/>
          <w:noProof/>
        </w:rPr>
        <w:t>Huamarrja në terma bruto u realizua në vlerën 128.7 miliard Lekë, nga të cilat 98.4% (ose 126.6 miliard Lekë) u financuan nëpërmjet burimeve të brendshme dhe 1.6% (ose 2.1 miliard Lekë) nëpërmjet burimeve të huaja</w:t>
      </w:r>
      <w:r w:rsidR="00513A75" w:rsidRPr="00EB0002">
        <w:rPr>
          <w:rFonts w:asciiTheme="minorHAnsi" w:hAnsiTheme="minorHAnsi"/>
          <w:lang w:val="sq-AL"/>
        </w:rPr>
        <w:t xml:space="preserve">. </w:t>
      </w:r>
    </w:p>
    <w:p w14:paraId="33EF417D" w14:textId="77777777" w:rsidR="001F5F64" w:rsidRPr="001F5F64" w:rsidRDefault="001F5F64" w:rsidP="001F5F64">
      <w:pPr>
        <w:tabs>
          <w:tab w:val="left" w:pos="360"/>
        </w:tabs>
        <w:spacing w:line="276" w:lineRule="auto"/>
        <w:jc w:val="both"/>
        <w:rPr>
          <w:rFonts w:asciiTheme="minorHAnsi" w:hAnsiTheme="minorHAnsi"/>
          <w:i/>
          <w:noProof/>
          <w:sz w:val="22"/>
        </w:rPr>
      </w:pPr>
      <w:r w:rsidRPr="001F5F64">
        <w:rPr>
          <w:rFonts w:asciiTheme="minorHAnsi" w:hAnsiTheme="minorHAnsi"/>
          <w:i/>
          <w:noProof/>
          <w:sz w:val="22"/>
        </w:rPr>
        <w:t>Tabela x: Realizimi i Huamarrjes (TM1 2022-TM1 2023)</w:t>
      </w:r>
    </w:p>
    <w:tbl>
      <w:tblPr>
        <w:tblW w:w="9410" w:type="dxa"/>
        <w:jc w:val="center"/>
        <w:tblLook w:val="04A0" w:firstRow="1" w:lastRow="0" w:firstColumn="1" w:lastColumn="0" w:noHBand="0" w:noVBand="1"/>
      </w:tblPr>
      <w:tblGrid>
        <w:gridCol w:w="3984"/>
        <w:gridCol w:w="1654"/>
        <w:gridCol w:w="1241"/>
        <w:gridCol w:w="1505"/>
        <w:gridCol w:w="1026"/>
      </w:tblGrid>
      <w:tr w:rsidR="001F5F64" w:rsidRPr="00A42051" w14:paraId="3956ECDC" w14:textId="77777777" w:rsidTr="001F5F64">
        <w:trPr>
          <w:trHeight w:val="256"/>
          <w:jc w:val="center"/>
        </w:trPr>
        <w:tc>
          <w:tcPr>
            <w:tcW w:w="3984" w:type="dxa"/>
            <w:vMerge w:val="restart"/>
            <w:tcBorders>
              <w:top w:val="nil"/>
              <w:left w:val="nil"/>
              <w:bottom w:val="nil"/>
              <w:right w:val="single" w:sz="8" w:space="0" w:color="FFFFFF"/>
            </w:tcBorders>
            <w:shd w:val="clear" w:color="000000" w:fill="B8CCE4"/>
            <w:noWrap/>
            <w:vAlign w:val="center"/>
            <w:hideMark/>
          </w:tcPr>
          <w:p w14:paraId="7CB02EA6" w14:textId="77777777" w:rsidR="001F5F64" w:rsidRPr="00A42051" w:rsidRDefault="001F5F64" w:rsidP="008B44DD">
            <w:pPr>
              <w:jc w:val="center"/>
              <w:rPr>
                <w:rFonts w:asciiTheme="minorHAnsi" w:hAnsiTheme="minorHAnsi" w:cs="Calibri"/>
                <w:b/>
                <w:bCs/>
                <w:sz w:val="20"/>
              </w:rPr>
            </w:pPr>
            <w:r w:rsidRPr="00A42051">
              <w:rPr>
                <w:rFonts w:asciiTheme="minorHAnsi" w:hAnsiTheme="minorHAnsi" w:cs="Calibri"/>
                <w:b/>
                <w:bCs/>
                <w:sz w:val="20"/>
              </w:rPr>
              <w:t>Burimet e Huamarrjes</w:t>
            </w:r>
          </w:p>
        </w:tc>
        <w:tc>
          <w:tcPr>
            <w:tcW w:w="2895" w:type="dxa"/>
            <w:gridSpan w:val="2"/>
            <w:tcBorders>
              <w:top w:val="nil"/>
              <w:left w:val="nil"/>
              <w:bottom w:val="single" w:sz="8" w:space="0" w:color="FFFFFF"/>
              <w:right w:val="single" w:sz="8" w:space="0" w:color="FFFFFF"/>
            </w:tcBorders>
            <w:shd w:val="clear" w:color="000000" w:fill="B8CCE4"/>
            <w:noWrap/>
            <w:vAlign w:val="center"/>
            <w:hideMark/>
          </w:tcPr>
          <w:p w14:paraId="0DFA9922" w14:textId="77777777" w:rsidR="001F5F64" w:rsidRPr="00A42051" w:rsidRDefault="001F5F64" w:rsidP="008B44DD">
            <w:pPr>
              <w:jc w:val="center"/>
              <w:rPr>
                <w:rFonts w:asciiTheme="minorHAnsi" w:hAnsiTheme="minorHAnsi" w:cs="Calibri"/>
                <w:b/>
                <w:bCs/>
                <w:sz w:val="20"/>
              </w:rPr>
            </w:pPr>
            <w:r w:rsidRPr="00A42051">
              <w:rPr>
                <w:rFonts w:asciiTheme="minorHAnsi" w:hAnsiTheme="minorHAnsi" w:cs="Calibri"/>
                <w:b/>
                <w:bCs/>
                <w:sz w:val="20"/>
              </w:rPr>
              <w:t>TM1 2022</w:t>
            </w:r>
          </w:p>
        </w:tc>
        <w:tc>
          <w:tcPr>
            <w:tcW w:w="2531" w:type="dxa"/>
            <w:gridSpan w:val="2"/>
            <w:tcBorders>
              <w:top w:val="nil"/>
              <w:left w:val="nil"/>
              <w:bottom w:val="single" w:sz="8" w:space="0" w:color="FFFFFF"/>
              <w:right w:val="single" w:sz="8" w:space="0" w:color="FFFFFF"/>
            </w:tcBorders>
            <w:shd w:val="clear" w:color="000000" w:fill="B8CCE4"/>
            <w:noWrap/>
            <w:vAlign w:val="center"/>
            <w:hideMark/>
          </w:tcPr>
          <w:p w14:paraId="61D16685" w14:textId="77777777" w:rsidR="001F5F64" w:rsidRPr="00A42051" w:rsidRDefault="001F5F64" w:rsidP="008B44DD">
            <w:pPr>
              <w:jc w:val="center"/>
              <w:rPr>
                <w:rFonts w:asciiTheme="minorHAnsi" w:hAnsiTheme="minorHAnsi" w:cs="Calibri"/>
                <w:b/>
                <w:bCs/>
                <w:sz w:val="20"/>
              </w:rPr>
            </w:pPr>
            <w:r w:rsidRPr="00A42051">
              <w:rPr>
                <w:rFonts w:asciiTheme="minorHAnsi" w:hAnsiTheme="minorHAnsi" w:cs="Calibri"/>
                <w:b/>
                <w:bCs/>
                <w:sz w:val="20"/>
              </w:rPr>
              <w:t>TM1 2023</w:t>
            </w:r>
          </w:p>
        </w:tc>
      </w:tr>
      <w:tr w:rsidR="001F5F64" w:rsidRPr="00A42051" w14:paraId="23A5E0F4" w14:textId="77777777" w:rsidTr="001F5F64">
        <w:trPr>
          <w:trHeight w:val="414"/>
          <w:jc w:val="center"/>
        </w:trPr>
        <w:tc>
          <w:tcPr>
            <w:tcW w:w="3984" w:type="dxa"/>
            <w:vMerge/>
            <w:tcBorders>
              <w:top w:val="nil"/>
              <w:left w:val="nil"/>
              <w:bottom w:val="nil"/>
              <w:right w:val="single" w:sz="8" w:space="0" w:color="FFFFFF"/>
            </w:tcBorders>
            <w:vAlign w:val="center"/>
            <w:hideMark/>
          </w:tcPr>
          <w:p w14:paraId="56C98704" w14:textId="77777777" w:rsidR="001F5F64" w:rsidRPr="00A42051" w:rsidRDefault="001F5F64" w:rsidP="008B44DD">
            <w:pPr>
              <w:rPr>
                <w:rFonts w:asciiTheme="minorHAnsi" w:hAnsiTheme="minorHAnsi" w:cs="Calibri"/>
                <w:b/>
                <w:bCs/>
                <w:sz w:val="20"/>
              </w:rPr>
            </w:pPr>
          </w:p>
        </w:tc>
        <w:tc>
          <w:tcPr>
            <w:tcW w:w="1654" w:type="dxa"/>
            <w:tcBorders>
              <w:top w:val="nil"/>
              <w:left w:val="nil"/>
              <w:bottom w:val="nil"/>
              <w:right w:val="nil"/>
            </w:tcBorders>
            <w:shd w:val="clear" w:color="000000" w:fill="B8CCE4"/>
            <w:vAlign w:val="center"/>
            <w:hideMark/>
          </w:tcPr>
          <w:p w14:paraId="0C4D8F28" w14:textId="77777777" w:rsidR="001F5F64" w:rsidRPr="00A42051" w:rsidRDefault="001F5F64" w:rsidP="008B44DD">
            <w:pPr>
              <w:jc w:val="center"/>
              <w:rPr>
                <w:rFonts w:asciiTheme="minorHAnsi" w:hAnsiTheme="minorHAnsi" w:cs="Calibri"/>
                <w:b/>
                <w:bCs/>
                <w:sz w:val="20"/>
              </w:rPr>
            </w:pPr>
            <w:r w:rsidRPr="00A42051">
              <w:rPr>
                <w:rFonts w:asciiTheme="minorHAnsi" w:hAnsiTheme="minorHAnsi" w:cs="Calibri"/>
                <w:b/>
                <w:bCs/>
                <w:sz w:val="20"/>
              </w:rPr>
              <w:t xml:space="preserve">Vlera                                          </w:t>
            </w:r>
            <w:r w:rsidRPr="00A42051">
              <w:rPr>
                <w:rFonts w:asciiTheme="minorHAnsi" w:hAnsiTheme="minorHAnsi" w:cs="Calibri"/>
                <w:i/>
                <w:iCs/>
                <w:sz w:val="20"/>
              </w:rPr>
              <w:t>(në mld Lekë)</w:t>
            </w:r>
          </w:p>
        </w:tc>
        <w:tc>
          <w:tcPr>
            <w:tcW w:w="1240" w:type="dxa"/>
            <w:tcBorders>
              <w:top w:val="nil"/>
              <w:left w:val="single" w:sz="8" w:space="0" w:color="FFFFFF"/>
              <w:bottom w:val="nil"/>
              <w:right w:val="single" w:sz="8" w:space="0" w:color="FFFFFF"/>
            </w:tcBorders>
            <w:shd w:val="clear" w:color="000000" w:fill="B8CCE4"/>
            <w:noWrap/>
            <w:vAlign w:val="center"/>
            <w:hideMark/>
          </w:tcPr>
          <w:p w14:paraId="167997D3" w14:textId="77777777" w:rsidR="001F5F64" w:rsidRPr="00A42051" w:rsidRDefault="001F5F64" w:rsidP="008B44DD">
            <w:pPr>
              <w:jc w:val="center"/>
              <w:rPr>
                <w:rFonts w:asciiTheme="minorHAnsi" w:hAnsiTheme="minorHAnsi" w:cs="Calibri"/>
                <w:b/>
                <w:bCs/>
                <w:sz w:val="20"/>
              </w:rPr>
            </w:pPr>
            <w:r w:rsidRPr="00A42051">
              <w:rPr>
                <w:rFonts w:asciiTheme="minorHAnsi" w:hAnsiTheme="minorHAnsi" w:cs="Calibri"/>
                <w:b/>
                <w:bCs/>
                <w:sz w:val="20"/>
              </w:rPr>
              <w:t>%/Total</w:t>
            </w:r>
          </w:p>
        </w:tc>
        <w:tc>
          <w:tcPr>
            <w:tcW w:w="1505" w:type="dxa"/>
            <w:tcBorders>
              <w:top w:val="nil"/>
              <w:left w:val="nil"/>
              <w:bottom w:val="nil"/>
              <w:right w:val="nil"/>
            </w:tcBorders>
            <w:shd w:val="clear" w:color="000000" w:fill="B8CCE4"/>
            <w:vAlign w:val="center"/>
            <w:hideMark/>
          </w:tcPr>
          <w:p w14:paraId="51C22629" w14:textId="77777777" w:rsidR="001F5F64" w:rsidRPr="00A42051" w:rsidRDefault="001F5F64" w:rsidP="008B44DD">
            <w:pPr>
              <w:jc w:val="center"/>
              <w:rPr>
                <w:rFonts w:asciiTheme="minorHAnsi" w:hAnsiTheme="minorHAnsi" w:cs="Calibri"/>
                <w:b/>
                <w:bCs/>
                <w:sz w:val="20"/>
              </w:rPr>
            </w:pPr>
            <w:r w:rsidRPr="00A42051">
              <w:rPr>
                <w:rFonts w:asciiTheme="minorHAnsi" w:hAnsiTheme="minorHAnsi" w:cs="Calibri"/>
                <w:b/>
                <w:bCs/>
                <w:sz w:val="20"/>
              </w:rPr>
              <w:t xml:space="preserve">Vlera                                          </w:t>
            </w:r>
            <w:r w:rsidRPr="00A42051">
              <w:rPr>
                <w:rFonts w:asciiTheme="minorHAnsi" w:hAnsiTheme="minorHAnsi" w:cs="Calibri"/>
                <w:i/>
                <w:iCs/>
                <w:sz w:val="20"/>
              </w:rPr>
              <w:t>(në mld Lekë)</w:t>
            </w:r>
          </w:p>
        </w:tc>
        <w:tc>
          <w:tcPr>
            <w:tcW w:w="1026" w:type="dxa"/>
            <w:tcBorders>
              <w:top w:val="nil"/>
              <w:left w:val="single" w:sz="8" w:space="0" w:color="FFFFFF"/>
              <w:bottom w:val="nil"/>
              <w:right w:val="single" w:sz="8" w:space="0" w:color="FFFFFF"/>
            </w:tcBorders>
            <w:shd w:val="clear" w:color="000000" w:fill="B8CCE4"/>
            <w:noWrap/>
            <w:vAlign w:val="center"/>
            <w:hideMark/>
          </w:tcPr>
          <w:p w14:paraId="203EC8B1" w14:textId="77777777" w:rsidR="001F5F64" w:rsidRPr="00A42051" w:rsidRDefault="001F5F64" w:rsidP="008B44DD">
            <w:pPr>
              <w:jc w:val="center"/>
              <w:rPr>
                <w:rFonts w:asciiTheme="minorHAnsi" w:hAnsiTheme="minorHAnsi" w:cs="Calibri"/>
                <w:b/>
                <w:bCs/>
                <w:sz w:val="20"/>
              </w:rPr>
            </w:pPr>
            <w:r w:rsidRPr="00A42051">
              <w:rPr>
                <w:rFonts w:asciiTheme="minorHAnsi" w:hAnsiTheme="minorHAnsi" w:cs="Calibri"/>
                <w:b/>
                <w:bCs/>
                <w:sz w:val="20"/>
              </w:rPr>
              <w:t>%/Total</w:t>
            </w:r>
          </w:p>
        </w:tc>
      </w:tr>
      <w:tr w:rsidR="001F5F64" w:rsidRPr="00A42051" w14:paraId="04F6830F" w14:textId="77777777" w:rsidTr="001F5F64">
        <w:trPr>
          <w:trHeight w:val="243"/>
          <w:jc w:val="center"/>
        </w:trPr>
        <w:tc>
          <w:tcPr>
            <w:tcW w:w="3984" w:type="dxa"/>
            <w:tcBorders>
              <w:top w:val="nil"/>
              <w:left w:val="nil"/>
              <w:bottom w:val="nil"/>
              <w:right w:val="nil"/>
            </w:tcBorders>
            <w:shd w:val="clear" w:color="000000" w:fill="FFFFFF"/>
            <w:noWrap/>
            <w:vAlign w:val="center"/>
            <w:hideMark/>
          </w:tcPr>
          <w:p w14:paraId="2DB3C264" w14:textId="77777777" w:rsidR="001F5F64" w:rsidRPr="00A42051" w:rsidRDefault="001F5F64" w:rsidP="008B44DD">
            <w:pPr>
              <w:rPr>
                <w:rFonts w:asciiTheme="minorHAnsi" w:hAnsiTheme="minorHAnsi" w:cs="Calibri"/>
                <w:b/>
                <w:bCs/>
                <w:color w:val="000000"/>
                <w:sz w:val="20"/>
              </w:rPr>
            </w:pPr>
            <w:r w:rsidRPr="00A42051">
              <w:rPr>
                <w:rFonts w:asciiTheme="minorHAnsi" w:hAnsiTheme="minorHAnsi" w:cs="Calibri"/>
                <w:b/>
                <w:bCs/>
                <w:color w:val="000000"/>
                <w:sz w:val="20"/>
              </w:rPr>
              <w:t>Burime të Brendshme</w:t>
            </w:r>
          </w:p>
        </w:tc>
        <w:tc>
          <w:tcPr>
            <w:tcW w:w="1654" w:type="dxa"/>
            <w:tcBorders>
              <w:top w:val="nil"/>
              <w:left w:val="nil"/>
              <w:bottom w:val="nil"/>
              <w:right w:val="nil"/>
            </w:tcBorders>
            <w:shd w:val="clear" w:color="000000" w:fill="FFFFFF"/>
            <w:noWrap/>
            <w:vAlign w:val="center"/>
            <w:hideMark/>
          </w:tcPr>
          <w:p w14:paraId="64353052" w14:textId="77777777" w:rsidR="001F5F64" w:rsidRPr="00A42051" w:rsidRDefault="001F5F64" w:rsidP="008B44DD">
            <w:pPr>
              <w:jc w:val="right"/>
              <w:rPr>
                <w:rFonts w:asciiTheme="minorHAnsi" w:hAnsiTheme="minorHAnsi" w:cs="Calibri"/>
                <w:b/>
                <w:bCs/>
                <w:sz w:val="20"/>
              </w:rPr>
            </w:pPr>
            <w:r w:rsidRPr="00A42051">
              <w:rPr>
                <w:rFonts w:asciiTheme="minorHAnsi" w:hAnsiTheme="minorHAnsi" w:cs="Calibri"/>
                <w:b/>
                <w:bCs/>
                <w:sz w:val="20"/>
              </w:rPr>
              <w:t xml:space="preserve">                  111.0      </w:t>
            </w:r>
          </w:p>
        </w:tc>
        <w:tc>
          <w:tcPr>
            <w:tcW w:w="1240" w:type="dxa"/>
            <w:tcBorders>
              <w:top w:val="nil"/>
              <w:left w:val="nil"/>
              <w:bottom w:val="nil"/>
              <w:right w:val="nil"/>
            </w:tcBorders>
            <w:shd w:val="clear" w:color="000000" w:fill="FFFFFF"/>
            <w:noWrap/>
            <w:vAlign w:val="bottom"/>
            <w:hideMark/>
          </w:tcPr>
          <w:p w14:paraId="678BAA41" w14:textId="77777777" w:rsidR="001F5F64" w:rsidRPr="00A42051" w:rsidRDefault="001F5F64" w:rsidP="008B44DD">
            <w:pPr>
              <w:jc w:val="right"/>
              <w:rPr>
                <w:rFonts w:asciiTheme="minorHAnsi" w:hAnsiTheme="minorHAnsi" w:cs="Calibri"/>
                <w:b/>
                <w:bCs/>
                <w:color w:val="000000"/>
                <w:sz w:val="20"/>
              </w:rPr>
            </w:pPr>
            <w:r w:rsidRPr="00A42051">
              <w:rPr>
                <w:rFonts w:asciiTheme="minorHAnsi" w:hAnsiTheme="minorHAnsi" w:cs="Calibri"/>
                <w:b/>
                <w:bCs/>
                <w:color w:val="000000"/>
                <w:sz w:val="20"/>
              </w:rPr>
              <w:t>92.8%</w:t>
            </w:r>
          </w:p>
        </w:tc>
        <w:tc>
          <w:tcPr>
            <w:tcW w:w="1505" w:type="dxa"/>
            <w:tcBorders>
              <w:top w:val="nil"/>
              <w:left w:val="nil"/>
              <w:bottom w:val="nil"/>
              <w:right w:val="nil"/>
            </w:tcBorders>
            <w:shd w:val="clear" w:color="000000" w:fill="FFFFFF"/>
            <w:noWrap/>
            <w:vAlign w:val="center"/>
            <w:hideMark/>
          </w:tcPr>
          <w:p w14:paraId="740F721A" w14:textId="77777777" w:rsidR="001F5F64" w:rsidRPr="00A42051" w:rsidRDefault="001F5F64" w:rsidP="008B44DD">
            <w:pPr>
              <w:jc w:val="right"/>
              <w:rPr>
                <w:rFonts w:asciiTheme="minorHAnsi" w:hAnsiTheme="minorHAnsi" w:cs="Calibri"/>
                <w:b/>
                <w:bCs/>
                <w:sz w:val="20"/>
              </w:rPr>
            </w:pPr>
            <w:r w:rsidRPr="00A42051">
              <w:rPr>
                <w:rFonts w:asciiTheme="minorHAnsi" w:hAnsiTheme="minorHAnsi" w:cs="Calibri"/>
                <w:b/>
                <w:bCs/>
                <w:sz w:val="20"/>
              </w:rPr>
              <w:t xml:space="preserve">                126.6      </w:t>
            </w:r>
          </w:p>
        </w:tc>
        <w:tc>
          <w:tcPr>
            <w:tcW w:w="1026" w:type="dxa"/>
            <w:tcBorders>
              <w:top w:val="nil"/>
              <w:left w:val="nil"/>
              <w:bottom w:val="nil"/>
              <w:right w:val="nil"/>
            </w:tcBorders>
            <w:shd w:val="clear" w:color="000000" w:fill="FFFFFF"/>
            <w:noWrap/>
            <w:vAlign w:val="bottom"/>
            <w:hideMark/>
          </w:tcPr>
          <w:p w14:paraId="0F993E44" w14:textId="77777777" w:rsidR="001F5F64" w:rsidRPr="00A42051" w:rsidRDefault="001F5F64" w:rsidP="008B44DD">
            <w:pPr>
              <w:jc w:val="right"/>
              <w:rPr>
                <w:rFonts w:asciiTheme="minorHAnsi" w:hAnsiTheme="minorHAnsi" w:cs="Calibri"/>
                <w:b/>
                <w:bCs/>
                <w:color w:val="000000"/>
                <w:sz w:val="20"/>
              </w:rPr>
            </w:pPr>
            <w:r w:rsidRPr="00A42051">
              <w:rPr>
                <w:rFonts w:asciiTheme="minorHAnsi" w:hAnsiTheme="minorHAnsi" w:cs="Calibri"/>
                <w:b/>
                <w:bCs/>
                <w:color w:val="000000"/>
                <w:sz w:val="20"/>
              </w:rPr>
              <w:t>98.4%</w:t>
            </w:r>
          </w:p>
        </w:tc>
      </w:tr>
      <w:tr w:rsidR="001F5F64" w:rsidRPr="00A42051" w14:paraId="3507421F" w14:textId="77777777" w:rsidTr="001F5F64">
        <w:trPr>
          <w:trHeight w:val="243"/>
          <w:jc w:val="center"/>
        </w:trPr>
        <w:tc>
          <w:tcPr>
            <w:tcW w:w="3984" w:type="dxa"/>
            <w:tcBorders>
              <w:top w:val="nil"/>
              <w:left w:val="nil"/>
              <w:bottom w:val="nil"/>
              <w:right w:val="nil"/>
            </w:tcBorders>
            <w:shd w:val="clear" w:color="000000" w:fill="FFFFFF"/>
            <w:noWrap/>
            <w:vAlign w:val="center"/>
            <w:hideMark/>
          </w:tcPr>
          <w:p w14:paraId="000E8D73" w14:textId="77777777" w:rsidR="001F5F64" w:rsidRPr="00A42051" w:rsidRDefault="001F5F64" w:rsidP="008B44DD">
            <w:pPr>
              <w:rPr>
                <w:rFonts w:asciiTheme="minorHAnsi" w:hAnsiTheme="minorHAnsi" w:cs="Calibri"/>
                <w:color w:val="000000"/>
                <w:sz w:val="20"/>
              </w:rPr>
            </w:pPr>
            <w:r w:rsidRPr="00A42051">
              <w:rPr>
                <w:rFonts w:asciiTheme="minorHAnsi" w:hAnsiTheme="minorHAnsi" w:cs="Calibri"/>
                <w:color w:val="000000"/>
                <w:sz w:val="20"/>
              </w:rPr>
              <w:t xml:space="preserve">  Bono Thesari</w:t>
            </w:r>
          </w:p>
        </w:tc>
        <w:tc>
          <w:tcPr>
            <w:tcW w:w="1654" w:type="dxa"/>
            <w:tcBorders>
              <w:top w:val="nil"/>
              <w:left w:val="nil"/>
              <w:bottom w:val="nil"/>
              <w:right w:val="nil"/>
            </w:tcBorders>
            <w:shd w:val="clear" w:color="000000" w:fill="FFFFFF"/>
            <w:noWrap/>
            <w:vAlign w:val="center"/>
            <w:hideMark/>
          </w:tcPr>
          <w:p w14:paraId="495534B1" w14:textId="77777777" w:rsidR="001F5F64" w:rsidRPr="00A42051" w:rsidRDefault="001F5F64" w:rsidP="008B44DD">
            <w:pPr>
              <w:jc w:val="right"/>
              <w:rPr>
                <w:rFonts w:asciiTheme="minorHAnsi" w:hAnsiTheme="minorHAnsi" w:cs="Calibri"/>
                <w:sz w:val="20"/>
              </w:rPr>
            </w:pPr>
            <w:r w:rsidRPr="00A42051">
              <w:rPr>
                <w:rFonts w:asciiTheme="minorHAnsi" w:hAnsiTheme="minorHAnsi" w:cs="Calibri"/>
                <w:sz w:val="20"/>
              </w:rPr>
              <w:t xml:space="preserve">                      69.9      </w:t>
            </w:r>
          </w:p>
        </w:tc>
        <w:tc>
          <w:tcPr>
            <w:tcW w:w="1240" w:type="dxa"/>
            <w:tcBorders>
              <w:top w:val="nil"/>
              <w:left w:val="nil"/>
              <w:bottom w:val="nil"/>
              <w:right w:val="nil"/>
            </w:tcBorders>
            <w:shd w:val="clear" w:color="000000" w:fill="FFFFFF"/>
            <w:noWrap/>
            <w:vAlign w:val="bottom"/>
            <w:hideMark/>
          </w:tcPr>
          <w:p w14:paraId="64D341D1" w14:textId="77777777" w:rsidR="001F5F64" w:rsidRPr="00A42051" w:rsidRDefault="001F5F64" w:rsidP="008B44DD">
            <w:pPr>
              <w:jc w:val="right"/>
              <w:rPr>
                <w:rFonts w:asciiTheme="minorHAnsi" w:hAnsiTheme="minorHAnsi" w:cs="Calibri"/>
                <w:color w:val="000000"/>
                <w:sz w:val="20"/>
              </w:rPr>
            </w:pPr>
            <w:r w:rsidRPr="00A42051">
              <w:rPr>
                <w:rFonts w:asciiTheme="minorHAnsi" w:hAnsiTheme="minorHAnsi" w:cs="Calibri"/>
                <w:color w:val="000000"/>
                <w:sz w:val="20"/>
              </w:rPr>
              <w:t>58.5%</w:t>
            </w:r>
          </w:p>
        </w:tc>
        <w:tc>
          <w:tcPr>
            <w:tcW w:w="1505" w:type="dxa"/>
            <w:tcBorders>
              <w:top w:val="nil"/>
              <w:left w:val="nil"/>
              <w:bottom w:val="nil"/>
              <w:right w:val="nil"/>
            </w:tcBorders>
            <w:shd w:val="clear" w:color="000000" w:fill="FFFFFF"/>
            <w:noWrap/>
            <w:vAlign w:val="center"/>
            <w:hideMark/>
          </w:tcPr>
          <w:p w14:paraId="1790DC66" w14:textId="77777777" w:rsidR="001F5F64" w:rsidRPr="00A42051" w:rsidRDefault="001F5F64" w:rsidP="008B44DD">
            <w:pPr>
              <w:jc w:val="right"/>
              <w:rPr>
                <w:rFonts w:asciiTheme="minorHAnsi" w:hAnsiTheme="minorHAnsi" w:cs="Calibri"/>
                <w:sz w:val="20"/>
              </w:rPr>
            </w:pPr>
            <w:r w:rsidRPr="00A42051">
              <w:rPr>
                <w:rFonts w:asciiTheme="minorHAnsi" w:hAnsiTheme="minorHAnsi" w:cs="Calibri"/>
                <w:sz w:val="20"/>
              </w:rPr>
              <w:t xml:space="preserve">                    87.1      </w:t>
            </w:r>
          </w:p>
        </w:tc>
        <w:tc>
          <w:tcPr>
            <w:tcW w:w="1026" w:type="dxa"/>
            <w:tcBorders>
              <w:top w:val="nil"/>
              <w:left w:val="nil"/>
              <w:bottom w:val="nil"/>
              <w:right w:val="nil"/>
            </w:tcBorders>
            <w:shd w:val="clear" w:color="000000" w:fill="FFFFFF"/>
            <w:noWrap/>
            <w:vAlign w:val="bottom"/>
            <w:hideMark/>
          </w:tcPr>
          <w:p w14:paraId="2B63F6FE" w14:textId="77777777" w:rsidR="001F5F64" w:rsidRPr="00A42051" w:rsidRDefault="001F5F64" w:rsidP="008B44DD">
            <w:pPr>
              <w:jc w:val="right"/>
              <w:rPr>
                <w:rFonts w:asciiTheme="minorHAnsi" w:hAnsiTheme="minorHAnsi" w:cs="Calibri"/>
                <w:color w:val="000000"/>
                <w:sz w:val="20"/>
              </w:rPr>
            </w:pPr>
            <w:r w:rsidRPr="00A42051">
              <w:rPr>
                <w:rFonts w:asciiTheme="minorHAnsi" w:hAnsiTheme="minorHAnsi" w:cs="Calibri"/>
                <w:color w:val="000000"/>
                <w:sz w:val="20"/>
              </w:rPr>
              <w:t>67.7%</w:t>
            </w:r>
          </w:p>
        </w:tc>
      </w:tr>
      <w:tr w:rsidR="001F5F64" w:rsidRPr="00A42051" w14:paraId="6401E6EC" w14:textId="77777777" w:rsidTr="001F5F64">
        <w:trPr>
          <w:trHeight w:val="256"/>
          <w:jc w:val="center"/>
        </w:trPr>
        <w:tc>
          <w:tcPr>
            <w:tcW w:w="3984" w:type="dxa"/>
            <w:tcBorders>
              <w:top w:val="nil"/>
              <w:left w:val="nil"/>
              <w:bottom w:val="single" w:sz="8" w:space="0" w:color="auto"/>
              <w:right w:val="nil"/>
            </w:tcBorders>
            <w:shd w:val="clear" w:color="000000" w:fill="FFFFFF"/>
            <w:noWrap/>
            <w:vAlign w:val="center"/>
            <w:hideMark/>
          </w:tcPr>
          <w:p w14:paraId="72805C8D" w14:textId="77777777" w:rsidR="001F5F64" w:rsidRPr="00A42051" w:rsidRDefault="001F5F64" w:rsidP="008B44DD">
            <w:pPr>
              <w:rPr>
                <w:rFonts w:asciiTheme="minorHAnsi" w:hAnsiTheme="minorHAnsi" w:cs="Calibri"/>
                <w:color w:val="000000"/>
                <w:sz w:val="20"/>
              </w:rPr>
            </w:pPr>
            <w:r w:rsidRPr="00A42051">
              <w:rPr>
                <w:rFonts w:asciiTheme="minorHAnsi" w:hAnsiTheme="minorHAnsi" w:cs="Calibri"/>
                <w:color w:val="000000"/>
                <w:sz w:val="20"/>
              </w:rPr>
              <w:t xml:space="preserve">  Obligacione</w:t>
            </w:r>
          </w:p>
        </w:tc>
        <w:tc>
          <w:tcPr>
            <w:tcW w:w="1654" w:type="dxa"/>
            <w:tcBorders>
              <w:top w:val="nil"/>
              <w:left w:val="nil"/>
              <w:bottom w:val="single" w:sz="8" w:space="0" w:color="auto"/>
              <w:right w:val="nil"/>
            </w:tcBorders>
            <w:shd w:val="clear" w:color="000000" w:fill="FFFFFF"/>
            <w:noWrap/>
            <w:vAlign w:val="center"/>
            <w:hideMark/>
          </w:tcPr>
          <w:p w14:paraId="416B7D64" w14:textId="77777777" w:rsidR="001F5F64" w:rsidRPr="00A42051" w:rsidRDefault="001F5F64" w:rsidP="008B44DD">
            <w:pPr>
              <w:jc w:val="right"/>
              <w:rPr>
                <w:rFonts w:asciiTheme="minorHAnsi" w:hAnsiTheme="minorHAnsi" w:cs="Calibri"/>
                <w:sz w:val="20"/>
              </w:rPr>
            </w:pPr>
            <w:r w:rsidRPr="00A42051">
              <w:rPr>
                <w:rFonts w:asciiTheme="minorHAnsi" w:hAnsiTheme="minorHAnsi" w:cs="Calibri"/>
                <w:sz w:val="20"/>
              </w:rPr>
              <w:t xml:space="preserve">                      41.1      </w:t>
            </w:r>
          </w:p>
        </w:tc>
        <w:tc>
          <w:tcPr>
            <w:tcW w:w="1240" w:type="dxa"/>
            <w:tcBorders>
              <w:top w:val="nil"/>
              <w:left w:val="nil"/>
              <w:bottom w:val="single" w:sz="8" w:space="0" w:color="auto"/>
              <w:right w:val="nil"/>
            </w:tcBorders>
            <w:shd w:val="clear" w:color="000000" w:fill="FFFFFF"/>
            <w:noWrap/>
            <w:vAlign w:val="center"/>
            <w:hideMark/>
          </w:tcPr>
          <w:p w14:paraId="53B63C05" w14:textId="77777777" w:rsidR="001F5F64" w:rsidRPr="00A42051" w:rsidRDefault="001F5F64" w:rsidP="008B44DD">
            <w:pPr>
              <w:jc w:val="right"/>
              <w:rPr>
                <w:rFonts w:asciiTheme="minorHAnsi" w:hAnsiTheme="minorHAnsi" w:cs="Calibri"/>
                <w:color w:val="000000"/>
                <w:sz w:val="20"/>
              </w:rPr>
            </w:pPr>
            <w:r w:rsidRPr="00A42051">
              <w:rPr>
                <w:rFonts w:asciiTheme="minorHAnsi" w:hAnsiTheme="minorHAnsi" w:cs="Calibri"/>
                <w:color w:val="000000"/>
                <w:sz w:val="20"/>
              </w:rPr>
              <w:t>34.3%</w:t>
            </w:r>
          </w:p>
        </w:tc>
        <w:tc>
          <w:tcPr>
            <w:tcW w:w="1505" w:type="dxa"/>
            <w:tcBorders>
              <w:top w:val="nil"/>
              <w:left w:val="nil"/>
              <w:bottom w:val="single" w:sz="8" w:space="0" w:color="auto"/>
              <w:right w:val="nil"/>
            </w:tcBorders>
            <w:shd w:val="clear" w:color="000000" w:fill="FFFFFF"/>
            <w:noWrap/>
            <w:vAlign w:val="center"/>
            <w:hideMark/>
          </w:tcPr>
          <w:p w14:paraId="11296BBA" w14:textId="77777777" w:rsidR="001F5F64" w:rsidRPr="00A42051" w:rsidRDefault="001F5F64" w:rsidP="008B44DD">
            <w:pPr>
              <w:jc w:val="right"/>
              <w:rPr>
                <w:rFonts w:asciiTheme="minorHAnsi" w:hAnsiTheme="minorHAnsi" w:cs="Calibri"/>
                <w:sz w:val="20"/>
              </w:rPr>
            </w:pPr>
            <w:r w:rsidRPr="00A42051">
              <w:rPr>
                <w:rFonts w:asciiTheme="minorHAnsi" w:hAnsiTheme="minorHAnsi" w:cs="Calibri"/>
                <w:sz w:val="20"/>
              </w:rPr>
              <w:t xml:space="preserve">                    39.5      </w:t>
            </w:r>
          </w:p>
        </w:tc>
        <w:tc>
          <w:tcPr>
            <w:tcW w:w="1026" w:type="dxa"/>
            <w:tcBorders>
              <w:top w:val="nil"/>
              <w:left w:val="nil"/>
              <w:bottom w:val="single" w:sz="8" w:space="0" w:color="auto"/>
              <w:right w:val="nil"/>
            </w:tcBorders>
            <w:shd w:val="clear" w:color="000000" w:fill="FFFFFF"/>
            <w:noWrap/>
            <w:vAlign w:val="center"/>
            <w:hideMark/>
          </w:tcPr>
          <w:p w14:paraId="7D168539" w14:textId="77777777" w:rsidR="001F5F64" w:rsidRPr="00A42051" w:rsidRDefault="001F5F64" w:rsidP="008B44DD">
            <w:pPr>
              <w:jc w:val="right"/>
              <w:rPr>
                <w:rFonts w:asciiTheme="minorHAnsi" w:hAnsiTheme="minorHAnsi" w:cs="Calibri"/>
                <w:color w:val="000000"/>
                <w:sz w:val="20"/>
              </w:rPr>
            </w:pPr>
            <w:r w:rsidRPr="00A42051">
              <w:rPr>
                <w:rFonts w:asciiTheme="minorHAnsi" w:hAnsiTheme="minorHAnsi" w:cs="Calibri"/>
                <w:color w:val="000000"/>
                <w:sz w:val="20"/>
              </w:rPr>
              <w:t>30.7%</w:t>
            </w:r>
          </w:p>
        </w:tc>
      </w:tr>
      <w:tr w:rsidR="001F5F64" w:rsidRPr="00A42051" w14:paraId="1C72AE85" w14:textId="77777777" w:rsidTr="001F5F64">
        <w:trPr>
          <w:trHeight w:val="243"/>
          <w:jc w:val="center"/>
        </w:trPr>
        <w:tc>
          <w:tcPr>
            <w:tcW w:w="3984" w:type="dxa"/>
            <w:tcBorders>
              <w:top w:val="nil"/>
              <w:left w:val="nil"/>
              <w:bottom w:val="nil"/>
              <w:right w:val="nil"/>
            </w:tcBorders>
            <w:shd w:val="clear" w:color="000000" w:fill="FFFFFF"/>
            <w:noWrap/>
            <w:vAlign w:val="center"/>
            <w:hideMark/>
          </w:tcPr>
          <w:p w14:paraId="3804D875" w14:textId="77777777" w:rsidR="001F5F64" w:rsidRPr="00A42051" w:rsidRDefault="001F5F64" w:rsidP="008B44DD">
            <w:pPr>
              <w:rPr>
                <w:rFonts w:asciiTheme="minorHAnsi" w:hAnsiTheme="minorHAnsi" w:cs="Calibri"/>
                <w:b/>
                <w:bCs/>
                <w:color w:val="000000"/>
                <w:sz w:val="20"/>
              </w:rPr>
            </w:pPr>
            <w:r w:rsidRPr="00A42051">
              <w:rPr>
                <w:rFonts w:asciiTheme="minorHAnsi" w:hAnsiTheme="minorHAnsi" w:cs="Calibri"/>
                <w:b/>
                <w:bCs/>
                <w:color w:val="000000"/>
                <w:sz w:val="20"/>
              </w:rPr>
              <w:t>Burime të Jashtme</w:t>
            </w:r>
          </w:p>
        </w:tc>
        <w:tc>
          <w:tcPr>
            <w:tcW w:w="1654" w:type="dxa"/>
            <w:tcBorders>
              <w:top w:val="nil"/>
              <w:left w:val="nil"/>
              <w:bottom w:val="nil"/>
              <w:right w:val="nil"/>
            </w:tcBorders>
            <w:shd w:val="clear" w:color="000000" w:fill="FFFFFF"/>
            <w:noWrap/>
            <w:vAlign w:val="bottom"/>
            <w:hideMark/>
          </w:tcPr>
          <w:p w14:paraId="2CF0C97C" w14:textId="77777777" w:rsidR="001F5F64" w:rsidRPr="00A42051" w:rsidRDefault="001F5F64" w:rsidP="008B44DD">
            <w:pPr>
              <w:jc w:val="right"/>
              <w:rPr>
                <w:rFonts w:asciiTheme="minorHAnsi" w:hAnsiTheme="minorHAnsi" w:cs="Calibri"/>
                <w:b/>
                <w:bCs/>
                <w:sz w:val="20"/>
              </w:rPr>
            </w:pPr>
            <w:r w:rsidRPr="00A42051">
              <w:rPr>
                <w:rFonts w:asciiTheme="minorHAnsi" w:hAnsiTheme="minorHAnsi" w:cs="Calibri"/>
                <w:b/>
                <w:bCs/>
                <w:sz w:val="20"/>
              </w:rPr>
              <w:t xml:space="preserve">                       8.6      </w:t>
            </w:r>
          </w:p>
        </w:tc>
        <w:tc>
          <w:tcPr>
            <w:tcW w:w="1240" w:type="dxa"/>
            <w:tcBorders>
              <w:top w:val="nil"/>
              <w:left w:val="nil"/>
              <w:bottom w:val="nil"/>
              <w:right w:val="nil"/>
            </w:tcBorders>
            <w:shd w:val="clear" w:color="000000" w:fill="FFFFFF"/>
            <w:noWrap/>
            <w:vAlign w:val="bottom"/>
            <w:hideMark/>
          </w:tcPr>
          <w:p w14:paraId="2C6E70BE" w14:textId="77777777" w:rsidR="001F5F64" w:rsidRPr="00A42051" w:rsidRDefault="001F5F64" w:rsidP="008B44DD">
            <w:pPr>
              <w:jc w:val="right"/>
              <w:rPr>
                <w:rFonts w:asciiTheme="minorHAnsi" w:hAnsiTheme="minorHAnsi" w:cs="Calibri"/>
                <w:b/>
                <w:bCs/>
                <w:sz w:val="20"/>
              </w:rPr>
            </w:pPr>
            <w:r w:rsidRPr="00A42051">
              <w:rPr>
                <w:rFonts w:asciiTheme="minorHAnsi" w:hAnsiTheme="minorHAnsi" w:cs="Calibri"/>
                <w:b/>
                <w:bCs/>
                <w:sz w:val="20"/>
              </w:rPr>
              <w:t>7.2%</w:t>
            </w:r>
          </w:p>
        </w:tc>
        <w:tc>
          <w:tcPr>
            <w:tcW w:w="1505" w:type="dxa"/>
            <w:tcBorders>
              <w:top w:val="nil"/>
              <w:left w:val="nil"/>
              <w:bottom w:val="nil"/>
              <w:right w:val="nil"/>
            </w:tcBorders>
            <w:shd w:val="clear" w:color="000000" w:fill="FFFFFF"/>
            <w:noWrap/>
            <w:vAlign w:val="bottom"/>
            <w:hideMark/>
          </w:tcPr>
          <w:p w14:paraId="23E7E292" w14:textId="77777777" w:rsidR="001F5F64" w:rsidRPr="00A42051" w:rsidRDefault="001F5F64" w:rsidP="008B44DD">
            <w:pPr>
              <w:jc w:val="right"/>
              <w:rPr>
                <w:rFonts w:asciiTheme="minorHAnsi" w:hAnsiTheme="minorHAnsi" w:cs="Calibri"/>
                <w:b/>
                <w:bCs/>
                <w:sz w:val="20"/>
              </w:rPr>
            </w:pPr>
            <w:r w:rsidRPr="00A42051">
              <w:rPr>
                <w:rFonts w:asciiTheme="minorHAnsi" w:hAnsiTheme="minorHAnsi" w:cs="Calibri"/>
                <w:b/>
                <w:bCs/>
                <w:sz w:val="20"/>
              </w:rPr>
              <w:t xml:space="preserve">                      2.1      </w:t>
            </w:r>
          </w:p>
        </w:tc>
        <w:tc>
          <w:tcPr>
            <w:tcW w:w="1026" w:type="dxa"/>
            <w:tcBorders>
              <w:top w:val="nil"/>
              <w:left w:val="nil"/>
              <w:bottom w:val="nil"/>
              <w:right w:val="nil"/>
            </w:tcBorders>
            <w:shd w:val="clear" w:color="000000" w:fill="FFFFFF"/>
            <w:noWrap/>
            <w:vAlign w:val="bottom"/>
            <w:hideMark/>
          </w:tcPr>
          <w:p w14:paraId="11EBC1B3" w14:textId="77777777" w:rsidR="001F5F64" w:rsidRPr="00A42051" w:rsidRDefault="001F5F64" w:rsidP="008B44DD">
            <w:pPr>
              <w:jc w:val="right"/>
              <w:rPr>
                <w:rFonts w:asciiTheme="minorHAnsi" w:hAnsiTheme="minorHAnsi" w:cs="Calibri"/>
                <w:b/>
                <w:bCs/>
                <w:sz w:val="20"/>
              </w:rPr>
            </w:pPr>
            <w:r w:rsidRPr="00A42051">
              <w:rPr>
                <w:rFonts w:asciiTheme="minorHAnsi" w:hAnsiTheme="minorHAnsi" w:cs="Calibri"/>
                <w:b/>
                <w:bCs/>
                <w:sz w:val="20"/>
              </w:rPr>
              <w:t>1.6%</w:t>
            </w:r>
          </w:p>
        </w:tc>
      </w:tr>
      <w:tr w:rsidR="001F5F64" w:rsidRPr="00A42051" w14:paraId="02CD268D" w14:textId="77777777" w:rsidTr="001F5F64">
        <w:trPr>
          <w:trHeight w:val="243"/>
          <w:jc w:val="center"/>
        </w:trPr>
        <w:tc>
          <w:tcPr>
            <w:tcW w:w="3984" w:type="dxa"/>
            <w:tcBorders>
              <w:top w:val="nil"/>
              <w:left w:val="nil"/>
              <w:bottom w:val="nil"/>
              <w:right w:val="nil"/>
            </w:tcBorders>
            <w:shd w:val="clear" w:color="000000" w:fill="FFFFFF"/>
            <w:noWrap/>
            <w:vAlign w:val="center"/>
            <w:hideMark/>
          </w:tcPr>
          <w:p w14:paraId="769DEA85" w14:textId="77777777" w:rsidR="001F5F64" w:rsidRPr="00A42051" w:rsidRDefault="001F5F64" w:rsidP="008B44DD">
            <w:pPr>
              <w:rPr>
                <w:rFonts w:asciiTheme="minorHAnsi" w:hAnsiTheme="minorHAnsi" w:cs="Calibri"/>
                <w:color w:val="000000"/>
                <w:sz w:val="20"/>
              </w:rPr>
            </w:pPr>
            <w:r w:rsidRPr="00A42051">
              <w:rPr>
                <w:rFonts w:asciiTheme="minorHAnsi" w:hAnsiTheme="minorHAnsi" w:cs="Calibri"/>
                <w:color w:val="000000"/>
                <w:sz w:val="20"/>
              </w:rPr>
              <w:t xml:space="preserve">  Hua për financimin e projekteve </w:t>
            </w:r>
          </w:p>
        </w:tc>
        <w:tc>
          <w:tcPr>
            <w:tcW w:w="1654" w:type="dxa"/>
            <w:tcBorders>
              <w:top w:val="nil"/>
              <w:left w:val="nil"/>
              <w:bottom w:val="nil"/>
              <w:right w:val="nil"/>
            </w:tcBorders>
            <w:shd w:val="clear" w:color="000000" w:fill="FFFFFF"/>
            <w:noWrap/>
            <w:vAlign w:val="bottom"/>
            <w:hideMark/>
          </w:tcPr>
          <w:p w14:paraId="233AF817" w14:textId="77777777" w:rsidR="001F5F64" w:rsidRPr="00A42051" w:rsidRDefault="001F5F64" w:rsidP="008B44DD">
            <w:pPr>
              <w:jc w:val="right"/>
              <w:rPr>
                <w:rFonts w:asciiTheme="minorHAnsi" w:hAnsiTheme="minorHAnsi" w:cs="Calibri"/>
                <w:bCs/>
                <w:sz w:val="20"/>
              </w:rPr>
            </w:pPr>
            <w:r w:rsidRPr="00A42051">
              <w:rPr>
                <w:rFonts w:asciiTheme="minorHAnsi" w:hAnsiTheme="minorHAnsi" w:cs="Calibri"/>
                <w:bCs/>
                <w:sz w:val="20"/>
              </w:rPr>
              <w:t xml:space="preserve">                        3.4      </w:t>
            </w:r>
          </w:p>
        </w:tc>
        <w:tc>
          <w:tcPr>
            <w:tcW w:w="1240" w:type="dxa"/>
            <w:tcBorders>
              <w:top w:val="nil"/>
              <w:left w:val="nil"/>
              <w:bottom w:val="nil"/>
              <w:right w:val="nil"/>
            </w:tcBorders>
            <w:shd w:val="clear" w:color="000000" w:fill="FFFFFF"/>
            <w:noWrap/>
            <w:vAlign w:val="bottom"/>
            <w:hideMark/>
          </w:tcPr>
          <w:p w14:paraId="284C42EE" w14:textId="77777777" w:rsidR="001F5F64" w:rsidRPr="00A42051" w:rsidRDefault="001F5F64" w:rsidP="008B44DD">
            <w:pPr>
              <w:jc w:val="right"/>
              <w:rPr>
                <w:rFonts w:asciiTheme="minorHAnsi" w:hAnsiTheme="minorHAnsi" w:cs="Calibri"/>
                <w:sz w:val="20"/>
              </w:rPr>
            </w:pPr>
            <w:r w:rsidRPr="00A42051">
              <w:rPr>
                <w:rFonts w:asciiTheme="minorHAnsi" w:hAnsiTheme="minorHAnsi" w:cs="Calibri"/>
                <w:sz w:val="20"/>
              </w:rPr>
              <w:t>2.9%</w:t>
            </w:r>
          </w:p>
        </w:tc>
        <w:tc>
          <w:tcPr>
            <w:tcW w:w="1505" w:type="dxa"/>
            <w:tcBorders>
              <w:top w:val="nil"/>
              <w:left w:val="nil"/>
              <w:bottom w:val="nil"/>
              <w:right w:val="nil"/>
            </w:tcBorders>
            <w:shd w:val="clear" w:color="000000" w:fill="FFFFFF"/>
            <w:noWrap/>
            <w:vAlign w:val="bottom"/>
            <w:hideMark/>
          </w:tcPr>
          <w:p w14:paraId="10B05D43" w14:textId="77777777" w:rsidR="001F5F64" w:rsidRPr="00A42051" w:rsidRDefault="001F5F64" w:rsidP="008B44DD">
            <w:pPr>
              <w:jc w:val="right"/>
              <w:rPr>
                <w:rFonts w:asciiTheme="minorHAnsi" w:hAnsiTheme="minorHAnsi" w:cs="Calibri"/>
                <w:sz w:val="20"/>
              </w:rPr>
            </w:pPr>
            <w:r w:rsidRPr="00A42051">
              <w:rPr>
                <w:rFonts w:asciiTheme="minorHAnsi" w:hAnsiTheme="minorHAnsi" w:cs="Calibri"/>
                <w:sz w:val="20"/>
              </w:rPr>
              <w:t xml:space="preserve">                      2.1      </w:t>
            </w:r>
          </w:p>
        </w:tc>
        <w:tc>
          <w:tcPr>
            <w:tcW w:w="1026" w:type="dxa"/>
            <w:tcBorders>
              <w:top w:val="nil"/>
              <w:left w:val="nil"/>
              <w:bottom w:val="nil"/>
              <w:right w:val="nil"/>
            </w:tcBorders>
            <w:shd w:val="clear" w:color="000000" w:fill="FFFFFF"/>
            <w:noWrap/>
            <w:vAlign w:val="bottom"/>
            <w:hideMark/>
          </w:tcPr>
          <w:p w14:paraId="58F67AAD" w14:textId="77777777" w:rsidR="001F5F64" w:rsidRPr="00A42051" w:rsidRDefault="001F5F64" w:rsidP="008B44DD">
            <w:pPr>
              <w:jc w:val="right"/>
              <w:rPr>
                <w:rFonts w:asciiTheme="minorHAnsi" w:hAnsiTheme="minorHAnsi" w:cs="Calibri"/>
                <w:sz w:val="20"/>
              </w:rPr>
            </w:pPr>
            <w:r w:rsidRPr="00A42051">
              <w:rPr>
                <w:rFonts w:asciiTheme="minorHAnsi" w:hAnsiTheme="minorHAnsi" w:cs="Calibri"/>
                <w:sz w:val="20"/>
              </w:rPr>
              <w:t>1.6%</w:t>
            </w:r>
          </w:p>
        </w:tc>
      </w:tr>
      <w:tr w:rsidR="001F5F64" w:rsidRPr="00A42051" w14:paraId="1203AB7B" w14:textId="77777777" w:rsidTr="001F5F64">
        <w:trPr>
          <w:trHeight w:val="243"/>
          <w:jc w:val="center"/>
        </w:trPr>
        <w:tc>
          <w:tcPr>
            <w:tcW w:w="3984" w:type="dxa"/>
            <w:tcBorders>
              <w:top w:val="nil"/>
              <w:left w:val="nil"/>
              <w:bottom w:val="nil"/>
              <w:right w:val="nil"/>
            </w:tcBorders>
            <w:shd w:val="clear" w:color="000000" w:fill="FFFFFF"/>
            <w:noWrap/>
            <w:vAlign w:val="center"/>
            <w:hideMark/>
          </w:tcPr>
          <w:p w14:paraId="134CB1B0" w14:textId="77777777" w:rsidR="001F5F64" w:rsidRPr="00A42051" w:rsidRDefault="001F5F64" w:rsidP="008B44DD">
            <w:pPr>
              <w:rPr>
                <w:rFonts w:asciiTheme="minorHAnsi" w:hAnsiTheme="minorHAnsi" w:cs="Calibri"/>
                <w:color w:val="000000"/>
                <w:sz w:val="20"/>
              </w:rPr>
            </w:pPr>
            <w:r w:rsidRPr="00A42051">
              <w:rPr>
                <w:rFonts w:asciiTheme="minorHAnsi" w:hAnsiTheme="minorHAnsi" w:cs="Calibri"/>
                <w:color w:val="000000"/>
                <w:sz w:val="20"/>
              </w:rPr>
              <w:t xml:space="preserve">  Mbështetje Buxhetore</w:t>
            </w:r>
          </w:p>
        </w:tc>
        <w:tc>
          <w:tcPr>
            <w:tcW w:w="1654" w:type="dxa"/>
            <w:tcBorders>
              <w:top w:val="nil"/>
              <w:left w:val="nil"/>
              <w:bottom w:val="nil"/>
              <w:right w:val="nil"/>
            </w:tcBorders>
            <w:shd w:val="clear" w:color="000000" w:fill="FFFFFF"/>
            <w:noWrap/>
            <w:vAlign w:val="bottom"/>
            <w:hideMark/>
          </w:tcPr>
          <w:p w14:paraId="004964D7" w14:textId="77777777" w:rsidR="001F5F64" w:rsidRPr="00A42051" w:rsidRDefault="001F5F64" w:rsidP="008B44DD">
            <w:pPr>
              <w:jc w:val="right"/>
              <w:rPr>
                <w:rFonts w:asciiTheme="minorHAnsi" w:hAnsiTheme="minorHAnsi" w:cs="Calibri"/>
                <w:bCs/>
                <w:sz w:val="20"/>
              </w:rPr>
            </w:pPr>
            <w:r w:rsidRPr="00A42051">
              <w:rPr>
                <w:rFonts w:asciiTheme="minorHAnsi" w:hAnsiTheme="minorHAnsi" w:cs="Calibri"/>
                <w:bCs/>
                <w:sz w:val="20"/>
              </w:rPr>
              <w:t xml:space="preserve">                        5.2      </w:t>
            </w:r>
          </w:p>
        </w:tc>
        <w:tc>
          <w:tcPr>
            <w:tcW w:w="1240" w:type="dxa"/>
            <w:tcBorders>
              <w:top w:val="nil"/>
              <w:left w:val="nil"/>
              <w:bottom w:val="nil"/>
              <w:right w:val="nil"/>
            </w:tcBorders>
            <w:shd w:val="clear" w:color="000000" w:fill="FFFFFF"/>
            <w:noWrap/>
            <w:vAlign w:val="bottom"/>
            <w:hideMark/>
          </w:tcPr>
          <w:p w14:paraId="1AAE438E" w14:textId="77777777" w:rsidR="001F5F64" w:rsidRPr="00A42051" w:rsidRDefault="001F5F64" w:rsidP="008B44DD">
            <w:pPr>
              <w:jc w:val="right"/>
              <w:rPr>
                <w:rFonts w:asciiTheme="minorHAnsi" w:hAnsiTheme="minorHAnsi" w:cs="Calibri"/>
                <w:sz w:val="20"/>
              </w:rPr>
            </w:pPr>
            <w:r w:rsidRPr="00A42051">
              <w:rPr>
                <w:rFonts w:asciiTheme="minorHAnsi" w:hAnsiTheme="minorHAnsi" w:cs="Calibri"/>
                <w:sz w:val="20"/>
              </w:rPr>
              <w:t>4.3%</w:t>
            </w:r>
          </w:p>
        </w:tc>
        <w:tc>
          <w:tcPr>
            <w:tcW w:w="1505" w:type="dxa"/>
            <w:tcBorders>
              <w:top w:val="nil"/>
              <w:left w:val="nil"/>
              <w:bottom w:val="nil"/>
              <w:right w:val="nil"/>
            </w:tcBorders>
            <w:shd w:val="clear" w:color="000000" w:fill="FFFFFF"/>
            <w:noWrap/>
            <w:vAlign w:val="bottom"/>
            <w:hideMark/>
          </w:tcPr>
          <w:p w14:paraId="2A6261F3" w14:textId="77777777" w:rsidR="001F5F64" w:rsidRPr="00A42051" w:rsidRDefault="001F5F64" w:rsidP="008B44DD">
            <w:pPr>
              <w:jc w:val="right"/>
              <w:rPr>
                <w:rFonts w:asciiTheme="minorHAnsi" w:hAnsiTheme="minorHAnsi" w:cs="Calibri"/>
                <w:sz w:val="20"/>
              </w:rPr>
            </w:pPr>
            <w:r w:rsidRPr="00A42051">
              <w:rPr>
                <w:rFonts w:asciiTheme="minorHAnsi" w:hAnsiTheme="minorHAnsi" w:cs="Calibri"/>
                <w:sz w:val="20"/>
              </w:rPr>
              <w:t xml:space="preserve">                           -      </w:t>
            </w:r>
          </w:p>
        </w:tc>
        <w:tc>
          <w:tcPr>
            <w:tcW w:w="1026" w:type="dxa"/>
            <w:tcBorders>
              <w:top w:val="nil"/>
              <w:left w:val="nil"/>
              <w:bottom w:val="nil"/>
              <w:right w:val="nil"/>
            </w:tcBorders>
            <w:shd w:val="clear" w:color="000000" w:fill="FFFFFF"/>
            <w:noWrap/>
            <w:vAlign w:val="bottom"/>
            <w:hideMark/>
          </w:tcPr>
          <w:p w14:paraId="1B547470" w14:textId="77777777" w:rsidR="001F5F64" w:rsidRPr="00A42051" w:rsidRDefault="001F5F64" w:rsidP="008B44DD">
            <w:pPr>
              <w:jc w:val="right"/>
              <w:rPr>
                <w:rFonts w:asciiTheme="minorHAnsi" w:hAnsiTheme="minorHAnsi" w:cs="Calibri"/>
                <w:sz w:val="20"/>
              </w:rPr>
            </w:pPr>
            <w:r w:rsidRPr="00A42051">
              <w:rPr>
                <w:rFonts w:asciiTheme="minorHAnsi" w:hAnsiTheme="minorHAnsi" w:cs="Calibri"/>
                <w:sz w:val="20"/>
              </w:rPr>
              <w:t>0.0%</w:t>
            </w:r>
          </w:p>
        </w:tc>
      </w:tr>
      <w:tr w:rsidR="001F5F64" w:rsidRPr="00A42051" w14:paraId="2764E36A" w14:textId="77777777" w:rsidTr="001F5F64">
        <w:trPr>
          <w:trHeight w:val="256"/>
          <w:jc w:val="center"/>
        </w:trPr>
        <w:tc>
          <w:tcPr>
            <w:tcW w:w="3984" w:type="dxa"/>
            <w:tcBorders>
              <w:top w:val="nil"/>
              <w:left w:val="nil"/>
              <w:bottom w:val="single" w:sz="8" w:space="0" w:color="auto"/>
              <w:right w:val="nil"/>
            </w:tcBorders>
            <w:shd w:val="clear" w:color="000000" w:fill="FFFFFF"/>
            <w:noWrap/>
            <w:vAlign w:val="center"/>
            <w:hideMark/>
          </w:tcPr>
          <w:p w14:paraId="31D64967" w14:textId="77777777" w:rsidR="001F5F64" w:rsidRPr="00A42051" w:rsidRDefault="001F5F64" w:rsidP="008B44DD">
            <w:pPr>
              <w:rPr>
                <w:rFonts w:asciiTheme="minorHAnsi" w:hAnsiTheme="minorHAnsi" w:cs="Calibri"/>
                <w:color w:val="000000"/>
                <w:sz w:val="20"/>
              </w:rPr>
            </w:pPr>
            <w:r w:rsidRPr="00A42051">
              <w:rPr>
                <w:rFonts w:asciiTheme="minorHAnsi" w:hAnsiTheme="minorHAnsi" w:cs="Calibri"/>
                <w:color w:val="000000"/>
                <w:sz w:val="20"/>
              </w:rPr>
              <w:t xml:space="preserve">  Eurobond</w:t>
            </w:r>
          </w:p>
        </w:tc>
        <w:tc>
          <w:tcPr>
            <w:tcW w:w="1654" w:type="dxa"/>
            <w:tcBorders>
              <w:top w:val="nil"/>
              <w:left w:val="nil"/>
              <w:bottom w:val="single" w:sz="8" w:space="0" w:color="auto"/>
              <w:right w:val="nil"/>
            </w:tcBorders>
            <w:shd w:val="clear" w:color="000000" w:fill="FFFFFF"/>
            <w:noWrap/>
            <w:vAlign w:val="bottom"/>
            <w:hideMark/>
          </w:tcPr>
          <w:p w14:paraId="04CAC558" w14:textId="77777777" w:rsidR="001F5F64" w:rsidRPr="00A42051" w:rsidRDefault="001F5F64" w:rsidP="008B44DD">
            <w:pPr>
              <w:jc w:val="right"/>
              <w:rPr>
                <w:rFonts w:asciiTheme="minorHAnsi" w:hAnsiTheme="minorHAnsi" w:cs="Calibri"/>
                <w:b/>
                <w:bCs/>
                <w:sz w:val="20"/>
              </w:rPr>
            </w:pPr>
            <w:r w:rsidRPr="00A42051">
              <w:rPr>
                <w:rFonts w:asciiTheme="minorHAnsi" w:hAnsiTheme="minorHAnsi" w:cs="Calibri"/>
                <w:b/>
                <w:bCs/>
                <w:sz w:val="20"/>
              </w:rPr>
              <w:t xml:space="preserve">                            -      </w:t>
            </w:r>
          </w:p>
        </w:tc>
        <w:tc>
          <w:tcPr>
            <w:tcW w:w="1240" w:type="dxa"/>
            <w:tcBorders>
              <w:top w:val="nil"/>
              <w:left w:val="nil"/>
              <w:bottom w:val="single" w:sz="8" w:space="0" w:color="auto"/>
              <w:right w:val="nil"/>
            </w:tcBorders>
            <w:shd w:val="clear" w:color="000000" w:fill="FFFFFF"/>
            <w:noWrap/>
            <w:vAlign w:val="bottom"/>
            <w:hideMark/>
          </w:tcPr>
          <w:p w14:paraId="72017B09" w14:textId="77777777" w:rsidR="001F5F64" w:rsidRPr="00A42051" w:rsidRDefault="001F5F64" w:rsidP="008B44DD">
            <w:pPr>
              <w:jc w:val="right"/>
              <w:rPr>
                <w:rFonts w:asciiTheme="minorHAnsi" w:hAnsiTheme="minorHAnsi" w:cs="Calibri"/>
                <w:sz w:val="20"/>
              </w:rPr>
            </w:pPr>
            <w:r w:rsidRPr="00A42051">
              <w:rPr>
                <w:rFonts w:asciiTheme="minorHAnsi" w:hAnsiTheme="minorHAnsi" w:cs="Calibri"/>
                <w:sz w:val="20"/>
              </w:rPr>
              <w:t>0.0%</w:t>
            </w:r>
          </w:p>
        </w:tc>
        <w:tc>
          <w:tcPr>
            <w:tcW w:w="1505" w:type="dxa"/>
            <w:tcBorders>
              <w:top w:val="nil"/>
              <w:left w:val="nil"/>
              <w:bottom w:val="single" w:sz="8" w:space="0" w:color="auto"/>
              <w:right w:val="nil"/>
            </w:tcBorders>
            <w:shd w:val="clear" w:color="000000" w:fill="FFFFFF"/>
            <w:noWrap/>
            <w:vAlign w:val="bottom"/>
            <w:hideMark/>
          </w:tcPr>
          <w:p w14:paraId="3DD9FFB5" w14:textId="77777777" w:rsidR="001F5F64" w:rsidRPr="00A42051" w:rsidRDefault="001F5F64" w:rsidP="008B44DD">
            <w:pPr>
              <w:jc w:val="right"/>
              <w:rPr>
                <w:rFonts w:asciiTheme="minorHAnsi" w:hAnsiTheme="minorHAnsi" w:cs="Calibri"/>
                <w:sz w:val="20"/>
              </w:rPr>
            </w:pPr>
            <w:r w:rsidRPr="00A42051">
              <w:rPr>
                <w:rFonts w:asciiTheme="minorHAnsi" w:hAnsiTheme="minorHAnsi" w:cs="Calibri"/>
                <w:sz w:val="20"/>
              </w:rPr>
              <w:t xml:space="preserve">                           -      </w:t>
            </w:r>
          </w:p>
        </w:tc>
        <w:tc>
          <w:tcPr>
            <w:tcW w:w="1026" w:type="dxa"/>
            <w:tcBorders>
              <w:top w:val="nil"/>
              <w:left w:val="nil"/>
              <w:bottom w:val="single" w:sz="8" w:space="0" w:color="auto"/>
              <w:right w:val="nil"/>
            </w:tcBorders>
            <w:shd w:val="clear" w:color="000000" w:fill="FFFFFF"/>
            <w:noWrap/>
            <w:vAlign w:val="bottom"/>
            <w:hideMark/>
          </w:tcPr>
          <w:p w14:paraId="6F338AE8" w14:textId="77777777" w:rsidR="001F5F64" w:rsidRPr="00A42051" w:rsidRDefault="001F5F64" w:rsidP="008B44DD">
            <w:pPr>
              <w:jc w:val="right"/>
              <w:rPr>
                <w:rFonts w:asciiTheme="minorHAnsi" w:hAnsiTheme="minorHAnsi" w:cs="Calibri"/>
                <w:sz w:val="20"/>
              </w:rPr>
            </w:pPr>
            <w:r w:rsidRPr="00A42051">
              <w:rPr>
                <w:rFonts w:asciiTheme="minorHAnsi" w:hAnsiTheme="minorHAnsi" w:cs="Calibri"/>
                <w:sz w:val="20"/>
              </w:rPr>
              <w:t>0.0%</w:t>
            </w:r>
          </w:p>
        </w:tc>
      </w:tr>
      <w:tr w:rsidR="001F5F64" w:rsidRPr="00A42051" w14:paraId="571E73BA" w14:textId="77777777" w:rsidTr="001F5F64">
        <w:trPr>
          <w:trHeight w:val="256"/>
          <w:jc w:val="center"/>
        </w:trPr>
        <w:tc>
          <w:tcPr>
            <w:tcW w:w="3984" w:type="dxa"/>
            <w:tcBorders>
              <w:top w:val="nil"/>
              <w:left w:val="nil"/>
              <w:bottom w:val="single" w:sz="8" w:space="0" w:color="auto"/>
              <w:right w:val="nil"/>
            </w:tcBorders>
            <w:shd w:val="clear" w:color="000000" w:fill="FFFFFF"/>
            <w:noWrap/>
            <w:vAlign w:val="bottom"/>
            <w:hideMark/>
          </w:tcPr>
          <w:p w14:paraId="64751A2B" w14:textId="77777777" w:rsidR="001F5F64" w:rsidRPr="00A42051" w:rsidRDefault="001F5F64" w:rsidP="008B44DD">
            <w:pPr>
              <w:rPr>
                <w:rFonts w:asciiTheme="minorHAnsi" w:hAnsiTheme="minorHAnsi" w:cs="Calibri"/>
                <w:b/>
                <w:bCs/>
                <w:sz w:val="20"/>
              </w:rPr>
            </w:pPr>
            <w:r w:rsidRPr="00A42051">
              <w:rPr>
                <w:rFonts w:asciiTheme="minorHAnsi" w:hAnsiTheme="minorHAnsi" w:cs="Calibri"/>
                <w:b/>
                <w:bCs/>
                <w:sz w:val="20"/>
              </w:rPr>
              <w:t>Total Huamarrja</w:t>
            </w:r>
          </w:p>
        </w:tc>
        <w:tc>
          <w:tcPr>
            <w:tcW w:w="1654" w:type="dxa"/>
            <w:tcBorders>
              <w:top w:val="nil"/>
              <w:left w:val="nil"/>
              <w:bottom w:val="single" w:sz="8" w:space="0" w:color="auto"/>
              <w:right w:val="nil"/>
            </w:tcBorders>
            <w:shd w:val="clear" w:color="000000" w:fill="FFFFFF"/>
            <w:noWrap/>
            <w:vAlign w:val="bottom"/>
            <w:hideMark/>
          </w:tcPr>
          <w:p w14:paraId="7B79DA74" w14:textId="77777777" w:rsidR="001F5F64" w:rsidRPr="00A42051" w:rsidRDefault="001F5F64" w:rsidP="008B44DD">
            <w:pPr>
              <w:jc w:val="right"/>
              <w:rPr>
                <w:rFonts w:asciiTheme="minorHAnsi" w:hAnsiTheme="minorHAnsi" w:cs="Calibri"/>
                <w:b/>
                <w:bCs/>
                <w:sz w:val="20"/>
              </w:rPr>
            </w:pPr>
            <w:r w:rsidRPr="00A42051">
              <w:rPr>
                <w:rFonts w:asciiTheme="minorHAnsi" w:hAnsiTheme="minorHAnsi" w:cs="Calibri"/>
                <w:b/>
                <w:bCs/>
                <w:sz w:val="20"/>
              </w:rPr>
              <w:t xml:space="preserve">                  119.6      </w:t>
            </w:r>
          </w:p>
        </w:tc>
        <w:tc>
          <w:tcPr>
            <w:tcW w:w="1240" w:type="dxa"/>
            <w:tcBorders>
              <w:top w:val="nil"/>
              <w:left w:val="nil"/>
              <w:bottom w:val="single" w:sz="8" w:space="0" w:color="auto"/>
              <w:right w:val="nil"/>
            </w:tcBorders>
            <w:shd w:val="clear" w:color="000000" w:fill="FFFFFF"/>
            <w:noWrap/>
            <w:vAlign w:val="bottom"/>
            <w:hideMark/>
          </w:tcPr>
          <w:p w14:paraId="0CBE977E" w14:textId="77777777" w:rsidR="001F5F64" w:rsidRPr="00A42051" w:rsidRDefault="001F5F64" w:rsidP="008B44DD">
            <w:pPr>
              <w:jc w:val="right"/>
              <w:rPr>
                <w:rFonts w:asciiTheme="minorHAnsi" w:hAnsiTheme="minorHAnsi" w:cs="Calibri"/>
                <w:b/>
                <w:bCs/>
                <w:sz w:val="20"/>
              </w:rPr>
            </w:pPr>
            <w:r w:rsidRPr="00A42051">
              <w:rPr>
                <w:rFonts w:asciiTheme="minorHAnsi" w:hAnsiTheme="minorHAnsi" w:cs="Calibri"/>
                <w:b/>
                <w:bCs/>
                <w:sz w:val="20"/>
              </w:rPr>
              <w:t>100.0%</w:t>
            </w:r>
          </w:p>
        </w:tc>
        <w:tc>
          <w:tcPr>
            <w:tcW w:w="1505" w:type="dxa"/>
            <w:tcBorders>
              <w:top w:val="nil"/>
              <w:left w:val="nil"/>
              <w:bottom w:val="single" w:sz="8" w:space="0" w:color="auto"/>
              <w:right w:val="nil"/>
            </w:tcBorders>
            <w:shd w:val="clear" w:color="000000" w:fill="FFFFFF"/>
            <w:noWrap/>
            <w:vAlign w:val="bottom"/>
            <w:hideMark/>
          </w:tcPr>
          <w:p w14:paraId="06C6804A" w14:textId="77777777" w:rsidR="001F5F64" w:rsidRPr="00A42051" w:rsidRDefault="001F5F64" w:rsidP="008B44DD">
            <w:pPr>
              <w:jc w:val="right"/>
              <w:rPr>
                <w:rFonts w:asciiTheme="minorHAnsi" w:hAnsiTheme="minorHAnsi" w:cs="Calibri"/>
                <w:b/>
                <w:bCs/>
                <w:sz w:val="20"/>
              </w:rPr>
            </w:pPr>
            <w:r w:rsidRPr="00A42051">
              <w:rPr>
                <w:rFonts w:asciiTheme="minorHAnsi" w:hAnsiTheme="minorHAnsi" w:cs="Calibri"/>
                <w:b/>
                <w:bCs/>
                <w:sz w:val="20"/>
              </w:rPr>
              <w:t xml:space="preserve">                128.7      </w:t>
            </w:r>
          </w:p>
        </w:tc>
        <w:tc>
          <w:tcPr>
            <w:tcW w:w="1026" w:type="dxa"/>
            <w:tcBorders>
              <w:top w:val="nil"/>
              <w:left w:val="nil"/>
              <w:bottom w:val="single" w:sz="8" w:space="0" w:color="auto"/>
              <w:right w:val="nil"/>
            </w:tcBorders>
            <w:shd w:val="clear" w:color="000000" w:fill="FFFFFF"/>
            <w:noWrap/>
            <w:vAlign w:val="bottom"/>
            <w:hideMark/>
          </w:tcPr>
          <w:p w14:paraId="08343D40" w14:textId="77777777" w:rsidR="001F5F64" w:rsidRPr="00A42051" w:rsidRDefault="001F5F64" w:rsidP="008B44DD">
            <w:pPr>
              <w:jc w:val="right"/>
              <w:rPr>
                <w:rFonts w:asciiTheme="minorHAnsi" w:hAnsiTheme="minorHAnsi" w:cs="Calibri"/>
                <w:b/>
                <w:bCs/>
                <w:sz w:val="20"/>
              </w:rPr>
            </w:pPr>
            <w:r w:rsidRPr="00A42051">
              <w:rPr>
                <w:rFonts w:asciiTheme="minorHAnsi" w:hAnsiTheme="minorHAnsi" w:cs="Calibri"/>
                <w:b/>
                <w:bCs/>
                <w:sz w:val="20"/>
              </w:rPr>
              <w:t>100.0%</w:t>
            </w:r>
          </w:p>
        </w:tc>
      </w:tr>
    </w:tbl>
    <w:p w14:paraId="464A783E" w14:textId="77777777" w:rsidR="001F5F64" w:rsidRPr="001F5F64" w:rsidRDefault="001F5F64" w:rsidP="001F5F64">
      <w:pPr>
        <w:ind w:firstLine="720"/>
        <w:rPr>
          <w:rFonts w:asciiTheme="minorHAnsi" w:eastAsia="MS Mincho" w:hAnsiTheme="minorHAnsi"/>
          <w:i/>
          <w:sz w:val="20"/>
          <w:lang w:val="sq-AL"/>
        </w:rPr>
      </w:pPr>
      <w:r w:rsidRPr="001F5F64">
        <w:rPr>
          <w:rFonts w:asciiTheme="minorHAnsi" w:eastAsia="MS Mincho" w:hAnsiTheme="minorHAnsi"/>
          <w:i/>
          <w:sz w:val="20"/>
          <w:lang w:val="sq-AL"/>
        </w:rPr>
        <w:t>Burimi: Ministria e Financave dhe Ekonomisë 2023</w:t>
      </w:r>
    </w:p>
    <w:p w14:paraId="31F3BBEA" w14:textId="77777777" w:rsidR="00D808F4" w:rsidRDefault="00D808F4" w:rsidP="00D808F4">
      <w:pPr>
        <w:tabs>
          <w:tab w:val="left" w:pos="360"/>
        </w:tabs>
        <w:spacing w:line="276" w:lineRule="auto"/>
        <w:jc w:val="both"/>
        <w:rPr>
          <w:rFonts w:asciiTheme="minorHAnsi" w:hAnsiTheme="minorHAnsi"/>
          <w:sz w:val="20"/>
          <w:lang w:val="sq-AL"/>
        </w:rPr>
      </w:pPr>
    </w:p>
    <w:p w14:paraId="6E7CCE3B" w14:textId="77777777" w:rsidR="00513A75" w:rsidRPr="006E68A7" w:rsidRDefault="00513A75" w:rsidP="00513A75">
      <w:pPr>
        <w:tabs>
          <w:tab w:val="left" w:pos="360"/>
        </w:tabs>
        <w:spacing w:line="276" w:lineRule="auto"/>
        <w:jc w:val="both"/>
        <w:rPr>
          <w:rFonts w:asciiTheme="minorHAnsi" w:hAnsiTheme="minorHAnsi"/>
          <w:i/>
          <w:u w:val="single"/>
          <w:lang w:val="sq-AL"/>
        </w:rPr>
      </w:pPr>
      <w:r w:rsidRPr="006E68A7">
        <w:rPr>
          <w:rFonts w:asciiTheme="minorHAnsi" w:hAnsiTheme="minorHAnsi"/>
          <w:i/>
          <w:u w:val="single"/>
          <w:lang w:val="sq-AL"/>
        </w:rPr>
        <w:t>Huamarrja e Brendshme</w:t>
      </w:r>
    </w:p>
    <w:p w14:paraId="45009F8D" w14:textId="77777777" w:rsidR="00513A75" w:rsidRDefault="001F5F64" w:rsidP="00D978A4">
      <w:pPr>
        <w:tabs>
          <w:tab w:val="left" w:pos="360"/>
        </w:tabs>
        <w:jc w:val="both"/>
        <w:rPr>
          <w:rFonts w:asciiTheme="minorHAnsi" w:hAnsiTheme="minorHAnsi"/>
          <w:lang w:val="sq-AL"/>
        </w:rPr>
      </w:pPr>
      <w:r w:rsidRPr="008757B8">
        <w:rPr>
          <w:rFonts w:asciiTheme="minorHAnsi" w:hAnsiTheme="minorHAnsi"/>
          <w:noProof/>
        </w:rPr>
        <w:t>Gjatë periudhës janar-mars 2023, Ministria e Financave dhe Ekonomisë ka emetuar në tregun e brendshëm tituj shtetërorë në vlerën 126.6 miliard Lekë, nga të cilat 87.1 miliard Lekë i përkasin titujve afatshkurtër dhe 39.5 miliard Lekë titujve afatgjatë. Huamarrja gjatë këtij tremujori ka qenë më e lartë se ajo e planifikuar në Planin e Huamarrjes së vitit 2023, kjo në kushtet e tepricës së likuiditetit në treg dhe kërkesës së kënaqshme nga investitorët për të investuar në tituj qeveritarë. Financimi neto ka rezultuar në vlerën 12.7 mld Lekë. Krahasuar me tremujorin e parë të vitit 2022, huamarrja neto është rritur konsiderueshëm, pasi në tremujorin e parë të vitit 2022 huamarrja neto rezultoi negative, në kushtet e hezitimit të investitoreve për të investuar në obligacione shtetërore, për shkak të pasigurisë së lartëqë karakterizoi tregjet financiare pothuajse gjatë gjithë vitit 2022 dhe pritshmërive për rritje të normave së interesit, ndikuar nga pasojat e konfliktit Rusi-Ukrainë</w:t>
      </w:r>
      <w:r w:rsidR="00513A75" w:rsidRPr="00EB0002">
        <w:rPr>
          <w:rFonts w:asciiTheme="minorHAnsi" w:hAnsiTheme="minorHAnsi"/>
          <w:lang w:val="sq-AL"/>
        </w:rPr>
        <w:t>.</w:t>
      </w:r>
      <w:r w:rsidR="00513A75">
        <w:rPr>
          <w:rFonts w:asciiTheme="minorHAnsi" w:hAnsiTheme="minorHAnsi"/>
          <w:lang w:val="sq-AL"/>
        </w:rPr>
        <w:t xml:space="preserve"> </w:t>
      </w:r>
    </w:p>
    <w:p w14:paraId="43F5B046" w14:textId="77777777" w:rsidR="001F5F64" w:rsidRDefault="001F5F64" w:rsidP="00D978A4">
      <w:pPr>
        <w:tabs>
          <w:tab w:val="left" w:pos="360"/>
        </w:tabs>
        <w:jc w:val="both"/>
        <w:rPr>
          <w:rFonts w:asciiTheme="minorHAnsi" w:hAnsiTheme="minorHAnsi"/>
          <w:lang w:val="sq-AL"/>
        </w:rPr>
      </w:pPr>
    </w:p>
    <w:p w14:paraId="43785548" w14:textId="77777777" w:rsidR="001F5F64" w:rsidRDefault="001F5F64" w:rsidP="00D978A4">
      <w:pPr>
        <w:tabs>
          <w:tab w:val="left" w:pos="360"/>
        </w:tabs>
        <w:jc w:val="both"/>
        <w:rPr>
          <w:rFonts w:asciiTheme="minorHAnsi" w:hAnsiTheme="minorHAnsi"/>
          <w:lang w:val="sq-AL"/>
        </w:rPr>
      </w:pPr>
    </w:p>
    <w:p w14:paraId="7A6C7B8D" w14:textId="4C5289A2" w:rsidR="00513A75" w:rsidRPr="00D978A4" w:rsidRDefault="00513A75" w:rsidP="00513A75">
      <w:pPr>
        <w:tabs>
          <w:tab w:val="left" w:pos="360"/>
        </w:tabs>
        <w:spacing w:line="276" w:lineRule="auto"/>
        <w:jc w:val="both"/>
        <w:rPr>
          <w:rFonts w:asciiTheme="minorHAnsi" w:hAnsiTheme="minorHAnsi"/>
          <w:i/>
          <w:noProof/>
          <w:sz w:val="20"/>
        </w:rPr>
      </w:pPr>
      <w:bookmarkStart w:id="82" w:name="_Toc107496747"/>
      <w:r w:rsidRPr="00D978A4">
        <w:rPr>
          <w:rFonts w:asciiTheme="minorHAnsi" w:hAnsiTheme="minorHAnsi"/>
          <w:i/>
          <w:noProof/>
          <w:sz w:val="22"/>
        </w:rPr>
        <w:lastRenderedPageBreak/>
        <w:t xml:space="preserve">Tabela </w:t>
      </w:r>
      <w:r w:rsidRPr="00D978A4">
        <w:rPr>
          <w:rFonts w:asciiTheme="minorHAnsi" w:hAnsiTheme="minorHAnsi"/>
          <w:i/>
          <w:noProof/>
          <w:sz w:val="22"/>
        </w:rPr>
        <w:fldChar w:fldCharType="begin"/>
      </w:r>
      <w:r w:rsidRPr="00D978A4">
        <w:rPr>
          <w:rFonts w:asciiTheme="minorHAnsi" w:hAnsiTheme="minorHAnsi"/>
          <w:i/>
          <w:noProof/>
          <w:sz w:val="22"/>
        </w:rPr>
        <w:instrText xml:space="preserve"> SEQ Tabela \* ARABIC </w:instrText>
      </w:r>
      <w:r w:rsidRPr="00D978A4">
        <w:rPr>
          <w:rFonts w:asciiTheme="minorHAnsi" w:hAnsiTheme="minorHAnsi"/>
          <w:i/>
          <w:noProof/>
          <w:sz w:val="22"/>
        </w:rPr>
        <w:fldChar w:fldCharType="separate"/>
      </w:r>
      <w:r w:rsidR="00C153A9">
        <w:rPr>
          <w:rFonts w:asciiTheme="minorHAnsi" w:hAnsiTheme="minorHAnsi"/>
          <w:i/>
          <w:noProof/>
          <w:sz w:val="22"/>
        </w:rPr>
        <w:t>11</w:t>
      </w:r>
      <w:r w:rsidRPr="00D978A4">
        <w:rPr>
          <w:rFonts w:asciiTheme="minorHAnsi" w:hAnsiTheme="minorHAnsi"/>
          <w:i/>
          <w:noProof/>
          <w:sz w:val="22"/>
        </w:rPr>
        <w:fldChar w:fldCharType="end"/>
      </w:r>
      <w:r w:rsidRPr="00D978A4">
        <w:rPr>
          <w:rFonts w:asciiTheme="minorHAnsi" w:hAnsiTheme="minorHAnsi"/>
          <w:i/>
          <w:noProof/>
          <w:sz w:val="22"/>
        </w:rPr>
        <w:t xml:space="preserve">: Huamarrja shtetërore nga burime të brendshme në terma bruto&amp;neto </w:t>
      </w:r>
      <w:r w:rsidRPr="00D978A4">
        <w:rPr>
          <w:rFonts w:asciiTheme="minorHAnsi" w:hAnsiTheme="minorHAnsi"/>
          <w:i/>
          <w:noProof/>
          <w:sz w:val="20"/>
        </w:rPr>
        <w:t>(Janar-Mars 202</w:t>
      </w:r>
      <w:r w:rsidR="001F5F64">
        <w:rPr>
          <w:rFonts w:asciiTheme="minorHAnsi" w:hAnsiTheme="minorHAnsi"/>
          <w:i/>
          <w:noProof/>
          <w:sz w:val="20"/>
        </w:rPr>
        <w:t>3</w:t>
      </w:r>
      <w:r w:rsidRPr="00D978A4">
        <w:rPr>
          <w:rFonts w:asciiTheme="minorHAnsi" w:hAnsiTheme="minorHAnsi"/>
          <w:i/>
          <w:noProof/>
          <w:sz w:val="20"/>
        </w:rPr>
        <w:t>)</w:t>
      </w:r>
      <w:bookmarkEnd w:id="82"/>
    </w:p>
    <w:tbl>
      <w:tblPr>
        <w:tblW w:w="8980" w:type="dxa"/>
        <w:jc w:val="center"/>
        <w:tblLook w:val="04A0" w:firstRow="1" w:lastRow="0" w:firstColumn="1" w:lastColumn="0" w:noHBand="0" w:noVBand="1"/>
      </w:tblPr>
      <w:tblGrid>
        <w:gridCol w:w="4270"/>
        <w:gridCol w:w="1317"/>
        <w:gridCol w:w="1380"/>
        <w:gridCol w:w="2013"/>
      </w:tblGrid>
      <w:tr w:rsidR="001F5F64" w:rsidRPr="001F5F64" w14:paraId="01D21DDF" w14:textId="77777777" w:rsidTr="001F5F64">
        <w:trPr>
          <w:gridAfter w:val="3"/>
          <w:wAfter w:w="4710" w:type="dxa"/>
          <w:trHeight w:val="476"/>
          <w:jc w:val="center"/>
        </w:trPr>
        <w:tc>
          <w:tcPr>
            <w:tcW w:w="4270" w:type="dxa"/>
            <w:vMerge w:val="restart"/>
            <w:tcBorders>
              <w:top w:val="nil"/>
              <w:left w:val="nil"/>
              <w:bottom w:val="single" w:sz="8" w:space="0" w:color="FFFFFF"/>
              <w:right w:val="single" w:sz="8" w:space="0" w:color="FFFFFF"/>
            </w:tcBorders>
            <w:shd w:val="clear" w:color="000000" w:fill="B8CCE4"/>
            <w:noWrap/>
            <w:vAlign w:val="center"/>
            <w:hideMark/>
          </w:tcPr>
          <w:p w14:paraId="2ECCCC9B" w14:textId="77777777" w:rsidR="001F5F64" w:rsidRPr="001F5F64" w:rsidRDefault="001F5F64" w:rsidP="008B44DD">
            <w:pPr>
              <w:jc w:val="center"/>
              <w:rPr>
                <w:rFonts w:asciiTheme="minorHAnsi" w:hAnsiTheme="minorHAnsi" w:cs="Calibri"/>
                <w:b/>
                <w:bCs/>
                <w:sz w:val="18"/>
              </w:rPr>
            </w:pPr>
            <w:r w:rsidRPr="001F5F64">
              <w:rPr>
                <w:rFonts w:asciiTheme="minorHAnsi" w:hAnsiTheme="minorHAnsi" w:cs="Calibri"/>
                <w:b/>
                <w:bCs/>
                <w:sz w:val="18"/>
              </w:rPr>
              <w:t>Lloji i Titullit</w:t>
            </w:r>
          </w:p>
        </w:tc>
      </w:tr>
      <w:tr w:rsidR="001F5F64" w:rsidRPr="001F5F64" w14:paraId="051BB2EA" w14:textId="77777777" w:rsidTr="001F5F64">
        <w:trPr>
          <w:trHeight w:val="664"/>
          <w:jc w:val="center"/>
        </w:trPr>
        <w:tc>
          <w:tcPr>
            <w:tcW w:w="4270" w:type="dxa"/>
            <w:vMerge/>
            <w:tcBorders>
              <w:top w:val="nil"/>
              <w:left w:val="nil"/>
              <w:bottom w:val="single" w:sz="8" w:space="0" w:color="FFFFFF"/>
              <w:right w:val="single" w:sz="8" w:space="0" w:color="FFFFFF"/>
            </w:tcBorders>
            <w:vAlign w:val="center"/>
            <w:hideMark/>
          </w:tcPr>
          <w:p w14:paraId="74D09307" w14:textId="77777777" w:rsidR="001F5F64" w:rsidRPr="001F5F64" w:rsidRDefault="001F5F64" w:rsidP="008B44DD">
            <w:pPr>
              <w:rPr>
                <w:rFonts w:asciiTheme="minorHAnsi" w:hAnsiTheme="minorHAnsi" w:cs="Calibri"/>
                <w:b/>
                <w:bCs/>
                <w:sz w:val="18"/>
              </w:rPr>
            </w:pPr>
          </w:p>
        </w:tc>
        <w:tc>
          <w:tcPr>
            <w:tcW w:w="1317" w:type="dxa"/>
            <w:tcBorders>
              <w:top w:val="single" w:sz="8" w:space="0" w:color="FFFFFF"/>
              <w:left w:val="nil"/>
              <w:bottom w:val="single" w:sz="8" w:space="0" w:color="FFFFFF"/>
              <w:right w:val="nil"/>
            </w:tcBorders>
            <w:shd w:val="clear" w:color="000000" w:fill="B8CCE4"/>
            <w:vAlign w:val="center"/>
            <w:hideMark/>
          </w:tcPr>
          <w:p w14:paraId="00A57B65" w14:textId="77777777" w:rsidR="001F5F64" w:rsidRPr="001F5F64" w:rsidRDefault="001F5F64" w:rsidP="008B44DD">
            <w:pPr>
              <w:jc w:val="center"/>
              <w:rPr>
                <w:rFonts w:asciiTheme="minorHAnsi" w:hAnsiTheme="minorHAnsi" w:cs="Calibri"/>
                <w:b/>
                <w:bCs/>
                <w:sz w:val="18"/>
              </w:rPr>
            </w:pPr>
            <w:r w:rsidRPr="001F5F64">
              <w:rPr>
                <w:rFonts w:asciiTheme="minorHAnsi" w:hAnsiTheme="minorHAnsi" w:cs="Calibri"/>
                <w:b/>
                <w:bCs/>
                <w:sz w:val="18"/>
              </w:rPr>
              <w:t xml:space="preserve">Emetim                                          </w:t>
            </w:r>
            <w:r w:rsidRPr="001F5F64">
              <w:rPr>
                <w:rFonts w:asciiTheme="minorHAnsi" w:hAnsiTheme="minorHAnsi" w:cs="Calibri"/>
                <w:i/>
                <w:iCs/>
                <w:sz w:val="18"/>
              </w:rPr>
              <w:t>(në mld Lekë)</w:t>
            </w:r>
          </w:p>
        </w:tc>
        <w:tc>
          <w:tcPr>
            <w:tcW w:w="1380" w:type="dxa"/>
            <w:tcBorders>
              <w:top w:val="single" w:sz="8" w:space="0" w:color="FFFFFF"/>
              <w:left w:val="single" w:sz="8" w:space="0" w:color="FFFFFF"/>
              <w:bottom w:val="single" w:sz="8" w:space="0" w:color="FFFFFF"/>
              <w:right w:val="nil"/>
            </w:tcBorders>
            <w:shd w:val="clear" w:color="000000" w:fill="B8CCE4"/>
            <w:vAlign w:val="center"/>
            <w:hideMark/>
          </w:tcPr>
          <w:p w14:paraId="677B81DE" w14:textId="77777777" w:rsidR="001F5F64" w:rsidRPr="001F5F64" w:rsidRDefault="001F5F64" w:rsidP="008B44DD">
            <w:pPr>
              <w:jc w:val="center"/>
              <w:rPr>
                <w:rFonts w:asciiTheme="minorHAnsi" w:hAnsiTheme="minorHAnsi" w:cs="Calibri"/>
                <w:b/>
                <w:bCs/>
                <w:sz w:val="18"/>
              </w:rPr>
            </w:pPr>
            <w:r w:rsidRPr="001F5F64">
              <w:rPr>
                <w:rFonts w:asciiTheme="minorHAnsi" w:hAnsiTheme="minorHAnsi" w:cs="Calibri"/>
                <w:b/>
                <w:bCs/>
                <w:sz w:val="18"/>
              </w:rPr>
              <w:t xml:space="preserve">Maturim                                        </w:t>
            </w:r>
            <w:r w:rsidRPr="001F5F64">
              <w:rPr>
                <w:rFonts w:asciiTheme="minorHAnsi" w:hAnsiTheme="minorHAnsi" w:cs="Calibri"/>
                <w:i/>
                <w:iCs/>
                <w:sz w:val="18"/>
              </w:rPr>
              <w:t>(në mld Lekë)</w:t>
            </w:r>
          </w:p>
        </w:tc>
        <w:tc>
          <w:tcPr>
            <w:tcW w:w="2013" w:type="dxa"/>
            <w:tcBorders>
              <w:top w:val="single" w:sz="8" w:space="0" w:color="FFFFFF"/>
              <w:left w:val="single" w:sz="8" w:space="0" w:color="FFFFFF"/>
              <w:bottom w:val="single" w:sz="8" w:space="0" w:color="FFFFFF"/>
              <w:right w:val="single" w:sz="8" w:space="0" w:color="FFFFFF"/>
            </w:tcBorders>
            <w:shd w:val="clear" w:color="000000" w:fill="B8CCE4"/>
            <w:vAlign w:val="center"/>
            <w:hideMark/>
          </w:tcPr>
          <w:p w14:paraId="083219FD" w14:textId="77777777" w:rsidR="001F5F64" w:rsidRPr="001F5F64" w:rsidRDefault="001F5F64" w:rsidP="008B44DD">
            <w:pPr>
              <w:jc w:val="center"/>
              <w:rPr>
                <w:rFonts w:asciiTheme="minorHAnsi" w:hAnsiTheme="minorHAnsi" w:cs="Calibri"/>
                <w:b/>
                <w:bCs/>
                <w:sz w:val="18"/>
              </w:rPr>
            </w:pPr>
            <w:r w:rsidRPr="001F5F64">
              <w:rPr>
                <w:rFonts w:asciiTheme="minorHAnsi" w:hAnsiTheme="minorHAnsi" w:cs="Calibri"/>
                <w:b/>
                <w:bCs/>
                <w:sz w:val="18"/>
              </w:rPr>
              <w:t xml:space="preserve">Huamarrja Neto                                       </w:t>
            </w:r>
            <w:r w:rsidRPr="001F5F64">
              <w:rPr>
                <w:rFonts w:asciiTheme="minorHAnsi" w:hAnsiTheme="minorHAnsi" w:cs="Calibri"/>
                <w:i/>
                <w:iCs/>
                <w:sz w:val="18"/>
              </w:rPr>
              <w:t>(në mld Lekë)</w:t>
            </w:r>
          </w:p>
        </w:tc>
      </w:tr>
      <w:tr w:rsidR="001F5F64" w:rsidRPr="001F5F64" w14:paraId="4C16A300" w14:textId="77777777" w:rsidTr="001F5F64">
        <w:trPr>
          <w:trHeight w:val="208"/>
          <w:jc w:val="center"/>
        </w:trPr>
        <w:tc>
          <w:tcPr>
            <w:tcW w:w="4270" w:type="dxa"/>
            <w:tcBorders>
              <w:top w:val="nil"/>
              <w:left w:val="nil"/>
              <w:bottom w:val="nil"/>
              <w:right w:val="single" w:sz="8" w:space="0" w:color="FFFFFF"/>
            </w:tcBorders>
            <w:shd w:val="clear" w:color="000000" w:fill="FFFFFF"/>
            <w:noWrap/>
            <w:vAlign w:val="bottom"/>
            <w:hideMark/>
          </w:tcPr>
          <w:p w14:paraId="12AB70BC" w14:textId="77777777" w:rsidR="001F5F64" w:rsidRPr="001F5F64" w:rsidRDefault="001F5F64" w:rsidP="008B44DD">
            <w:pPr>
              <w:rPr>
                <w:rFonts w:asciiTheme="minorHAnsi" w:hAnsiTheme="minorHAnsi" w:cs="Calibri"/>
                <w:b/>
                <w:bCs/>
                <w:sz w:val="18"/>
              </w:rPr>
            </w:pPr>
            <w:r w:rsidRPr="001F5F64">
              <w:rPr>
                <w:rFonts w:asciiTheme="minorHAnsi" w:hAnsiTheme="minorHAnsi" w:cs="Calibri"/>
                <w:b/>
                <w:bCs/>
                <w:sz w:val="18"/>
              </w:rPr>
              <w:t>Tituj Afatshkurtër</w:t>
            </w:r>
          </w:p>
        </w:tc>
        <w:tc>
          <w:tcPr>
            <w:tcW w:w="1317" w:type="dxa"/>
            <w:tcBorders>
              <w:top w:val="nil"/>
              <w:left w:val="nil"/>
              <w:bottom w:val="nil"/>
              <w:right w:val="nil"/>
            </w:tcBorders>
            <w:shd w:val="clear" w:color="000000" w:fill="FFFFFF"/>
            <w:noWrap/>
            <w:vAlign w:val="bottom"/>
            <w:hideMark/>
          </w:tcPr>
          <w:p w14:paraId="561098D7" w14:textId="77777777" w:rsidR="001F5F64" w:rsidRPr="001F5F64" w:rsidRDefault="001F5F64" w:rsidP="008B44DD">
            <w:pPr>
              <w:jc w:val="right"/>
              <w:rPr>
                <w:rFonts w:asciiTheme="minorHAnsi" w:hAnsiTheme="minorHAnsi" w:cs="Calibri"/>
                <w:b/>
                <w:bCs/>
                <w:sz w:val="18"/>
              </w:rPr>
            </w:pPr>
            <w:r w:rsidRPr="001F5F64">
              <w:rPr>
                <w:rFonts w:asciiTheme="minorHAnsi" w:hAnsiTheme="minorHAnsi" w:cs="Calibri"/>
                <w:b/>
                <w:bCs/>
                <w:sz w:val="18"/>
              </w:rPr>
              <w:t>87.1</w:t>
            </w:r>
          </w:p>
        </w:tc>
        <w:tc>
          <w:tcPr>
            <w:tcW w:w="1380" w:type="dxa"/>
            <w:tcBorders>
              <w:top w:val="nil"/>
              <w:left w:val="nil"/>
              <w:bottom w:val="nil"/>
              <w:right w:val="nil"/>
            </w:tcBorders>
            <w:shd w:val="clear" w:color="000000" w:fill="FFFFFF"/>
            <w:noWrap/>
            <w:vAlign w:val="bottom"/>
            <w:hideMark/>
          </w:tcPr>
          <w:p w14:paraId="55C440F4" w14:textId="77777777" w:rsidR="001F5F64" w:rsidRPr="001F5F64" w:rsidRDefault="001F5F64" w:rsidP="008B44DD">
            <w:pPr>
              <w:jc w:val="right"/>
              <w:rPr>
                <w:rFonts w:asciiTheme="minorHAnsi" w:hAnsiTheme="minorHAnsi" w:cs="Calibri"/>
                <w:b/>
                <w:bCs/>
                <w:sz w:val="18"/>
              </w:rPr>
            </w:pPr>
            <w:r w:rsidRPr="001F5F64">
              <w:rPr>
                <w:rFonts w:asciiTheme="minorHAnsi" w:hAnsiTheme="minorHAnsi" w:cs="Calibri"/>
                <w:b/>
                <w:bCs/>
                <w:sz w:val="18"/>
              </w:rPr>
              <w:t>71.0</w:t>
            </w:r>
          </w:p>
        </w:tc>
        <w:tc>
          <w:tcPr>
            <w:tcW w:w="2013" w:type="dxa"/>
            <w:tcBorders>
              <w:top w:val="nil"/>
              <w:left w:val="nil"/>
              <w:bottom w:val="nil"/>
              <w:right w:val="nil"/>
            </w:tcBorders>
            <w:shd w:val="clear" w:color="000000" w:fill="FFFFFF"/>
            <w:noWrap/>
            <w:vAlign w:val="bottom"/>
            <w:hideMark/>
          </w:tcPr>
          <w:p w14:paraId="64FCAA1A" w14:textId="77777777" w:rsidR="001F5F64" w:rsidRPr="001F5F64" w:rsidRDefault="001F5F64" w:rsidP="008B44DD">
            <w:pPr>
              <w:jc w:val="right"/>
              <w:rPr>
                <w:rFonts w:asciiTheme="minorHAnsi" w:hAnsiTheme="minorHAnsi" w:cs="Calibri"/>
                <w:b/>
                <w:bCs/>
                <w:sz w:val="18"/>
              </w:rPr>
            </w:pPr>
            <w:r w:rsidRPr="001F5F64">
              <w:rPr>
                <w:rFonts w:asciiTheme="minorHAnsi" w:hAnsiTheme="minorHAnsi" w:cs="Calibri"/>
                <w:b/>
                <w:bCs/>
                <w:sz w:val="18"/>
              </w:rPr>
              <w:t>16.1</w:t>
            </w:r>
          </w:p>
        </w:tc>
      </w:tr>
      <w:tr w:rsidR="001F5F64" w:rsidRPr="001F5F64" w14:paraId="01889D3B" w14:textId="77777777" w:rsidTr="001F5F64">
        <w:trPr>
          <w:trHeight w:val="208"/>
          <w:jc w:val="center"/>
        </w:trPr>
        <w:tc>
          <w:tcPr>
            <w:tcW w:w="4270" w:type="dxa"/>
            <w:tcBorders>
              <w:top w:val="nil"/>
              <w:left w:val="nil"/>
              <w:bottom w:val="nil"/>
              <w:right w:val="single" w:sz="8" w:space="0" w:color="FFFFFF"/>
            </w:tcBorders>
            <w:shd w:val="clear" w:color="000000" w:fill="FFFFFF"/>
            <w:noWrap/>
            <w:vAlign w:val="bottom"/>
            <w:hideMark/>
          </w:tcPr>
          <w:p w14:paraId="1B7824FF" w14:textId="77777777" w:rsidR="001F5F64" w:rsidRPr="001F5F64" w:rsidRDefault="001F5F64" w:rsidP="008B44DD">
            <w:pPr>
              <w:rPr>
                <w:rFonts w:asciiTheme="minorHAnsi" w:hAnsiTheme="minorHAnsi" w:cs="Calibri"/>
                <w:color w:val="000000"/>
                <w:sz w:val="18"/>
              </w:rPr>
            </w:pPr>
            <w:r w:rsidRPr="001F5F64">
              <w:rPr>
                <w:rFonts w:asciiTheme="minorHAnsi" w:hAnsiTheme="minorHAnsi" w:cs="Calibri"/>
                <w:color w:val="000000"/>
                <w:sz w:val="18"/>
              </w:rPr>
              <w:t xml:space="preserve">    Bono Thesari në Lekë</w:t>
            </w:r>
          </w:p>
        </w:tc>
        <w:tc>
          <w:tcPr>
            <w:tcW w:w="1317" w:type="dxa"/>
            <w:tcBorders>
              <w:top w:val="nil"/>
              <w:left w:val="nil"/>
              <w:bottom w:val="nil"/>
              <w:right w:val="nil"/>
            </w:tcBorders>
            <w:shd w:val="clear" w:color="000000" w:fill="FFFFFF"/>
            <w:noWrap/>
            <w:vAlign w:val="bottom"/>
            <w:hideMark/>
          </w:tcPr>
          <w:p w14:paraId="6B3016FD" w14:textId="77777777" w:rsidR="001F5F64" w:rsidRPr="001F5F64" w:rsidRDefault="001F5F64" w:rsidP="008B44DD">
            <w:pPr>
              <w:jc w:val="right"/>
              <w:rPr>
                <w:rFonts w:asciiTheme="minorHAnsi" w:hAnsiTheme="minorHAnsi" w:cs="Calibri"/>
                <w:color w:val="000000"/>
                <w:sz w:val="18"/>
              </w:rPr>
            </w:pPr>
            <w:r w:rsidRPr="001F5F64">
              <w:rPr>
                <w:rFonts w:asciiTheme="minorHAnsi" w:hAnsiTheme="minorHAnsi" w:cs="Calibri"/>
                <w:color w:val="000000"/>
                <w:sz w:val="18"/>
              </w:rPr>
              <w:t>87.1</w:t>
            </w:r>
          </w:p>
        </w:tc>
        <w:tc>
          <w:tcPr>
            <w:tcW w:w="1380" w:type="dxa"/>
            <w:tcBorders>
              <w:top w:val="nil"/>
              <w:left w:val="nil"/>
              <w:bottom w:val="nil"/>
              <w:right w:val="nil"/>
            </w:tcBorders>
            <w:shd w:val="clear" w:color="000000" w:fill="FFFFFF"/>
            <w:noWrap/>
            <w:vAlign w:val="bottom"/>
            <w:hideMark/>
          </w:tcPr>
          <w:p w14:paraId="2EEEC546" w14:textId="77777777" w:rsidR="001F5F64" w:rsidRPr="001F5F64" w:rsidRDefault="001F5F64" w:rsidP="008B44DD">
            <w:pPr>
              <w:jc w:val="right"/>
              <w:rPr>
                <w:rFonts w:asciiTheme="minorHAnsi" w:hAnsiTheme="minorHAnsi" w:cs="Calibri"/>
                <w:color w:val="000000"/>
                <w:sz w:val="18"/>
              </w:rPr>
            </w:pPr>
            <w:r w:rsidRPr="001F5F64">
              <w:rPr>
                <w:rFonts w:asciiTheme="minorHAnsi" w:hAnsiTheme="minorHAnsi" w:cs="Calibri"/>
                <w:color w:val="000000"/>
                <w:sz w:val="18"/>
              </w:rPr>
              <w:t>71.0</w:t>
            </w:r>
          </w:p>
        </w:tc>
        <w:tc>
          <w:tcPr>
            <w:tcW w:w="2013" w:type="dxa"/>
            <w:tcBorders>
              <w:top w:val="nil"/>
              <w:left w:val="nil"/>
              <w:bottom w:val="nil"/>
              <w:right w:val="nil"/>
            </w:tcBorders>
            <w:shd w:val="clear" w:color="000000" w:fill="FFFFFF"/>
            <w:noWrap/>
            <w:vAlign w:val="bottom"/>
            <w:hideMark/>
          </w:tcPr>
          <w:p w14:paraId="1912CE7F" w14:textId="77777777" w:rsidR="001F5F64" w:rsidRPr="001F5F64" w:rsidRDefault="001F5F64" w:rsidP="008B44DD">
            <w:pPr>
              <w:jc w:val="right"/>
              <w:rPr>
                <w:rFonts w:asciiTheme="minorHAnsi" w:hAnsiTheme="minorHAnsi" w:cs="Calibri"/>
                <w:sz w:val="18"/>
              </w:rPr>
            </w:pPr>
            <w:r w:rsidRPr="001F5F64">
              <w:rPr>
                <w:rFonts w:asciiTheme="minorHAnsi" w:hAnsiTheme="minorHAnsi" w:cs="Calibri"/>
                <w:sz w:val="18"/>
              </w:rPr>
              <w:t>16.1</w:t>
            </w:r>
          </w:p>
        </w:tc>
      </w:tr>
      <w:tr w:rsidR="001F5F64" w:rsidRPr="001F5F64" w14:paraId="15B64504" w14:textId="77777777" w:rsidTr="001F5F64">
        <w:trPr>
          <w:trHeight w:val="208"/>
          <w:jc w:val="center"/>
        </w:trPr>
        <w:tc>
          <w:tcPr>
            <w:tcW w:w="4270" w:type="dxa"/>
            <w:tcBorders>
              <w:top w:val="nil"/>
              <w:left w:val="nil"/>
              <w:bottom w:val="nil"/>
              <w:right w:val="single" w:sz="8" w:space="0" w:color="FFFFFF"/>
            </w:tcBorders>
            <w:shd w:val="clear" w:color="000000" w:fill="FFFFFF"/>
            <w:noWrap/>
            <w:vAlign w:val="bottom"/>
            <w:hideMark/>
          </w:tcPr>
          <w:p w14:paraId="710491A9" w14:textId="77777777" w:rsidR="001F5F64" w:rsidRPr="001F5F64" w:rsidRDefault="001F5F64" w:rsidP="008B44DD">
            <w:pPr>
              <w:rPr>
                <w:rFonts w:asciiTheme="minorHAnsi" w:hAnsiTheme="minorHAnsi" w:cs="Calibri"/>
                <w:b/>
                <w:bCs/>
                <w:color w:val="000000"/>
                <w:sz w:val="18"/>
              </w:rPr>
            </w:pPr>
            <w:r w:rsidRPr="001F5F64">
              <w:rPr>
                <w:rFonts w:asciiTheme="minorHAnsi" w:hAnsiTheme="minorHAnsi" w:cs="Calibri"/>
                <w:b/>
                <w:bCs/>
                <w:color w:val="000000"/>
                <w:sz w:val="18"/>
              </w:rPr>
              <w:t>Tituj Afatgjatë</w:t>
            </w:r>
          </w:p>
        </w:tc>
        <w:tc>
          <w:tcPr>
            <w:tcW w:w="1317" w:type="dxa"/>
            <w:tcBorders>
              <w:top w:val="nil"/>
              <w:left w:val="nil"/>
              <w:bottom w:val="nil"/>
              <w:right w:val="nil"/>
            </w:tcBorders>
            <w:shd w:val="clear" w:color="000000" w:fill="FFFFFF"/>
            <w:noWrap/>
            <w:vAlign w:val="bottom"/>
            <w:hideMark/>
          </w:tcPr>
          <w:p w14:paraId="5754E732" w14:textId="77777777" w:rsidR="001F5F64" w:rsidRPr="001F5F64" w:rsidRDefault="001F5F64" w:rsidP="008B44DD">
            <w:pPr>
              <w:jc w:val="right"/>
              <w:rPr>
                <w:rFonts w:asciiTheme="minorHAnsi" w:hAnsiTheme="minorHAnsi" w:cs="Calibri"/>
                <w:b/>
                <w:bCs/>
                <w:color w:val="000000"/>
                <w:sz w:val="18"/>
              </w:rPr>
            </w:pPr>
            <w:r w:rsidRPr="001F5F64">
              <w:rPr>
                <w:rFonts w:asciiTheme="minorHAnsi" w:hAnsiTheme="minorHAnsi" w:cs="Calibri"/>
                <w:b/>
                <w:bCs/>
                <w:color w:val="000000"/>
                <w:sz w:val="18"/>
              </w:rPr>
              <w:t>39.5</w:t>
            </w:r>
          </w:p>
        </w:tc>
        <w:tc>
          <w:tcPr>
            <w:tcW w:w="1380" w:type="dxa"/>
            <w:tcBorders>
              <w:top w:val="nil"/>
              <w:left w:val="nil"/>
              <w:bottom w:val="nil"/>
              <w:right w:val="nil"/>
            </w:tcBorders>
            <w:shd w:val="clear" w:color="000000" w:fill="FFFFFF"/>
            <w:noWrap/>
            <w:vAlign w:val="bottom"/>
            <w:hideMark/>
          </w:tcPr>
          <w:p w14:paraId="6F3656A2" w14:textId="77777777" w:rsidR="001F5F64" w:rsidRPr="001F5F64" w:rsidRDefault="001F5F64" w:rsidP="008B44DD">
            <w:pPr>
              <w:jc w:val="right"/>
              <w:rPr>
                <w:rFonts w:asciiTheme="minorHAnsi" w:hAnsiTheme="minorHAnsi" w:cs="Calibri"/>
                <w:b/>
                <w:bCs/>
                <w:color w:val="000000"/>
                <w:sz w:val="18"/>
              </w:rPr>
            </w:pPr>
            <w:r w:rsidRPr="001F5F64">
              <w:rPr>
                <w:rFonts w:asciiTheme="minorHAnsi" w:hAnsiTheme="minorHAnsi" w:cs="Calibri"/>
                <w:b/>
                <w:bCs/>
                <w:color w:val="000000"/>
                <w:sz w:val="18"/>
              </w:rPr>
              <w:t>42.9</w:t>
            </w:r>
          </w:p>
        </w:tc>
        <w:tc>
          <w:tcPr>
            <w:tcW w:w="2013" w:type="dxa"/>
            <w:tcBorders>
              <w:top w:val="nil"/>
              <w:left w:val="nil"/>
              <w:bottom w:val="nil"/>
              <w:right w:val="nil"/>
            </w:tcBorders>
            <w:shd w:val="clear" w:color="000000" w:fill="FFFFFF"/>
            <w:noWrap/>
            <w:vAlign w:val="bottom"/>
            <w:hideMark/>
          </w:tcPr>
          <w:p w14:paraId="12A66D28" w14:textId="77777777" w:rsidR="001F5F64" w:rsidRPr="001F5F64" w:rsidRDefault="001F5F64" w:rsidP="008B44DD">
            <w:pPr>
              <w:jc w:val="right"/>
              <w:rPr>
                <w:rFonts w:asciiTheme="minorHAnsi" w:hAnsiTheme="minorHAnsi" w:cs="Calibri"/>
                <w:b/>
                <w:bCs/>
                <w:sz w:val="18"/>
              </w:rPr>
            </w:pPr>
            <w:r w:rsidRPr="001F5F64">
              <w:rPr>
                <w:rFonts w:asciiTheme="minorHAnsi" w:hAnsiTheme="minorHAnsi" w:cs="Calibri"/>
                <w:b/>
                <w:bCs/>
                <w:sz w:val="18"/>
              </w:rPr>
              <w:t>-3.4</w:t>
            </w:r>
          </w:p>
        </w:tc>
      </w:tr>
      <w:tr w:rsidR="001F5F64" w:rsidRPr="001F5F64" w14:paraId="339C0C58" w14:textId="77777777" w:rsidTr="001F5F64">
        <w:trPr>
          <w:trHeight w:val="208"/>
          <w:jc w:val="center"/>
        </w:trPr>
        <w:tc>
          <w:tcPr>
            <w:tcW w:w="4270" w:type="dxa"/>
            <w:tcBorders>
              <w:top w:val="nil"/>
              <w:left w:val="nil"/>
              <w:bottom w:val="nil"/>
              <w:right w:val="single" w:sz="8" w:space="0" w:color="FFFFFF"/>
            </w:tcBorders>
            <w:shd w:val="clear" w:color="000000" w:fill="FFFFFF"/>
            <w:noWrap/>
            <w:vAlign w:val="bottom"/>
            <w:hideMark/>
          </w:tcPr>
          <w:p w14:paraId="0C8267BF" w14:textId="77777777" w:rsidR="001F5F64" w:rsidRPr="001F5F64" w:rsidRDefault="001F5F64" w:rsidP="008B44DD">
            <w:pPr>
              <w:rPr>
                <w:rFonts w:asciiTheme="minorHAnsi" w:hAnsiTheme="minorHAnsi" w:cs="Calibri"/>
                <w:color w:val="000000"/>
                <w:sz w:val="18"/>
              </w:rPr>
            </w:pPr>
            <w:r w:rsidRPr="001F5F64">
              <w:rPr>
                <w:rFonts w:asciiTheme="minorHAnsi" w:hAnsiTheme="minorHAnsi" w:cs="Calibri"/>
                <w:color w:val="000000"/>
                <w:sz w:val="18"/>
              </w:rPr>
              <w:t xml:space="preserve">    Obligacione 2 vjeçare</w:t>
            </w:r>
          </w:p>
        </w:tc>
        <w:tc>
          <w:tcPr>
            <w:tcW w:w="1317" w:type="dxa"/>
            <w:tcBorders>
              <w:top w:val="nil"/>
              <w:left w:val="nil"/>
              <w:bottom w:val="nil"/>
              <w:right w:val="nil"/>
            </w:tcBorders>
            <w:shd w:val="clear" w:color="000000" w:fill="FFFFFF"/>
            <w:noWrap/>
            <w:vAlign w:val="bottom"/>
            <w:hideMark/>
          </w:tcPr>
          <w:p w14:paraId="01D2D432" w14:textId="77777777" w:rsidR="001F5F64" w:rsidRPr="001F5F64" w:rsidRDefault="001F5F64" w:rsidP="008B44DD">
            <w:pPr>
              <w:jc w:val="right"/>
              <w:rPr>
                <w:rFonts w:asciiTheme="minorHAnsi" w:hAnsiTheme="minorHAnsi" w:cs="Calibri"/>
                <w:color w:val="000000"/>
                <w:sz w:val="18"/>
              </w:rPr>
            </w:pPr>
            <w:r w:rsidRPr="001F5F64">
              <w:rPr>
                <w:rFonts w:asciiTheme="minorHAnsi" w:hAnsiTheme="minorHAnsi" w:cs="Calibri"/>
                <w:color w:val="000000"/>
                <w:sz w:val="18"/>
              </w:rPr>
              <w:t>13.1</w:t>
            </w:r>
          </w:p>
        </w:tc>
        <w:tc>
          <w:tcPr>
            <w:tcW w:w="1380" w:type="dxa"/>
            <w:tcBorders>
              <w:top w:val="nil"/>
              <w:left w:val="nil"/>
              <w:bottom w:val="nil"/>
              <w:right w:val="nil"/>
            </w:tcBorders>
            <w:shd w:val="clear" w:color="000000" w:fill="FFFFFF"/>
            <w:noWrap/>
            <w:vAlign w:val="bottom"/>
            <w:hideMark/>
          </w:tcPr>
          <w:p w14:paraId="1023326C" w14:textId="77777777" w:rsidR="001F5F64" w:rsidRPr="001F5F64" w:rsidRDefault="001F5F64" w:rsidP="008B44DD">
            <w:pPr>
              <w:jc w:val="right"/>
              <w:rPr>
                <w:rFonts w:asciiTheme="minorHAnsi" w:hAnsiTheme="minorHAnsi" w:cs="Calibri"/>
                <w:color w:val="000000"/>
                <w:sz w:val="18"/>
              </w:rPr>
            </w:pPr>
            <w:r w:rsidRPr="001F5F64">
              <w:rPr>
                <w:rFonts w:asciiTheme="minorHAnsi" w:hAnsiTheme="minorHAnsi" w:cs="Calibri"/>
                <w:color w:val="000000"/>
                <w:sz w:val="18"/>
              </w:rPr>
              <w:t>14.2</w:t>
            </w:r>
          </w:p>
        </w:tc>
        <w:tc>
          <w:tcPr>
            <w:tcW w:w="2013" w:type="dxa"/>
            <w:tcBorders>
              <w:top w:val="nil"/>
              <w:left w:val="nil"/>
              <w:bottom w:val="nil"/>
              <w:right w:val="nil"/>
            </w:tcBorders>
            <w:shd w:val="clear" w:color="000000" w:fill="FFFFFF"/>
            <w:noWrap/>
            <w:vAlign w:val="bottom"/>
            <w:hideMark/>
          </w:tcPr>
          <w:p w14:paraId="31520BD1" w14:textId="77777777" w:rsidR="001F5F64" w:rsidRPr="001F5F64" w:rsidRDefault="001F5F64" w:rsidP="008B44DD">
            <w:pPr>
              <w:jc w:val="right"/>
              <w:rPr>
                <w:rFonts w:asciiTheme="minorHAnsi" w:hAnsiTheme="minorHAnsi" w:cs="Calibri"/>
                <w:sz w:val="18"/>
              </w:rPr>
            </w:pPr>
            <w:r w:rsidRPr="001F5F64">
              <w:rPr>
                <w:rFonts w:asciiTheme="minorHAnsi" w:hAnsiTheme="minorHAnsi" w:cs="Calibri"/>
                <w:sz w:val="18"/>
              </w:rPr>
              <w:t>-1.0</w:t>
            </w:r>
          </w:p>
        </w:tc>
      </w:tr>
      <w:tr w:rsidR="001F5F64" w:rsidRPr="001F5F64" w14:paraId="5767202F" w14:textId="77777777" w:rsidTr="001F5F64">
        <w:trPr>
          <w:trHeight w:val="208"/>
          <w:jc w:val="center"/>
        </w:trPr>
        <w:tc>
          <w:tcPr>
            <w:tcW w:w="4270" w:type="dxa"/>
            <w:tcBorders>
              <w:top w:val="nil"/>
              <w:left w:val="nil"/>
              <w:bottom w:val="nil"/>
              <w:right w:val="single" w:sz="8" w:space="0" w:color="FFFFFF"/>
            </w:tcBorders>
            <w:shd w:val="clear" w:color="000000" w:fill="FFFFFF"/>
            <w:noWrap/>
            <w:vAlign w:val="bottom"/>
            <w:hideMark/>
          </w:tcPr>
          <w:p w14:paraId="04926763" w14:textId="77777777" w:rsidR="001F5F64" w:rsidRPr="001F5F64" w:rsidRDefault="001F5F64" w:rsidP="008B44DD">
            <w:pPr>
              <w:rPr>
                <w:rFonts w:asciiTheme="minorHAnsi" w:hAnsiTheme="minorHAnsi" w:cs="Calibri"/>
                <w:color w:val="000000"/>
                <w:sz w:val="18"/>
              </w:rPr>
            </w:pPr>
            <w:r w:rsidRPr="001F5F64">
              <w:rPr>
                <w:rFonts w:asciiTheme="minorHAnsi" w:hAnsiTheme="minorHAnsi" w:cs="Calibri"/>
                <w:color w:val="000000"/>
                <w:sz w:val="18"/>
              </w:rPr>
              <w:t xml:space="preserve">    Obligacione 2 vjeçare në Euro</w:t>
            </w:r>
          </w:p>
        </w:tc>
        <w:tc>
          <w:tcPr>
            <w:tcW w:w="1317" w:type="dxa"/>
            <w:tcBorders>
              <w:top w:val="nil"/>
              <w:left w:val="nil"/>
              <w:bottom w:val="nil"/>
              <w:right w:val="nil"/>
            </w:tcBorders>
            <w:shd w:val="clear" w:color="000000" w:fill="FFFFFF"/>
            <w:noWrap/>
            <w:vAlign w:val="bottom"/>
            <w:hideMark/>
          </w:tcPr>
          <w:p w14:paraId="7F94E527" w14:textId="77777777" w:rsidR="001F5F64" w:rsidRPr="001F5F64" w:rsidRDefault="001F5F64" w:rsidP="008B44DD">
            <w:pPr>
              <w:jc w:val="right"/>
              <w:rPr>
                <w:rFonts w:asciiTheme="minorHAnsi" w:hAnsiTheme="minorHAnsi" w:cs="Calibri"/>
                <w:color w:val="000000"/>
                <w:sz w:val="18"/>
              </w:rPr>
            </w:pPr>
            <w:r w:rsidRPr="001F5F64">
              <w:rPr>
                <w:rFonts w:asciiTheme="minorHAnsi" w:hAnsiTheme="minorHAnsi" w:cs="Calibri"/>
                <w:color w:val="000000"/>
                <w:sz w:val="18"/>
              </w:rPr>
              <w:t>0.0</w:t>
            </w:r>
          </w:p>
        </w:tc>
        <w:tc>
          <w:tcPr>
            <w:tcW w:w="1380" w:type="dxa"/>
            <w:tcBorders>
              <w:top w:val="nil"/>
              <w:left w:val="nil"/>
              <w:bottom w:val="nil"/>
              <w:right w:val="nil"/>
            </w:tcBorders>
            <w:shd w:val="clear" w:color="000000" w:fill="FFFFFF"/>
            <w:noWrap/>
            <w:vAlign w:val="bottom"/>
            <w:hideMark/>
          </w:tcPr>
          <w:p w14:paraId="0E27FF1C" w14:textId="77777777" w:rsidR="001F5F64" w:rsidRPr="001F5F64" w:rsidRDefault="001F5F64" w:rsidP="008B44DD">
            <w:pPr>
              <w:jc w:val="right"/>
              <w:rPr>
                <w:rFonts w:asciiTheme="minorHAnsi" w:hAnsiTheme="minorHAnsi" w:cs="Calibri"/>
                <w:color w:val="000000"/>
                <w:sz w:val="18"/>
              </w:rPr>
            </w:pPr>
            <w:r w:rsidRPr="001F5F64">
              <w:rPr>
                <w:rFonts w:asciiTheme="minorHAnsi" w:hAnsiTheme="minorHAnsi" w:cs="Calibri"/>
                <w:color w:val="000000"/>
                <w:sz w:val="18"/>
              </w:rPr>
              <w:t>0.0</w:t>
            </w:r>
          </w:p>
        </w:tc>
        <w:tc>
          <w:tcPr>
            <w:tcW w:w="2013" w:type="dxa"/>
            <w:tcBorders>
              <w:top w:val="nil"/>
              <w:left w:val="nil"/>
              <w:bottom w:val="nil"/>
              <w:right w:val="nil"/>
            </w:tcBorders>
            <w:shd w:val="clear" w:color="000000" w:fill="FFFFFF"/>
            <w:noWrap/>
            <w:vAlign w:val="bottom"/>
            <w:hideMark/>
          </w:tcPr>
          <w:p w14:paraId="2F72850D" w14:textId="77777777" w:rsidR="001F5F64" w:rsidRPr="001F5F64" w:rsidRDefault="001F5F64" w:rsidP="008B44DD">
            <w:pPr>
              <w:jc w:val="right"/>
              <w:rPr>
                <w:rFonts w:asciiTheme="minorHAnsi" w:hAnsiTheme="minorHAnsi" w:cs="Calibri"/>
                <w:sz w:val="18"/>
              </w:rPr>
            </w:pPr>
            <w:r w:rsidRPr="001F5F64">
              <w:rPr>
                <w:rFonts w:asciiTheme="minorHAnsi" w:hAnsiTheme="minorHAnsi" w:cs="Calibri"/>
                <w:sz w:val="18"/>
              </w:rPr>
              <w:t>0.0</w:t>
            </w:r>
          </w:p>
        </w:tc>
      </w:tr>
      <w:tr w:rsidR="001F5F64" w:rsidRPr="001F5F64" w14:paraId="0F63390C" w14:textId="77777777" w:rsidTr="001F5F64">
        <w:trPr>
          <w:trHeight w:val="208"/>
          <w:jc w:val="center"/>
        </w:trPr>
        <w:tc>
          <w:tcPr>
            <w:tcW w:w="4270" w:type="dxa"/>
            <w:tcBorders>
              <w:top w:val="nil"/>
              <w:left w:val="nil"/>
              <w:bottom w:val="nil"/>
              <w:right w:val="single" w:sz="8" w:space="0" w:color="FFFFFF"/>
            </w:tcBorders>
            <w:shd w:val="clear" w:color="000000" w:fill="FFFFFF"/>
            <w:noWrap/>
            <w:vAlign w:val="bottom"/>
            <w:hideMark/>
          </w:tcPr>
          <w:p w14:paraId="2A4A8A76" w14:textId="77777777" w:rsidR="001F5F64" w:rsidRPr="001F5F64" w:rsidRDefault="001F5F64" w:rsidP="008B44DD">
            <w:pPr>
              <w:rPr>
                <w:rFonts w:asciiTheme="minorHAnsi" w:hAnsiTheme="minorHAnsi" w:cs="Calibri"/>
                <w:color w:val="000000"/>
                <w:sz w:val="18"/>
              </w:rPr>
            </w:pPr>
            <w:r w:rsidRPr="001F5F64">
              <w:rPr>
                <w:rFonts w:asciiTheme="minorHAnsi" w:hAnsiTheme="minorHAnsi" w:cs="Calibri"/>
                <w:color w:val="000000"/>
                <w:sz w:val="18"/>
              </w:rPr>
              <w:t xml:space="preserve">    Obligacione 3 vjeçare</w:t>
            </w:r>
          </w:p>
        </w:tc>
        <w:tc>
          <w:tcPr>
            <w:tcW w:w="1317" w:type="dxa"/>
            <w:tcBorders>
              <w:top w:val="nil"/>
              <w:left w:val="nil"/>
              <w:bottom w:val="nil"/>
              <w:right w:val="nil"/>
            </w:tcBorders>
            <w:shd w:val="clear" w:color="000000" w:fill="FFFFFF"/>
            <w:noWrap/>
            <w:vAlign w:val="bottom"/>
            <w:hideMark/>
          </w:tcPr>
          <w:p w14:paraId="08AE8D1D" w14:textId="77777777" w:rsidR="001F5F64" w:rsidRPr="001F5F64" w:rsidRDefault="001F5F64" w:rsidP="008B44DD">
            <w:pPr>
              <w:jc w:val="right"/>
              <w:rPr>
                <w:rFonts w:asciiTheme="minorHAnsi" w:hAnsiTheme="minorHAnsi" w:cs="Calibri"/>
                <w:color w:val="000000"/>
                <w:sz w:val="18"/>
              </w:rPr>
            </w:pPr>
            <w:r w:rsidRPr="001F5F64">
              <w:rPr>
                <w:rFonts w:asciiTheme="minorHAnsi" w:hAnsiTheme="minorHAnsi" w:cs="Calibri"/>
                <w:color w:val="000000"/>
                <w:sz w:val="18"/>
              </w:rPr>
              <w:t>7.9</w:t>
            </w:r>
          </w:p>
        </w:tc>
        <w:tc>
          <w:tcPr>
            <w:tcW w:w="1380" w:type="dxa"/>
            <w:tcBorders>
              <w:top w:val="nil"/>
              <w:left w:val="nil"/>
              <w:bottom w:val="nil"/>
              <w:right w:val="nil"/>
            </w:tcBorders>
            <w:shd w:val="clear" w:color="000000" w:fill="FFFFFF"/>
            <w:noWrap/>
            <w:vAlign w:val="bottom"/>
            <w:hideMark/>
          </w:tcPr>
          <w:p w14:paraId="2B684683" w14:textId="77777777" w:rsidR="001F5F64" w:rsidRPr="001F5F64" w:rsidRDefault="001F5F64" w:rsidP="008B44DD">
            <w:pPr>
              <w:jc w:val="right"/>
              <w:rPr>
                <w:rFonts w:asciiTheme="minorHAnsi" w:hAnsiTheme="minorHAnsi" w:cs="Calibri"/>
                <w:color w:val="000000"/>
                <w:sz w:val="18"/>
              </w:rPr>
            </w:pPr>
            <w:r w:rsidRPr="001F5F64">
              <w:rPr>
                <w:rFonts w:asciiTheme="minorHAnsi" w:hAnsiTheme="minorHAnsi" w:cs="Calibri"/>
                <w:color w:val="000000"/>
                <w:sz w:val="18"/>
              </w:rPr>
              <w:t>16.2</w:t>
            </w:r>
          </w:p>
        </w:tc>
        <w:tc>
          <w:tcPr>
            <w:tcW w:w="2013" w:type="dxa"/>
            <w:tcBorders>
              <w:top w:val="nil"/>
              <w:left w:val="nil"/>
              <w:bottom w:val="nil"/>
              <w:right w:val="nil"/>
            </w:tcBorders>
            <w:shd w:val="clear" w:color="000000" w:fill="FFFFFF"/>
            <w:noWrap/>
            <w:vAlign w:val="bottom"/>
            <w:hideMark/>
          </w:tcPr>
          <w:p w14:paraId="5A65D32D" w14:textId="77777777" w:rsidR="001F5F64" w:rsidRPr="001F5F64" w:rsidRDefault="001F5F64" w:rsidP="008B44DD">
            <w:pPr>
              <w:jc w:val="right"/>
              <w:rPr>
                <w:rFonts w:asciiTheme="minorHAnsi" w:hAnsiTheme="minorHAnsi" w:cs="Calibri"/>
                <w:sz w:val="18"/>
              </w:rPr>
            </w:pPr>
            <w:r w:rsidRPr="001F5F64">
              <w:rPr>
                <w:rFonts w:asciiTheme="minorHAnsi" w:hAnsiTheme="minorHAnsi" w:cs="Calibri"/>
                <w:sz w:val="18"/>
              </w:rPr>
              <w:t>-8.2</w:t>
            </w:r>
          </w:p>
        </w:tc>
      </w:tr>
      <w:tr w:rsidR="001F5F64" w:rsidRPr="001F5F64" w14:paraId="5ECC8FF3" w14:textId="77777777" w:rsidTr="001F5F64">
        <w:trPr>
          <w:trHeight w:val="208"/>
          <w:jc w:val="center"/>
        </w:trPr>
        <w:tc>
          <w:tcPr>
            <w:tcW w:w="4270" w:type="dxa"/>
            <w:tcBorders>
              <w:top w:val="nil"/>
              <w:left w:val="nil"/>
              <w:bottom w:val="nil"/>
              <w:right w:val="single" w:sz="8" w:space="0" w:color="FFFFFF"/>
            </w:tcBorders>
            <w:shd w:val="clear" w:color="000000" w:fill="FFFFFF"/>
            <w:noWrap/>
            <w:vAlign w:val="bottom"/>
            <w:hideMark/>
          </w:tcPr>
          <w:p w14:paraId="6C9030B6" w14:textId="77777777" w:rsidR="001F5F64" w:rsidRPr="001F5F64" w:rsidRDefault="001F5F64" w:rsidP="008B44DD">
            <w:pPr>
              <w:rPr>
                <w:rFonts w:asciiTheme="minorHAnsi" w:hAnsiTheme="minorHAnsi" w:cs="Calibri"/>
                <w:color w:val="000000"/>
                <w:sz w:val="18"/>
              </w:rPr>
            </w:pPr>
            <w:r w:rsidRPr="001F5F64">
              <w:rPr>
                <w:rFonts w:asciiTheme="minorHAnsi" w:hAnsiTheme="minorHAnsi" w:cs="Calibri"/>
                <w:color w:val="000000"/>
                <w:sz w:val="18"/>
              </w:rPr>
              <w:t xml:space="preserve">    Obligacione 5 vjeçare</w:t>
            </w:r>
          </w:p>
        </w:tc>
        <w:tc>
          <w:tcPr>
            <w:tcW w:w="1317" w:type="dxa"/>
            <w:tcBorders>
              <w:top w:val="nil"/>
              <w:left w:val="nil"/>
              <w:bottom w:val="nil"/>
              <w:right w:val="nil"/>
            </w:tcBorders>
            <w:shd w:val="clear" w:color="000000" w:fill="FFFFFF"/>
            <w:noWrap/>
            <w:vAlign w:val="bottom"/>
            <w:hideMark/>
          </w:tcPr>
          <w:p w14:paraId="72A9AE86" w14:textId="77777777" w:rsidR="001F5F64" w:rsidRPr="001F5F64" w:rsidRDefault="001F5F64" w:rsidP="008B44DD">
            <w:pPr>
              <w:jc w:val="right"/>
              <w:rPr>
                <w:rFonts w:asciiTheme="minorHAnsi" w:hAnsiTheme="minorHAnsi" w:cs="Calibri"/>
                <w:color w:val="000000"/>
                <w:sz w:val="18"/>
              </w:rPr>
            </w:pPr>
            <w:r w:rsidRPr="001F5F64">
              <w:rPr>
                <w:rFonts w:asciiTheme="minorHAnsi" w:hAnsiTheme="minorHAnsi" w:cs="Calibri"/>
                <w:color w:val="000000"/>
                <w:sz w:val="18"/>
              </w:rPr>
              <w:t>9.7</w:t>
            </w:r>
          </w:p>
        </w:tc>
        <w:tc>
          <w:tcPr>
            <w:tcW w:w="1380" w:type="dxa"/>
            <w:tcBorders>
              <w:top w:val="nil"/>
              <w:left w:val="nil"/>
              <w:bottom w:val="nil"/>
              <w:right w:val="nil"/>
            </w:tcBorders>
            <w:shd w:val="clear" w:color="000000" w:fill="FFFFFF"/>
            <w:noWrap/>
            <w:vAlign w:val="bottom"/>
            <w:hideMark/>
          </w:tcPr>
          <w:p w14:paraId="729946FC" w14:textId="77777777" w:rsidR="001F5F64" w:rsidRPr="001F5F64" w:rsidRDefault="001F5F64" w:rsidP="008B44DD">
            <w:pPr>
              <w:jc w:val="right"/>
              <w:rPr>
                <w:rFonts w:asciiTheme="minorHAnsi" w:hAnsiTheme="minorHAnsi" w:cs="Calibri"/>
                <w:color w:val="000000"/>
                <w:sz w:val="18"/>
              </w:rPr>
            </w:pPr>
            <w:r w:rsidRPr="001F5F64">
              <w:rPr>
                <w:rFonts w:asciiTheme="minorHAnsi" w:hAnsiTheme="minorHAnsi" w:cs="Calibri"/>
                <w:color w:val="000000"/>
                <w:sz w:val="18"/>
              </w:rPr>
              <w:t>7.6</w:t>
            </w:r>
          </w:p>
        </w:tc>
        <w:tc>
          <w:tcPr>
            <w:tcW w:w="2013" w:type="dxa"/>
            <w:tcBorders>
              <w:top w:val="nil"/>
              <w:left w:val="nil"/>
              <w:bottom w:val="nil"/>
              <w:right w:val="nil"/>
            </w:tcBorders>
            <w:shd w:val="clear" w:color="000000" w:fill="FFFFFF"/>
            <w:noWrap/>
            <w:vAlign w:val="bottom"/>
            <w:hideMark/>
          </w:tcPr>
          <w:p w14:paraId="7D451892" w14:textId="77777777" w:rsidR="001F5F64" w:rsidRPr="001F5F64" w:rsidRDefault="001F5F64" w:rsidP="008B44DD">
            <w:pPr>
              <w:jc w:val="right"/>
              <w:rPr>
                <w:rFonts w:asciiTheme="minorHAnsi" w:hAnsiTheme="minorHAnsi" w:cs="Calibri"/>
                <w:sz w:val="18"/>
              </w:rPr>
            </w:pPr>
            <w:r w:rsidRPr="001F5F64">
              <w:rPr>
                <w:rFonts w:asciiTheme="minorHAnsi" w:hAnsiTheme="minorHAnsi" w:cs="Calibri"/>
                <w:sz w:val="18"/>
              </w:rPr>
              <w:t>2.2</w:t>
            </w:r>
          </w:p>
        </w:tc>
      </w:tr>
      <w:tr w:rsidR="001F5F64" w:rsidRPr="001F5F64" w14:paraId="3C8EAA3F" w14:textId="77777777" w:rsidTr="001F5F64">
        <w:trPr>
          <w:trHeight w:val="208"/>
          <w:jc w:val="center"/>
        </w:trPr>
        <w:tc>
          <w:tcPr>
            <w:tcW w:w="4270" w:type="dxa"/>
            <w:tcBorders>
              <w:top w:val="nil"/>
              <w:left w:val="nil"/>
              <w:bottom w:val="nil"/>
              <w:right w:val="single" w:sz="8" w:space="0" w:color="FFFFFF"/>
            </w:tcBorders>
            <w:shd w:val="clear" w:color="000000" w:fill="FFFFFF"/>
            <w:noWrap/>
            <w:vAlign w:val="bottom"/>
            <w:hideMark/>
          </w:tcPr>
          <w:p w14:paraId="68BB414E" w14:textId="77777777" w:rsidR="001F5F64" w:rsidRPr="001F5F64" w:rsidRDefault="001F5F64" w:rsidP="008B44DD">
            <w:pPr>
              <w:rPr>
                <w:rFonts w:asciiTheme="minorHAnsi" w:hAnsiTheme="minorHAnsi" w:cs="Calibri"/>
                <w:color w:val="000000"/>
                <w:sz w:val="18"/>
              </w:rPr>
            </w:pPr>
            <w:r w:rsidRPr="001F5F64">
              <w:rPr>
                <w:rFonts w:asciiTheme="minorHAnsi" w:hAnsiTheme="minorHAnsi" w:cs="Calibri"/>
                <w:color w:val="000000"/>
                <w:sz w:val="18"/>
              </w:rPr>
              <w:t xml:space="preserve">    Obligacione 7 vjeçare</w:t>
            </w:r>
          </w:p>
        </w:tc>
        <w:tc>
          <w:tcPr>
            <w:tcW w:w="1317" w:type="dxa"/>
            <w:tcBorders>
              <w:top w:val="nil"/>
              <w:left w:val="nil"/>
              <w:bottom w:val="nil"/>
              <w:right w:val="nil"/>
            </w:tcBorders>
            <w:shd w:val="clear" w:color="000000" w:fill="FFFFFF"/>
            <w:noWrap/>
            <w:vAlign w:val="bottom"/>
            <w:hideMark/>
          </w:tcPr>
          <w:p w14:paraId="72C539FB" w14:textId="77777777" w:rsidR="001F5F64" w:rsidRPr="001F5F64" w:rsidRDefault="001F5F64" w:rsidP="008B44DD">
            <w:pPr>
              <w:jc w:val="right"/>
              <w:rPr>
                <w:rFonts w:asciiTheme="minorHAnsi" w:hAnsiTheme="minorHAnsi" w:cs="Calibri"/>
                <w:color w:val="000000"/>
                <w:sz w:val="18"/>
              </w:rPr>
            </w:pPr>
            <w:r w:rsidRPr="001F5F64">
              <w:rPr>
                <w:rFonts w:asciiTheme="minorHAnsi" w:hAnsiTheme="minorHAnsi" w:cs="Calibri"/>
                <w:color w:val="000000"/>
                <w:sz w:val="18"/>
              </w:rPr>
              <w:t>3.5</w:t>
            </w:r>
          </w:p>
        </w:tc>
        <w:tc>
          <w:tcPr>
            <w:tcW w:w="1380" w:type="dxa"/>
            <w:tcBorders>
              <w:top w:val="nil"/>
              <w:left w:val="nil"/>
              <w:bottom w:val="nil"/>
              <w:right w:val="nil"/>
            </w:tcBorders>
            <w:shd w:val="clear" w:color="000000" w:fill="FFFFFF"/>
            <w:noWrap/>
            <w:vAlign w:val="bottom"/>
            <w:hideMark/>
          </w:tcPr>
          <w:p w14:paraId="134E3A90" w14:textId="77777777" w:rsidR="001F5F64" w:rsidRPr="001F5F64" w:rsidRDefault="001F5F64" w:rsidP="008B44DD">
            <w:pPr>
              <w:jc w:val="right"/>
              <w:rPr>
                <w:rFonts w:asciiTheme="minorHAnsi" w:hAnsiTheme="minorHAnsi" w:cs="Calibri"/>
                <w:color w:val="000000"/>
                <w:sz w:val="18"/>
              </w:rPr>
            </w:pPr>
            <w:r w:rsidRPr="001F5F64">
              <w:rPr>
                <w:rFonts w:asciiTheme="minorHAnsi" w:hAnsiTheme="minorHAnsi" w:cs="Calibri"/>
                <w:color w:val="000000"/>
                <w:sz w:val="18"/>
              </w:rPr>
              <w:t>5.0</w:t>
            </w:r>
          </w:p>
        </w:tc>
        <w:tc>
          <w:tcPr>
            <w:tcW w:w="2013" w:type="dxa"/>
            <w:tcBorders>
              <w:top w:val="nil"/>
              <w:left w:val="nil"/>
              <w:bottom w:val="nil"/>
              <w:right w:val="nil"/>
            </w:tcBorders>
            <w:shd w:val="clear" w:color="000000" w:fill="FFFFFF"/>
            <w:noWrap/>
            <w:vAlign w:val="bottom"/>
            <w:hideMark/>
          </w:tcPr>
          <w:p w14:paraId="3B295AD6" w14:textId="77777777" w:rsidR="001F5F64" w:rsidRPr="001F5F64" w:rsidRDefault="001F5F64" w:rsidP="008B44DD">
            <w:pPr>
              <w:jc w:val="right"/>
              <w:rPr>
                <w:rFonts w:asciiTheme="minorHAnsi" w:hAnsiTheme="minorHAnsi" w:cs="Calibri"/>
                <w:sz w:val="18"/>
              </w:rPr>
            </w:pPr>
            <w:r w:rsidRPr="001F5F64">
              <w:rPr>
                <w:rFonts w:asciiTheme="minorHAnsi" w:hAnsiTheme="minorHAnsi" w:cs="Calibri"/>
                <w:sz w:val="18"/>
              </w:rPr>
              <w:t>-1.5</w:t>
            </w:r>
          </w:p>
        </w:tc>
      </w:tr>
      <w:tr w:rsidR="001F5F64" w:rsidRPr="001F5F64" w14:paraId="64E84F14" w14:textId="77777777" w:rsidTr="001F5F64">
        <w:trPr>
          <w:trHeight w:val="208"/>
          <w:jc w:val="center"/>
        </w:trPr>
        <w:tc>
          <w:tcPr>
            <w:tcW w:w="4270" w:type="dxa"/>
            <w:tcBorders>
              <w:top w:val="nil"/>
              <w:left w:val="nil"/>
              <w:bottom w:val="nil"/>
              <w:right w:val="single" w:sz="8" w:space="0" w:color="FFFFFF"/>
            </w:tcBorders>
            <w:shd w:val="clear" w:color="000000" w:fill="FFFFFF"/>
            <w:noWrap/>
            <w:vAlign w:val="bottom"/>
            <w:hideMark/>
          </w:tcPr>
          <w:p w14:paraId="4825F8F2" w14:textId="77777777" w:rsidR="001F5F64" w:rsidRPr="001F5F64" w:rsidRDefault="001F5F64" w:rsidP="008B44DD">
            <w:pPr>
              <w:rPr>
                <w:rFonts w:asciiTheme="minorHAnsi" w:hAnsiTheme="minorHAnsi" w:cs="Calibri"/>
                <w:color w:val="000000"/>
                <w:sz w:val="18"/>
              </w:rPr>
            </w:pPr>
            <w:r w:rsidRPr="001F5F64">
              <w:rPr>
                <w:rFonts w:asciiTheme="minorHAnsi" w:hAnsiTheme="minorHAnsi" w:cs="Calibri"/>
                <w:color w:val="000000"/>
                <w:sz w:val="18"/>
              </w:rPr>
              <w:t xml:space="preserve">    Obligacione 10 vjeçare</w:t>
            </w:r>
          </w:p>
        </w:tc>
        <w:tc>
          <w:tcPr>
            <w:tcW w:w="1317" w:type="dxa"/>
            <w:tcBorders>
              <w:top w:val="nil"/>
              <w:left w:val="nil"/>
              <w:bottom w:val="nil"/>
              <w:right w:val="nil"/>
            </w:tcBorders>
            <w:shd w:val="clear" w:color="000000" w:fill="FFFFFF"/>
            <w:noWrap/>
            <w:vAlign w:val="bottom"/>
            <w:hideMark/>
          </w:tcPr>
          <w:p w14:paraId="73CC2F62" w14:textId="77777777" w:rsidR="001F5F64" w:rsidRPr="001F5F64" w:rsidRDefault="001F5F64" w:rsidP="008B44DD">
            <w:pPr>
              <w:jc w:val="right"/>
              <w:rPr>
                <w:rFonts w:asciiTheme="minorHAnsi" w:hAnsiTheme="minorHAnsi" w:cs="Calibri"/>
                <w:color w:val="000000"/>
                <w:sz w:val="18"/>
              </w:rPr>
            </w:pPr>
            <w:r w:rsidRPr="001F5F64">
              <w:rPr>
                <w:rFonts w:asciiTheme="minorHAnsi" w:hAnsiTheme="minorHAnsi" w:cs="Calibri"/>
                <w:color w:val="000000"/>
                <w:sz w:val="18"/>
              </w:rPr>
              <w:t>2.9</w:t>
            </w:r>
          </w:p>
        </w:tc>
        <w:tc>
          <w:tcPr>
            <w:tcW w:w="1380" w:type="dxa"/>
            <w:tcBorders>
              <w:top w:val="nil"/>
              <w:left w:val="nil"/>
              <w:bottom w:val="nil"/>
              <w:right w:val="nil"/>
            </w:tcBorders>
            <w:shd w:val="clear" w:color="000000" w:fill="FFFFFF"/>
            <w:noWrap/>
            <w:vAlign w:val="bottom"/>
            <w:hideMark/>
          </w:tcPr>
          <w:p w14:paraId="7B42A9C6" w14:textId="77777777" w:rsidR="001F5F64" w:rsidRPr="001F5F64" w:rsidRDefault="001F5F64" w:rsidP="008B44DD">
            <w:pPr>
              <w:jc w:val="right"/>
              <w:rPr>
                <w:rFonts w:asciiTheme="minorHAnsi" w:hAnsiTheme="minorHAnsi" w:cs="Calibri"/>
                <w:color w:val="000000"/>
                <w:sz w:val="18"/>
              </w:rPr>
            </w:pPr>
            <w:r w:rsidRPr="001F5F64">
              <w:rPr>
                <w:rFonts w:asciiTheme="minorHAnsi" w:hAnsiTheme="minorHAnsi" w:cs="Calibri"/>
                <w:color w:val="000000"/>
                <w:sz w:val="18"/>
              </w:rPr>
              <w:t>0.0</w:t>
            </w:r>
          </w:p>
        </w:tc>
        <w:tc>
          <w:tcPr>
            <w:tcW w:w="2013" w:type="dxa"/>
            <w:tcBorders>
              <w:top w:val="nil"/>
              <w:left w:val="nil"/>
              <w:bottom w:val="nil"/>
              <w:right w:val="nil"/>
            </w:tcBorders>
            <w:shd w:val="clear" w:color="000000" w:fill="FFFFFF"/>
            <w:noWrap/>
            <w:vAlign w:val="bottom"/>
            <w:hideMark/>
          </w:tcPr>
          <w:p w14:paraId="477815C7" w14:textId="77777777" w:rsidR="001F5F64" w:rsidRPr="001F5F64" w:rsidRDefault="001F5F64" w:rsidP="008B44DD">
            <w:pPr>
              <w:jc w:val="right"/>
              <w:rPr>
                <w:rFonts w:asciiTheme="minorHAnsi" w:hAnsiTheme="minorHAnsi" w:cs="Calibri"/>
                <w:sz w:val="18"/>
              </w:rPr>
            </w:pPr>
            <w:r w:rsidRPr="001F5F64">
              <w:rPr>
                <w:rFonts w:asciiTheme="minorHAnsi" w:hAnsiTheme="minorHAnsi" w:cs="Calibri"/>
                <w:sz w:val="18"/>
              </w:rPr>
              <w:t>2.9</w:t>
            </w:r>
          </w:p>
        </w:tc>
      </w:tr>
      <w:tr w:rsidR="001F5F64" w:rsidRPr="001F5F64" w14:paraId="4A94E0CA" w14:textId="77777777" w:rsidTr="001F5F64">
        <w:trPr>
          <w:trHeight w:val="218"/>
          <w:jc w:val="center"/>
        </w:trPr>
        <w:tc>
          <w:tcPr>
            <w:tcW w:w="4270" w:type="dxa"/>
            <w:tcBorders>
              <w:top w:val="nil"/>
              <w:left w:val="nil"/>
              <w:bottom w:val="single" w:sz="8" w:space="0" w:color="auto"/>
              <w:right w:val="single" w:sz="8" w:space="0" w:color="FFFFFF"/>
            </w:tcBorders>
            <w:shd w:val="clear" w:color="000000" w:fill="FFFFFF"/>
            <w:noWrap/>
            <w:vAlign w:val="bottom"/>
            <w:hideMark/>
          </w:tcPr>
          <w:p w14:paraId="3F2E9FA9" w14:textId="77777777" w:rsidR="001F5F64" w:rsidRPr="001F5F64" w:rsidRDefault="001F5F64" w:rsidP="008B44DD">
            <w:pPr>
              <w:rPr>
                <w:rFonts w:asciiTheme="minorHAnsi" w:hAnsiTheme="minorHAnsi" w:cs="Calibri"/>
                <w:color w:val="000000"/>
                <w:sz w:val="18"/>
              </w:rPr>
            </w:pPr>
            <w:r w:rsidRPr="001F5F64">
              <w:rPr>
                <w:rFonts w:asciiTheme="minorHAnsi" w:hAnsiTheme="minorHAnsi" w:cs="Calibri"/>
                <w:color w:val="000000"/>
                <w:sz w:val="18"/>
              </w:rPr>
              <w:t xml:space="preserve">    Obligacione 15 vjeçare</w:t>
            </w:r>
          </w:p>
        </w:tc>
        <w:tc>
          <w:tcPr>
            <w:tcW w:w="1317" w:type="dxa"/>
            <w:tcBorders>
              <w:top w:val="nil"/>
              <w:left w:val="nil"/>
              <w:bottom w:val="single" w:sz="8" w:space="0" w:color="auto"/>
              <w:right w:val="nil"/>
            </w:tcBorders>
            <w:shd w:val="clear" w:color="000000" w:fill="FFFFFF"/>
            <w:noWrap/>
            <w:vAlign w:val="bottom"/>
            <w:hideMark/>
          </w:tcPr>
          <w:p w14:paraId="7AAFF7B9" w14:textId="77777777" w:rsidR="001F5F64" w:rsidRPr="001F5F64" w:rsidRDefault="001F5F64" w:rsidP="008B44DD">
            <w:pPr>
              <w:jc w:val="right"/>
              <w:rPr>
                <w:rFonts w:asciiTheme="minorHAnsi" w:hAnsiTheme="minorHAnsi" w:cs="Calibri"/>
                <w:color w:val="000000"/>
                <w:sz w:val="18"/>
              </w:rPr>
            </w:pPr>
            <w:r w:rsidRPr="001F5F64">
              <w:rPr>
                <w:rFonts w:asciiTheme="minorHAnsi" w:hAnsiTheme="minorHAnsi" w:cs="Calibri"/>
                <w:color w:val="000000"/>
                <w:sz w:val="18"/>
              </w:rPr>
              <w:t>2.3</w:t>
            </w:r>
          </w:p>
        </w:tc>
        <w:tc>
          <w:tcPr>
            <w:tcW w:w="1380" w:type="dxa"/>
            <w:tcBorders>
              <w:top w:val="nil"/>
              <w:left w:val="nil"/>
              <w:bottom w:val="single" w:sz="8" w:space="0" w:color="auto"/>
              <w:right w:val="nil"/>
            </w:tcBorders>
            <w:shd w:val="clear" w:color="000000" w:fill="FFFFFF"/>
            <w:noWrap/>
            <w:vAlign w:val="bottom"/>
            <w:hideMark/>
          </w:tcPr>
          <w:p w14:paraId="4BBF7289" w14:textId="77777777" w:rsidR="001F5F64" w:rsidRPr="001F5F64" w:rsidRDefault="001F5F64" w:rsidP="008B44DD">
            <w:pPr>
              <w:jc w:val="right"/>
              <w:rPr>
                <w:rFonts w:asciiTheme="minorHAnsi" w:hAnsiTheme="minorHAnsi" w:cs="Calibri"/>
                <w:color w:val="000000"/>
                <w:sz w:val="18"/>
              </w:rPr>
            </w:pPr>
            <w:r w:rsidRPr="001F5F64">
              <w:rPr>
                <w:rFonts w:asciiTheme="minorHAnsi" w:hAnsiTheme="minorHAnsi" w:cs="Calibri"/>
                <w:color w:val="000000"/>
                <w:sz w:val="18"/>
              </w:rPr>
              <w:t>0.0</w:t>
            </w:r>
          </w:p>
        </w:tc>
        <w:tc>
          <w:tcPr>
            <w:tcW w:w="2013" w:type="dxa"/>
            <w:tcBorders>
              <w:top w:val="nil"/>
              <w:left w:val="nil"/>
              <w:bottom w:val="single" w:sz="8" w:space="0" w:color="auto"/>
              <w:right w:val="nil"/>
            </w:tcBorders>
            <w:shd w:val="clear" w:color="000000" w:fill="FFFFFF"/>
            <w:noWrap/>
            <w:vAlign w:val="bottom"/>
            <w:hideMark/>
          </w:tcPr>
          <w:p w14:paraId="0A99D534" w14:textId="77777777" w:rsidR="001F5F64" w:rsidRPr="001F5F64" w:rsidRDefault="001F5F64" w:rsidP="008B44DD">
            <w:pPr>
              <w:jc w:val="right"/>
              <w:rPr>
                <w:rFonts w:asciiTheme="minorHAnsi" w:hAnsiTheme="minorHAnsi" w:cs="Calibri"/>
                <w:color w:val="000000"/>
                <w:sz w:val="18"/>
              </w:rPr>
            </w:pPr>
            <w:r w:rsidRPr="001F5F64">
              <w:rPr>
                <w:rFonts w:asciiTheme="minorHAnsi" w:hAnsiTheme="minorHAnsi" w:cs="Calibri"/>
                <w:color w:val="000000"/>
                <w:sz w:val="18"/>
              </w:rPr>
              <w:t>2.3</w:t>
            </w:r>
          </w:p>
        </w:tc>
      </w:tr>
      <w:tr w:rsidR="001F5F64" w:rsidRPr="001F5F64" w14:paraId="4CB59E1F" w14:textId="77777777" w:rsidTr="001F5F64">
        <w:trPr>
          <w:trHeight w:val="218"/>
          <w:jc w:val="center"/>
        </w:trPr>
        <w:tc>
          <w:tcPr>
            <w:tcW w:w="4270" w:type="dxa"/>
            <w:tcBorders>
              <w:top w:val="nil"/>
              <w:left w:val="nil"/>
              <w:bottom w:val="single" w:sz="8" w:space="0" w:color="auto"/>
              <w:right w:val="single" w:sz="8" w:space="0" w:color="FFFFFF"/>
            </w:tcBorders>
            <w:shd w:val="clear" w:color="000000" w:fill="FFFFFF"/>
            <w:noWrap/>
            <w:vAlign w:val="bottom"/>
            <w:hideMark/>
          </w:tcPr>
          <w:p w14:paraId="4C80885D" w14:textId="77777777" w:rsidR="001F5F64" w:rsidRPr="001F5F64" w:rsidRDefault="001F5F64" w:rsidP="008B44DD">
            <w:pPr>
              <w:rPr>
                <w:rFonts w:asciiTheme="minorHAnsi" w:hAnsiTheme="minorHAnsi" w:cs="Calibri"/>
                <w:b/>
                <w:bCs/>
                <w:sz w:val="18"/>
              </w:rPr>
            </w:pPr>
            <w:r w:rsidRPr="001F5F64">
              <w:rPr>
                <w:rFonts w:asciiTheme="minorHAnsi" w:hAnsiTheme="minorHAnsi" w:cs="Calibri"/>
                <w:b/>
                <w:bCs/>
                <w:sz w:val="18"/>
              </w:rPr>
              <w:t xml:space="preserve">Gjithsej Tituj Shtetërorë </w:t>
            </w:r>
          </w:p>
        </w:tc>
        <w:tc>
          <w:tcPr>
            <w:tcW w:w="1317" w:type="dxa"/>
            <w:tcBorders>
              <w:top w:val="nil"/>
              <w:left w:val="nil"/>
              <w:bottom w:val="single" w:sz="8" w:space="0" w:color="auto"/>
              <w:right w:val="nil"/>
            </w:tcBorders>
            <w:shd w:val="clear" w:color="000000" w:fill="FFFFFF"/>
            <w:noWrap/>
            <w:vAlign w:val="bottom"/>
            <w:hideMark/>
          </w:tcPr>
          <w:p w14:paraId="79FC2F99" w14:textId="77777777" w:rsidR="001F5F64" w:rsidRPr="001F5F64" w:rsidRDefault="001F5F64" w:rsidP="008B44DD">
            <w:pPr>
              <w:jc w:val="right"/>
              <w:rPr>
                <w:rFonts w:asciiTheme="minorHAnsi" w:hAnsiTheme="minorHAnsi" w:cs="Calibri"/>
                <w:b/>
                <w:bCs/>
                <w:sz w:val="18"/>
              </w:rPr>
            </w:pPr>
            <w:r w:rsidRPr="001F5F64">
              <w:rPr>
                <w:rFonts w:asciiTheme="minorHAnsi" w:hAnsiTheme="minorHAnsi" w:cs="Calibri"/>
                <w:b/>
                <w:bCs/>
                <w:sz w:val="18"/>
              </w:rPr>
              <w:t>126.6</w:t>
            </w:r>
          </w:p>
        </w:tc>
        <w:tc>
          <w:tcPr>
            <w:tcW w:w="1380" w:type="dxa"/>
            <w:tcBorders>
              <w:top w:val="nil"/>
              <w:left w:val="nil"/>
              <w:bottom w:val="single" w:sz="8" w:space="0" w:color="auto"/>
              <w:right w:val="nil"/>
            </w:tcBorders>
            <w:shd w:val="clear" w:color="000000" w:fill="FFFFFF"/>
            <w:noWrap/>
            <w:vAlign w:val="bottom"/>
            <w:hideMark/>
          </w:tcPr>
          <w:p w14:paraId="5ABAFC4A" w14:textId="77777777" w:rsidR="001F5F64" w:rsidRPr="001F5F64" w:rsidRDefault="001F5F64" w:rsidP="008B44DD">
            <w:pPr>
              <w:jc w:val="right"/>
              <w:rPr>
                <w:rFonts w:asciiTheme="minorHAnsi" w:hAnsiTheme="minorHAnsi" w:cs="Calibri"/>
                <w:b/>
                <w:bCs/>
                <w:sz w:val="18"/>
              </w:rPr>
            </w:pPr>
            <w:r w:rsidRPr="001F5F64">
              <w:rPr>
                <w:rFonts w:asciiTheme="minorHAnsi" w:hAnsiTheme="minorHAnsi" w:cs="Calibri"/>
                <w:b/>
                <w:bCs/>
                <w:sz w:val="18"/>
              </w:rPr>
              <w:t>113.9</w:t>
            </w:r>
          </w:p>
        </w:tc>
        <w:tc>
          <w:tcPr>
            <w:tcW w:w="2013" w:type="dxa"/>
            <w:tcBorders>
              <w:top w:val="nil"/>
              <w:left w:val="nil"/>
              <w:bottom w:val="single" w:sz="8" w:space="0" w:color="auto"/>
              <w:right w:val="nil"/>
            </w:tcBorders>
            <w:shd w:val="clear" w:color="000000" w:fill="FFFFFF"/>
            <w:noWrap/>
            <w:vAlign w:val="bottom"/>
            <w:hideMark/>
          </w:tcPr>
          <w:p w14:paraId="526D7886" w14:textId="77777777" w:rsidR="001F5F64" w:rsidRPr="001F5F64" w:rsidRDefault="001F5F64" w:rsidP="008B44DD">
            <w:pPr>
              <w:jc w:val="right"/>
              <w:rPr>
                <w:rFonts w:asciiTheme="minorHAnsi" w:hAnsiTheme="minorHAnsi" w:cs="Calibri"/>
                <w:b/>
                <w:bCs/>
                <w:sz w:val="18"/>
              </w:rPr>
            </w:pPr>
            <w:r w:rsidRPr="001F5F64">
              <w:rPr>
                <w:rFonts w:asciiTheme="minorHAnsi" w:hAnsiTheme="minorHAnsi" w:cs="Calibri"/>
                <w:b/>
                <w:bCs/>
                <w:sz w:val="18"/>
              </w:rPr>
              <w:t>12.7</w:t>
            </w:r>
          </w:p>
        </w:tc>
      </w:tr>
    </w:tbl>
    <w:p w14:paraId="6E7FE540" w14:textId="77777777" w:rsidR="00513A75" w:rsidRPr="00DE57B1" w:rsidRDefault="00513A75" w:rsidP="00513A75">
      <w:pPr>
        <w:tabs>
          <w:tab w:val="left" w:pos="360"/>
        </w:tabs>
        <w:spacing w:line="276" w:lineRule="auto"/>
        <w:jc w:val="both"/>
        <w:rPr>
          <w:rFonts w:asciiTheme="minorHAnsi" w:hAnsiTheme="minorHAnsi"/>
          <w:i/>
          <w:sz w:val="20"/>
          <w:lang w:val="sq-AL"/>
        </w:rPr>
      </w:pPr>
      <w:r w:rsidRPr="00DE57B1">
        <w:rPr>
          <w:rFonts w:asciiTheme="minorHAnsi" w:hAnsiTheme="minorHAnsi"/>
          <w:i/>
          <w:sz w:val="20"/>
          <w:lang w:val="sq-AL"/>
        </w:rPr>
        <w:tab/>
      </w:r>
      <w:r w:rsidR="00193978" w:rsidRPr="00DE57B1">
        <w:rPr>
          <w:rFonts w:asciiTheme="minorHAnsi" w:hAnsiTheme="minorHAnsi"/>
          <w:i/>
          <w:sz w:val="20"/>
          <w:lang w:val="sq-AL"/>
        </w:rPr>
        <w:t>Burimi: Ministria e Financave dhe Ekonomisë (2023)</w:t>
      </w:r>
    </w:p>
    <w:p w14:paraId="3B8AA7DC" w14:textId="77777777" w:rsidR="00513A75" w:rsidRPr="00796E6A" w:rsidRDefault="00513A75" w:rsidP="00513A75">
      <w:pPr>
        <w:tabs>
          <w:tab w:val="left" w:pos="360"/>
        </w:tabs>
        <w:jc w:val="both"/>
        <w:rPr>
          <w:rFonts w:asciiTheme="minorHAnsi" w:hAnsiTheme="minorHAnsi"/>
          <w:sz w:val="12"/>
        </w:rPr>
      </w:pPr>
    </w:p>
    <w:p w14:paraId="51567412" w14:textId="77777777" w:rsidR="00513A75" w:rsidRDefault="001F5F64" w:rsidP="00513A75">
      <w:pPr>
        <w:tabs>
          <w:tab w:val="left" w:pos="360"/>
        </w:tabs>
        <w:spacing w:line="276" w:lineRule="auto"/>
        <w:jc w:val="both"/>
        <w:rPr>
          <w:rFonts w:asciiTheme="minorHAnsi" w:hAnsiTheme="minorHAnsi"/>
          <w:lang w:val="sq-AL"/>
        </w:rPr>
      </w:pPr>
      <w:r w:rsidRPr="008757B8">
        <w:rPr>
          <w:rFonts w:asciiTheme="minorHAnsi" w:hAnsiTheme="minorHAnsi"/>
          <w:noProof/>
        </w:rPr>
        <w:t>Për sa i përket raportit të huamarrjes së brendshme me të ardhurat tatimore vërehet një rritje e lehtë e këtij raporti krahasuar me të njëjtën periudhë të vitit të mëparshëm, i ndikuar kryesisht nga rritja e nivelit të huamarrjes krahasuar me të njëjtën periudhë të vitit të kaluar</w:t>
      </w:r>
      <w:r w:rsidR="00513A75" w:rsidRPr="00EB0002">
        <w:rPr>
          <w:rFonts w:asciiTheme="minorHAnsi" w:hAnsiTheme="minorHAnsi"/>
          <w:lang w:val="sq-AL"/>
        </w:rPr>
        <w:t>.</w:t>
      </w:r>
    </w:p>
    <w:p w14:paraId="7CAFA583" w14:textId="77777777" w:rsidR="00513A75" w:rsidRPr="005625A1" w:rsidRDefault="00513A75" w:rsidP="00513A75">
      <w:pPr>
        <w:tabs>
          <w:tab w:val="left" w:pos="360"/>
        </w:tabs>
        <w:spacing w:line="276" w:lineRule="auto"/>
        <w:jc w:val="both"/>
        <w:rPr>
          <w:rFonts w:asciiTheme="minorHAnsi" w:hAnsiTheme="minorHAnsi"/>
          <w:sz w:val="8"/>
          <w:szCs w:val="8"/>
          <w:lang w:val="sq-AL"/>
        </w:rPr>
      </w:pPr>
    </w:p>
    <w:p w14:paraId="796D7DA9" w14:textId="35A6D8DE" w:rsidR="00513A75" w:rsidRPr="005625A1" w:rsidRDefault="00513A75" w:rsidP="00D978A4">
      <w:pPr>
        <w:pStyle w:val="Caption"/>
        <w:keepNext/>
        <w:spacing w:after="0"/>
        <w:jc w:val="both"/>
        <w:rPr>
          <w:rFonts w:asciiTheme="minorHAnsi" w:hAnsiTheme="minorHAnsi"/>
          <w:b w:val="0"/>
          <w:bCs w:val="0"/>
          <w:i/>
          <w:noProof/>
          <w:color w:val="auto"/>
          <w:sz w:val="22"/>
          <w:szCs w:val="24"/>
        </w:rPr>
      </w:pPr>
      <w:bookmarkStart w:id="83" w:name="_Toc107498130"/>
      <w:r w:rsidRPr="005625A1">
        <w:rPr>
          <w:rFonts w:asciiTheme="minorHAnsi" w:hAnsiTheme="minorHAnsi"/>
          <w:b w:val="0"/>
          <w:bCs w:val="0"/>
          <w:i/>
          <w:noProof/>
          <w:color w:val="auto"/>
          <w:sz w:val="22"/>
          <w:szCs w:val="24"/>
        </w:rPr>
        <w:t xml:space="preserve">Grafiku </w:t>
      </w:r>
      <w:r w:rsidRPr="005625A1">
        <w:rPr>
          <w:rFonts w:asciiTheme="minorHAnsi" w:hAnsiTheme="minorHAnsi"/>
          <w:b w:val="0"/>
          <w:bCs w:val="0"/>
          <w:i/>
          <w:noProof/>
          <w:color w:val="auto"/>
          <w:sz w:val="22"/>
          <w:szCs w:val="24"/>
        </w:rPr>
        <w:fldChar w:fldCharType="begin"/>
      </w:r>
      <w:r w:rsidRPr="005625A1">
        <w:rPr>
          <w:rFonts w:asciiTheme="minorHAnsi" w:hAnsiTheme="minorHAnsi"/>
          <w:b w:val="0"/>
          <w:bCs w:val="0"/>
          <w:i/>
          <w:noProof/>
          <w:color w:val="auto"/>
          <w:sz w:val="22"/>
          <w:szCs w:val="24"/>
        </w:rPr>
        <w:instrText xml:space="preserve"> SEQ Grafiku \* ARABIC </w:instrText>
      </w:r>
      <w:r w:rsidRPr="005625A1">
        <w:rPr>
          <w:rFonts w:asciiTheme="minorHAnsi" w:hAnsiTheme="minorHAnsi"/>
          <w:b w:val="0"/>
          <w:bCs w:val="0"/>
          <w:i/>
          <w:noProof/>
          <w:color w:val="auto"/>
          <w:sz w:val="22"/>
          <w:szCs w:val="24"/>
        </w:rPr>
        <w:fldChar w:fldCharType="separate"/>
      </w:r>
      <w:r w:rsidR="00C153A9">
        <w:rPr>
          <w:rFonts w:asciiTheme="minorHAnsi" w:hAnsiTheme="minorHAnsi"/>
          <w:b w:val="0"/>
          <w:bCs w:val="0"/>
          <w:i/>
          <w:noProof/>
          <w:color w:val="auto"/>
          <w:sz w:val="22"/>
          <w:szCs w:val="24"/>
        </w:rPr>
        <w:t>38</w:t>
      </w:r>
      <w:r w:rsidRPr="005625A1">
        <w:rPr>
          <w:rFonts w:asciiTheme="minorHAnsi" w:hAnsiTheme="minorHAnsi"/>
          <w:b w:val="0"/>
          <w:bCs w:val="0"/>
          <w:i/>
          <w:noProof/>
          <w:color w:val="auto"/>
          <w:sz w:val="22"/>
          <w:szCs w:val="24"/>
        </w:rPr>
        <w:fldChar w:fldCharType="end"/>
      </w:r>
      <w:r w:rsidRPr="005625A1">
        <w:rPr>
          <w:rFonts w:asciiTheme="minorHAnsi" w:hAnsiTheme="minorHAnsi"/>
          <w:b w:val="0"/>
          <w:bCs w:val="0"/>
          <w:i/>
          <w:noProof/>
          <w:color w:val="auto"/>
          <w:sz w:val="22"/>
          <w:szCs w:val="24"/>
        </w:rPr>
        <w:t>: Huamarrja e brendshme në raport me të ardhurat tatimore (TM</w:t>
      </w:r>
      <w:r w:rsidR="001F5F64">
        <w:rPr>
          <w:rFonts w:asciiTheme="minorHAnsi" w:hAnsiTheme="minorHAnsi"/>
          <w:b w:val="0"/>
          <w:bCs w:val="0"/>
          <w:i/>
          <w:noProof/>
          <w:color w:val="auto"/>
          <w:sz w:val="22"/>
          <w:szCs w:val="24"/>
        </w:rPr>
        <w:t>.</w:t>
      </w:r>
      <w:r w:rsidRPr="005625A1">
        <w:rPr>
          <w:rFonts w:asciiTheme="minorHAnsi" w:hAnsiTheme="minorHAnsi"/>
          <w:b w:val="0"/>
          <w:bCs w:val="0"/>
          <w:i/>
          <w:noProof/>
          <w:color w:val="auto"/>
          <w:sz w:val="22"/>
          <w:szCs w:val="24"/>
        </w:rPr>
        <w:t>I 201</w:t>
      </w:r>
      <w:r w:rsidR="001F5F64">
        <w:rPr>
          <w:rFonts w:asciiTheme="minorHAnsi" w:hAnsiTheme="minorHAnsi"/>
          <w:b w:val="0"/>
          <w:bCs w:val="0"/>
          <w:i/>
          <w:noProof/>
          <w:color w:val="auto"/>
          <w:sz w:val="22"/>
          <w:szCs w:val="24"/>
        </w:rPr>
        <w:t>8</w:t>
      </w:r>
      <w:r w:rsidRPr="005625A1">
        <w:rPr>
          <w:rFonts w:asciiTheme="minorHAnsi" w:hAnsiTheme="minorHAnsi"/>
          <w:b w:val="0"/>
          <w:bCs w:val="0"/>
          <w:i/>
          <w:noProof/>
          <w:color w:val="auto"/>
          <w:sz w:val="22"/>
          <w:szCs w:val="24"/>
        </w:rPr>
        <w:t>-TM.I 202</w:t>
      </w:r>
      <w:r w:rsidR="001F5F64">
        <w:rPr>
          <w:rFonts w:asciiTheme="minorHAnsi" w:hAnsiTheme="minorHAnsi"/>
          <w:b w:val="0"/>
          <w:bCs w:val="0"/>
          <w:i/>
          <w:noProof/>
          <w:color w:val="auto"/>
          <w:sz w:val="22"/>
          <w:szCs w:val="24"/>
        </w:rPr>
        <w:t>3</w:t>
      </w:r>
      <w:r w:rsidRPr="005625A1">
        <w:rPr>
          <w:rFonts w:asciiTheme="minorHAnsi" w:hAnsiTheme="minorHAnsi"/>
          <w:b w:val="0"/>
          <w:bCs w:val="0"/>
          <w:i/>
          <w:noProof/>
          <w:color w:val="auto"/>
          <w:sz w:val="22"/>
          <w:szCs w:val="24"/>
        </w:rPr>
        <w:t>)</w:t>
      </w:r>
      <w:bookmarkEnd w:id="83"/>
      <w:r w:rsidRPr="005625A1">
        <w:rPr>
          <w:rFonts w:asciiTheme="minorHAnsi" w:hAnsiTheme="minorHAnsi"/>
          <w:b w:val="0"/>
          <w:bCs w:val="0"/>
          <w:i/>
          <w:noProof/>
          <w:color w:val="auto"/>
          <w:sz w:val="22"/>
          <w:szCs w:val="24"/>
        </w:rPr>
        <w:t xml:space="preserve">  </w:t>
      </w:r>
    </w:p>
    <w:p w14:paraId="787AABF6" w14:textId="77777777" w:rsidR="00513A75" w:rsidRPr="00F163EE" w:rsidRDefault="00DE57B1" w:rsidP="005625A1">
      <w:pPr>
        <w:jc w:val="center"/>
      </w:pPr>
      <w:r w:rsidRPr="008757B8">
        <w:rPr>
          <w:rFonts w:asciiTheme="minorHAnsi" w:hAnsiTheme="minorHAnsi"/>
          <w:i/>
          <w:noProof/>
        </w:rPr>
        <w:drawing>
          <wp:inline distT="0" distB="0" distL="0" distR="0" wp14:anchorId="36C6F712" wp14:editId="0A01406A">
            <wp:extent cx="5742305" cy="1552575"/>
            <wp:effectExtent l="0" t="0" r="10795" b="9525"/>
            <wp:docPr id="50" name="Chart 50">
              <a:extLst xmlns:a="http://schemas.openxmlformats.org/drawingml/2006/main">
                <a:ext uri="{FF2B5EF4-FFF2-40B4-BE49-F238E27FC236}">
                  <a16:creationId xmlns:a16="http://schemas.microsoft.com/office/drawing/2014/main" id="{00000000-0008-0000-1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523E80B" w14:textId="77777777" w:rsidR="00513A75" w:rsidRPr="00EB0002" w:rsidRDefault="00DE57B1" w:rsidP="00513A75">
      <w:pPr>
        <w:tabs>
          <w:tab w:val="left" w:pos="360"/>
        </w:tabs>
        <w:spacing w:after="240" w:line="276" w:lineRule="auto"/>
        <w:jc w:val="both"/>
        <w:rPr>
          <w:rFonts w:asciiTheme="minorHAnsi" w:hAnsiTheme="minorHAnsi"/>
          <w:i/>
          <w:sz w:val="20"/>
          <w:lang w:val="sq-AL"/>
        </w:rPr>
      </w:pPr>
      <w:r>
        <w:rPr>
          <w:rFonts w:asciiTheme="minorHAnsi" w:hAnsiTheme="minorHAnsi"/>
          <w:i/>
          <w:sz w:val="20"/>
          <w:lang w:val="sq-AL"/>
        </w:rPr>
        <w:tab/>
      </w:r>
      <w:r w:rsidR="00193978">
        <w:rPr>
          <w:rFonts w:asciiTheme="minorHAnsi" w:hAnsiTheme="minorHAnsi"/>
          <w:i/>
          <w:sz w:val="20"/>
          <w:lang w:val="sq-AL"/>
        </w:rPr>
        <w:t>Burimi: Ministria e Financave dhe Ekonomisë (2023)</w:t>
      </w:r>
    </w:p>
    <w:p w14:paraId="1D89A239" w14:textId="77777777" w:rsidR="00513A75" w:rsidRPr="006E68A7" w:rsidRDefault="00513A75" w:rsidP="00513A75">
      <w:pPr>
        <w:tabs>
          <w:tab w:val="left" w:pos="360"/>
        </w:tabs>
        <w:spacing w:line="276" w:lineRule="auto"/>
        <w:jc w:val="both"/>
        <w:rPr>
          <w:rFonts w:asciiTheme="minorHAnsi" w:hAnsiTheme="minorHAnsi"/>
          <w:i/>
          <w:u w:val="single"/>
          <w:lang w:val="sq-AL"/>
        </w:rPr>
      </w:pPr>
      <w:bookmarkStart w:id="84" w:name="_Toc485372197"/>
      <w:r w:rsidRPr="006E68A7">
        <w:rPr>
          <w:rFonts w:asciiTheme="minorHAnsi" w:hAnsiTheme="minorHAnsi"/>
          <w:i/>
          <w:u w:val="single"/>
          <w:lang w:val="sq-AL"/>
        </w:rPr>
        <w:t>Huamarrja e Huaj</w:t>
      </w:r>
      <w:bookmarkEnd w:id="84"/>
      <w:r w:rsidRPr="006E68A7">
        <w:rPr>
          <w:rFonts w:asciiTheme="minorHAnsi" w:hAnsiTheme="minorHAnsi"/>
          <w:i/>
          <w:u w:val="single"/>
          <w:lang w:val="sq-AL"/>
        </w:rPr>
        <w:t xml:space="preserve"> </w:t>
      </w:r>
    </w:p>
    <w:p w14:paraId="44212F56" w14:textId="77777777" w:rsidR="00513A75" w:rsidRPr="00D978A4" w:rsidRDefault="00DE57B1" w:rsidP="00D978A4">
      <w:pPr>
        <w:ind w:right="-46"/>
        <w:jc w:val="both"/>
        <w:rPr>
          <w:rFonts w:asciiTheme="minorHAnsi" w:eastAsia="Calibri" w:hAnsiTheme="minorHAnsi"/>
          <w:noProof/>
        </w:rPr>
      </w:pPr>
      <w:r w:rsidRPr="008757B8">
        <w:rPr>
          <w:rFonts w:asciiTheme="minorHAnsi" w:eastAsia="Calibri" w:hAnsiTheme="minorHAnsi"/>
          <w:noProof/>
        </w:rPr>
        <w:t xml:space="preserve">Sa i takon burimeve të jashtme të financimit , gjatë periudhës janar-mars të vitit 2023, huamarrja e huaj u realizua në nivelin 2.1 miliard Lekë, dhe e gjitha është realizuar nga disbursimi i huave për financim projektesh. Krahasuar me të njëjtën periudhë të vitit të kaluar, huamarrja e huaj është ulur me rreth 6.5 miliard Lekë, duke qenë se për këtë periudhë të vitit 2023 nuk ka patur disbursime për mbështetje buxhetore si edhe disbursimet e projekteve kanë qenë më të ulëta se në </w:t>
      </w:r>
      <w:r>
        <w:rPr>
          <w:rFonts w:asciiTheme="minorHAnsi" w:eastAsia="Calibri" w:hAnsiTheme="minorHAnsi"/>
          <w:noProof/>
        </w:rPr>
        <w:t xml:space="preserve">T1 </w:t>
      </w:r>
      <w:r w:rsidRPr="008757B8">
        <w:rPr>
          <w:rFonts w:asciiTheme="minorHAnsi" w:eastAsia="Calibri" w:hAnsiTheme="minorHAnsi"/>
          <w:noProof/>
        </w:rPr>
        <w:t>2022</w:t>
      </w:r>
      <w:r w:rsidR="00513A75" w:rsidRPr="00EB0002">
        <w:rPr>
          <w:rFonts w:asciiTheme="minorHAnsi" w:hAnsiTheme="minorHAnsi"/>
        </w:rPr>
        <w:t>.</w:t>
      </w:r>
    </w:p>
    <w:p w14:paraId="4821CCC9" w14:textId="77777777" w:rsidR="00513A75" w:rsidRPr="00796E6A" w:rsidRDefault="00513A75" w:rsidP="00513A75">
      <w:pPr>
        <w:pStyle w:val="Caption"/>
        <w:spacing w:after="0"/>
        <w:rPr>
          <w:rFonts w:asciiTheme="minorHAnsi" w:hAnsiTheme="minorHAnsi"/>
          <w:b w:val="0"/>
          <w:bCs w:val="0"/>
          <w:i/>
          <w:noProof/>
          <w:color w:val="auto"/>
          <w:sz w:val="8"/>
          <w:szCs w:val="24"/>
        </w:rPr>
      </w:pPr>
    </w:p>
    <w:p w14:paraId="53BA0CFD" w14:textId="3E8ECB4C" w:rsidR="00513A75" w:rsidRDefault="00513A75" w:rsidP="00513A75">
      <w:pPr>
        <w:pStyle w:val="Caption"/>
        <w:spacing w:after="0"/>
        <w:rPr>
          <w:rFonts w:asciiTheme="minorHAnsi" w:hAnsiTheme="minorHAnsi"/>
          <w:b w:val="0"/>
          <w:bCs w:val="0"/>
          <w:i/>
          <w:noProof/>
          <w:color w:val="auto"/>
          <w:sz w:val="24"/>
          <w:szCs w:val="24"/>
        </w:rPr>
      </w:pPr>
      <w:bookmarkStart w:id="85" w:name="_Toc107496748"/>
      <w:r w:rsidRPr="005625A1">
        <w:rPr>
          <w:rFonts w:asciiTheme="minorHAnsi" w:hAnsiTheme="minorHAnsi"/>
          <w:b w:val="0"/>
          <w:bCs w:val="0"/>
          <w:i/>
          <w:noProof/>
          <w:color w:val="auto"/>
          <w:sz w:val="22"/>
          <w:szCs w:val="24"/>
        </w:rPr>
        <w:t xml:space="preserve">Tabela </w:t>
      </w:r>
      <w:r w:rsidRPr="005625A1">
        <w:rPr>
          <w:rFonts w:asciiTheme="minorHAnsi" w:hAnsiTheme="minorHAnsi"/>
          <w:b w:val="0"/>
          <w:bCs w:val="0"/>
          <w:i/>
          <w:noProof/>
          <w:color w:val="auto"/>
          <w:sz w:val="22"/>
          <w:szCs w:val="24"/>
        </w:rPr>
        <w:fldChar w:fldCharType="begin"/>
      </w:r>
      <w:r w:rsidRPr="005625A1">
        <w:rPr>
          <w:rFonts w:asciiTheme="minorHAnsi" w:hAnsiTheme="minorHAnsi"/>
          <w:b w:val="0"/>
          <w:bCs w:val="0"/>
          <w:i/>
          <w:noProof/>
          <w:color w:val="auto"/>
          <w:sz w:val="22"/>
          <w:szCs w:val="24"/>
        </w:rPr>
        <w:instrText xml:space="preserve"> SEQ Tabela \* ARABIC </w:instrText>
      </w:r>
      <w:r w:rsidRPr="005625A1">
        <w:rPr>
          <w:rFonts w:asciiTheme="minorHAnsi" w:hAnsiTheme="minorHAnsi"/>
          <w:b w:val="0"/>
          <w:bCs w:val="0"/>
          <w:i/>
          <w:noProof/>
          <w:color w:val="auto"/>
          <w:sz w:val="22"/>
          <w:szCs w:val="24"/>
        </w:rPr>
        <w:fldChar w:fldCharType="separate"/>
      </w:r>
      <w:r w:rsidR="00C153A9">
        <w:rPr>
          <w:rFonts w:asciiTheme="minorHAnsi" w:hAnsiTheme="minorHAnsi"/>
          <w:b w:val="0"/>
          <w:bCs w:val="0"/>
          <w:i/>
          <w:noProof/>
          <w:color w:val="auto"/>
          <w:sz w:val="22"/>
          <w:szCs w:val="24"/>
        </w:rPr>
        <w:t>12</w:t>
      </w:r>
      <w:r w:rsidRPr="005625A1">
        <w:rPr>
          <w:rFonts w:asciiTheme="minorHAnsi" w:hAnsiTheme="minorHAnsi"/>
          <w:b w:val="0"/>
          <w:bCs w:val="0"/>
          <w:i/>
          <w:noProof/>
          <w:color w:val="auto"/>
          <w:sz w:val="22"/>
          <w:szCs w:val="24"/>
        </w:rPr>
        <w:fldChar w:fldCharType="end"/>
      </w:r>
      <w:r w:rsidRPr="005625A1">
        <w:rPr>
          <w:rFonts w:asciiTheme="minorHAnsi" w:hAnsiTheme="minorHAnsi"/>
          <w:b w:val="0"/>
          <w:bCs w:val="0"/>
          <w:i/>
          <w:noProof/>
          <w:color w:val="auto"/>
          <w:sz w:val="22"/>
          <w:szCs w:val="24"/>
        </w:rPr>
        <w:t>: Huamarrja e huaj në terma bruto (TM. I 202</w:t>
      </w:r>
      <w:r w:rsidR="00DE57B1">
        <w:rPr>
          <w:rFonts w:asciiTheme="minorHAnsi" w:hAnsiTheme="minorHAnsi"/>
          <w:b w:val="0"/>
          <w:bCs w:val="0"/>
          <w:i/>
          <w:noProof/>
          <w:color w:val="auto"/>
          <w:sz w:val="22"/>
          <w:szCs w:val="24"/>
        </w:rPr>
        <w:t>2</w:t>
      </w:r>
      <w:r w:rsidRPr="005625A1">
        <w:rPr>
          <w:rFonts w:asciiTheme="minorHAnsi" w:hAnsiTheme="minorHAnsi"/>
          <w:b w:val="0"/>
          <w:bCs w:val="0"/>
          <w:i/>
          <w:noProof/>
          <w:color w:val="auto"/>
          <w:sz w:val="22"/>
          <w:szCs w:val="24"/>
        </w:rPr>
        <w:t>-TM. I 202</w:t>
      </w:r>
      <w:r w:rsidR="00DE57B1">
        <w:rPr>
          <w:rFonts w:asciiTheme="minorHAnsi" w:hAnsiTheme="minorHAnsi"/>
          <w:b w:val="0"/>
          <w:bCs w:val="0"/>
          <w:i/>
          <w:noProof/>
          <w:color w:val="auto"/>
          <w:sz w:val="22"/>
          <w:szCs w:val="24"/>
        </w:rPr>
        <w:t>3</w:t>
      </w:r>
      <w:r w:rsidRPr="005625A1">
        <w:rPr>
          <w:rFonts w:asciiTheme="minorHAnsi" w:hAnsiTheme="minorHAnsi"/>
          <w:b w:val="0"/>
          <w:bCs w:val="0"/>
          <w:i/>
          <w:noProof/>
          <w:color w:val="auto"/>
          <w:sz w:val="22"/>
          <w:szCs w:val="24"/>
        </w:rPr>
        <w:t>)</w:t>
      </w:r>
      <w:bookmarkEnd w:id="85"/>
      <w:r w:rsidRPr="00721DE4">
        <w:rPr>
          <w:rFonts w:asciiTheme="minorHAnsi" w:hAnsiTheme="minorHAnsi"/>
          <w:b w:val="0"/>
          <w:bCs w:val="0"/>
          <w:i/>
          <w:noProof/>
          <w:color w:val="auto"/>
          <w:sz w:val="24"/>
          <w:szCs w:val="24"/>
        </w:rPr>
        <w:t xml:space="preserve">  </w:t>
      </w:r>
    </w:p>
    <w:tbl>
      <w:tblPr>
        <w:tblW w:w="9089" w:type="dxa"/>
        <w:jc w:val="center"/>
        <w:tblLook w:val="04A0" w:firstRow="1" w:lastRow="0" w:firstColumn="1" w:lastColumn="0" w:noHBand="0" w:noVBand="1"/>
      </w:tblPr>
      <w:tblGrid>
        <w:gridCol w:w="3306"/>
        <w:gridCol w:w="1434"/>
        <w:gridCol w:w="1381"/>
        <w:gridCol w:w="1488"/>
        <w:gridCol w:w="1480"/>
      </w:tblGrid>
      <w:tr w:rsidR="00DE57B1" w:rsidRPr="00B22565" w14:paraId="4B2B8490" w14:textId="77777777" w:rsidTr="00DE57B1">
        <w:trPr>
          <w:trHeight w:val="252"/>
          <w:jc w:val="center"/>
        </w:trPr>
        <w:tc>
          <w:tcPr>
            <w:tcW w:w="3306" w:type="dxa"/>
            <w:vMerge w:val="restart"/>
            <w:tcBorders>
              <w:top w:val="nil"/>
              <w:left w:val="nil"/>
              <w:bottom w:val="nil"/>
              <w:right w:val="single" w:sz="8" w:space="0" w:color="FFFFFF"/>
            </w:tcBorders>
            <w:shd w:val="clear" w:color="auto" w:fill="B8CCE4"/>
            <w:noWrap/>
            <w:vAlign w:val="center"/>
            <w:hideMark/>
          </w:tcPr>
          <w:p w14:paraId="23913B2D" w14:textId="77777777" w:rsidR="00DE57B1" w:rsidRPr="00B22565" w:rsidRDefault="00DE57B1" w:rsidP="008B44DD">
            <w:pPr>
              <w:jc w:val="center"/>
              <w:rPr>
                <w:rFonts w:asciiTheme="minorHAnsi" w:hAnsiTheme="minorHAnsi" w:cs="Calibri"/>
                <w:b/>
                <w:bCs/>
                <w:sz w:val="18"/>
              </w:rPr>
            </w:pPr>
            <w:r w:rsidRPr="00B22565">
              <w:rPr>
                <w:rFonts w:asciiTheme="minorHAnsi" w:hAnsiTheme="minorHAnsi" w:cs="Calibri"/>
                <w:b/>
                <w:bCs/>
                <w:sz w:val="18"/>
              </w:rPr>
              <w:t>Huajamarrja e Huaj Bruto</w:t>
            </w:r>
          </w:p>
        </w:tc>
        <w:tc>
          <w:tcPr>
            <w:tcW w:w="2815" w:type="dxa"/>
            <w:gridSpan w:val="2"/>
            <w:tcBorders>
              <w:top w:val="nil"/>
              <w:left w:val="nil"/>
              <w:bottom w:val="single" w:sz="8" w:space="0" w:color="FFFFFF"/>
              <w:right w:val="nil"/>
            </w:tcBorders>
            <w:shd w:val="clear" w:color="auto" w:fill="B8CCE4"/>
            <w:noWrap/>
            <w:vAlign w:val="center"/>
            <w:hideMark/>
          </w:tcPr>
          <w:p w14:paraId="1597EB17" w14:textId="77777777" w:rsidR="00DE57B1" w:rsidRPr="00B22565" w:rsidRDefault="00DE57B1" w:rsidP="008B44DD">
            <w:pPr>
              <w:jc w:val="center"/>
              <w:rPr>
                <w:rFonts w:asciiTheme="minorHAnsi" w:hAnsiTheme="minorHAnsi" w:cs="Calibri"/>
                <w:b/>
                <w:bCs/>
                <w:sz w:val="18"/>
              </w:rPr>
            </w:pPr>
            <w:r w:rsidRPr="00B22565">
              <w:rPr>
                <w:rFonts w:asciiTheme="minorHAnsi" w:hAnsiTheme="minorHAnsi" w:cs="Calibri"/>
                <w:b/>
                <w:bCs/>
                <w:sz w:val="18"/>
              </w:rPr>
              <w:t>T1 2022</w:t>
            </w:r>
          </w:p>
        </w:tc>
        <w:tc>
          <w:tcPr>
            <w:tcW w:w="2968" w:type="dxa"/>
            <w:gridSpan w:val="2"/>
            <w:tcBorders>
              <w:top w:val="nil"/>
              <w:left w:val="single" w:sz="8" w:space="0" w:color="FFFFFF"/>
              <w:bottom w:val="single" w:sz="8" w:space="0" w:color="FFFFFF"/>
              <w:right w:val="nil"/>
            </w:tcBorders>
            <w:shd w:val="clear" w:color="auto" w:fill="B8CCE4"/>
            <w:noWrap/>
            <w:vAlign w:val="center"/>
            <w:hideMark/>
          </w:tcPr>
          <w:p w14:paraId="00229E9C" w14:textId="77777777" w:rsidR="00DE57B1" w:rsidRPr="00B22565" w:rsidRDefault="00DE57B1" w:rsidP="008B44DD">
            <w:pPr>
              <w:jc w:val="center"/>
              <w:rPr>
                <w:rFonts w:asciiTheme="minorHAnsi" w:hAnsiTheme="minorHAnsi" w:cs="Calibri"/>
                <w:b/>
                <w:bCs/>
                <w:sz w:val="18"/>
              </w:rPr>
            </w:pPr>
            <w:r w:rsidRPr="00B22565">
              <w:rPr>
                <w:rFonts w:asciiTheme="minorHAnsi" w:hAnsiTheme="minorHAnsi" w:cs="Calibri"/>
                <w:b/>
                <w:bCs/>
                <w:sz w:val="18"/>
              </w:rPr>
              <w:t>T1 2023</w:t>
            </w:r>
          </w:p>
        </w:tc>
      </w:tr>
      <w:tr w:rsidR="00DE57B1" w:rsidRPr="00B22565" w14:paraId="60F4B246" w14:textId="77777777" w:rsidTr="00DE57B1">
        <w:trPr>
          <w:trHeight w:val="409"/>
          <w:jc w:val="center"/>
        </w:trPr>
        <w:tc>
          <w:tcPr>
            <w:tcW w:w="0" w:type="auto"/>
            <w:vMerge/>
            <w:tcBorders>
              <w:top w:val="nil"/>
              <w:left w:val="nil"/>
              <w:bottom w:val="nil"/>
              <w:right w:val="single" w:sz="8" w:space="0" w:color="FFFFFF"/>
            </w:tcBorders>
            <w:vAlign w:val="center"/>
            <w:hideMark/>
          </w:tcPr>
          <w:p w14:paraId="5F896380" w14:textId="77777777" w:rsidR="00DE57B1" w:rsidRPr="00B22565" w:rsidRDefault="00DE57B1" w:rsidP="008B44DD">
            <w:pPr>
              <w:rPr>
                <w:rFonts w:asciiTheme="minorHAnsi" w:hAnsiTheme="minorHAnsi" w:cs="Calibri"/>
                <w:b/>
                <w:bCs/>
                <w:sz w:val="18"/>
              </w:rPr>
            </w:pPr>
          </w:p>
        </w:tc>
        <w:tc>
          <w:tcPr>
            <w:tcW w:w="1434" w:type="dxa"/>
            <w:shd w:val="clear" w:color="auto" w:fill="B8CCE4"/>
            <w:vAlign w:val="center"/>
            <w:hideMark/>
          </w:tcPr>
          <w:p w14:paraId="34BB0FE6" w14:textId="77777777" w:rsidR="00DE57B1" w:rsidRPr="00B22565" w:rsidRDefault="00DE57B1" w:rsidP="008B44DD">
            <w:pPr>
              <w:jc w:val="center"/>
              <w:rPr>
                <w:rFonts w:asciiTheme="minorHAnsi" w:hAnsiTheme="minorHAnsi" w:cs="Calibri"/>
                <w:b/>
                <w:bCs/>
                <w:sz w:val="18"/>
              </w:rPr>
            </w:pPr>
            <w:r w:rsidRPr="00B22565">
              <w:rPr>
                <w:rFonts w:asciiTheme="minorHAnsi" w:hAnsiTheme="minorHAnsi" w:cs="Calibri"/>
                <w:b/>
                <w:bCs/>
                <w:sz w:val="18"/>
              </w:rPr>
              <w:t xml:space="preserve">Vlera                                          </w:t>
            </w:r>
            <w:r w:rsidRPr="00B22565">
              <w:rPr>
                <w:rFonts w:asciiTheme="minorHAnsi" w:hAnsiTheme="minorHAnsi" w:cs="Calibri"/>
                <w:i/>
                <w:iCs/>
                <w:sz w:val="18"/>
              </w:rPr>
              <w:t>(në mld Lek)</w:t>
            </w:r>
          </w:p>
        </w:tc>
        <w:tc>
          <w:tcPr>
            <w:tcW w:w="1380" w:type="dxa"/>
            <w:tcBorders>
              <w:top w:val="nil"/>
              <w:left w:val="single" w:sz="8" w:space="0" w:color="FFFFFF"/>
              <w:bottom w:val="nil"/>
              <w:right w:val="single" w:sz="8" w:space="0" w:color="FFFFFF"/>
            </w:tcBorders>
            <w:shd w:val="clear" w:color="auto" w:fill="B8CCE4"/>
            <w:noWrap/>
            <w:vAlign w:val="center"/>
            <w:hideMark/>
          </w:tcPr>
          <w:p w14:paraId="075DC1B3" w14:textId="77777777" w:rsidR="00DE57B1" w:rsidRPr="00B22565" w:rsidRDefault="00DE57B1" w:rsidP="008B44DD">
            <w:pPr>
              <w:jc w:val="center"/>
              <w:rPr>
                <w:rFonts w:asciiTheme="minorHAnsi" w:hAnsiTheme="minorHAnsi" w:cs="Calibri"/>
                <w:b/>
                <w:bCs/>
                <w:sz w:val="18"/>
              </w:rPr>
            </w:pPr>
            <w:r w:rsidRPr="00B22565">
              <w:rPr>
                <w:rFonts w:asciiTheme="minorHAnsi" w:hAnsiTheme="minorHAnsi" w:cs="Calibri"/>
                <w:b/>
                <w:bCs/>
                <w:sz w:val="18"/>
              </w:rPr>
              <w:t>%/Total</w:t>
            </w:r>
          </w:p>
        </w:tc>
        <w:tc>
          <w:tcPr>
            <w:tcW w:w="1488" w:type="dxa"/>
            <w:shd w:val="clear" w:color="auto" w:fill="B8CCE4"/>
            <w:vAlign w:val="center"/>
            <w:hideMark/>
          </w:tcPr>
          <w:p w14:paraId="32DCAD05" w14:textId="77777777" w:rsidR="00DE57B1" w:rsidRPr="00B22565" w:rsidRDefault="00DE57B1" w:rsidP="008B44DD">
            <w:pPr>
              <w:jc w:val="center"/>
              <w:rPr>
                <w:rFonts w:asciiTheme="minorHAnsi" w:hAnsiTheme="minorHAnsi" w:cs="Calibri"/>
                <w:b/>
                <w:bCs/>
                <w:sz w:val="18"/>
              </w:rPr>
            </w:pPr>
            <w:r w:rsidRPr="00B22565">
              <w:rPr>
                <w:rFonts w:asciiTheme="minorHAnsi" w:hAnsiTheme="minorHAnsi" w:cs="Calibri"/>
                <w:b/>
                <w:bCs/>
                <w:sz w:val="18"/>
              </w:rPr>
              <w:t xml:space="preserve">Vlera                                          </w:t>
            </w:r>
            <w:r w:rsidRPr="00B22565">
              <w:rPr>
                <w:rFonts w:asciiTheme="minorHAnsi" w:hAnsiTheme="minorHAnsi" w:cs="Calibri"/>
                <w:i/>
                <w:iCs/>
                <w:sz w:val="18"/>
              </w:rPr>
              <w:t>(në mld Lek)</w:t>
            </w:r>
          </w:p>
        </w:tc>
        <w:tc>
          <w:tcPr>
            <w:tcW w:w="1480" w:type="dxa"/>
            <w:tcBorders>
              <w:top w:val="nil"/>
              <w:left w:val="single" w:sz="8" w:space="0" w:color="FFFFFF"/>
              <w:bottom w:val="nil"/>
              <w:right w:val="single" w:sz="8" w:space="0" w:color="FFFFFF"/>
            </w:tcBorders>
            <w:shd w:val="clear" w:color="auto" w:fill="B8CCE4"/>
            <w:noWrap/>
            <w:vAlign w:val="center"/>
            <w:hideMark/>
          </w:tcPr>
          <w:p w14:paraId="56E66D1C" w14:textId="77777777" w:rsidR="00DE57B1" w:rsidRPr="00B22565" w:rsidRDefault="00DE57B1" w:rsidP="008B44DD">
            <w:pPr>
              <w:jc w:val="center"/>
              <w:rPr>
                <w:rFonts w:asciiTheme="minorHAnsi" w:hAnsiTheme="minorHAnsi" w:cs="Calibri"/>
                <w:b/>
                <w:bCs/>
                <w:sz w:val="18"/>
              </w:rPr>
            </w:pPr>
            <w:r w:rsidRPr="00B22565">
              <w:rPr>
                <w:rFonts w:asciiTheme="minorHAnsi" w:hAnsiTheme="minorHAnsi" w:cs="Calibri"/>
                <w:b/>
                <w:bCs/>
                <w:sz w:val="18"/>
              </w:rPr>
              <w:t>%/Total</w:t>
            </w:r>
          </w:p>
        </w:tc>
      </w:tr>
      <w:tr w:rsidR="00DE57B1" w:rsidRPr="00B22565" w14:paraId="0FF7DAC5" w14:textId="77777777" w:rsidTr="00DE57B1">
        <w:trPr>
          <w:trHeight w:val="240"/>
          <w:jc w:val="center"/>
        </w:trPr>
        <w:tc>
          <w:tcPr>
            <w:tcW w:w="3306" w:type="dxa"/>
            <w:shd w:val="clear" w:color="auto" w:fill="FFFFFF"/>
            <w:noWrap/>
            <w:vAlign w:val="center"/>
            <w:hideMark/>
          </w:tcPr>
          <w:p w14:paraId="2667FEDF" w14:textId="77777777" w:rsidR="00DE57B1" w:rsidRPr="00B22565" w:rsidRDefault="00DE57B1" w:rsidP="008B44DD">
            <w:pPr>
              <w:rPr>
                <w:rFonts w:asciiTheme="minorHAnsi" w:hAnsiTheme="minorHAnsi" w:cs="Calibri"/>
                <w:b/>
                <w:bCs/>
                <w:color w:val="000000"/>
                <w:sz w:val="18"/>
              </w:rPr>
            </w:pPr>
            <w:r w:rsidRPr="00B22565">
              <w:rPr>
                <w:rFonts w:asciiTheme="minorHAnsi" w:hAnsiTheme="minorHAnsi" w:cs="Calibri"/>
                <w:b/>
                <w:bCs/>
                <w:color w:val="000000"/>
                <w:sz w:val="18"/>
              </w:rPr>
              <w:t>Kredi për financim projektesh</w:t>
            </w:r>
          </w:p>
        </w:tc>
        <w:tc>
          <w:tcPr>
            <w:tcW w:w="1434" w:type="dxa"/>
            <w:shd w:val="clear" w:color="auto" w:fill="FFFFFF"/>
            <w:noWrap/>
            <w:vAlign w:val="bottom"/>
            <w:hideMark/>
          </w:tcPr>
          <w:p w14:paraId="7EA989E0" w14:textId="77777777" w:rsidR="00DE57B1" w:rsidRPr="00B22565" w:rsidRDefault="00DE57B1" w:rsidP="008B44DD">
            <w:pPr>
              <w:jc w:val="right"/>
              <w:rPr>
                <w:rFonts w:asciiTheme="minorHAnsi" w:hAnsiTheme="minorHAnsi" w:cs="Calibri"/>
                <w:b/>
                <w:bCs/>
                <w:sz w:val="18"/>
              </w:rPr>
            </w:pPr>
            <w:r w:rsidRPr="00B22565">
              <w:rPr>
                <w:rFonts w:asciiTheme="minorHAnsi" w:hAnsiTheme="minorHAnsi" w:cs="Calibri"/>
                <w:b/>
                <w:bCs/>
                <w:sz w:val="18"/>
              </w:rPr>
              <w:t>3.4</w:t>
            </w:r>
          </w:p>
        </w:tc>
        <w:tc>
          <w:tcPr>
            <w:tcW w:w="1380" w:type="dxa"/>
            <w:shd w:val="clear" w:color="auto" w:fill="FFFFFF"/>
            <w:noWrap/>
            <w:vAlign w:val="bottom"/>
            <w:hideMark/>
          </w:tcPr>
          <w:p w14:paraId="491B408C" w14:textId="77777777" w:rsidR="00DE57B1" w:rsidRPr="00B22565" w:rsidRDefault="00DE57B1" w:rsidP="008B44DD">
            <w:pPr>
              <w:jc w:val="right"/>
              <w:rPr>
                <w:rFonts w:asciiTheme="minorHAnsi" w:hAnsiTheme="minorHAnsi" w:cs="Calibri"/>
                <w:b/>
                <w:bCs/>
                <w:sz w:val="18"/>
              </w:rPr>
            </w:pPr>
            <w:r w:rsidRPr="00B22565">
              <w:rPr>
                <w:rFonts w:asciiTheme="minorHAnsi" w:hAnsiTheme="minorHAnsi" w:cs="Calibri"/>
                <w:b/>
                <w:bCs/>
                <w:sz w:val="18"/>
              </w:rPr>
              <w:t>40.1%</w:t>
            </w:r>
          </w:p>
        </w:tc>
        <w:tc>
          <w:tcPr>
            <w:tcW w:w="1488" w:type="dxa"/>
            <w:shd w:val="clear" w:color="auto" w:fill="FFFFFF"/>
            <w:noWrap/>
            <w:vAlign w:val="bottom"/>
            <w:hideMark/>
          </w:tcPr>
          <w:p w14:paraId="35882389" w14:textId="77777777" w:rsidR="00DE57B1" w:rsidRPr="00B22565" w:rsidRDefault="00DE57B1" w:rsidP="008B44DD">
            <w:pPr>
              <w:jc w:val="right"/>
              <w:rPr>
                <w:rFonts w:asciiTheme="minorHAnsi" w:hAnsiTheme="minorHAnsi" w:cs="Calibri"/>
                <w:b/>
                <w:bCs/>
                <w:sz w:val="18"/>
              </w:rPr>
            </w:pPr>
            <w:r w:rsidRPr="00B22565">
              <w:rPr>
                <w:rFonts w:asciiTheme="minorHAnsi" w:hAnsiTheme="minorHAnsi" w:cs="Calibri"/>
                <w:b/>
                <w:bCs/>
                <w:sz w:val="18"/>
              </w:rPr>
              <w:t>2.1</w:t>
            </w:r>
          </w:p>
        </w:tc>
        <w:tc>
          <w:tcPr>
            <w:tcW w:w="1480" w:type="dxa"/>
            <w:shd w:val="clear" w:color="auto" w:fill="FFFFFF"/>
            <w:noWrap/>
            <w:vAlign w:val="bottom"/>
            <w:hideMark/>
          </w:tcPr>
          <w:p w14:paraId="42C80F18" w14:textId="77777777" w:rsidR="00DE57B1" w:rsidRPr="00B22565" w:rsidRDefault="00DE57B1" w:rsidP="008B44DD">
            <w:pPr>
              <w:jc w:val="right"/>
              <w:rPr>
                <w:rFonts w:asciiTheme="minorHAnsi" w:hAnsiTheme="minorHAnsi" w:cs="Calibri"/>
                <w:b/>
                <w:bCs/>
                <w:sz w:val="18"/>
              </w:rPr>
            </w:pPr>
            <w:r w:rsidRPr="00B22565">
              <w:rPr>
                <w:rFonts w:asciiTheme="minorHAnsi" w:hAnsiTheme="minorHAnsi" w:cs="Calibri"/>
                <w:b/>
                <w:bCs/>
                <w:sz w:val="18"/>
              </w:rPr>
              <w:t>100.0%</w:t>
            </w:r>
          </w:p>
        </w:tc>
      </w:tr>
      <w:tr w:rsidR="00DE57B1" w:rsidRPr="00B22565" w14:paraId="212B8CF9" w14:textId="77777777" w:rsidTr="00DE57B1">
        <w:trPr>
          <w:trHeight w:val="240"/>
          <w:jc w:val="center"/>
        </w:trPr>
        <w:tc>
          <w:tcPr>
            <w:tcW w:w="3306" w:type="dxa"/>
            <w:shd w:val="clear" w:color="auto" w:fill="FFFFFF"/>
            <w:noWrap/>
            <w:vAlign w:val="center"/>
            <w:hideMark/>
          </w:tcPr>
          <w:p w14:paraId="3290833F" w14:textId="77777777" w:rsidR="00DE57B1" w:rsidRPr="00B22565" w:rsidRDefault="00DE57B1" w:rsidP="008B44DD">
            <w:pPr>
              <w:rPr>
                <w:rFonts w:asciiTheme="minorHAnsi" w:hAnsiTheme="minorHAnsi" w:cs="Calibri"/>
                <w:color w:val="000000"/>
                <w:sz w:val="18"/>
              </w:rPr>
            </w:pPr>
            <w:r w:rsidRPr="00B22565">
              <w:rPr>
                <w:rFonts w:asciiTheme="minorHAnsi" w:hAnsiTheme="minorHAnsi" w:cs="Calibri"/>
                <w:color w:val="000000"/>
                <w:sz w:val="18"/>
              </w:rPr>
              <w:t xml:space="preserve">        Energjia</w:t>
            </w:r>
          </w:p>
        </w:tc>
        <w:tc>
          <w:tcPr>
            <w:tcW w:w="1434" w:type="dxa"/>
            <w:shd w:val="clear" w:color="auto" w:fill="FFFFFF"/>
            <w:noWrap/>
            <w:vAlign w:val="bottom"/>
            <w:hideMark/>
          </w:tcPr>
          <w:p w14:paraId="6D07CCE5"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0.1</w:t>
            </w:r>
          </w:p>
        </w:tc>
        <w:tc>
          <w:tcPr>
            <w:tcW w:w="1380" w:type="dxa"/>
            <w:shd w:val="clear" w:color="auto" w:fill="FFFFFF"/>
            <w:noWrap/>
            <w:vAlign w:val="bottom"/>
            <w:hideMark/>
          </w:tcPr>
          <w:p w14:paraId="5F4C5231"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1.0%</w:t>
            </w:r>
          </w:p>
        </w:tc>
        <w:tc>
          <w:tcPr>
            <w:tcW w:w="1488" w:type="dxa"/>
            <w:shd w:val="clear" w:color="auto" w:fill="FFFFFF"/>
            <w:noWrap/>
            <w:vAlign w:val="bottom"/>
            <w:hideMark/>
          </w:tcPr>
          <w:p w14:paraId="0DFA1C50"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0.3</w:t>
            </w:r>
          </w:p>
        </w:tc>
        <w:tc>
          <w:tcPr>
            <w:tcW w:w="1480" w:type="dxa"/>
            <w:shd w:val="clear" w:color="auto" w:fill="FFFFFF"/>
            <w:noWrap/>
            <w:vAlign w:val="bottom"/>
            <w:hideMark/>
          </w:tcPr>
          <w:p w14:paraId="4F1CDBDD"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15.2%</w:t>
            </w:r>
          </w:p>
        </w:tc>
      </w:tr>
      <w:tr w:rsidR="00DE57B1" w:rsidRPr="00B22565" w14:paraId="7ACFC66A" w14:textId="77777777" w:rsidTr="00DE57B1">
        <w:trPr>
          <w:trHeight w:val="240"/>
          <w:jc w:val="center"/>
        </w:trPr>
        <w:tc>
          <w:tcPr>
            <w:tcW w:w="3306" w:type="dxa"/>
            <w:shd w:val="clear" w:color="auto" w:fill="FFFFFF"/>
            <w:noWrap/>
            <w:vAlign w:val="center"/>
            <w:hideMark/>
          </w:tcPr>
          <w:p w14:paraId="1ECBDE36" w14:textId="77777777" w:rsidR="00DE57B1" w:rsidRPr="00B22565" w:rsidRDefault="00DE57B1" w:rsidP="008B44DD">
            <w:pPr>
              <w:rPr>
                <w:rFonts w:asciiTheme="minorHAnsi" w:hAnsiTheme="minorHAnsi" w:cs="Calibri"/>
                <w:color w:val="000000"/>
                <w:sz w:val="18"/>
              </w:rPr>
            </w:pPr>
            <w:r w:rsidRPr="00B22565">
              <w:rPr>
                <w:rFonts w:asciiTheme="minorHAnsi" w:hAnsiTheme="minorHAnsi" w:cs="Calibri"/>
                <w:color w:val="000000"/>
                <w:sz w:val="18"/>
              </w:rPr>
              <w:t xml:space="preserve">        Transporti</w:t>
            </w:r>
          </w:p>
        </w:tc>
        <w:tc>
          <w:tcPr>
            <w:tcW w:w="1434" w:type="dxa"/>
            <w:shd w:val="clear" w:color="auto" w:fill="FFFFFF"/>
            <w:noWrap/>
            <w:vAlign w:val="bottom"/>
            <w:hideMark/>
          </w:tcPr>
          <w:p w14:paraId="0E188879"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2.2</w:t>
            </w:r>
          </w:p>
        </w:tc>
        <w:tc>
          <w:tcPr>
            <w:tcW w:w="1380" w:type="dxa"/>
            <w:shd w:val="clear" w:color="auto" w:fill="FFFFFF"/>
            <w:noWrap/>
            <w:vAlign w:val="bottom"/>
            <w:hideMark/>
          </w:tcPr>
          <w:p w14:paraId="5E384F0A"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25.8%</w:t>
            </w:r>
          </w:p>
        </w:tc>
        <w:tc>
          <w:tcPr>
            <w:tcW w:w="1488" w:type="dxa"/>
            <w:shd w:val="clear" w:color="auto" w:fill="FFFFFF"/>
            <w:noWrap/>
            <w:vAlign w:val="bottom"/>
            <w:hideMark/>
          </w:tcPr>
          <w:p w14:paraId="313D1E9B"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0.9</w:t>
            </w:r>
          </w:p>
        </w:tc>
        <w:tc>
          <w:tcPr>
            <w:tcW w:w="1480" w:type="dxa"/>
            <w:shd w:val="clear" w:color="auto" w:fill="FFFFFF"/>
            <w:noWrap/>
            <w:vAlign w:val="bottom"/>
            <w:hideMark/>
          </w:tcPr>
          <w:p w14:paraId="10CBF056"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41.4%</w:t>
            </w:r>
          </w:p>
        </w:tc>
      </w:tr>
      <w:tr w:rsidR="00DE57B1" w:rsidRPr="00B22565" w14:paraId="7A1C7E34" w14:textId="77777777" w:rsidTr="00DE57B1">
        <w:trPr>
          <w:trHeight w:val="240"/>
          <w:jc w:val="center"/>
        </w:trPr>
        <w:tc>
          <w:tcPr>
            <w:tcW w:w="3306" w:type="dxa"/>
            <w:shd w:val="clear" w:color="auto" w:fill="FFFFFF"/>
            <w:noWrap/>
            <w:vAlign w:val="center"/>
            <w:hideMark/>
          </w:tcPr>
          <w:p w14:paraId="0FFBD309" w14:textId="77777777" w:rsidR="00DE57B1" w:rsidRPr="00B22565" w:rsidRDefault="00DE57B1" w:rsidP="008B44DD">
            <w:pPr>
              <w:rPr>
                <w:rFonts w:asciiTheme="minorHAnsi" w:hAnsiTheme="minorHAnsi" w:cs="Calibri"/>
                <w:color w:val="000000"/>
                <w:sz w:val="18"/>
              </w:rPr>
            </w:pPr>
            <w:r w:rsidRPr="00B22565">
              <w:rPr>
                <w:rFonts w:asciiTheme="minorHAnsi" w:hAnsiTheme="minorHAnsi" w:cs="Calibri"/>
                <w:color w:val="000000"/>
                <w:sz w:val="18"/>
              </w:rPr>
              <w:t xml:space="preserve">        Ujësjellës Kanalizime</w:t>
            </w:r>
          </w:p>
        </w:tc>
        <w:tc>
          <w:tcPr>
            <w:tcW w:w="1434" w:type="dxa"/>
            <w:shd w:val="clear" w:color="auto" w:fill="FFFFFF"/>
            <w:noWrap/>
            <w:vAlign w:val="bottom"/>
            <w:hideMark/>
          </w:tcPr>
          <w:p w14:paraId="4ADBC3EE"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0.4</w:t>
            </w:r>
          </w:p>
        </w:tc>
        <w:tc>
          <w:tcPr>
            <w:tcW w:w="1380" w:type="dxa"/>
            <w:shd w:val="clear" w:color="auto" w:fill="FFFFFF"/>
            <w:noWrap/>
            <w:vAlign w:val="bottom"/>
            <w:hideMark/>
          </w:tcPr>
          <w:p w14:paraId="6BF85C1F"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4.4%</w:t>
            </w:r>
          </w:p>
        </w:tc>
        <w:tc>
          <w:tcPr>
            <w:tcW w:w="1488" w:type="dxa"/>
            <w:shd w:val="clear" w:color="auto" w:fill="FFFFFF"/>
            <w:noWrap/>
            <w:vAlign w:val="bottom"/>
            <w:hideMark/>
          </w:tcPr>
          <w:p w14:paraId="31F30939"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0.3</w:t>
            </w:r>
          </w:p>
        </w:tc>
        <w:tc>
          <w:tcPr>
            <w:tcW w:w="1480" w:type="dxa"/>
            <w:shd w:val="clear" w:color="auto" w:fill="FFFFFF"/>
            <w:noWrap/>
            <w:vAlign w:val="bottom"/>
            <w:hideMark/>
          </w:tcPr>
          <w:p w14:paraId="53B5A234"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15.3%</w:t>
            </w:r>
          </w:p>
        </w:tc>
      </w:tr>
      <w:tr w:rsidR="00DE57B1" w:rsidRPr="00B22565" w14:paraId="2056C294" w14:textId="77777777" w:rsidTr="00DE57B1">
        <w:trPr>
          <w:trHeight w:val="240"/>
          <w:jc w:val="center"/>
        </w:trPr>
        <w:tc>
          <w:tcPr>
            <w:tcW w:w="3306" w:type="dxa"/>
            <w:shd w:val="clear" w:color="auto" w:fill="FFFFFF"/>
            <w:noWrap/>
            <w:vAlign w:val="center"/>
            <w:hideMark/>
          </w:tcPr>
          <w:p w14:paraId="32227E83" w14:textId="77777777" w:rsidR="00DE57B1" w:rsidRPr="00B22565" w:rsidRDefault="00DE57B1" w:rsidP="008B44DD">
            <w:pPr>
              <w:rPr>
                <w:rFonts w:asciiTheme="minorHAnsi" w:hAnsiTheme="minorHAnsi" w:cs="Calibri"/>
                <w:color w:val="000000"/>
                <w:sz w:val="18"/>
              </w:rPr>
            </w:pPr>
            <w:r w:rsidRPr="00B22565">
              <w:rPr>
                <w:rFonts w:asciiTheme="minorHAnsi" w:hAnsiTheme="minorHAnsi" w:cs="Calibri"/>
                <w:color w:val="000000"/>
                <w:sz w:val="18"/>
              </w:rPr>
              <w:t xml:space="preserve">        Infrastruktura Urbane</w:t>
            </w:r>
          </w:p>
        </w:tc>
        <w:tc>
          <w:tcPr>
            <w:tcW w:w="1434" w:type="dxa"/>
            <w:shd w:val="clear" w:color="auto" w:fill="FFFFFF"/>
            <w:noWrap/>
            <w:vAlign w:val="bottom"/>
            <w:hideMark/>
          </w:tcPr>
          <w:p w14:paraId="705C3789"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0.0</w:t>
            </w:r>
          </w:p>
        </w:tc>
        <w:tc>
          <w:tcPr>
            <w:tcW w:w="1380" w:type="dxa"/>
            <w:shd w:val="clear" w:color="auto" w:fill="FFFFFF"/>
            <w:noWrap/>
            <w:vAlign w:val="bottom"/>
            <w:hideMark/>
          </w:tcPr>
          <w:p w14:paraId="1CCB7BB5"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0.0%</w:t>
            </w:r>
          </w:p>
        </w:tc>
        <w:tc>
          <w:tcPr>
            <w:tcW w:w="1488" w:type="dxa"/>
            <w:shd w:val="clear" w:color="auto" w:fill="FFFFFF"/>
            <w:noWrap/>
            <w:vAlign w:val="bottom"/>
            <w:hideMark/>
          </w:tcPr>
          <w:p w14:paraId="455588D3"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0.5</w:t>
            </w:r>
          </w:p>
        </w:tc>
        <w:tc>
          <w:tcPr>
            <w:tcW w:w="1480" w:type="dxa"/>
            <w:shd w:val="clear" w:color="auto" w:fill="FFFFFF"/>
            <w:noWrap/>
            <w:vAlign w:val="bottom"/>
            <w:hideMark/>
          </w:tcPr>
          <w:p w14:paraId="7D6ED7B9"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21.8%</w:t>
            </w:r>
          </w:p>
        </w:tc>
      </w:tr>
      <w:tr w:rsidR="00DE57B1" w:rsidRPr="00B22565" w14:paraId="428BB4A5" w14:textId="77777777" w:rsidTr="00DE57B1">
        <w:trPr>
          <w:trHeight w:val="240"/>
          <w:jc w:val="center"/>
        </w:trPr>
        <w:tc>
          <w:tcPr>
            <w:tcW w:w="3306" w:type="dxa"/>
            <w:shd w:val="clear" w:color="auto" w:fill="FFFFFF"/>
            <w:noWrap/>
            <w:vAlign w:val="center"/>
            <w:hideMark/>
          </w:tcPr>
          <w:p w14:paraId="3B7370AC" w14:textId="77777777" w:rsidR="00DE57B1" w:rsidRPr="00B22565" w:rsidRDefault="00DE57B1" w:rsidP="008B44DD">
            <w:pPr>
              <w:rPr>
                <w:rFonts w:asciiTheme="minorHAnsi" w:hAnsiTheme="minorHAnsi" w:cs="Calibri"/>
                <w:color w:val="000000"/>
                <w:sz w:val="18"/>
              </w:rPr>
            </w:pPr>
            <w:r w:rsidRPr="00B22565">
              <w:rPr>
                <w:rFonts w:asciiTheme="minorHAnsi" w:hAnsiTheme="minorHAnsi" w:cs="Calibri"/>
                <w:color w:val="000000"/>
                <w:sz w:val="18"/>
              </w:rPr>
              <w:t xml:space="preserve">       Shëndetësia</w:t>
            </w:r>
          </w:p>
        </w:tc>
        <w:tc>
          <w:tcPr>
            <w:tcW w:w="1434" w:type="dxa"/>
            <w:shd w:val="clear" w:color="auto" w:fill="FFFFFF"/>
            <w:noWrap/>
            <w:vAlign w:val="bottom"/>
            <w:hideMark/>
          </w:tcPr>
          <w:p w14:paraId="56B64635"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0.7</w:t>
            </w:r>
          </w:p>
        </w:tc>
        <w:tc>
          <w:tcPr>
            <w:tcW w:w="1380" w:type="dxa"/>
            <w:shd w:val="clear" w:color="auto" w:fill="FFFFFF"/>
            <w:noWrap/>
            <w:vAlign w:val="bottom"/>
            <w:hideMark/>
          </w:tcPr>
          <w:p w14:paraId="29B04349"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7.7%</w:t>
            </w:r>
          </w:p>
        </w:tc>
        <w:tc>
          <w:tcPr>
            <w:tcW w:w="1488" w:type="dxa"/>
            <w:shd w:val="clear" w:color="auto" w:fill="FFFFFF"/>
            <w:noWrap/>
            <w:vAlign w:val="bottom"/>
            <w:hideMark/>
          </w:tcPr>
          <w:p w14:paraId="6A120DCD"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0.1</w:t>
            </w:r>
          </w:p>
        </w:tc>
        <w:tc>
          <w:tcPr>
            <w:tcW w:w="1480" w:type="dxa"/>
            <w:shd w:val="clear" w:color="auto" w:fill="FFFFFF"/>
            <w:noWrap/>
            <w:vAlign w:val="bottom"/>
            <w:hideMark/>
          </w:tcPr>
          <w:p w14:paraId="51A859D9"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5.6%</w:t>
            </w:r>
          </w:p>
        </w:tc>
      </w:tr>
      <w:tr w:rsidR="00DE57B1" w:rsidRPr="00B22565" w14:paraId="55DD1620" w14:textId="77777777" w:rsidTr="00DE57B1">
        <w:trPr>
          <w:trHeight w:val="240"/>
          <w:jc w:val="center"/>
        </w:trPr>
        <w:tc>
          <w:tcPr>
            <w:tcW w:w="3306" w:type="dxa"/>
            <w:shd w:val="clear" w:color="auto" w:fill="FFFFFF"/>
            <w:noWrap/>
            <w:vAlign w:val="center"/>
            <w:hideMark/>
          </w:tcPr>
          <w:p w14:paraId="049DFD7B" w14:textId="77777777" w:rsidR="00DE57B1" w:rsidRPr="00B22565" w:rsidRDefault="00DE57B1" w:rsidP="008B44DD">
            <w:pPr>
              <w:rPr>
                <w:rFonts w:asciiTheme="minorHAnsi" w:hAnsiTheme="minorHAnsi" w:cs="Calibri"/>
                <w:color w:val="000000"/>
                <w:sz w:val="18"/>
              </w:rPr>
            </w:pPr>
            <w:r w:rsidRPr="00B22565">
              <w:rPr>
                <w:rFonts w:asciiTheme="minorHAnsi" w:hAnsiTheme="minorHAnsi" w:cs="Calibri"/>
                <w:color w:val="000000"/>
                <w:sz w:val="18"/>
              </w:rPr>
              <w:t xml:space="preserve">        Të Tjera</w:t>
            </w:r>
          </w:p>
        </w:tc>
        <w:tc>
          <w:tcPr>
            <w:tcW w:w="1434" w:type="dxa"/>
            <w:shd w:val="clear" w:color="auto" w:fill="FFFFFF"/>
            <w:noWrap/>
            <w:vAlign w:val="bottom"/>
            <w:hideMark/>
          </w:tcPr>
          <w:p w14:paraId="3C11FB80"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0.1</w:t>
            </w:r>
          </w:p>
        </w:tc>
        <w:tc>
          <w:tcPr>
            <w:tcW w:w="1380" w:type="dxa"/>
            <w:shd w:val="clear" w:color="auto" w:fill="FFFFFF"/>
            <w:noWrap/>
            <w:vAlign w:val="bottom"/>
            <w:hideMark/>
          </w:tcPr>
          <w:p w14:paraId="18EA3099"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1.1%</w:t>
            </w:r>
          </w:p>
        </w:tc>
        <w:tc>
          <w:tcPr>
            <w:tcW w:w="1488" w:type="dxa"/>
            <w:shd w:val="clear" w:color="auto" w:fill="FFFFFF"/>
            <w:noWrap/>
            <w:vAlign w:val="bottom"/>
            <w:hideMark/>
          </w:tcPr>
          <w:p w14:paraId="6B5721EA"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0.0</w:t>
            </w:r>
          </w:p>
        </w:tc>
        <w:tc>
          <w:tcPr>
            <w:tcW w:w="1480" w:type="dxa"/>
            <w:shd w:val="clear" w:color="auto" w:fill="FFFFFF"/>
            <w:noWrap/>
            <w:vAlign w:val="bottom"/>
            <w:hideMark/>
          </w:tcPr>
          <w:p w14:paraId="08BD0107" w14:textId="77777777" w:rsidR="00DE57B1" w:rsidRPr="00B22565" w:rsidRDefault="00DE57B1" w:rsidP="008B44DD">
            <w:pPr>
              <w:jc w:val="right"/>
              <w:rPr>
                <w:rFonts w:asciiTheme="minorHAnsi" w:hAnsiTheme="minorHAnsi" w:cs="Calibri"/>
                <w:sz w:val="18"/>
              </w:rPr>
            </w:pPr>
            <w:r w:rsidRPr="00B22565">
              <w:rPr>
                <w:rFonts w:asciiTheme="minorHAnsi" w:hAnsiTheme="minorHAnsi" w:cs="Calibri"/>
                <w:sz w:val="18"/>
              </w:rPr>
              <w:t>0.6%</w:t>
            </w:r>
          </w:p>
        </w:tc>
      </w:tr>
      <w:tr w:rsidR="00DE57B1" w:rsidRPr="00B22565" w14:paraId="0A22DF87" w14:textId="77777777" w:rsidTr="00DE57B1">
        <w:trPr>
          <w:trHeight w:val="240"/>
          <w:jc w:val="center"/>
        </w:trPr>
        <w:tc>
          <w:tcPr>
            <w:tcW w:w="3306" w:type="dxa"/>
            <w:shd w:val="clear" w:color="auto" w:fill="FFFFFF"/>
            <w:noWrap/>
            <w:vAlign w:val="center"/>
            <w:hideMark/>
          </w:tcPr>
          <w:p w14:paraId="1DA6A663" w14:textId="77777777" w:rsidR="00DE57B1" w:rsidRPr="00B22565" w:rsidRDefault="00DE57B1" w:rsidP="008B44DD">
            <w:pPr>
              <w:rPr>
                <w:rFonts w:asciiTheme="minorHAnsi" w:hAnsiTheme="minorHAnsi" w:cs="Calibri"/>
                <w:b/>
                <w:bCs/>
                <w:color w:val="000000"/>
                <w:sz w:val="18"/>
              </w:rPr>
            </w:pPr>
            <w:r w:rsidRPr="00B22565">
              <w:rPr>
                <w:rFonts w:asciiTheme="minorHAnsi" w:hAnsiTheme="minorHAnsi" w:cs="Calibri"/>
                <w:b/>
                <w:bCs/>
                <w:color w:val="000000"/>
                <w:sz w:val="18"/>
              </w:rPr>
              <w:t>Mbështetje Buxhetore</w:t>
            </w:r>
          </w:p>
        </w:tc>
        <w:tc>
          <w:tcPr>
            <w:tcW w:w="1434" w:type="dxa"/>
            <w:shd w:val="clear" w:color="auto" w:fill="FFFFFF"/>
            <w:noWrap/>
            <w:vAlign w:val="bottom"/>
            <w:hideMark/>
          </w:tcPr>
          <w:p w14:paraId="1D49F8DC" w14:textId="77777777" w:rsidR="00DE57B1" w:rsidRPr="00B22565" w:rsidRDefault="00DE57B1" w:rsidP="008B44DD">
            <w:pPr>
              <w:jc w:val="right"/>
              <w:rPr>
                <w:rFonts w:asciiTheme="minorHAnsi" w:hAnsiTheme="minorHAnsi" w:cs="Calibri"/>
                <w:b/>
                <w:bCs/>
                <w:sz w:val="18"/>
              </w:rPr>
            </w:pPr>
            <w:r w:rsidRPr="00B22565">
              <w:rPr>
                <w:rFonts w:asciiTheme="minorHAnsi" w:hAnsiTheme="minorHAnsi" w:cs="Calibri"/>
                <w:b/>
                <w:bCs/>
                <w:sz w:val="18"/>
              </w:rPr>
              <w:t>5.2</w:t>
            </w:r>
          </w:p>
        </w:tc>
        <w:tc>
          <w:tcPr>
            <w:tcW w:w="1380" w:type="dxa"/>
            <w:shd w:val="clear" w:color="auto" w:fill="FFFFFF"/>
            <w:noWrap/>
            <w:vAlign w:val="bottom"/>
            <w:hideMark/>
          </w:tcPr>
          <w:p w14:paraId="39DCE20B" w14:textId="77777777" w:rsidR="00DE57B1" w:rsidRPr="00B22565" w:rsidRDefault="00DE57B1" w:rsidP="008B44DD">
            <w:pPr>
              <w:jc w:val="right"/>
              <w:rPr>
                <w:rFonts w:asciiTheme="minorHAnsi" w:hAnsiTheme="minorHAnsi" w:cs="Calibri"/>
                <w:b/>
                <w:bCs/>
                <w:sz w:val="18"/>
              </w:rPr>
            </w:pPr>
            <w:r w:rsidRPr="00B22565">
              <w:rPr>
                <w:rFonts w:asciiTheme="minorHAnsi" w:hAnsiTheme="minorHAnsi" w:cs="Calibri"/>
                <w:b/>
                <w:bCs/>
                <w:sz w:val="18"/>
              </w:rPr>
              <w:t>59.9%</w:t>
            </w:r>
          </w:p>
        </w:tc>
        <w:tc>
          <w:tcPr>
            <w:tcW w:w="1488" w:type="dxa"/>
            <w:shd w:val="clear" w:color="auto" w:fill="FFFFFF"/>
            <w:noWrap/>
            <w:vAlign w:val="bottom"/>
            <w:hideMark/>
          </w:tcPr>
          <w:p w14:paraId="69D89CD4" w14:textId="77777777" w:rsidR="00DE57B1" w:rsidRPr="00B22565" w:rsidRDefault="00DE57B1" w:rsidP="008B44DD">
            <w:pPr>
              <w:jc w:val="right"/>
              <w:rPr>
                <w:rFonts w:asciiTheme="minorHAnsi" w:hAnsiTheme="minorHAnsi" w:cs="Calibri"/>
                <w:b/>
                <w:bCs/>
                <w:sz w:val="18"/>
              </w:rPr>
            </w:pPr>
            <w:r w:rsidRPr="00B22565">
              <w:rPr>
                <w:rFonts w:asciiTheme="minorHAnsi" w:hAnsiTheme="minorHAnsi" w:cs="Calibri"/>
                <w:b/>
                <w:bCs/>
                <w:sz w:val="18"/>
              </w:rPr>
              <w:t>0.0</w:t>
            </w:r>
          </w:p>
        </w:tc>
        <w:tc>
          <w:tcPr>
            <w:tcW w:w="1480" w:type="dxa"/>
            <w:shd w:val="clear" w:color="auto" w:fill="FFFFFF"/>
            <w:noWrap/>
            <w:vAlign w:val="bottom"/>
            <w:hideMark/>
          </w:tcPr>
          <w:p w14:paraId="3605733E" w14:textId="77777777" w:rsidR="00DE57B1" w:rsidRPr="00B22565" w:rsidRDefault="00DE57B1" w:rsidP="008B44DD">
            <w:pPr>
              <w:jc w:val="right"/>
              <w:rPr>
                <w:rFonts w:asciiTheme="minorHAnsi" w:hAnsiTheme="minorHAnsi" w:cs="Calibri"/>
                <w:b/>
                <w:bCs/>
                <w:sz w:val="18"/>
              </w:rPr>
            </w:pPr>
            <w:r w:rsidRPr="00B22565">
              <w:rPr>
                <w:rFonts w:asciiTheme="minorHAnsi" w:hAnsiTheme="minorHAnsi" w:cs="Calibri"/>
                <w:b/>
                <w:bCs/>
                <w:sz w:val="18"/>
              </w:rPr>
              <w:t>0.0%</w:t>
            </w:r>
          </w:p>
        </w:tc>
      </w:tr>
      <w:tr w:rsidR="00DE57B1" w:rsidRPr="00B22565" w14:paraId="668CB604" w14:textId="77777777" w:rsidTr="00DE57B1">
        <w:trPr>
          <w:trHeight w:val="252"/>
          <w:jc w:val="center"/>
        </w:trPr>
        <w:tc>
          <w:tcPr>
            <w:tcW w:w="3306" w:type="dxa"/>
            <w:shd w:val="clear" w:color="auto" w:fill="FFFFFF"/>
            <w:noWrap/>
            <w:vAlign w:val="center"/>
            <w:hideMark/>
          </w:tcPr>
          <w:p w14:paraId="76E5F4E3" w14:textId="77777777" w:rsidR="00DE57B1" w:rsidRPr="00B22565" w:rsidRDefault="00DE57B1" w:rsidP="008B44DD">
            <w:pPr>
              <w:rPr>
                <w:rFonts w:asciiTheme="minorHAnsi" w:hAnsiTheme="minorHAnsi" w:cs="Calibri"/>
                <w:b/>
                <w:bCs/>
                <w:color w:val="000000"/>
                <w:sz w:val="18"/>
              </w:rPr>
            </w:pPr>
            <w:r w:rsidRPr="00B22565">
              <w:rPr>
                <w:rFonts w:asciiTheme="minorHAnsi" w:hAnsiTheme="minorHAnsi" w:cs="Calibri"/>
                <w:b/>
                <w:bCs/>
                <w:color w:val="000000"/>
                <w:sz w:val="18"/>
              </w:rPr>
              <w:t>Eurobond</w:t>
            </w:r>
          </w:p>
        </w:tc>
        <w:tc>
          <w:tcPr>
            <w:tcW w:w="1434" w:type="dxa"/>
            <w:shd w:val="clear" w:color="auto" w:fill="FFFFFF"/>
            <w:noWrap/>
            <w:vAlign w:val="bottom"/>
            <w:hideMark/>
          </w:tcPr>
          <w:p w14:paraId="6EF0A72B" w14:textId="77777777" w:rsidR="00DE57B1" w:rsidRPr="00B22565" w:rsidRDefault="00DE57B1" w:rsidP="008B44DD">
            <w:pPr>
              <w:jc w:val="right"/>
              <w:rPr>
                <w:rFonts w:asciiTheme="minorHAnsi" w:hAnsiTheme="minorHAnsi" w:cs="Calibri"/>
                <w:b/>
                <w:bCs/>
                <w:sz w:val="18"/>
              </w:rPr>
            </w:pPr>
            <w:r w:rsidRPr="00B22565">
              <w:rPr>
                <w:rFonts w:asciiTheme="minorHAnsi" w:hAnsiTheme="minorHAnsi" w:cs="Calibri"/>
                <w:b/>
                <w:bCs/>
                <w:sz w:val="18"/>
              </w:rPr>
              <w:t>0.0</w:t>
            </w:r>
          </w:p>
        </w:tc>
        <w:tc>
          <w:tcPr>
            <w:tcW w:w="1380" w:type="dxa"/>
            <w:shd w:val="clear" w:color="auto" w:fill="FFFFFF"/>
            <w:noWrap/>
            <w:vAlign w:val="bottom"/>
            <w:hideMark/>
          </w:tcPr>
          <w:p w14:paraId="2149FC75" w14:textId="77777777" w:rsidR="00DE57B1" w:rsidRPr="00B22565" w:rsidRDefault="00DE57B1" w:rsidP="008B44DD">
            <w:pPr>
              <w:jc w:val="right"/>
              <w:rPr>
                <w:rFonts w:asciiTheme="minorHAnsi" w:hAnsiTheme="minorHAnsi" w:cs="Calibri"/>
                <w:b/>
                <w:bCs/>
                <w:sz w:val="18"/>
              </w:rPr>
            </w:pPr>
            <w:r w:rsidRPr="00B22565">
              <w:rPr>
                <w:rFonts w:asciiTheme="minorHAnsi" w:hAnsiTheme="minorHAnsi" w:cs="Calibri"/>
                <w:b/>
                <w:bCs/>
                <w:sz w:val="18"/>
              </w:rPr>
              <w:t>0.0%</w:t>
            </w:r>
          </w:p>
        </w:tc>
        <w:tc>
          <w:tcPr>
            <w:tcW w:w="1488" w:type="dxa"/>
            <w:shd w:val="clear" w:color="auto" w:fill="FFFFFF"/>
            <w:noWrap/>
            <w:vAlign w:val="bottom"/>
            <w:hideMark/>
          </w:tcPr>
          <w:p w14:paraId="2E66D445" w14:textId="77777777" w:rsidR="00DE57B1" w:rsidRPr="00B22565" w:rsidRDefault="00DE57B1" w:rsidP="008B44DD">
            <w:pPr>
              <w:jc w:val="right"/>
              <w:rPr>
                <w:rFonts w:asciiTheme="minorHAnsi" w:hAnsiTheme="minorHAnsi" w:cs="Calibri"/>
                <w:b/>
                <w:bCs/>
                <w:sz w:val="18"/>
              </w:rPr>
            </w:pPr>
            <w:r w:rsidRPr="00B22565">
              <w:rPr>
                <w:rFonts w:asciiTheme="minorHAnsi" w:hAnsiTheme="minorHAnsi" w:cs="Calibri"/>
                <w:b/>
                <w:bCs/>
                <w:sz w:val="18"/>
              </w:rPr>
              <w:t>0.0</w:t>
            </w:r>
          </w:p>
        </w:tc>
        <w:tc>
          <w:tcPr>
            <w:tcW w:w="1480" w:type="dxa"/>
            <w:shd w:val="clear" w:color="auto" w:fill="FFFFFF"/>
            <w:noWrap/>
            <w:vAlign w:val="bottom"/>
            <w:hideMark/>
          </w:tcPr>
          <w:p w14:paraId="39EA24A6" w14:textId="77777777" w:rsidR="00DE57B1" w:rsidRPr="00B22565" w:rsidRDefault="00DE57B1" w:rsidP="008B44DD">
            <w:pPr>
              <w:jc w:val="right"/>
              <w:rPr>
                <w:rFonts w:asciiTheme="minorHAnsi" w:hAnsiTheme="minorHAnsi" w:cs="Calibri"/>
                <w:b/>
                <w:bCs/>
                <w:sz w:val="18"/>
              </w:rPr>
            </w:pPr>
            <w:r w:rsidRPr="00B22565">
              <w:rPr>
                <w:rFonts w:asciiTheme="minorHAnsi" w:hAnsiTheme="minorHAnsi" w:cs="Calibri"/>
                <w:b/>
                <w:bCs/>
                <w:sz w:val="18"/>
              </w:rPr>
              <w:t>0.0%</w:t>
            </w:r>
          </w:p>
        </w:tc>
      </w:tr>
      <w:tr w:rsidR="00DE57B1" w:rsidRPr="00B22565" w14:paraId="5C30881F" w14:textId="77777777" w:rsidTr="00DE57B1">
        <w:trPr>
          <w:trHeight w:val="252"/>
          <w:jc w:val="center"/>
        </w:trPr>
        <w:tc>
          <w:tcPr>
            <w:tcW w:w="3306" w:type="dxa"/>
            <w:tcBorders>
              <w:top w:val="single" w:sz="8" w:space="0" w:color="auto"/>
              <w:left w:val="nil"/>
              <w:bottom w:val="single" w:sz="8" w:space="0" w:color="auto"/>
              <w:right w:val="nil"/>
            </w:tcBorders>
            <w:shd w:val="clear" w:color="auto" w:fill="FFFFFF"/>
            <w:noWrap/>
            <w:vAlign w:val="center"/>
            <w:hideMark/>
          </w:tcPr>
          <w:p w14:paraId="3F2F9CC2" w14:textId="77777777" w:rsidR="00DE57B1" w:rsidRPr="00B22565" w:rsidRDefault="00DE57B1" w:rsidP="008B44DD">
            <w:pPr>
              <w:rPr>
                <w:rFonts w:asciiTheme="minorHAnsi" w:hAnsiTheme="minorHAnsi" w:cs="Calibri"/>
                <w:b/>
                <w:bCs/>
                <w:color w:val="000000"/>
                <w:sz w:val="18"/>
              </w:rPr>
            </w:pPr>
            <w:r w:rsidRPr="00B22565">
              <w:rPr>
                <w:rFonts w:asciiTheme="minorHAnsi" w:hAnsiTheme="minorHAnsi" w:cs="Calibri"/>
                <w:b/>
                <w:bCs/>
                <w:color w:val="000000"/>
                <w:sz w:val="18"/>
              </w:rPr>
              <w:t>Total Huamarrja e Huaj</w:t>
            </w:r>
          </w:p>
        </w:tc>
        <w:tc>
          <w:tcPr>
            <w:tcW w:w="1434" w:type="dxa"/>
            <w:tcBorders>
              <w:top w:val="single" w:sz="8" w:space="0" w:color="auto"/>
              <w:left w:val="nil"/>
              <w:bottom w:val="single" w:sz="8" w:space="0" w:color="auto"/>
              <w:right w:val="nil"/>
            </w:tcBorders>
            <w:shd w:val="clear" w:color="auto" w:fill="FFFFFF"/>
            <w:noWrap/>
            <w:vAlign w:val="bottom"/>
            <w:hideMark/>
          </w:tcPr>
          <w:p w14:paraId="209D8822" w14:textId="77777777" w:rsidR="00DE57B1" w:rsidRPr="00B22565" w:rsidRDefault="00DE57B1" w:rsidP="008B44DD">
            <w:pPr>
              <w:jc w:val="right"/>
              <w:rPr>
                <w:rFonts w:asciiTheme="minorHAnsi" w:hAnsiTheme="minorHAnsi" w:cs="Calibri"/>
                <w:b/>
                <w:bCs/>
                <w:color w:val="000000"/>
                <w:sz w:val="18"/>
              </w:rPr>
            </w:pPr>
            <w:r w:rsidRPr="00B22565">
              <w:rPr>
                <w:rFonts w:asciiTheme="minorHAnsi" w:hAnsiTheme="minorHAnsi" w:cs="Calibri"/>
                <w:b/>
                <w:bCs/>
                <w:color w:val="000000"/>
                <w:sz w:val="18"/>
              </w:rPr>
              <w:t>8.6</w:t>
            </w:r>
          </w:p>
        </w:tc>
        <w:tc>
          <w:tcPr>
            <w:tcW w:w="1380" w:type="dxa"/>
            <w:tcBorders>
              <w:top w:val="single" w:sz="8" w:space="0" w:color="auto"/>
              <w:left w:val="nil"/>
              <w:bottom w:val="single" w:sz="8" w:space="0" w:color="auto"/>
              <w:right w:val="nil"/>
            </w:tcBorders>
            <w:shd w:val="clear" w:color="auto" w:fill="FFFFFF"/>
            <w:noWrap/>
            <w:vAlign w:val="bottom"/>
            <w:hideMark/>
          </w:tcPr>
          <w:p w14:paraId="567C4908" w14:textId="77777777" w:rsidR="00DE57B1" w:rsidRPr="00B22565" w:rsidRDefault="00DE57B1" w:rsidP="008B44DD">
            <w:pPr>
              <w:jc w:val="right"/>
              <w:rPr>
                <w:rFonts w:asciiTheme="minorHAnsi" w:hAnsiTheme="minorHAnsi" w:cs="Calibri"/>
                <w:b/>
                <w:bCs/>
                <w:color w:val="000000"/>
                <w:sz w:val="18"/>
              </w:rPr>
            </w:pPr>
            <w:r w:rsidRPr="00B22565">
              <w:rPr>
                <w:rFonts w:asciiTheme="minorHAnsi" w:hAnsiTheme="minorHAnsi" w:cs="Calibri"/>
                <w:b/>
                <w:bCs/>
                <w:color w:val="000000"/>
                <w:sz w:val="18"/>
              </w:rPr>
              <w:t>100.0%</w:t>
            </w:r>
          </w:p>
        </w:tc>
        <w:tc>
          <w:tcPr>
            <w:tcW w:w="1488" w:type="dxa"/>
            <w:tcBorders>
              <w:top w:val="single" w:sz="8" w:space="0" w:color="auto"/>
              <w:left w:val="nil"/>
              <w:bottom w:val="single" w:sz="8" w:space="0" w:color="auto"/>
              <w:right w:val="nil"/>
            </w:tcBorders>
            <w:shd w:val="clear" w:color="auto" w:fill="FFFFFF"/>
            <w:noWrap/>
            <w:vAlign w:val="bottom"/>
            <w:hideMark/>
          </w:tcPr>
          <w:p w14:paraId="790A9916" w14:textId="77777777" w:rsidR="00DE57B1" w:rsidRPr="00B22565" w:rsidRDefault="00DE57B1" w:rsidP="008B44DD">
            <w:pPr>
              <w:jc w:val="right"/>
              <w:rPr>
                <w:rFonts w:asciiTheme="minorHAnsi" w:hAnsiTheme="minorHAnsi" w:cs="Calibri"/>
                <w:b/>
                <w:bCs/>
                <w:color w:val="000000"/>
                <w:sz w:val="18"/>
              </w:rPr>
            </w:pPr>
            <w:r w:rsidRPr="00B22565">
              <w:rPr>
                <w:rFonts w:asciiTheme="minorHAnsi" w:hAnsiTheme="minorHAnsi" w:cs="Calibri"/>
                <w:b/>
                <w:bCs/>
                <w:color w:val="000000"/>
                <w:sz w:val="18"/>
              </w:rPr>
              <w:t>2.1</w:t>
            </w:r>
          </w:p>
        </w:tc>
        <w:tc>
          <w:tcPr>
            <w:tcW w:w="1480" w:type="dxa"/>
            <w:tcBorders>
              <w:top w:val="single" w:sz="8" w:space="0" w:color="auto"/>
              <w:left w:val="nil"/>
              <w:bottom w:val="single" w:sz="8" w:space="0" w:color="auto"/>
              <w:right w:val="nil"/>
            </w:tcBorders>
            <w:shd w:val="clear" w:color="auto" w:fill="FFFFFF"/>
            <w:noWrap/>
            <w:vAlign w:val="bottom"/>
            <w:hideMark/>
          </w:tcPr>
          <w:p w14:paraId="269FD163" w14:textId="77777777" w:rsidR="00DE57B1" w:rsidRPr="00B22565" w:rsidRDefault="00DE57B1" w:rsidP="008B44DD">
            <w:pPr>
              <w:jc w:val="right"/>
              <w:rPr>
                <w:rFonts w:asciiTheme="minorHAnsi" w:hAnsiTheme="minorHAnsi" w:cs="Calibri"/>
                <w:b/>
                <w:bCs/>
                <w:color w:val="000000"/>
                <w:sz w:val="18"/>
              </w:rPr>
            </w:pPr>
            <w:r w:rsidRPr="00B22565">
              <w:rPr>
                <w:rFonts w:asciiTheme="minorHAnsi" w:hAnsiTheme="minorHAnsi" w:cs="Calibri"/>
                <w:b/>
                <w:bCs/>
                <w:color w:val="000000"/>
                <w:sz w:val="18"/>
              </w:rPr>
              <w:t>100.0%</w:t>
            </w:r>
          </w:p>
        </w:tc>
      </w:tr>
    </w:tbl>
    <w:p w14:paraId="4CE30034" w14:textId="77777777" w:rsidR="00513A75" w:rsidRDefault="00DE57B1" w:rsidP="00D978A4">
      <w:pPr>
        <w:tabs>
          <w:tab w:val="left" w:pos="360"/>
        </w:tabs>
        <w:jc w:val="both"/>
        <w:rPr>
          <w:rFonts w:asciiTheme="minorHAnsi" w:hAnsiTheme="minorHAnsi"/>
          <w:i/>
          <w:sz w:val="20"/>
          <w:lang w:val="sq-AL"/>
        </w:rPr>
      </w:pPr>
      <w:r>
        <w:rPr>
          <w:rFonts w:asciiTheme="minorHAnsi" w:hAnsiTheme="minorHAnsi"/>
          <w:i/>
          <w:sz w:val="20"/>
          <w:lang w:val="sq-AL"/>
        </w:rPr>
        <w:tab/>
      </w:r>
      <w:r w:rsidR="00193978">
        <w:rPr>
          <w:rFonts w:asciiTheme="minorHAnsi" w:hAnsiTheme="minorHAnsi"/>
          <w:i/>
          <w:sz w:val="20"/>
          <w:lang w:val="sq-AL"/>
        </w:rPr>
        <w:t>Burimi: Ministria e Financave dhe Ekonomisë (2023)</w:t>
      </w:r>
    </w:p>
    <w:p w14:paraId="3B8B96CB" w14:textId="77777777" w:rsidR="00513A75" w:rsidRPr="006E68A7" w:rsidRDefault="00513A75" w:rsidP="00513A75">
      <w:pPr>
        <w:tabs>
          <w:tab w:val="left" w:pos="360"/>
        </w:tabs>
        <w:spacing w:line="276" w:lineRule="auto"/>
        <w:jc w:val="both"/>
        <w:rPr>
          <w:rFonts w:asciiTheme="minorHAnsi" w:hAnsiTheme="minorHAnsi"/>
          <w:i/>
          <w:u w:val="single"/>
          <w:lang w:val="sq-AL"/>
        </w:rPr>
      </w:pPr>
      <w:bookmarkStart w:id="86" w:name="_Toc485372198"/>
      <w:r w:rsidRPr="006E68A7">
        <w:rPr>
          <w:rFonts w:asciiTheme="minorHAnsi" w:hAnsiTheme="minorHAnsi"/>
          <w:i/>
          <w:u w:val="single"/>
          <w:lang w:val="sq-AL"/>
        </w:rPr>
        <w:lastRenderedPageBreak/>
        <w:t xml:space="preserve">Kostot </w:t>
      </w:r>
      <w:bookmarkEnd w:id="86"/>
    </w:p>
    <w:p w14:paraId="7524C3A8" w14:textId="77777777" w:rsidR="00513A75" w:rsidRPr="00EB3166" w:rsidRDefault="00DE57B1" w:rsidP="00513A75">
      <w:pPr>
        <w:tabs>
          <w:tab w:val="left" w:pos="360"/>
        </w:tabs>
        <w:spacing w:line="276" w:lineRule="auto"/>
        <w:jc w:val="both"/>
        <w:rPr>
          <w:rFonts w:asciiTheme="minorHAnsi" w:hAnsiTheme="minorHAnsi"/>
          <w:lang w:val="sq-AL"/>
        </w:rPr>
      </w:pPr>
      <w:r w:rsidRPr="008757B8">
        <w:rPr>
          <w:rFonts w:asciiTheme="minorHAnsi" w:hAnsiTheme="minorHAnsi"/>
          <w:noProof/>
        </w:rPr>
        <w:t xml:space="preserve">Krahasuar me tremujorin e parë të vitit 2022, shpenzimet për interesa vlerësohen rreth 1.02 miliard Lekë më të larta, kjo për shkak të rritjes së normave të interesit kryesisht në kategorinë e instrumenteve afatshkurtër gjatë gjysmës së dytë të vitit 2022. Gjithashtu për sa i përket treguesit të interesave të paguara kundrejt të ardhurave tatimore, pavarësisht rritjes së nivelit të të ardhurave tatimore, edhe ky tregues ka shënuar një rritje të lehtë krahsuar me </w:t>
      </w:r>
      <w:r>
        <w:rPr>
          <w:rFonts w:asciiTheme="minorHAnsi" w:hAnsiTheme="minorHAnsi"/>
          <w:noProof/>
        </w:rPr>
        <w:t xml:space="preserve">T1 </w:t>
      </w:r>
      <w:r w:rsidRPr="008757B8">
        <w:rPr>
          <w:rFonts w:asciiTheme="minorHAnsi" w:hAnsiTheme="minorHAnsi"/>
          <w:noProof/>
        </w:rPr>
        <w:t>2022</w:t>
      </w:r>
      <w:r w:rsidR="00182421">
        <w:rPr>
          <w:rFonts w:asciiTheme="minorHAnsi" w:hAnsiTheme="minorHAnsi"/>
          <w:noProof/>
        </w:rPr>
        <w:t>.</w:t>
      </w:r>
    </w:p>
    <w:p w14:paraId="1E730309" w14:textId="77777777" w:rsidR="00513A75" w:rsidRPr="00796E6A" w:rsidRDefault="00513A75" w:rsidP="00513A75">
      <w:pPr>
        <w:tabs>
          <w:tab w:val="left" w:pos="360"/>
        </w:tabs>
        <w:spacing w:line="276" w:lineRule="auto"/>
        <w:jc w:val="both"/>
        <w:rPr>
          <w:rFonts w:asciiTheme="minorHAnsi" w:hAnsiTheme="minorHAnsi"/>
          <w:i/>
          <w:noProof/>
          <w:sz w:val="8"/>
        </w:rPr>
      </w:pPr>
    </w:p>
    <w:p w14:paraId="3D48459D" w14:textId="78A63175" w:rsidR="00513A75" w:rsidRPr="00FC19C8" w:rsidRDefault="00513A75" w:rsidP="00513A75">
      <w:pPr>
        <w:tabs>
          <w:tab w:val="left" w:pos="360"/>
        </w:tabs>
        <w:spacing w:line="276" w:lineRule="auto"/>
        <w:jc w:val="both"/>
        <w:rPr>
          <w:rFonts w:asciiTheme="minorHAnsi" w:hAnsiTheme="minorHAnsi"/>
          <w:i/>
          <w:noProof/>
          <w:sz w:val="22"/>
          <w:szCs w:val="22"/>
        </w:rPr>
      </w:pPr>
      <w:bookmarkStart w:id="87" w:name="_Toc107498131"/>
      <w:r w:rsidRPr="00FC19C8">
        <w:rPr>
          <w:rFonts w:asciiTheme="minorHAnsi" w:hAnsiTheme="minorHAnsi"/>
          <w:i/>
          <w:noProof/>
          <w:sz w:val="22"/>
          <w:szCs w:val="22"/>
        </w:rPr>
        <w:t xml:space="preserve">Grafiku </w:t>
      </w:r>
      <w:r w:rsidRPr="00FC19C8">
        <w:rPr>
          <w:rFonts w:asciiTheme="minorHAnsi" w:hAnsiTheme="minorHAnsi"/>
          <w:i/>
          <w:noProof/>
          <w:sz w:val="22"/>
          <w:szCs w:val="22"/>
        </w:rPr>
        <w:fldChar w:fldCharType="begin"/>
      </w:r>
      <w:r w:rsidRPr="00FC19C8">
        <w:rPr>
          <w:rFonts w:asciiTheme="minorHAnsi" w:hAnsiTheme="minorHAnsi"/>
          <w:i/>
          <w:noProof/>
          <w:sz w:val="22"/>
          <w:szCs w:val="22"/>
        </w:rPr>
        <w:instrText xml:space="preserve"> SEQ Grafiku \* ARABIC </w:instrText>
      </w:r>
      <w:r w:rsidRPr="00FC19C8">
        <w:rPr>
          <w:rFonts w:asciiTheme="minorHAnsi" w:hAnsiTheme="minorHAnsi"/>
          <w:i/>
          <w:noProof/>
          <w:sz w:val="22"/>
          <w:szCs w:val="22"/>
        </w:rPr>
        <w:fldChar w:fldCharType="separate"/>
      </w:r>
      <w:r w:rsidR="00C153A9">
        <w:rPr>
          <w:rFonts w:asciiTheme="minorHAnsi" w:hAnsiTheme="minorHAnsi"/>
          <w:i/>
          <w:noProof/>
          <w:sz w:val="22"/>
          <w:szCs w:val="22"/>
        </w:rPr>
        <w:t>39</w:t>
      </w:r>
      <w:r w:rsidRPr="00FC19C8">
        <w:rPr>
          <w:rFonts w:asciiTheme="minorHAnsi" w:hAnsiTheme="minorHAnsi"/>
          <w:i/>
          <w:noProof/>
          <w:sz w:val="22"/>
          <w:szCs w:val="22"/>
        </w:rPr>
        <w:fldChar w:fldCharType="end"/>
      </w:r>
      <w:r w:rsidRPr="00FC19C8">
        <w:rPr>
          <w:rFonts w:asciiTheme="minorHAnsi" w:hAnsiTheme="minorHAnsi"/>
          <w:i/>
          <w:noProof/>
          <w:sz w:val="22"/>
          <w:szCs w:val="22"/>
        </w:rPr>
        <w:t xml:space="preserve">: </w:t>
      </w:r>
      <w:r w:rsidR="00FC19C8" w:rsidRPr="00FC19C8">
        <w:rPr>
          <w:rFonts w:asciiTheme="minorHAnsi" w:hAnsiTheme="minorHAnsi"/>
          <w:i/>
          <w:noProof/>
          <w:sz w:val="22"/>
          <w:szCs w:val="22"/>
        </w:rPr>
        <w:t>Shpenzimet p</w:t>
      </w:r>
      <w:r w:rsidR="009647C4">
        <w:rPr>
          <w:rFonts w:asciiTheme="minorHAnsi" w:hAnsiTheme="minorHAnsi"/>
          <w:i/>
          <w:noProof/>
          <w:sz w:val="22"/>
          <w:szCs w:val="22"/>
        </w:rPr>
        <w:t>ë</w:t>
      </w:r>
      <w:r w:rsidR="00FC19C8" w:rsidRPr="00FC19C8">
        <w:rPr>
          <w:rFonts w:asciiTheme="minorHAnsi" w:hAnsiTheme="minorHAnsi"/>
          <w:i/>
          <w:noProof/>
          <w:sz w:val="22"/>
          <w:szCs w:val="22"/>
        </w:rPr>
        <w:t>r i</w:t>
      </w:r>
      <w:r w:rsidRPr="00FC19C8">
        <w:rPr>
          <w:rFonts w:asciiTheme="minorHAnsi" w:hAnsiTheme="minorHAnsi"/>
          <w:i/>
          <w:noProof/>
          <w:sz w:val="22"/>
          <w:szCs w:val="22"/>
        </w:rPr>
        <w:t xml:space="preserve">nteresa </w:t>
      </w:r>
      <w:r w:rsidR="00FC19C8" w:rsidRPr="00FC19C8">
        <w:rPr>
          <w:rFonts w:asciiTheme="minorHAnsi" w:hAnsiTheme="minorHAnsi"/>
          <w:i/>
          <w:noProof/>
          <w:sz w:val="22"/>
          <w:szCs w:val="22"/>
        </w:rPr>
        <w:t>t</w:t>
      </w:r>
      <w:r w:rsidR="009647C4">
        <w:rPr>
          <w:rFonts w:asciiTheme="minorHAnsi" w:hAnsiTheme="minorHAnsi"/>
          <w:i/>
          <w:noProof/>
          <w:sz w:val="22"/>
          <w:szCs w:val="22"/>
        </w:rPr>
        <w:t>ë</w:t>
      </w:r>
      <w:r w:rsidRPr="00FC19C8">
        <w:rPr>
          <w:rFonts w:asciiTheme="minorHAnsi" w:hAnsiTheme="minorHAnsi"/>
          <w:i/>
          <w:noProof/>
          <w:sz w:val="22"/>
          <w:szCs w:val="22"/>
        </w:rPr>
        <w:t xml:space="preserve"> borxhit shtetëror (TM</w:t>
      </w:r>
      <w:r w:rsidR="00FC19C8" w:rsidRPr="00FC19C8">
        <w:rPr>
          <w:rFonts w:asciiTheme="minorHAnsi" w:hAnsiTheme="minorHAnsi"/>
          <w:i/>
          <w:noProof/>
          <w:sz w:val="22"/>
          <w:szCs w:val="22"/>
        </w:rPr>
        <w:t>1</w:t>
      </w:r>
      <w:r w:rsidRPr="00FC19C8">
        <w:rPr>
          <w:rFonts w:asciiTheme="minorHAnsi" w:hAnsiTheme="minorHAnsi"/>
          <w:i/>
          <w:noProof/>
          <w:sz w:val="22"/>
          <w:szCs w:val="22"/>
        </w:rPr>
        <w:t xml:space="preserve"> 201</w:t>
      </w:r>
      <w:r w:rsidR="00DE57B1">
        <w:rPr>
          <w:rFonts w:asciiTheme="minorHAnsi" w:hAnsiTheme="minorHAnsi"/>
          <w:i/>
          <w:noProof/>
          <w:sz w:val="22"/>
          <w:szCs w:val="22"/>
        </w:rPr>
        <w:t>8</w:t>
      </w:r>
      <w:r w:rsidRPr="00FC19C8">
        <w:rPr>
          <w:rFonts w:asciiTheme="minorHAnsi" w:hAnsiTheme="minorHAnsi"/>
          <w:i/>
          <w:noProof/>
          <w:sz w:val="22"/>
          <w:szCs w:val="22"/>
        </w:rPr>
        <w:t>-TM</w:t>
      </w:r>
      <w:r w:rsidR="00FC19C8" w:rsidRPr="00FC19C8">
        <w:rPr>
          <w:rFonts w:asciiTheme="minorHAnsi" w:hAnsiTheme="minorHAnsi"/>
          <w:i/>
          <w:noProof/>
          <w:sz w:val="22"/>
          <w:szCs w:val="22"/>
        </w:rPr>
        <w:t>1</w:t>
      </w:r>
      <w:r w:rsidRPr="00FC19C8">
        <w:rPr>
          <w:rFonts w:asciiTheme="minorHAnsi" w:hAnsiTheme="minorHAnsi"/>
          <w:i/>
          <w:noProof/>
          <w:sz w:val="22"/>
          <w:szCs w:val="22"/>
        </w:rPr>
        <w:t xml:space="preserve"> 202</w:t>
      </w:r>
      <w:r w:rsidR="00DE57B1">
        <w:rPr>
          <w:rFonts w:asciiTheme="minorHAnsi" w:hAnsiTheme="minorHAnsi"/>
          <w:i/>
          <w:noProof/>
          <w:sz w:val="22"/>
          <w:szCs w:val="22"/>
        </w:rPr>
        <w:t>3</w:t>
      </w:r>
      <w:r w:rsidRPr="00FC19C8">
        <w:rPr>
          <w:rFonts w:asciiTheme="minorHAnsi" w:hAnsiTheme="minorHAnsi"/>
          <w:i/>
          <w:noProof/>
          <w:sz w:val="22"/>
          <w:szCs w:val="22"/>
        </w:rPr>
        <w:t>)</w:t>
      </w:r>
      <w:bookmarkEnd w:id="87"/>
      <w:r w:rsidRPr="00FC19C8">
        <w:rPr>
          <w:rFonts w:asciiTheme="minorHAnsi" w:hAnsiTheme="minorHAnsi"/>
          <w:i/>
          <w:noProof/>
          <w:sz w:val="22"/>
          <w:szCs w:val="22"/>
        </w:rPr>
        <w:t xml:space="preserve">   </w:t>
      </w:r>
    </w:p>
    <w:p w14:paraId="18A36D9B" w14:textId="77777777" w:rsidR="00513A75" w:rsidRPr="00796E6A" w:rsidRDefault="00DE57B1" w:rsidP="00182421">
      <w:pPr>
        <w:tabs>
          <w:tab w:val="left" w:pos="360"/>
        </w:tabs>
        <w:spacing w:line="276" w:lineRule="auto"/>
        <w:jc w:val="center"/>
        <w:rPr>
          <w:rFonts w:asciiTheme="minorHAnsi" w:hAnsiTheme="minorHAnsi"/>
          <w:i/>
          <w:noProof/>
          <w:sz w:val="22"/>
        </w:rPr>
      </w:pPr>
      <w:r w:rsidRPr="008757B8">
        <w:rPr>
          <w:rFonts w:asciiTheme="minorHAnsi" w:hAnsiTheme="minorHAnsi"/>
          <w:noProof/>
        </w:rPr>
        <w:drawing>
          <wp:inline distT="0" distB="0" distL="0" distR="0" wp14:anchorId="6D10D1EF" wp14:editId="3952BD34">
            <wp:extent cx="5829300" cy="1971675"/>
            <wp:effectExtent l="0" t="0" r="0" b="9525"/>
            <wp:docPr id="51" name="Chart 51">
              <a:extLst xmlns:a="http://schemas.openxmlformats.org/drawingml/2006/main">
                <a:ext uri="{FF2B5EF4-FFF2-40B4-BE49-F238E27FC236}">
                  <a16:creationId xmlns:a16="http://schemas.microsoft.com/office/drawing/2014/main" id="{00000000-0008-0000-1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0B0976B" w14:textId="77777777" w:rsidR="00513A75" w:rsidRPr="00CD06A3" w:rsidRDefault="00513A75" w:rsidP="00DE57B1">
      <w:pPr>
        <w:tabs>
          <w:tab w:val="left" w:pos="360"/>
        </w:tabs>
        <w:spacing w:line="276" w:lineRule="auto"/>
        <w:jc w:val="both"/>
        <w:rPr>
          <w:rFonts w:asciiTheme="minorHAnsi" w:hAnsiTheme="minorHAnsi"/>
          <w:i/>
          <w:sz w:val="20"/>
          <w:lang w:val="sq-AL"/>
        </w:rPr>
      </w:pPr>
      <w:r>
        <w:rPr>
          <w:rFonts w:asciiTheme="minorHAnsi" w:hAnsiTheme="minorHAnsi"/>
          <w:i/>
          <w:sz w:val="20"/>
          <w:lang w:val="sq-AL"/>
        </w:rPr>
        <w:tab/>
      </w:r>
      <w:r w:rsidR="00193978">
        <w:rPr>
          <w:rFonts w:asciiTheme="minorHAnsi" w:hAnsiTheme="minorHAnsi"/>
          <w:i/>
          <w:sz w:val="20"/>
          <w:lang w:val="sq-AL"/>
        </w:rPr>
        <w:t>Burimi: Ministria e Financave dhe Ekonomisë (2023)</w:t>
      </w:r>
    </w:p>
    <w:p w14:paraId="21ADC1FC" w14:textId="77777777" w:rsidR="00513A75" w:rsidRDefault="00DE57B1" w:rsidP="00513A75">
      <w:pPr>
        <w:tabs>
          <w:tab w:val="left" w:pos="360"/>
        </w:tabs>
        <w:spacing w:line="276" w:lineRule="auto"/>
        <w:jc w:val="both"/>
        <w:rPr>
          <w:rFonts w:asciiTheme="minorHAnsi" w:hAnsiTheme="minorHAnsi"/>
          <w:lang w:val="sq-AL"/>
        </w:rPr>
      </w:pPr>
      <w:bookmarkStart w:id="88" w:name="_Toc497222543"/>
      <w:r w:rsidRPr="008757B8">
        <w:rPr>
          <w:rFonts w:asciiTheme="minorHAnsi" w:hAnsiTheme="minorHAnsi"/>
        </w:rPr>
        <w:t>Kosto mesatare e borxhit të brendshëm shtetëror është rritur nga 4.05% në fundin e vitit 2022 në 4.43% në mars 2023</w:t>
      </w:r>
      <w:r w:rsidR="00513A75">
        <w:rPr>
          <w:rFonts w:asciiTheme="minorHAnsi" w:hAnsiTheme="minorHAnsi"/>
          <w:lang w:val="sq-AL"/>
        </w:rPr>
        <w:t>.</w:t>
      </w:r>
    </w:p>
    <w:p w14:paraId="21F7996B" w14:textId="77777777" w:rsidR="00513A75" w:rsidRPr="00796E6A" w:rsidRDefault="00513A75" w:rsidP="00513A75">
      <w:pPr>
        <w:tabs>
          <w:tab w:val="left" w:pos="360"/>
        </w:tabs>
        <w:spacing w:line="276" w:lineRule="auto"/>
        <w:jc w:val="both"/>
        <w:rPr>
          <w:rFonts w:asciiTheme="minorHAnsi" w:hAnsiTheme="minorHAnsi"/>
          <w:i/>
          <w:noProof/>
          <w:sz w:val="8"/>
          <w:szCs w:val="22"/>
        </w:rPr>
      </w:pPr>
    </w:p>
    <w:p w14:paraId="32C5728B" w14:textId="1B6E6353" w:rsidR="00513A75" w:rsidRDefault="00513A75" w:rsidP="00513A75">
      <w:pPr>
        <w:tabs>
          <w:tab w:val="left" w:pos="360"/>
        </w:tabs>
        <w:spacing w:line="276" w:lineRule="auto"/>
        <w:jc w:val="both"/>
        <w:rPr>
          <w:rFonts w:asciiTheme="minorHAnsi" w:hAnsiTheme="minorHAnsi"/>
          <w:i/>
          <w:noProof/>
          <w:sz w:val="22"/>
          <w:szCs w:val="22"/>
        </w:rPr>
      </w:pPr>
      <w:bookmarkStart w:id="89" w:name="_Toc107498132"/>
      <w:r w:rsidRPr="00796E6A">
        <w:rPr>
          <w:rFonts w:asciiTheme="minorHAnsi" w:hAnsiTheme="minorHAnsi"/>
          <w:i/>
          <w:noProof/>
          <w:sz w:val="22"/>
          <w:szCs w:val="22"/>
        </w:rPr>
        <w:t xml:space="preserve">Grafiku </w:t>
      </w:r>
      <w:r w:rsidRPr="00796E6A">
        <w:rPr>
          <w:rFonts w:asciiTheme="minorHAnsi" w:hAnsiTheme="minorHAnsi"/>
          <w:i/>
          <w:noProof/>
          <w:sz w:val="22"/>
          <w:szCs w:val="22"/>
        </w:rPr>
        <w:fldChar w:fldCharType="begin"/>
      </w:r>
      <w:r w:rsidRPr="00796E6A">
        <w:rPr>
          <w:rFonts w:asciiTheme="minorHAnsi" w:hAnsiTheme="minorHAnsi"/>
          <w:i/>
          <w:noProof/>
          <w:sz w:val="22"/>
          <w:szCs w:val="22"/>
        </w:rPr>
        <w:instrText xml:space="preserve"> SEQ Grafiku \* ARABIC </w:instrText>
      </w:r>
      <w:r w:rsidRPr="00796E6A">
        <w:rPr>
          <w:rFonts w:asciiTheme="minorHAnsi" w:hAnsiTheme="minorHAnsi"/>
          <w:i/>
          <w:noProof/>
          <w:sz w:val="22"/>
          <w:szCs w:val="22"/>
        </w:rPr>
        <w:fldChar w:fldCharType="separate"/>
      </w:r>
      <w:r w:rsidR="00C153A9">
        <w:rPr>
          <w:rFonts w:asciiTheme="minorHAnsi" w:hAnsiTheme="minorHAnsi"/>
          <w:i/>
          <w:noProof/>
          <w:sz w:val="22"/>
          <w:szCs w:val="22"/>
        </w:rPr>
        <w:t>40</w:t>
      </w:r>
      <w:r w:rsidRPr="00796E6A">
        <w:rPr>
          <w:rFonts w:asciiTheme="minorHAnsi" w:hAnsiTheme="minorHAnsi"/>
          <w:i/>
          <w:noProof/>
          <w:sz w:val="22"/>
          <w:szCs w:val="22"/>
        </w:rPr>
        <w:fldChar w:fldCharType="end"/>
      </w:r>
      <w:r w:rsidRPr="00796E6A">
        <w:rPr>
          <w:rFonts w:asciiTheme="minorHAnsi" w:hAnsiTheme="minorHAnsi"/>
          <w:i/>
          <w:noProof/>
          <w:sz w:val="22"/>
          <w:szCs w:val="22"/>
        </w:rPr>
        <w:t>: Jetëgjatësia&amp;kosto mesatare e portofolit të borxhit të brendshëm shtetëror (201</w:t>
      </w:r>
      <w:r w:rsidR="00DE57B1">
        <w:rPr>
          <w:rFonts w:asciiTheme="minorHAnsi" w:hAnsiTheme="minorHAnsi"/>
          <w:i/>
          <w:noProof/>
          <w:sz w:val="22"/>
          <w:szCs w:val="22"/>
        </w:rPr>
        <w:t>8</w:t>
      </w:r>
      <w:r w:rsidRPr="00796E6A">
        <w:rPr>
          <w:rFonts w:asciiTheme="minorHAnsi" w:hAnsiTheme="minorHAnsi"/>
          <w:i/>
          <w:noProof/>
          <w:sz w:val="22"/>
          <w:szCs w:val="22"/>
        </w:rPr>
        <w:t>-Mars 202</w:t>
      </w:r>
      <w:r w:rsidR="00DE57B1">
        <w:rPr>
          <w:rFonts w:asciiTheme="minorHAnsi" w:hAnsiTheme="minorHAnsi"/>
          <w:i/>
          <w:noProof/>
          <w:sz w:val="22"/>
          <w:szCs w:val="22"/>
        </w:rPr>
        <w:t>3</w:t>
      </w:r>
      <w:r w:rsidRPr="00796E6A">
        <w:rPr>
          <w:rFonts w:asciiTheme="minorHAnsi" w:hAnsiTheme="minorHAnsi"/>
          <w:i/>
          <w:noProof/>
          <w:sz w:val="22"/>
          <w:szCs w:val="22"/>
        </w:rPr>
        <w:t>)</w:t>
      </w:r>
      <w:bookmarkEnd w:id="89"/>
    </w:p>
    <w:p w14:paraId="5BC7FBB6" w14:textId="77777777" w:rsidR="00513A75" w:rsidRPr="00796E6A" w:rsidRDefault="00DE57B1" w:rsidP="005625A1">
      <w:pPr>
        <w:tabs>
          <w:tab w:val="left" w:pos="360"/>
        </w:tabs>
        <w:spacing w:line="276" w:lineRule="auto"/>
        <w:jc w:val="center"/>
        <w:rPr>
          <w:rFonts w:asciiTheme="minorHAnsi" w:hAnsiTheme="minorHAnsi"/>
          <w:i/>
          <w:noProof/>
          <w:sz w:val="22"/>
          <w:szCs w:val="22"/>
        </w:rPr>
      </w:pPr>
      <w:r w:rsidRPr="008757B8">
        <w:rPr>
          <w:rFonts w:asciiTheme="minorHAnsi" w:hAnsiTheme="minorHAnsi"/>
          <w:noProof/>
        </w:rPr>
        <w:drawing>
          <wp:inline distT="0" distB="0" distL="0" distR="0" wp14:anchorId="363145A3" wp14:editId="1B495E93">
            <wp:extent cx="5977890" cy="1708030"/>
            <wp:effectExtent l="0" t="0" r="3810" b="6985"/>
            <wp:docPr id="52" name="Chart 52">
              <a:extLst xmlns:a="http://schemas.openxmlformats.org/drawingml/2006/main">
                <a:ext uri="{FF2B5EF4-FFF2-40B4-BE49-F238E27FC236}">
                  <a16:creationId xmlns:a16="http://schemas.microsoft.com/office/drawing/2014/main" id="{00000000-0008-0000-1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22105E52" w14:textId="77777777" w:rsidR="00513A75" w:rsidRPr="00CD06A3" w:rsidRDefault="00513A75" w:rsidP="00513A75">
      <w:pPr>
        <w:tabs>
          <w:tab w:val="left" w:pos="360"/>
        </w:tabs>
        <w:spacing w:after="240" w:line="276" w:lineRule="auto"/>
        <w:jc w:val="both"/>
        <w:rPr>
          <w:rFonts w:asciiTheme="minorHAnsi" w:hAnsiTheme="minorHAnsi"/>
          <w:i/>
          <w:sz w:val="20"/>
          <w:lang w:val="sq-AL"/>
        </w:rPr>
      </w:pPr>
      <w:r>
        <w:rPr>
          <w:rFonts w:asciiTheme="minorHAnsi" w:hAnsiTheme="minorHAnsi"/>
          <w:i/>
          <w:sz w:val="20"/>
          <w:lang w:val="sq-AL"/>
        </w:rPr>
        <w:tab/>
      </w:r>
      <w:r w:rsidR="00193978">
        <w:rPr>
          <w:rFonts w:asciiTheme="minorHAnsi" w:hAnsiTheme="minorHAnsi"/>
          <w:i/>
          <w:sz w:val="20"/>
          <w:lang w:val="sq-AL"/>
        </w:rPr>
        <w:t>Burimi: Ministria e Financave dhe Ekonomisë (2023)</w:t>
      </w:r>
    </w:p>
    <w:p w14:paraId="68FF2429" w14:textId="03A6138A" w:rsidR="00513A75" w:rsidRPr="006E68A7" w:rsidRDefault="00513A75" w:rsidP="004B6BA3">
      <w:pPr>
        <w:tabs>
          <w:tab w:val="left" w:pos="360"/>
        </w:tabs>
        <w:spacing w:line="276" w:lineRule="auto"/>
        <w:jc w:val="both"/>
        <w:rPr>
          <w:rFonts w:asciiTheme="minorHAnsi" w:hAnsiTheme="minorHAnsi"/>
          <w:i/>
          <w:u w:val="single"/>
          <w:lang w:val="sq-AL"/>
        </w:rPr>
      </w:pPr>
      <w:r w:rsidRPr="006E68A7">
        <w:rPr>
          <w:rFonts w:asciiTheme="minorHAnsi" w:hAnsiTheme="minorHAnsi"/>
          <w:i/>
          <w:u w:val="single"/>
          <w:lang w:val="sq-AL"/>
        </w:rPr>
        <w:t>Risqet</w:t>
      </w:r>
      <w:bookmarkEnd w:id="88"/>
    </w:p>
    <w:p w14:paraId="1F1B37D3" w14:textId="77777777" w:rsidR="00513A75" w:rsidRDefault="00DE57B1" w:rsidP="00513A75">
      <w:pPr>
        <w:tabs>
          <w:tab w:val="left" w:pos="360"/>
        </w:tabs>
        <w:spacing w:line="276" w:lineRule="auto"/>
        <w:jc w:val="both"/>
        <w:rPr>
          <w:rFonts w:asciiTheme="minorHAnsi" w:hAnsiTheme="minorHAnsi"/>
          <w:lang w:val="sq-AL"/>
        </w:rPr>
      </w:pPr>
      <w:r w:rsidRPr="008757B8">
        <w:rPr>
          <w:rFonts w:asciiTheme="minorHAnsi" w:hAnsiTheme="minorHAnsi"/>
          <w:color w:val="000000"/>
        </w:rPr>
        <w:t>Strategjia Afatmesme e Menaxhimit të Borxhit synon të përmirësojë më tej strukturën e borxhit (</w:t>
      </w:r>
      <w:r w:rsidRPr="008757B8">
        <w:rPr>
          <w:rFonts w:asciiTheme="minorHAnsi" w:hAnsiTheme="minorHAnsi"/>
          <w:i/>
          <w:color w:val="000000"/>
        </w:rPr>
        <w:t>kryesisht strukturën e portofolit të borxhit të brendshëm</w:t>
      </w:r>
      <w:r w:rsidRPr="008757B8">
        <w:rPr>
          <w:rFonts w:asciiTheme="minorHAnsi" w:hAnsiTheme="minorHAnsi"/>
          <w:color w:val="000000"/>
        </w:rPr>
        <w:t xml:space="preserve">), në drejtim të uljes së ekspozimit ndaj risqeve, si dhe mbajtjes së kostos në nivelet më të ulëta të mundshme. </w:t>
      </w:r>
      <w:r w:rsidRPr="008757B8">
        <w:rPr>
          <w:rFonts w:asciiTheme="minorHAnsi" w:hAnsiTheme="minorHAnsi"/>
        </w:rPr>
        <w:t>Gjatë periudhës janar-mars 2023, menaxhimi i risqeve të portofolit të borxhit shtetëror nuk ka mundur të evoluojë plotësisht në drejtim të objektivave strategjikë afatmesëm. Jetëgjatësia e borxhit është rritur me 28 ditë duke prekur nivelin e 808 ditëve në fund të muajit mars 2023 krahasuar me 780 ditë në muajin dhjetor 2022. Ndërkohë, pesha e borxhit që maturohet brenda një viti është rritur krahasuar me fundin e vitit 2022, përkatësisht nga 47.9% në dhjetor 2022 në 51.9% në mars 2023, për shkak të vlerës së lartë (rreth 42 mld Lekë) të titujve referencë 3 dhe 5 vjecare që do maturohen në tremujorin e parë të vitit 2024. Për sa i përket riskut të normave të interesit, është rritur koha mesatare në rifiksim nga 2.17 vite në dhjetor 2022 në 2.25 vite në muajin mars 2023</w:t>
      </w:r>
      <w:r w:rsidR="00513A75">
        <w:rPr>
          <w:rFonts w:asciiTheme="minorHAnsi" w:hAnsiTheme="minorHAnsi"/>
          <w:lang w:val="sq-AL"/>
        </w:rPr>
        <w:t xml:space="preserve">. </w:t>
      </w:r>
    </w:p>
    <w:p w14:paraId="723967F3" w14:textId="77777777" w:rsidR="00DE57B1" w:rsidRPr="0064168E" w:rsidRDefault="00DE57B1" w:rsidP="00513A75">
      <w:pPr>
        <w:tabs>
          <w:tab w:val="left" w:pos="360"/>
        </w:tabs>
        <w:spacing w:line="276" w:lineRule="auto"/>
        <w:jc w:val="both"/>
        <w:rPr>
          <w:rFonts w:asciiTheme="minorHAnsi" w:hAnsiTheme="minorHAnsi"/>
          <w:i/>
          <w:lang w:val="sq-AL"/>
        </w:rPr>
      </w:pPr>
    </w:p>
    <w:p w14:paraId="1F55CE5D" w14:textId="68849DFF" w:rsidR="00513A75" w:rsidRDefault="00513A75" w:rsidP="00F80A28">
      <w:pPr>
        <w:pStyle w:val="Caption"/>
        <w:spacing w:after="0"/>
        <w:rPr>
          <w:rFonts w:asciiTheme="minorHAnsi" w:hAnsiTheme="minorHAnsi"/>
          <w:b w:val="0"/>
          <w:lang w:val="sq-AL"/>
        </w:rPr>
      </w:pPr>
      <w:bookmarkStart w:id="90" w:name="_Toc107496749"/>
      <w:r w:rsidRPr="004B6BA3">
        <w:rPr>
          <w:rFonts w:asciiTheme="minorHAnsi" w:hAnsiTheme="minorHAnsi"/>
          <w:b w:val="0"/>
          <w:bCs w:val="0"/>
          <w:i/>
          <w:noProof/>
          <w:color w:val="auto"/>
          <w:sz w:val="22"/>
          <w:szCs w:val="24"/>
        </w:rPr>
        <w:lastRenderedPageBreak/>
        <w:t xml:space="preserve">Tabela </w:t>
      </w:r>
      <w:r w:rsidRPr="004B6BA3">
        <w:rPr>
          <w:rFonts w:asciiTheme="minorHAnsi" w:hAnsiTheme="minorHAnsi"/>
          <w:b w:val="0"/>
          <w:bCs w:val="0"/>
          <w:i/>
          <w:noProof/>
          <w:color w:val="auto"/>
          <w:sz w:val="22"/>
          <w:szCs w:val="24"/>
        </w:rPr>
        <w:fldChar w:fldCharType="begin"/>
      </w:r>
      <w:r w:rsidRPr="004B6BA3">
        <w:rPr>
          <w:rFonts w:asciiTheme="minorHAnsi" w:hAnsiTheme="minorHAnsi"/>
          <w:b w:val="0"/>
          <w:bCs w:val="0"/>
          <w:i/>
          <w:noProof/>
          <w:color w:val="auto"/>
          <w:sz w:val="22"/>
          <w:szCs w:val="24"/>
        </w:rPr>
        <w:instrText xml:space="preserve"> SEQ Tabela \* ARABIC </w:instrText>
      </w:r>
      <w:r w:rsidRPr="004B6BA3">
        <w:rPr>
          <w:rFonts w:asciiTheme="minorHAnsi" w:hAnsiTheme="minorHAnsi"/>
          <w:b w:val="0"/>
          <w:bCs w:val="0"/>
          <w:i/>
          <w:noProof/>
          <w:color w:val="auto"/>
          <w:sz w:val="22"/>
          <w:szCs w:val="24"/>
        </w:rPr>
        <w:fldChar w:fldCharType="separate"/>
      </w:r>
      <w:r w:rsidR="00C153A9">
        <w:rPr>
          <w:rFonts w:asciiTheme="minorHAnsi" w:hAnsiTheme="minorHAnsi"/>
          <w:b w:val="0"/>
          <w:bCs w:val="0"/>
          <w:i/>
          <w:noProof/>
          <w:color w:val="auto"/>
          <w:sz w:val="22"/>
          <w:szCs w:val="24"/>
        </w:rPr>
        <w:t>13</w:t>
      </w:r>
      <w:r w:rsidRPr="004B6BA3">
        <w:rPr>
          <w:rFonts w:asciiTheme="minorHAnsi" w:hAnsiTheme="minorHAnsi"/>
          <w:b w:val="0"/>
          <w:bCs w:val="0"/>
          <w:i/>
          <w:noProof/>
          <w:color w:val="auto"/>
          <w:sz w:val="22"/>
          <w:szCs w:val="24"/>
        </w:rPr>
        <w:fldChar w:fldCharType="end"/>
      </w:r>
      <w:r w:rsidRPr="004B6BA3">
        <w:rPr>
          <w:rFonts w:asciiTheme="minorHAnsi" w:hAnsiTheme="minorHAnsi"/>
          <w:b w:val="0"/>
          <w:bCs w:val="0"/>
          <w:i/>
          <w:noProof/>
          <w:color w:val="auto"/>
          <w:sz w:val="22"/>
          <w:szCs w:val="24"/>
        </w:rPr>
        <w:t>: Treguesit e riskut të borxhit të brendshëm shtetëror (20</w:t>
      </w:r>
      <w:r w:rsidR="00F80A28">
        <w:rPr>
          <w:rFonts w:asciiTheme="minorHAnsi" w:hAnsiTheme="minorHAnsi"/>
          <w:b w:val="0"/>
          <w:bCs w:val="0"/>
          <w:i/>
          <w:noProof/>
          <w:color w:val="auto"/>
          <w:sz w:val="22"/>
          <w:szCs w:val="24"/>
        </w:rPr>
        <w:t>2</w:t>
      </w:r>
      <w:r w:rsidR="00DE57B1">
        <w:rPr>
          <w:rFonts w:asciiTheme="minorHAnsi" w:hAnsiTheme="minorHAnsi"/>
          <w:b w:val="0"/>
          <w:bCs w:val="0"/>
          <w:i/>
          <w:noProof/>
          <w:color w:val="auto"/>
          <w:sz w:val="22"/>
          <w:szCs w:val="24"/>
        </w:rPr>
        <w:t>2</w:t>
      </w:r>
      <w:r w:rsidRPr="004B6BA3">
        <w:rPr>
          <w:rFonts w:asciiTheme="minorHAnsi" w:hAnsiTheme="minorHAnsi"/>
          <w:b w:val="0"/>
          <w:bCs w:val="0"/>
          <w:i/>
          <w:noProof/>
          <w:color w:val="auto"/>
          <w:sz w:val="22"/>
          <w:szCs w:val="24"/>
        </w:rPr>
        <w:t>–Mars 202</w:t>
      </w:r>
      <w:r w:rsidR="00DE57B1">
        <w:rPr>
          <w:rFonts w:asciiTheme="minorHAnsi" w:hAnsiTheme="minorHAnsi"/>
          <w:b w:val="0"/>
          <w:bCs w:val="0"/>
          <w:i/>
          <w:noProof/>
          <w:color w:val="auto"/>
          <w:sz w:val="22"/>
          <w:szCs w:val="24"/>
        </w:rPr>
        <w:t>3</w:t>
      </w:r>
      <w:r w:rsidRPr="004B6BA3">
        <w:rPr>
          <w:rFonts w:asciiTheme="minorHAnsi" w:hAnsiTheme="minorHAnsi"/>
          <w:b w:val="0"/>
          <w:bCs w:val="0"/>
          <w:i/>
          <w:noProof/>
          <w:color w:val="auto"/>
          <w:sz w:val="22"/>
          <w:szCs w:val="24"/>
        </w:rPr>
        <w:t>)</w:t>
      </w:r>
      <w:bookmarkEnd w:id="90"/>
      <w:r w:rsidRPr="00EB0002">
        <w:rPr>
          <w:rFonts w:asciiTheme="minorHAnsi" w:hAnsiTheme="minorHAnsi"/>
          <w:b w:val="0"/>
          <w:lang w:val="sq-AL"/>
        </w:rPr>
        <w:t xml:space="preserve"> </w:t>
      </w:r>
    </w:p>
    <w:tbl>
      <w:tblPr>
        <w:tblW w:w="9072" w:type="dxa"/>
        <w:jc w:val="center"/>
        <w:tblLook w:val="04A0" w:firstRow="1" w:lastRow="0" w:firstColumn="1" w:lastColumn="0" w:noHBand="0" w:noVBand="1"/>
      </w:tblPr>
      <w:tblGrid>
        <w:gridCol w:w="5103"/>
        <w:gridCol w:w="1701"/>
        <w:gridCol w:w="2268"/>
      </w:tblGrid>
      <w:tr w:rsidR="00DE57B1" w:rsidRPr="00B22565" w14:paraId="3D7C2910" w14:textId="77777777" w:rsidTr="00DE57B1">
        <w:trPr>
          <w:trHeight w:val="269"/>
          <w:jc w:val="center"/>
        </w:trPr>
        <w:tc>
          <w:tcPr>
            <w:tcW w:w="5103" w:type="dxa"/>
            <w:tcBorders>
              <w:top w:val="nil"/>
              <w:left w:val="nil"/>
              <w:bottom w:val="single" w:sz="4" w:space="0" w:color="auto"/>
              <w:right w:val="nil"/>
            </w:tcBorders>
            <w:shd w:val="clear" w:color="000000" w:fill="538DD5"/>
            <w:noWrap/>
            <w:vAlign w:val="bottom"/>
            <w:hideMark/>
          </w:tcPr>
          <w:p w14:paraId="39DA8DA4" w14:textId="77777777" w:rsidR="00DE57B1" w:rsidRPr="00B22565" w:rsidRDefault="00DE57B1" w:rsidP="008B44DD">
            <w:pPr>
              <w:jc w:val="center"/>
              <w:rPr>
                <w:rFonts w:asciiTheme="minorHAnsi" w:hAnsiTheme="minorHAnsi" w:cs="Arial"/>
                <w:b/>
                <w:bCs/>
                <w:color w:val="FFFFFF"/>
                <w:sz w:val="20"/>
                <w:lang w:eastAsia="sq-AL"/>
              </w:rPr>
            </w:pPr>
            <w:r w:rsidRPr="00B22565">
              <w:rPr>
                <w:rFonts w:asciiTheme="minorHAnsi" w:hAnsiTheme="minorHAnsi" w:cs="Arial"/>
                <w:b/>
                <w:bCs/>
                <w:color w:val="FFFFFF"/>
                <w:sz w:val="20"/>
                <w:lang w:eastAsia="sq-AL"/>
              </w:rPr>
              <w:t xml:space="preserve">Tregues i riskut </w:t>
            </w:r>
          </w:p>
        </w:tc>
        <w:tc>
          <w:tcPr>
            <w:tcW w:w="1701" w:type="dxa"/>
            <w:tcBorders>
              <w:top w:val="nil"/>
              <w:left w:val="nil"/>
              <w:bottom w:val="single" w:sz="4" w:space="0" w:color="auto"/>
              <w:right w:val="nil"/>
            </w:tcBorders>
            <w:shd w:val="clear" w:color="000000" w:fill="538DD5"/>
            <w:noWrap/>
            <w:vAlign w:val="bottom"/>
            <w:hideMark/>
          </w:tcPr>
          <w:p w14:paraId="1078ADD7" w14:textId="77777777" w:rsidR="00DE57B1" w:rsidRPr="00B22565" w:rsidRDefault="00DE57B1" w:rsidP="008B44DD">
            <w:pPr>
              <w:jc w:val="center"/>
              <w:rPr>
                <w:rFonts w:asciiTheme="minorHAnsi" w:hAnsiTheme="minorHAnsi" w:cs="Arial"/>
                <w:b/>
                <w:bCs/>
                <w:color w:val="FFFFFF"/>
                <w:sz w:val="20"/>
                <w:lang w:eastAsia="sq-AL"/>
              </w:rPr>
            </w:pPr>
            <w:r w:rsidRPr="00B22565">
              <w:rPr>
                <w:rFonts w:asciiTheme="minorHAnsi" w:hAnsiTheme="minorHAnsi" w:cs="Arial"/>
                <w:b/>
                <w:bCs/>
                <w:color w:val="FFFFFF"/>
                <w:sz w:val="20"/>
                <w:lang w:eastAsia="sq-AL"/>
              </w:rPr>
              <w:t>2022</w:t>
            </w:r>
          </w:p>
        </w:tc>
        <w:tc>
          <w:tcPr>
            <w:tcW w:w="2268" w:type="dxa"/>
            <w:tcBorders>
              <w:top w:val="nil"/>
              <w:left w:val="nil"/>
              <w:bottom w:val="single" w:sz="4" w:space="0" w:color="auto"/>
              <w:right w:val="nil"/>
            </w:tcBorders>
            <w:shd w:val="clear" w:color="000000" w:fill="538DD5"/>
            <w:noWrap/>
            <w:vAlign w:val="bottom"/>
            <w:hideMark/>
          </w:tcPr>
          <w:p w14:paraId="00B1BBBE" w14:textId="77777777" w:rsidR="00DE57B1" w:rsidRPr="00B22565" w:rsidRDefault="00DE57B1" w:rsidP="008B44DD">
            <w:pPr>
              <w:jc w:val="center"/>
              <w:rPr>
                <w:rFonts w:asciiTheme="minorHAnsi" w:hAnsiTheme="minorHAnsi" w:cs="Arial"/>
                <w:b/>
                <w:bCs/>
                <w:color w:val="FFFFFF"/>
                <w:sz w:val="20"/>
                <w:lang w:eastAsia="sq-AL"/>
              </w:rPr>
            </w:pPr>
            <w:r w:rsidRPr="00B22565">
              <w:rPr>
                <w:rFonts w:asciiTheme="minorHAnsi" w:hAnsiTheme="minorHAnsi" w:cs="Arial"/>
                <w:b/>
                <w:bCs/>
                <w:color w:val="FFFFFF"/>
                <w:sz w:val="20"/>
                <w:lang w:eastAsia="sq-AL"/>
              </w:rPr>
              <w:t>Mar-23</w:t>
            </w:r>
          </w:p>
        </w:tc>
      </w:tr>
      <w:tr w:rsidR="00DE57B1" w:rsidRPr="00B22565" w14:paraId="0984D143" w14:textId="77777777" w:rsidTr="00DE57B1">
        <w:trPr>
          <w:trHeight w:val="269"/>
          <w:jc w:val="center"/>
        </w:trPr>
        <w:tc>
          <w:tcPr>
            <w:tcW w:w="5103" w:type="dxa"/>
            <w:tcBorders>
              <w:top w:val="nil"/>
              <w:left w:val="nil"/>
              <w:bottom w:val="nil"/>
              <w:right w:val="nil"/>
            </w:tcBorders>
            <w:shd w:val="clear" w:color="000000" w:fill="FFFFFF"/>
            <w:noWrap/>
            <w:vAlign w:val="bottom"/>
            <w:hideMark/>
          </w:tcPr>
          <w:p w14:paraId="5F4017C3" w14:textId="77777777" w:rsidR="00DE57B1" w:rsidRPr="00B22565" w:rsidRDefault="00DE57B1" w:rsidP="008B44DD">
            <w:pPr>
              <w:jc w:val="center"/>
              <w:rPr>
                <w:rFonts w:asciiTheme="minorHAnsi" w:hAnsiTheme="minorHAnsi" w:cs="Arial"/>
                <w:sz w:val="20"/>
                <w:lang w:eastAsia="sq-AL"/>
              </w:rPr>
            </w:pPr>
            <w:r w:rsidRPr="00B22565">
              <w:rPr>
                <w:rFonts w:asciiTheme="minorHAnsi" w:hAnsiTheme="minorHAnsi" w:cs="Arial"/>
                <w:sz w:val="20"/>
                <w:lang w:eastAsia="sq-AL"/>
              </w:rPr>
              <w:t>Koha Mesatare ne Maturim (në vite)</w:t>
            </w:r>
          </w:p>
        </w:tc>
        <w:tc>
          <w:tcPr>
            <w:tcW w:w="1701" w:type="dxa"/>
            <w:tcBorders>
              <w:top w:val="nil"/>
              <w:left w:val="nil"/>
              <w:bottom w:val="nil"/>
              <w:right w:val="nil"/>
            </w:tcBorders>
            <w:shd w:val="clear" w:color="000000" w:fill="FFFFFF"/>
            <w:noWrap/>
            <w:vAlign w:val="bottom"/>
          </w:tcPr>
          <w:p w14:paraId="38DC8E0C" w14:textId="77777777" w:rsidR="00DE57B1" w:rsidRPr="00B22565" w:rsidRDefault="00DE57B1" w:rsidP="008B44DD">
            <w:pPr>
              <w:jc w:val="center"/>
              <w:rPr>
                <w:rFonts w:asciiTheme="minorHAnsi" w:hAnsiTheme="minorHAnsi" w:cs="Arial"/>
                <w:sz w:val="20"/>
                <w:lang w:eastAsia="sq-AL"/>
              </w:rPr>
            </w:pPr>
            <w:r w:rsidRPr="00B22565">
              <w:rPr>
                <w:rFonts w:asciiTheme="minorHAnsi" w:hAnsiTheme="minorHAnsi" w:cs="Arial"/>
                <w:sz w:val="20"/>
                <w:lang w:eastAsia="sq-AL"/>
              </w:rPr>
              <w:t>2.17</w:t>
            </w:r>
          </w:p>
        </w:tc>
        <w:tc>
          <w:tcPr>
            <w:tcW w:w="2268" w:type="dxa"/>
            <w:tcBorders>
              <w:top w:val="nil"/>
              <w:left w:val="nil"/>
              <w:bottom w:val="nil"/>
              <w:right w:val="nil"/>
            </w:tcBorders>
            <w:shd w:val="clear" w:color="000000" w:fill="FFFFFF"/>
            <w:noWrap/>
            <w:vAlign w:val="bottom"/>
          </w:tcPr>
          <w:p w14:paraId="00424605" w14:textId="77777777" w:rsidR="00DE57B1" w:rsidRPr="00B22565" w:rsidRDefault="00DE57B1" w:rsidP="008B44DD">
            <w:pPr>
              <w:jc w:val="center"/>
              <w:rPr>
                <w:rFonts w:asciiTheme="minorHAnsi" w:hAnsiTheme="minorHAnsi" w:cs="Arial"/>
                <w:sz w:val="20"/>
                <w:lang w:eastAsia="sq-AL"/>
              </w:rPr>
            </w:pPr>
            <w:r w:rsidRPr="00B22565">
              <w:rPr>
                <w:rFonts w:asciiTheme="minorHAnsi" w:hAnsiTheme="minorHAnsi" w:cs="Arial"/>
                <w:sz w:val="20"/>
                <w:lang w:eastAsia="sq-AL"/>
              </w:rPr>
              <w:t>2.25</w:t>
            </w:r>
          </w:p>
        </w:tc>
      </w:tr>
      <w:tr w:rsidR="00DE57B1" w:rsidRPr="00B22565" w14:paraId="4FE6EAC8" w14:textId="77777777" w:rsidTr="00DE57B1">
        <w:trPr>
          <w:trHeight w:val="269"/>
          <w:jc w:val="center"/>
        </w:trPr>
        <w:tc>
          <w:tcPr>
            <w:tcW w:w="5103" w:type="dxa"/>
            <w:tcBorders>
              <w:top w:val="nil"/>
              <w:left w:val="nil"/>
              <w:bottom w:val="nil"/>
              <w:right w:val="nil"/>
            </w:tcBorders>
            <w:shd w:val="clear" w:color="000000" w:fill="FFFFFF"/>
            <w:noWrap/>
            <w:vAlign w:val="bottom"/>
            <w:hideMark/>
          </w:tcPr>
          <w:p w14:paraId="475CA798" w14:textId="77777777" w:rsidR="00DE57B1" w:rsidRPr="00B22565" w:rsidRDefault="00DE57B1" w:rsidP="008B44DD">
            <w:pPr>
              <w:jc w:val="center"/>
              <w:rPr>
                <w:rFonts w:asciiTheme="minorHAnsi" w:hAnsiTheme="minorHAnsi" w:cs="Arial"/>
                <w:sz w:val="20"/>
                <w:lang w:eastAsia="sq-AL"/>
              </w:rPr>
            </w:pPr>
            <w:r w:rsidRPr="00B22565">
              <w:rPr>
                <w:rFonts w:asciiTheme="minorHAnsi" w:hAnsiTheme="minorHAnsi" w:cs="Arial"/>
                <w:sz w:val="20"/>
                <w:lang w:eastAsia="sq-AL"/>
              </w:rPr>
              <w:t>Pesha e Instrumenteve qe maturohen brenda nje viti</w:t>
            </w:r>
          </w:p>
        </w:tc>
        <w:tc>
          <w:tcPr>
            <w:tcW w:w="1701" w:type="dxa"/>
            <w:tcBorders>
              <w:top w:val="nil"/>
              <w:left w:val="nil"/>
              <w:bottom w:val="nil"/>
              <w:right w:val="nil"/>
            </w:tcBorders>
            <w:shd w:val="clear" w:color="000000" w:fill="FFFFFF"/>
            <w:noWrap/>
            <w:vAlign w:val="bottom"/>
          </w:tcPr>
          <w:p w14:paraId="48965989" w14:textId="77777777" w:rsidR="00DE57B1" w:rsidRPr="00B22565" w:rsidRDefault="00DE57B1" w:rsidP="008B44DD">
            <w:pPr>
              <w:jc w:val="center"/>
              <w:rPr>
                <w:rFonts w:asciiTheme="minorHAnsi" w:hAnsiTheme="minorHAnsi" w:cs="Arial"/>
                <w:sz w:val="20"/>
                <w:lang w:eastAsia="sq-AL"/>
              </w:rPr>
            </w:pPr>
            <w:r w:rsidRPr="00B22565">
              <w:rPr>
                <w:rFonts w:asciiTheme="minorHAnsi" w:hAnsiTheme="minorHAnsi" w:cs="Arial"/>
                <w:sz w:val="20"/>
                <w:lang w:eastAsia="sq-AL"/>
              </w:rPr>
              <w:t>47.92%</w:t>
            </w:r>
          </w:p>
        </w:tc>
        <w:tc>
          <w:tcPr>
            <w:tcW w:w="2268" w:type="dxa"/>
            <w:tcBorders>
              <w:top w:val="nil"/>
              <w:left w:val="nil"/>
              <w:bottom w:val="nil"/>
              <w:right w:val="nil"/>
            </w:tcBorders>
            <w:shd w:val="clear" w:color="000000" w:fill="FFFFFF"/>
            <w:noWrap/>
            <w:vAlign w:val="bottom"/>
          </w:tcPr>
          <w:p w14:paraId="4AF5B9D5" w14:textId="77777777" w:rsidR="00DE57B1" w:rsidRPr="00B22565" w:rsidRDefault="00DE57B1" w:rsidP="008B44DD">
            <w:pPr>
              <w:jc w:val="center"/>
              <w:rPr>
                <w:rFonts w:asciiTheme="minorHAnsi" w:hAnsiTheme="minorHAnsi" w:cs="Arial"/>
                <w:sz w:val="20"/>
                <w:lang w:eastAsia="sq-AL"/>
              </w:rPr>
            </w:pPr>
            <w:r w:rsidRPr="00B22565">
              <w:rPr>
                <w:rFonts w:asciiTheme="minorHAnsi" w:hAnsiTheme="minorHAnsi" w:cs="Arial"/>
                <w:sz w:val="20"/>
                <w:lang w:eastAsia="sq-AL"/>
              </w:rPr>
              <w:t>51.93%</w:t>
            </w:r>
          </w:p>
        </w:tc>
      </w:tr>
      <w:tr w:rsidR="00DE57B1" w:rsidRPr="00B22565" w14:paraId="1825D068" w14:textId="77777777" w:rsidTr="00DE57B1">
        <w:trPr>
          <w:trHeight w:val="269"/>
          <w:jc w:val="center"/>
        </w:trPr>
        <w:tc>
          <w:tcPr>
            <w:tcW w:w="5103" w:type="dxa"/>
            <w:tcBorders>
              <w:top w:val="nil"/>
              <w:left w:val="nil"/>
              <w:bottom w:val="nil"/>
              <w:right w:val="nil"/>
            </w:tcBorders>
            <w:shd w:val="clear" w:color="000000" w:fill="FFFFFF"/>
            <w:noWrap/>
            <w:vAlign w:val="bottom"/>
            <w:hideMark/>
          </w:tcPr>
          <w:p w14:paraId="68C9E2A8" w14:textId="77777777" w:rsidR="00DE57B1" w:rsidRPr="00B22565" w:rsidRDefault="00DE57B1" w:rsidP="008B44DD">
            <w:pPr>
              <w:jc w:val="center"/>
              <w:rPr>
                <w:rFonts w:asciiTheme="minorHAnsi" w:hAnsiTheme="minorHAnsi" w:cs="Arial"/>
                <w:sz w:val="20"/>
                <w:lang w:eastAsia="sq-AL"/>
              </w:rPr>
            </w:pPr>
            <w:r w:rsidRPr="00B22565">
              <w:rPr>
                <w:rFonts w:asciiTheme="minorHAnsi" w:hAnsiTheme="minorHAnsi" w:cs="Arial"/>
                <w:sz w:val="20"/>
                <w:lang w:eastAsia="sq-AL"/>
              </w:rPr>
              <w:t>Borxh i rivlerësuar në një vit</w:t>
            </w:r>
          </w:p>
        </w:tc>
        <w:tc>
          <w:tcPr>
            <w:tcW w:w="1701" w:type="dxa"/>
            <w:tcBorders>
              <w:top w:val="nil"/>
              <w:left w:val="nil"/>
              <w:bottom w:val="nil"/>
              <w:right w:val="nil"/>
            </w:tcBorders>
            <w:shd w:val="clear" w:color="000000" w:fill="FFFFFF"/>
            <w:noWrap/>
            <w:vAlign w:val="bottom"/>
          </w:tcPr>
          <w:p w14:paraId="2409255E" w14:textId="77777777" w:rsidR="00DE57B1" w:rsidRPr="00B22565" w:rsidRDefault="00DE57B1" w:rsidP="008B44DD">
            <w:pPr>
              <w:jc w:val="center"/>
              <w:rPr>
                <w:rFonts w:asciiTheme="minorHAnsi" w:hAnsiTheme="minorHAnsi" w:cs="Arial"/>
                <w:sz w:val="20"/>
                <w:lang w:eastAsia="sq-AL"/>
              </w:rPr>
            </w:pPr>
            <w:r w:rsidRPr="00B22565">
              <w:rPr>
                <w:rFonts w:asciiTheme="minorHAnsi" w:hAnsiTheme="minorHAnsi" w:cs="Arial"/>
                <w:sz w:val="20"/>
                <w:lang w:eastAsia="sq-AL"/>
              </w:rPr>
              <w:t>48.97%</w:t>
            </w:r>
          </w:p>
        </w:tc>
        <w:tc>
          <w:tcPr>
            <w:tcW w:w="2268" w:type="dxa"/>
            <w:tcBorders>
              <w:top w:val="nil"/>
              <w:left w:val="nil"/>
              <w:bottom w:val="nil"/>
              <w:right w:val="nil"/>
            </w:tcBorders>
            <w:shd w:val="clear" w:color="000000" w:fill="FFFFFF"/>
            <w:noWrap/>
            <w:vAlign w:val="bottom"/>
          </w:tcPr>
          <w:p w14:paraId="0DEB54ED" w14:textId="77777777" w:rsidR="00DE57B1" w:rsidRPr="00B22565" w:rsidRDefault="00DE57B1" w:rsidP="008B44DD">
            <w:pPr>
              <w:jc w:val="center"/>
              <w:rPr>
                <w:rFonts w:asciiTheme="minorHAnsi" w:hAnsiTheme="minorHAnsi" w:cs="Arial"/>
                <w:sz w:val="20"/>
                <w:lang w:eastAsia="sq-AL"/>
              </w:rPr>
            </w:pPr>
            <w:r w:rsidRPr="00B22565">
              <w:rPr>
                <w:rFonts w:asciiTheme="minorHAnsi" w:hAnsiTheme="minorHAnsi" w:cs="Arial"/>
                <w:sz w:val="20"/>
                <w:lang w:eastAsia="sq-AL"/>
              </w:rPr>
              <w:t>52.89%</w:t>
            </w:r>
          </w:p>
        </w:tc>
      </w:tr>
      <w:tr w:rsidR="00DE57B1" w:rsidRPr="00B22565" w14:paraId="3C275729" w14:textId="77777777" w:rsidTr="00DE57B1">
        <w:trPr>
          <w:trHeight w:val="269"/>
          <w:jc w:val="center"/>
        </w:trPr>
        <w:tc>
          <w:tcPr>
            <w:tcW w:w="5103" w:type="dxa"/>
            <w:tcBorders>
              <w:top w:val="nil"/>
              <w:left w:val="nil"/>
              <w:bottom w:val="single" w:sz="4" w:space="0" w:color="auto"/>
              <w:right w:val="nil"/>
            </w:tcBorders>
            <w:shd w:val="clear" w:color="000000" w:fill="FFFFFF"/>
            <w:noWrap/>
            <w:vAlign w:val="bottom"/>
            <w:hideMark/>
          </w:tcPr>
          <w:p w14:paraId="7DB8E41E" w14:textId="77777777" w:rsidR="00DE57B1" w:rsidRPr="00B22565" w:rsidRDefault="00DE57B1" w:rsidP="008B44DD">
            <w:pPr>
              <w:jc w:val="center"/>
              <w:rPr>
                <w:rFonts w:asciiTheme="minorHAnsi" w:hAnsiTheme="minorHAnsi" w:cs="Arial"/>
                <w:sz w:val="20"/>
                <w:lang w:eastAsia="sq-AL"/>
              </w:rPr>
            </w:pPr>
            <w:r w:rsidRPr="00B22565">
              <w:rPr>
                <w:rFonts w:asciiTheme="minorHAnsi" w:hAnsiTheme="minorHAnsi" w:cs="Arial"/>
                <w:sz w:val="20"/>
                <w:lang w:eastAsia="sq-AL"/>
              </w:rPr>
              <w:t>Koha Mesatare ne rifiksim (në vite)</w:t>
            </w:r>
          </w:p>
        </w:tc>
        <w:tc>
          <w:tcPr>
            <w:tcW w:w="1701" w:type="dxa"/>
            <w:tcBorders>
              <w:top w:val="nil"/>
              <w:left w:val="nil"/>
              <w:bottom w:val="single" w:sz="4" w:space="0" w:color="auto"/>
              <w:right w:val="nil"/>
            </w:tcBorders>
            <w:shd w:val="clear" w:color="000000" w:fill="FFFFFF"/>
            <w:noWrap/>
            <w:vAlign w:val="bottom"/>
          </w:tcPr>
          <w:p w14:paraId="391457E6" w14:textId="77777777" w:rsidR="00DE57B1" w:rsidRPr="00B22565" w:rsidRDefault="00DE57B1" w:rsidP="008B44DD">
            <w:pPr>
              <w:jc w:val="center"/>
              <w:rPr>
                <w:rFonts w:asciiTheme="minorHAnsi" w:hAnsiTheme="minorHAnsi" w:cs="Arial"/>
                <w:sz w:val="20"/>
                <w:lang w:eastAsia="sq-AL"/>
              </w:rPr>
            </w:pPr>
            <w:r w:rsidRPr="00B22565">
              <w:rPr>
                <w:rFonts w:asciiTheme="minorHAnsi" w:hAnsiTheme="minorHAnsi" w:cs="Arial"/>
                <w:sz w:val="20"/>
                <w:lang w:eastAsia="sq-AL"/>
              </w:rPr>
              <w:t>2.17</w:t>
            </w:r>
          </w:p>
        </w:tc>
        <w:tc>
          <w:tcPr>
            <w:tcW w:w="2268" w:type="dxa"/>
            <w:tcBorders>
              <w:top w:val="nil"/>
              <w:left w:val="nil"/>
              <w:bottom w:val="single" w:sz="4" w:space="0" w:color="auto"/>
              <w:right w:val="nil"/>
            </w:tcBorders>
            <w:shd w:val="clear" w:color="000000" w:fill="FFFFFF"/>
            <w:noWrap/>
            <w:vAlign w:val="bottom"/>
          </w:tcPr>
          <w:p w14:paraId="5C7CD5EA" w14:textId="77777777" w:rsidR="00DE57B1" w:rsidRPr="00B22565" w:rsidRDefault="00DE57B1" w:rsidP="008B44DD">
            <w:pPr>
              <w:jc w:val="center"/>
              <w:rPr>
                <w:rFonts w:asciiTheme="minorHAnsi" w:hAnsiTheme="minorHAnsi" w:cs="Arial"/>
                <w:sz w:val="20"/>
                <w:lang w:eastAsia="sq-AL"/>
              </w:rPr>
            </w:pPr>
            <w:r w:rsidRPr="00B22565">
              <w:rPr>
                <w:rFonts w:asciiTheme="minorHAnsi" w:hAnsiTheme="minorHAnsi" w:cs="Arial"/>
                <w:sz w:val="20"/>
                <w:lang w:eastAsia="sq-AL"/>
              </w:rPr>
              <w:t>2.25</w:t>
            </w:r>
          </w:p>
        </w:tc>
      </w:tr>
    </w:tbl>
    <w:p w14:paraId="4C47A1FA" w14:textId="77777777" w:rsidR="00513A75" w:rsidRPr="00CD06A3" w:rsidRDefault="00513A75" w:rsidP="00513A75">
      <w:pPr>
        <w:tabs>
          <w:tab w:val="left" w:pos="360"/>
        </w:tabs>
        <w:spacing w:line="276" w:lineRule="auto"/>
        <w:rPr>
          <w:rFonts w:asciiTheme="minorHAnsi" w:hAnsiTheme="minorHAnsi"/>
          <w:i/>
          <w:sz w:val="20"/>
          <w:lang w:val="sq-AL"/>
        </w:rPr>
      </w:pPr>
      <w:r>
        <w:rPr>
          <w:rFonts w:asciiTheme="minorHAnsi" w:hAnsiTheme="minorHAnsi"/>
          <w:i/>
          <w:sz w:val="20"/>
          <w:lang w:val="sq-AL"/>
        </w:rPr>
        <w:tab/>
      </w:r>
      <w:r w:rsidR="00193978">
        <w:rPr>
          <w:rFonts w:asciiTheme="minorHAnsi" w:hAnsiTheme="minorHAnsi"/>
          <w:i/>
          <w:sz w:val="20"/>
          <w:lang w:val="sq-AL"/>
        </w:rPr>
        <w:t>Burimi: Ministria e Financave dhe Ekonomisë (2023)</w:t>
      </w:r>
    </w:p>
    <w:p w14:paraId="731DC4BD" w14:textId="77777777" w:rsidR="00513A75" w:rsidRPr="00277056" w:rsidRDefault="00513A75" w:rsidP="00513A75">
      <w:pPr>
        <w:tabs>
          <w:tab w:val="left" w:pos="360"/>
        </w:tabs>
        <w:spacing w:line="276" w:lineRule="auto"/>
        <w:jc w:val="both"/>
        <w:rPr>
          <w:rFonts w:asciiTheme="minorHAnsi" w:hAnsiTheme="minorHAnsi"/>
          <w:i/>
          <w:sz w:val="16"/>
          <w:szCs w:val="8"/>
          <w:lang w:val="sq-AL"/>
        </w:rPr>
      </w:pPr>
    </w:p>
    <w:p w14:paraId="58118D74" w14:textId="77777777" w:rsidR="00513A75" w:rsidRPr="006E68A7" w:rsidRDefault="00513A75" w:rsidP="00513A75">
      <w:pPr>
        <w:tabs>
          <w:tab w:val="left" w:pos="360"/>
        </w:tabs>
        <w:spacing w:line="276" w:lineRule="auto"/>
        <w:jc w:val="both"/>
        <w:rPr>
          <w:rFonts w:asciiTheme="minorHAnsi" w:hAnsiTheme="minorHAnsi"/>
          <w:i/>
          <w:u w:val="single"/>
          <w:lang w:val="sq-AL"/>
        </w:rPr>
      </w:pPr>
      <w:r w:rsidRPr="006E68A7">
        <w:rPr>
          <w:rFonts w:asciiTheme="minorHAnsi" w:hAnsiTheme="minorHAnsi"/>
          <w:i/>
          <w:u w:val="single"/>
          <w:lang w:val="sq-AL"/>
        </w:rPr>
        <w:t>Zhvillimet e Tregut Primar të Titujve Shtetërorë</w:t>
      </w:r>
    </w:p>
    <w:p w14:paraId="346C92A7" w14:textId="77777777" w:rsidR="00513A75" w:rsidRPr="00EB0002" w:rsidRDefault="00DE57B1" w:rsidP="00513A75">
      <w:pPr>
        <w:tabs>
          <w:tab w:val="left" w:pos="360"/>
        </w:tabs>
        <w:spacing w:after="240" w:line="276" w:lineRule="auto"/>
        <w:jc w:val="both"/>
        <w:rPr>
          <w:rFonts w:asciiTheme="minorHAnsi" w:hAnsiTheme="minorHAnsi"/>
          <w:lang w:val="sq-AL"/>
        </w:rPr>
      </w:pPr>
      <w:bookmarkStart w:id="91" w:name="_Toc491861001"/>
      <w:bookmarkStart w:id="92" w:name="_Toc491954314"/>
      <w:bookmarkStart w:id="93" w:name="_Toc497222545"/>
      <w:r w:rsidRPr="008757B8">
        <w:rPr>
          <w:rFonts w:asciiTheme="minorHAnsi" w:hAnsiTheme="minorHAnsi"/>
        </w:rPr>
        <w:t>Tregu primar i titujve shtetërorë gjatë periudhës janar-mars të vitit 2023 përgjithësisht është karakterizuar nga zhvillime pozitive, ku vlen të përmenden rikthimi i  kërkesës së tregut në nivele të kënaqshme në raport me nevojat e qeverisë për huamarrje dhe vijimi me projektin market maker për emetimin e obligacionit 5-vjeçar dhe 3-vjeçar referencë</w:t>
      </w:r>
      <w:r w:rsidR="00513A75" w:rsidRPr="00EB0002">
        <w:rPr>
          <w:rFonts w:asciiTheme="minorHAnsi" w:hAnsiTheme="minorHAnsi"/>
          <w:lang w:val="sq-AL"/>
        </w:rPr>
        <w:t>.</w:t>
      </w:r>
    </w:p>
    <w:p w14:paraId="4442DFA4" w14:textId="77777777" w:rsidR="00513A75" w:rsidRPr="006E68A7" w:rsidRDefault="00513A75" w:rsidP="00513A75">
      <w:pPr>
        <w:tabs>
          <w:tab w:val="left" w:pos="360"/>
        </w:tabs>
        <w:spacing w:line="276" w:lineRule="auto"/>
        <w:jc w:val="both"/>
        <w:rPr>
          <w:rFonts w:asciiTheme="minorHAnsi" w:hAnsiTheme="minorHAnsi"/>
          <w:i/>
          <w:u w:val="single"/>
          <w:lang w:val="sq-AL"/>
        </w:rPr>
      </w:pPr>
      <w:r w:rsidRPr="006E68A7">
        <w:rPr>
          <w:rFonts w:asciiTheme="minorHAnsi" w:hAnsiTheme="minorHAnsi"/>
          <w:i/>
          <w:u w:val="single"/>
          <w:lang w:val="sq-AL"/>
        </w:rPr>
        <w:t>Ecuria e ankandeve dhe kërkesa për titujt shtetërorë</w:t>
      </w:r>
      <w:bookmarkEnd w:id="91"/>
      <w:bookmarkEnd w:id="92"/>
      <w:bookmarkEnd w:id="93"/>
    </w:p>
    <w:p w14:paraId="548A81A6" w14:textId="77777777" w:rsidR="00513A75" w:rsidRDefault="00DE57B1" w:rsidP="00513A75">
      <w:pPr>
        <w:tabs>
          <w:tab w:val="left" w:pos="360"/>
        </w:tabs>
        <w:spacing w:line="276" w:lineRule="auto"/>
        <w:jc w:val="both"/>
        <w:rPr>
          <w:rFonts w:asciiTheme="minorHAnsi" w:hAnsiTheme="minorHAnsi"/>
          <w:lang w:val="sq-AL"/>
        </w:rPr>
      </w:pPr>
      <w:r w:rsidRPr="008757B8">
        <w:rPr>
          <w:rFonts w:asciiTheme="minorHAnsi" w:hAnsiTheme="minorHAnsi"/>
        </w:rPr>
        <w:t>Gjatë periudhës janar-mars 2023 kërkesa për tituj shtetërorë ka rezultuar në vlerën 199.4 miliard Lekë, nga të cilat 126.6 miliard Lekë për bono thesari dhe 72.7 miliard Lekë për obligacione. Kërkesa gjatë këtij tremujori ka qenë më e lartë se oferta e qeverisë në të gjitha ankandet, e ndikuar krysisht nga normat e favorshme të interesit të titujve qeveritar krahasuar me format e tjera të investimit, si edhe ndikuar nga teprica e likuiditetit në treg. Raporti i mbulimit ka qenë mbi 1 në të gjitha kategoritë e instrumenteve dhe raporti i mbulimit në total për tremujorin ka rezultuar 1.65</w:t>
      </w:r>
      <w:r w:rsidR="00513A75" w:rsidRPr="00EB0002">
        <w:rPr>
          <w:rFonts w:asciiTheme="minorHAnsi" w:hAnsiTheme="minorHAnsi"/>
          <w:lang w:val="sq-AL"/>
        </w:rPr>
        <w:t>.</w:t>
      </w:r>
    </w:p>
    <w:p w14:paraId="609CACCC" w14:textId="77777777" w:rsidR="00513A75" w:rsidRPr="00796E6A" w:rsidRDefault="00513A75" w:rsidP="00513A75">
      <w:pPr>
        <w:tabs>
          <w:tab w:val="left" w:pos="360"/>
        </w:tabs>
        <w:spacing w:line="276" w:lineRule="auto"/>
        <w:jc w:val="both"/>
        <w:rPr>
          <w:rFonts w:asciiTheme="minorHAnsi" w:hAnsiTheme="minorHAnsi"/>
          <w:sz w:val="8"/>
          <w:szCs w:val="8"/>
          <w:lang w:val="sq-AL"/>
        </w:rPr>
      </w:pPr>
    </w:p>
    <w:p w14:paraId="759DF2BC" w14:textId="77C75411" w:rsidR="00513A75" w:rsidRPr="00DB39B7" w:rsidRDefault="00513A75" w:rsidP="004E63F7">
      <w:pPr>
        <w:pStyle w:val="Caption"/>
        <w:keepNext/>
        <w:spacing w:after="0"/>
        <w:rPr>
          <w:rFonts w:asciiTheme="minorHAnsi" w:hAnsiTheme="minorHAnsi"/>
          <w:b w:val="0"/>
          <w:bCs w:val="0"/>
          <w:i/>
          <w:noProof/>
          <w:color w:val="auto"/>
          <w:sz w:val="22"/>
          <w:szCs w:val="24"/>
        </w:rPr>
      </w:pPr>
      <w:bookmarkStart w:id="94" w:name="_Toc107498133"/>
      <w:r w:rsidRPr="00DB39B7">
        <w:rPr>
          <w:rFonts w:asciiTheme="minorHAnsi" w:hAnsiTheme="minorHAnsi"/>
          <w:b w:val="0"/>
          <w:bCs w:val="0"/>
          <w:i/>
          <w:noProof/>
          <w:color w:val="auto"/>
          <w:sz w:val="22"/>
          <w:szCs w:val="24"/>
        </w:rPr>
        <w:t xml:space="preserve">Grafiku </w:t>
      </w:r>
      <w:r w:rsidRPr="00DB39B7">
        <w:rPr>
          <w:rFonts w:asciiTheme="minorHAnsi" w:hAnsiTheme="minorHAnsi"/>
          <w:b w:val="0"/>
          <w:bCs w:val="0"/>
          <w:i/>
          <w:noProof/>
          <w:color w:val="auto"/>
          <w:sz w:val="22"/>
          <w:szCs w:val="24"/>
        </w:rPr>
        <w:fldChar w:fldCharType="begin"/>
      </w:r>
      <w:r w:rsidRPr="00DB39B7">
        <w:rPr>
          <w:rFonts w:asciiTheme="minorHAnsi" w:hAnsiTheme="minorHAnsi"/>
          <w:b w:val="0"/>
          <w:bCs w:val="0"/>
          <w:i/>
          <w:noProof/>
          <w:color w:val="auto"/>
          <w:sz w:val="22"/>
          <w:szCs w:val="24"/>
        </w:rPr>
        <w:instrText xml:space="preserve"> SEQ Grafiku \* ARABIC </w:instrText>
      </w:r>
      <w:r w:rsidRPr="00DB39B7">
        <w:rPr>
          <w:rFonts w:asciiTheme="minorHAnsi" w:hAnsiTheme="minorHAnsi"/>
          <w:b w:val="0"/>
          <w:bCs w:val="0"/>
          <w:i/>
          <w:noProof/>
          <w:color w:val="auto"/>
          <w:sz w:val="22"/>
          <w:szCs w:val="24"/>
        </w:rPr>
        <w:fldChar w:fldCharType="separate"/>
      </w:r>
      <w:r w:rsidR="00C153A9">
        <w:rPr>
          <w:rFonts w:asciiTheme="minorHAnsi" w:hAnsiTheme="minorHAnsi"/>
          <w:b w:val="0"/>
          <w:bCs w:val="0"/>
          <w:i/>
          <w:noProof/>
          <w:color w:val="auto"/>
          <w:sz w:val="22"/>
          <w:szCs w:val="24"/>
        </w:rPr>
        <w:t>41</w:t>
      </w:r>
      <w:r w:rsidRPr="00DB39B7">
        <w:rPr>
          <w:rFonts w:asciiTheme="minorHAnsi" w:hAnsiTheme="minorHAnsi"/>
          <w:b w:val="0"/>
          <w:bCs w:val="0"/>
          <w:i/>
          <w:noProof/>
          <w:color w:val="auto"/>
          <w:sz w:val="22"/>
          <w:szCs w:val="24"/>
        </w:rPr>
        <w:fldChar w:fldCharType="end"/>
      </w:r>
      <w:r w:rsidRPr="00DB39B7">
        <w:rPr>
          <w:rFonts w:asciiTheme="minorHAnsi" w:hAnsiTheme="minorHAnsi"/>
          <w:b w:val="0"/>
          <w:bCs w:val="0"/>
          <w:i/>
          <w:noProof/>
          <w:color w:val="auto"/>
          <w:sz w:val="22"/>
          <w:szCs w:val="24"/>
        </w:rPr>
        <w:t>: Raporti i mbulimit të ankandeve të titujve shtetërorë (Janar–Mars 202</w:t>
      </w:r>
      <w:r w:rsidR="00DE57B1">
        <w:rPr>
          <w:rFonts w:asciiTheme="minorHAnsi" w:hAnsiTheme="minorHAnsi"/>
          <w:b w:val="0"/>
          <w:bCs w:val="0"/>
          <w:i/>
          <w:noProof/>
          <w:color w:val="auto"/>
          <w:sz w:val="22"/>
          <w:szCs w:val="24"/>
        </w:rPr>
        <w:t>3</w:t>
      </w:r>
      <w:r w:rsidRPr="00DB39B7">
        <w:rPr>
          <w:rFonts w:asciiTheme="minorHAnsi" w:hAnsiTheme="minorHAnsi"/>
          <w:b w:val="0"/>
          <w:bCs w:val="0"/>
          <w:i/>
          <w:noProof/>
          <w:color w:val="auto"/>
          <w:sz w:val="22"/>
          <w:szCs w:val="24"/>
        </w:rPr>
        <w:t>)</w:t>
      </w:r>
      <w:bookmarkEnd w:id="94"/>
    </w:p>
    <w:p w14:paraId="47761453" w14:textId="77777777" w:rsidR="00513A75" w:rsidRPr="00EE0157" w:rsidRDefault="00DE57B1" w:rsidP="00DB39B7">
      <w:pPr>
        <w:jc w:val="center"/>
      </w:pPr>
      <w:r w:rsidRPr="008757B8">
        <w:rPr>
          <w:rFonts w:asciiTheme="minorHAnsi" w:hAnsiTheme="minorHAnsi"/>
          <w:noProof/>
        </w:rPr>
        <w:drawing>
          <wp:inline distT="0" distB="0" distL="0" distR="0" wp14:anchorId="68BDF781" wp14:editId="5ACD025A">
            <wp:extent cx="5731510" cy="1536700"/>
            <wp:effectExtent l="0" t="0" r="2540" b="635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17F6A213" w14:textId="77777777" w:rsidR="00513A75" w:rsidRPr="00CD06A3" w:rsidRDefault="00513A75" w:rsidP="00513A75">
      <w:pPr>
        <w:tabs>
          <w:tab w:val="left" w:pos="360"/>
        </w:tabs>
        <w:spacing w:line="276" w:lineRule="auto"/>
        <w:jc w:val="both"/>
        <w:rPr>
          <w:rFonts w:asciiTheme="minorHAnsi" w:hAnsiTheme="minorHAnsi"/>
          <w:i/>
          <w:sz w:val="20"/>
          <w:lang w:val="sq-AL"/>
        </w:rPr>
      </w:pPr>
      <w:r>
        <w:rPr>
          <w:rFonts w:asciiTheme="minorHAnsi" w:hAnsiTheme="minorHAnsi"/>
          <w:i/>
          <w:sz w:val="20"/>
          <w:lang w:val="sq-AL"/>
        </w:rPr>
        <w:tab/>
      </w:r>
      <w:r w:rsidR="00193978">
        <w:rPr>
          <w:rFonts w:asciiTheme="minorHAnsi" w:hAnsiTheme="minorHAnsi"/>
          <w:i/>
          <w:sz w:val="20"/>
          <w:lang w:val="sq-AL"/>
        </w:rPr>
        <w:t>Burimi: Ministria e Financave dhe Ekonomisë (2023)</w:t>
      </w:r>
    </w:p>
    <w:p w14:paraId="6BB47849" w14:textId="77777777" w:rsidR="00513A75" w:rsidRPr="00796E6A" w:rsidRDefault="00513A75" w:rsidP="00513A75">
      <w:pPr>
        <w:tabs>
          <w:tab w:val="left" w:pos="360"/>
        </w:tabs>
        <w:spacing w:line="276" w:lineRule="auto"/>
        <w:jc w:val="both"/>
        <w:rPr>
          <w:rFonts w:asciiTheme="minorHAnsi" w:hAnsiTheme="minorHAnsi"/>
          <w:sz w:val="8"/>
          <w:lang w:val="sq-AL"/>
        </w:rPr>
      </w:pPr>
    </w:p>
    <w:p w14:paraId="05776A01" w14:textId="77777777" w:rsidR="00513A75" w:rsidRPr="00F770CF" w:rsidRDefault="00DE57B1" w:rsidP="00DE57B1">
      <w:pPr>
        <w:spacing w:before="120" w:line="276" w:lineRule="auto"/>
        <w:ind w:right="-46"/>
        <w:jc w:val="both"/>
        <w:rPr>
          <w:rFonts w:asciiTheme="minorHAnsi" w:hAnsiTheme="minorHAnsi"/>
        </w:rPr>
      </w:pPr>
      <w:r w:rsidRPr="008757B8">
        <w:rPr>
          <w:rFonts w:asciiTheme="minorHAnsi" w:hAnsiTheme="minorHAnsi"/>
          <w:noProof/>
        </w:rPr>
        <w:t xml:space="preserve">Nga pikëpamja e investitorëve, </w:t>
      </w:r>
      <w:r w:rsidRPr="008757B8">
        <w:rPr>
          <w:rFonts w:asciiTheme="minorHAnsi" w:hAnsiTheme="minorHAnsi"/>
        </w:rPr>
        <w:t>tremujori i parë i vitit 2023 është karakterizuar nga një rritje e peshës së individëve dhe institucioneve jo financiare. Pavarësisht kësaj, baza e investitorëve, vijon të jetë e përqëndruar në mbi 60% tek sektori bankar duke e bërë portofolin e borxhit të brendshëm të ndjeshëm ndaj risqeve sistemike që mund të paraqesë ky sektor.</w:t>
      </w:r>
      <w:r>
        <w:rPr>
          <w:rFonts w:asciiTheme="minorHAnsi" w:hAnsiTheme="minorHAnsi"/>
        </w:rPr>
        <w:t xml:space="preserve"> </w:t>
      </w:r>
      <w:r w:rsidRPr="008757B8">
        <w:rPr>
          <w:rFonts w:asciiTheme="minorHAnsi" w:hAnsiTheme="minorHAnsi"/>
        </w:rPr>
        <w:t xml:space="preserve">Struktura e tregut primar të titujve ka vijuar të konsolidohet nëpërmjet strategjisë e cila synon emetimin e titujve referencë, si shtysë për zhvillimin e tregut sekondar në të ardhmen. </w:t>
      </w:r>
      <w:r w:rsidRPr="008757B8">
        <w:rPr>
          <w:rFonts w:asciiTheme="minorHAnsi" w:hAnsiTheme="minorHAnsi"/>
          <w:noProof/>
        </w:rPr>
        <w:t>Në këtë drejtim, gjatë tremujorit të parë është vijuar me emetimin e obligacioneve 3 dhe 5 vjeçare referencë</w:t>
      </w:r>
      <w:r w:rsidR="00513A75" w:rsidRPr="00EB0002">
        <w:rPr>
          <w:rFonts w:asciiTheme="minorHAnsi" w:hAnsiTheme="minorHAnsi"/>
          <w:lang w:val="sq-AL"/>
        </w:rPr>
        <w:t>.</w:t>
      </w:r>
    </w:p>
    <w:p w14:paraId="512A67FA" w14:textId="77777777" w:rsidR="00F770CF" w:rsidRPr="00F770CF" w:rsidRDefault="00F770CF" w:rsidP="00F770CF">
      <w:pPr>
        <w:tabs>
          <w:tab w:val="left" w:pos="360"/>
          <w:tab w:val="left" w:pos="3384"/>
          <w:tab w:val="center" w:pos="4815"/>
        </w:tabs>
        <w:spacing w:line="276" w:lineRule="auto"/>
        <w:jc w:val="both"/>
        <w:rPr>
          <w:rFonts w:asciiTheme="minorHAnsi" w:hAnsiTheme="minorHAnsi"/>
          <w:i/>
          <w:sz w:val="12"/>
          <w:u w:val="single"/>
          <w:lang w:val="sq-AL"/>
        </w:rPr>
      </w:pPr>
    </w:p>
    <w:p w14:paraId="62E3C3D3" w14:textId="77777777" w:rsidR="00513A75" w:rsidRPr="006E68A7" w:rsidRDefault="00513A75" w:rsidP="00F770CF">
      <w:pPr>
        <w:tabs>
          <w:tab w:val="left" w:pos="360"/>
          <w:tab w:val="left" w:pos="3384"/>
          <w:tab w:val="center" w:pos="4815"/>
        </w:tabs>
        <w:spacing w:line="276" w:lineRule="auto"/>
        <w:jc w:val="both"/>
        <w:rPr>
          <w:rFonts w:asciiTheme="minorHAnsi" w:hAnsiTheme="minorHAnsi"/>
          <w:i/>
          <w:u w:val="single"/>
          <w:lang w:val="sq-AL"/>
        </w:rPr>
      </w:pPr>
      <w:r w:rsidRPr="006E68A7">
        <w:rPr>
          <w:rFonts w:asciiTheme="minorHAnsi" w:hAnsiTheme="minorHAnsi"/>
          <w:i/>
          <w:u w:val="single"/>
          <w:lang w:val="sq-AL"/>
        </w:rPr>
        <w:t>Ecuria e normave të interesit</w:t>
      </w:r>
      <w:r w:rsidR="00F770CF" w:rsidRPr="00F770CF">
        <w:rPr>
          <w:rFonts w:asciiTheme="minorHAnsi" w:hAnsiTheme="minorHAnsi"/>
          <w:i/>
          <w:lang w:val="sq-AL"/>
        </w:rPr>
        <w:tab/>
      </w:r>
      <w:r w:rsidR="00F770CF" w:rsidRPr="00F770CF">
        <w:rPr>
          <w:rFonts w:asciiTheme="minorHAnsi" w:hAnsiTheme="minorHAnsi"/>
          <w:i/>
          <w:lang w:val="sq-AL"/>
        </w:rPr>
        <w:tab/>
      </w:r>
    </w:p>
    <w:p w14:paraId="56DC65F8" w14:textId="77777777" w:rsidR="00513A75" w:rsidRPr="00F770CF" w:rsidRDefault="00DE57B1" w:rsidP="00DE57B1">
      <w:pPr>
        <w:spacing w:line="276" w:lineRule="auto"/>
        <w:ind w:right="-46"/>
        <w:jc w:val="both"/>
        <w:rPr>
          <w:rFonts w:asciiTheme="minorHAnsi" w:eastAsia="Calibri" w:hAnsiTheme="minorHAnsi"/>
          <w:noProof/>
          <w:lang w:eastAsia="ja-JP"/>
        </w:rPr>
      </w:pPr>
      <w:r w:rsidRPr="008757B8">
        <w:rPr>
          <w:rFonts w:asciiTheme="minorHAnsi" w:eastAsia="Calibri" w:hAnsiTheme="minorHAnsi"/>
          <w:noProof/>
          <w:lang w:eastAsia="ja-JP"/>
        </w:rPr>
        <w:t xml:space="preserve">Normat mesatare të ponderuara gjatë </w:t>
      </w:r>
      <w:r>
        <w:rPr>
          <w:rFonts w:asciiTheme="minorHAnsi" w:eastAsia="Calibri" w:hAnsiTheme="minorHAnsi"/>
          <w:noProof/>
          <w:lang w:eastAsia="ja-JP"/>
        </w:rPr>
        <w:t>T1</w:t>
      </w:r>
      <w:r w:rsidRPr="008757B8">
        <w:rPr>
          <w:rFonts w:asciiTheme="minorHAnsi" w:eastAsia="Calibri" w:hAnsiTheme="minorHAnsi"/>
          <w:noProof/>
          <w:lang w:eastAsia="ja-JP"/>
        </w:rPr>
        <w:t xml:space="preserve"> 2023 kanë shënuar rritje krahasuar me fundin e 2022, në të gjitha kategoritë e instrumenteve, e ndikuar kjo dhe nga rritjet e normës bazë të interesit nga Banka e Shqipërisë. Në mars 2023 Banka e Shqipërisë mori vendimin të rrisë normën bazë të interesit në nivelin 3.00% nga 2.75% që isht</w:t>
      </w:r>
      <w:r>
        <w:rPr>
          <w:rFonts w:asciiTheme="minorHAnsi" w:eastAsia="Calibri" w:hAnsiTheme="minorHAnsi"/>
          <w:noProof/>
          <w:lang w:eastAsia="ja-JP"/>
        </w:rPr>
        <w:t>e</w:t>
      </w:r>
      <w:r w:rsidRPr="008757B8">
        <w:rPr>
          <w:rFonts w:asciiTheme="minorHAnsi" w:eastAsia="Calibri" w:hAnsiTheme="minorHAnsi"/>
          <w:noProof/>
          <w:lang w:eastAsia="ja-JP"/>
        </w:rPr>
        <w:t xml:space="preserve"> në fund të 2022. Ndërkohë që normat e interesit në çdo ankand të titujve shtetërorë kanë shënuar rënie gjatë këtij tremujori krahasuar me fundin e 2022</w:t>
      </w:r>
      <w:r w:rsidR="00513A75" w:rsidRPr="00EB0002">
        <w:rPr>
          <w:rFonts w:asciiTheme="minorHAnsi" w:hAnsiTheme="minorHAnsi"/>
          <w:lang w:val="sq-AL"/>
        </w:rPr>
        <w:t xml:space="preserve">. </w:t>
      </w:r>
    </w:p>
    <w:p w14:paraId="6040BFA5" w14:textId="77777777" w:rsidR="00513A75" w:rsidRPr="00796E6A" w:rsidRDefault="00513A75" w:rsidP="00513A75">
      <w:pPr>
        <w:tabs>
          <w:tab w:val="left" w:pos="360"/>
        </w:tabs>
        <w:spacing w:line="276" w:lineRule="auto"/>
        <w:jc w:val="both"/>
        <w:rPr>
          <w:rFonts w:asciiTheme="minorHAnsi" w:hAnsiTheme="minorHAnsi"/>
          <w:sz w:val="8"/>
          <w:lang w:val="sq-AL"/>
        </w:rPr>
      </w:pPr>
    </w:p>
    <w:p w14:paraId="2F051401" w14:textId="09B36A19" w:rsidR="00513A75" w:rsidRPr="00F770CF" w:rsidRDefault="00513A75" w:rsidP="00A0762A">
      <w:pPr>
        <w:pStyle w:val="Caption"/>
        <w:keepNext/>
        <w:spacing w:after="0"/>
        <w:rPr>
          <w:rFonts w:asciiTheme="minorHAnsi" w:hAnsiTheme="minorHAnsi"/>
          <w:b w:val="0"/>
          <w:bCs w:val="0"/>
          <w:i/>
          <w:noProof/>
          <w:color w:val="auto"/>
          <w:sz w:val="22"/>
          <w:szCs w:val="24"/>
        </w:rPr>
      </w:pPr>
      <w:bookmarkStart w:id="95" w:name="_Toc107498134"/>
      <w:r w:rsidRPr="00F770CF">
        <w:rPr>
          <w:rFonts w:asciiTheme="minorHAnsi" w:hAnsiTheme="minorHAnsi"/>
          <w:b w:val="0"/>
          <w:bCs w:val="0"/>
          <w:i/>
          <w:noProof/>
          <w:color w:val="auto"/>
          <w:sz w:val="22"/>
          <w:szCs w:val="24"/>
        </w:rPr>
        <w:lastRenderedPageBreak/>
        <w:t xml:space="preserve">Grafiku </w:t>
      </w:r>
      <w:r w:rsidRPr="00F770CF">
        <w:rPr>
          <w:rFonts w:asciiTheme="minorHAnsi" w:hAnsiTheme="minorHAnsi"/>
          <w:b w:val="0"/>
          <w:bCs w:val="0"/>
          <w:i/>
          <w:noProof/>
          <w:color w:val="auto"/>
          <w:sz w:val="22"/>
          <w:szCs w:val="24"/>
        </w:rPr>
        <w:fldChar w:fldCharType="begin"/>
      </w:r>
      <w:r w:rsidRPr="00F770CF">
        <w:rPr>
          <w:rFonts w:asciiTheme="minorHAnsi" w:hAnsiTheme="minorHAnsi"/>
          <w:b w:val="0"/>
          <w:bCs w:val="0"/>
          <w:i/>
          <w:noProof/>
          <w:color w:val="auto"/>
          <w:sz w:val="22"/>
          <w:szCs w:val="24"/>
        </w:rPr>
        <w:instrText xml:space="preserve"> SEQ Grafiku \* ARABIC </w:instrText>
      </w:r>
      <w:r w:rsidRPr="00F770CF">
        <w:rPr>
          <w:rFonts w:asciiTheme="minorHAnsi" w:hAnsiTheme="minorHAnsi"/>
          <w:b w:val="0"/>
          <w:bCs w:val="0"/>
          <w:i/>
          <w:noProof/>
          <w:color w:val="auto"/>
          <w:sz w:val="22"/>
          <w:szCs w:val="24"/>
        </w:rPr>
        <w:fldChar w:fldCharType="separate"/>
      </w:r>
      <w:r w:rsidR="00C153A9">
        <w:rPr>
          <w:rFonts w:asciiTheme="minorHAnsi" w:hAnsiTheme="minorHAnsi"/>
          <w:b w:val="0"/>
          <w:bCs w:val="0"/>
          <w:i/>
          <w:noProof/>
          <w:color w:val="auto"/>
          <w:sz w:val="22"/>
          <w:szCs w:val="24"/>
        </w:rPr>
        <w:t>42</w:t>
      </w:r>
      <w:r w:rsidRPr="00F770CF">
        <w:rPr>
          <w:rFonts w:asciiTheme="minorHAnsi" w:hAnsiTheme="minorHAnsi"/>
          <w:b w:val="0"/>
          <w:bCs w:val="0"/>
          <w:i/>
          <w:noProof/>
          <w:color w:val="auto"/>
          <w:sz w:val="22"/>
          <w:szCs w:val="24"/>
        </w:rPr>
        <w:fldChar w:fldCharType="end"/>
      </w:r>
      <w:r w:rsidRPr="00F770CF">
        <w:rPr>
          <w:rFonts w:asciiTheme="minorHAnsi" w:hAnsiTheme="minorHAnsi"/>
          <w:b w:val="0"/>
          <w:bCs w:val="0"/>
          <w:i/>
          <w:noProof/>
          <w:color w:val="auto"/>
          <w:sz w:val="22"/>
          <w:szCs w:val="24"/>
        </w:rPr>
        <w:t xml:space="preserve">: </w:t>
      </w:r>
      <w:r w:rsidR="001E1DE3" w:rsidRPr="001E1DE3">
        <w:rPr>
          <w:rFonts w:asciiTheme="minorHAnsi" w:hAnsiTheme="minorHAnsi"/>
          <w:b w:val="0"/>
          <w:bCs w:val="0"/>
          <w:i/>
          <w:noProof/>
          <w:color w:val="auto"/>
          <w:sz w:val="22"/>
          <w:szCs w:val="24"/>
          <w:lang w:val="sq-AL"/>
        </w:rPr>
        <w:t>Yield-et titujve shtetërorë</w:t>
      </w:r>
      <w:r w:rsidR="001E1DE3" w:rsidRPr="001E1DE3">
        <w:rPr>
          <w:rFonts w:asciiTheme="minorHAnsi" w:hAnsiTheme="minorHAnsi"/>
          <w:b w:val="0"/>
          <w:bCs w:val="0"/>
          <w:i/>
          <w:noProof/>
          <w:color w:val="auto"/>
          <w:sz w:val="22"/>
          <w:szCs w:val="24"/>
          <w:vertAlign w:val="superscript"/>
          <w:lang w:val="sq-AL"/>
        </w:rPr>
        <w:footnoteReference w:id="2"/>
      </w:r>
      <w:r w:rsidRPr="00F770CF">
        <w:rPr>
          <w:rFonts w:asciiTheme="minorHAnsi" w:hAnsiTheme="minorHAnsi"/>
          <w:b w:val="0"/>
          <w:bCs w:val="0"/>
          <w:i/>
          <w:noProof/>
          <w:color w:val="auto"/>
          <w:sz w:val="22"/>
          <w:szCs w:val="24"/>
        </w:rPr>
        <w:t xml:space="preserve"> (</w:t>
      </w:r>
      <w:r w:rsidR="00A0762A">
        <w:rPr>
          <w:rFonts w:asciiTheme="minorHAnsi" w:hAnsiTheme="minorHAnsi"/>
          <w:b w:val="0"/>
          <w:bCs w:val="0"/>
          <w:i/>
          <w:noProof/>
          <w:color w:val="auto"/>
          <w:sz w:val="22"/>
          <w:szCs w:val="24"/>
        </w:rPr>
        <w:t>Shtator 202</w:t>
      </w:r>
      <w:r w:rsidR="00DE57B1">
        <w:rPr>
          <w:rFonts w:asciiTheme="minorHAnsi" w:hAnsiTheme="minorHAnsi"/>
          <w:b w:val="0"/>
          <w:bCs w:val="0"/>
          <w:i/>
          <w:noProof/>
          <w:color w:val="auto"/>
          <w:sz w:val="22"/>
          <w:szCs w:val="24"/>
        </w:rPr>
        <w:t>2</w:t>
      </w:r>
      <w:r w:rsidR="00A0762A">
        <w:rPr>
          <w:rFonts w:asciiTheme="minorHAnsi" w:hAnsiTheme="minorHAnsi"/>
          <w:b w:val="0"/>
          <w:bCs w:val="0"/>
          <w:i/>
          <w:noProof/>
          <w:color w:val="auto"/>
          <w:sz w:val="22"/>
          <w:szCs w:val="24"/>
        </w:rPr>
        <w:t xml:space="preserve"> </w:t>
      </w:r>
      <w:r w:rsidRPr="00F770CF">
        <w:rPr>
          <w:rFonts w:asciiTheme="minorHAnsi" w:hAnsiTheme="minorHAnsi"/>
          <w:b w:val="0"/>
          <w:bCs w:val="0"/>
          <w:i/>
          <w:noProof/>
          <w:color w:val="auto"/>
          <w:sz w:val="22"/>
          <w:szCs w:val="24"/>
        </w:rPr>
        <w:t>-</w:t>
      </w:r>
      <w:r w:rsidR="00A0762A">
        <w:rPr>
          <w:rFonts w:asciiTheme="minorHAnsi" w:hAnsiTheme="minorHAnsi"/>
          <w:b w:val="0"/>
          <w:bCs w:val="0"/>
          <w:i/>
          <w:noProof/>
          <w:color w:val="auto"/>
          <w:sz w:val="22"/>
          <w:szCs w:val="24"/>
        </w:rPr>
        <w:t xml:space="preserve"> </w:t>
      </w:r>
      <w:r w:rsidRPr="00F770CF">
        <w:rPr>
          <w:rFonts w:asciiTheme="minorHAnsi" w:hAnsiTheme="minorHAnsi"/>
          <w:b w:val="0"/>
          <w:bCs w:val="0"/>
          <w:i/>
          <w:noProof/>
          <w:color w:val="auto"/>
          <w:sz w:val="22"/>
          <w:szCs w:val="24"/>
        </w:rPr>
        <w:t>Mars 202</w:t>
      </w:r>
      <w:r w:rsidR="00DE57B1">
        <w:rPr>
          <w:rFonts w:asciiTheme="minorHAnsi" w:hAnsiTheme="minorHAnsi"/>
          <w:b w:val="0"/>
          <w:bCs w:val="0"/>
          <w:i/>
          <w:noProof/>
          <w:color w:val="auto"/>
          <w:sz w:val="22"/>
          <w:szCs w:val="24"/>
        </w:rPr>
        <w:t>3</w:t>
      </w:r>
      <w:r w:rsidRPr="00F770CF">
        <w:rPr>
          <w:rFonts w:asciiTheme="minorHAnsi" w:hAnsiTheme="minorHAnsi"/>
          <w:b w:val="0"/>
          <w:bCs w:val="0"/>
          <w:i/>
          <w:noProof/>
          <w:color w:val="auto"/>
          <w:sz w:val="22"/>
          <w:szCs w:val="24"/>
        </w:rPr>
        <w:t>)</w:t>
      </w:r>
      <w:bookmarkEnd w:id="95"/>
    </w:p>
    <w:p w14:paraId="70DD35E3" w14:textId="77777777" w:rsidR="00513A75" w:rsidRPr="00EE0157" w:rsidRDefault="001E1DE3" w:rsidP="00DE2307">
      <w:pPr>
        <w:jc w:val="center"/>
      </w:pPr>
      <w:r w:rsidRPr="008757B8">
        <w:rPr>
          <w:rFonts w:asciiTheme="minorHAnsi" w:hAnsiTheme="minorHAnsi"/>
          <w:b/>
          <w:noProof/>
        </w:rPr>
        <w:drawing>
          <wp:inline distT="0" distB="0" distL="0" distR="0" wp14:anchorId="05E02585" wp14:editId="09115AEB">
            <wp:extent cx="5731510" cy="1460500"/>
            <wp:effectExtent l="0" t="0" r="2540" b="6350"/>
            <wp:docPr id="54" name="Chart 54">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1694943" w14:textId="77777777" w:rsidR="00513A75" w:rsidRDefault="001E1DE3" w:rsidP="00513A75">
      <w:pPr>
        <w:tabs>
          <w:tab w:val="left" w:pos="360"/>
        </w:tabs>
        <w:spacing w:after="240" w:line="276" w:lineRule="auto"/>
        <w:jc w:val="both"/>
        <w:rPr>
          <w:rFonts w:asciiTheme="minorHAnsi" w:hAnsiTheme="minorHAnsi"/>
          <w:i/>
          <w:sz w:val="20"/>
          <w:lang w:val="sq-AL"/>
        </w:rPr>
      </w:pPr>
      <w:r>
        <w:rPr>
          <w:rFonts w:asciiTheme="minorHAnsi" w:hAnsiTheme="minorHAnsi"/>
          <w:i/>
          <w:sz w:val="20"/>
          <w:lang w:val="sq-AL"/>
        </w:rPr>
        <w:tab/>
      </w:r>
      <w:r w:rsidR="00193978">
        <w:rPr>
          <w:rFonts w:asciiTheme="minorHAnsi" w:hAnsiTheme="minorHAnsi"/>
          <w:i/>
          <w:sz w:val="20"/>
          <w:lang w:val="sq-AL"/>
        </w:rPr>
        <w:t>Burimi: Ministria e Financave dhe Ekonomisë (2023)</w:t>
      </w:r>
    </w:p>
    <w:p w14:paraId="18B739D6" w14:textId="77777777" w:rsidR="00CB7741" w:rsidRPr="0065598A" w:rsidRDefault="00765663" w:rsidP="002334F6">
      <w:pPr>
        <w:pStyle w:val="Heading2"/>
      </w:pPr>
      <w:bookmarkStart w:id="96" w:name="_Toc107496994"/>
      <w:r w:rsidRPr="0065598A">
        <w:t>I</w:t>
      </w:r>
      <w:r w:rsidR="00CB7741" w:rsidRPr="0065598A">
        <w:t>V.3</w:t>
      </w:r>
      <w:r w:rsidR="00CB7741" w:rsidRPr="0065598A">
        <w:tab/>
        <w:t xml:space="preserve">Pritshmëritë </w:t>
      </w:r>
      <w:r w:rsidR="0085454B" w:rsidRPr="0065598A">
        <w:t xml:space="preserve">e Borxhit </w:t>
      </w:r>
      <w:r w:rsidR="00CB7741" w:rsidRPr="0065598A">
        <w:t>për vitin 20</w:t>
      </w:r>
      <w:r w:rsidR="001E18DB">
        <w:t>2</w:t>
      </w:r>
      <w:bookmarkEnd w:id="96"/>
      <w:r w:rsidR="00367A15">
        <w:t>3</w:t>
      </w:r>
    </w:p>
    <w:p w14:paraId="48328382" w14:textId="77777777" w:rsidR="00FF6BC9" w:rsidRDefault="001E1DE3" w:rsidP="00A0762A">
      <w:pPr>
        <w:tabs>
          <w:tab w:val="left" w:pos="2730"/>
        </w:tabs>
        <w:spacing w:before="240" w:line="276" w:lineRule="auto"/>
        <w:jc w:val="both"/>
        <w:rPr>
          <w:rFonts w:asciiTheme="minorHAnsi" w:hAnsiTheme="minorHAnsi"/>
          <w:lang w:val="sq-AL"/>
        </w:rPr>
      </w:pPr>
      <w:bookmarkStart w:id="97" w:name="_Toc10033283"/>
      <w:bookmarkStart w:id="98" w:name="_Toc10721420"/>
      <w:bookmarkStart w:id="99" w:name="_Toc11134240"/>
      <w:bookmarkStart w:id="100" w:name="_Toc10033286"/>
      <w:bookmarkStart w:id="101" w:name="_Toc10721423"/>
      <w:bookmarkStart w:id="102" w:name="_Toc11134243"/>
      <w:r w:rsidRPr="008757B8">
        <w:rPr>
          <w:rFonts w:asciiTheme="minorHAnsi" w:eastAsia="Calibri" w:hAnsiTheme="minorHAnsi"/>
          <w:noProof/>
          <w:lang w:eastAsia="ja-JP"/>
        </w:rPr>
        <w:t xml:space="preserve">Gjatë pjesës së mbetur të vitit 2023, menaxhimi i borxhit do të ketë në fokus plotësimin e nevojave për huamarrje në kuadër të rimëkëmbjes së ekonomisë pas situatës së krijuar nga ndikimi i konfliktit Rusi-Ukrainë, duke mbajtur në konsideratë përmirësimin e mëtejshëm të strukturës së borxhit </w:t>
      </w:r>
      <w:r w:rsidRPr="008757B8">
        <w:rPr>
          <w:rFonts w:asciiTheme="minorHAnsi" w:eastAsia="Calibri" w:hAnsiTheme="minorHAnsi"/>
          <w:i/>
          <w:noProof/>
          <w:lang w:eastAsia="ja-JP"/>
        </w:rPr>
        <w:t>(kryesisht strukturën e portofolit të borxhit të brendshëm)</w:t>
      </w:r>
      <w:r w:rsidRPr="008757B8">
        <w:rPr>
          <w:rFonts w:asciiTheme="minorHAnsi" w:eastAsia="Calibri" w:hAnsiTheme="minorHAnsi"/>
          <w:noProof/>
          <w:lang w:eastAsia="ja-JP"/>
        </w:rPr>
        <w:t xml:space="preserve"> në drejtim të uljes së ekspozimit ndaj risqeve, si edhe mbajtjes nën kontroll të kostos. Në tregun e brendshëm, nëpërmjet titujve afatshkurtër do të synohet kryesisht rifinancimi i titujve ekzistues, si dhe menaxhimi aktiv i nevojave për likuiditet. Ndërkohë, nëpërmjet titujve afatgjatë do të synohet të mbulohet financimi i deficitit. Financimi i huaj do të shërbejë si plotësues i burimeve të brendshme dhe përveç të tjerash edhe si optimizues i kostove të borxhit</w:t>
      </w:r>
      <w:r w:rsidR="00FF6BC9">
        <w:rPr>
          <w:rFonts w:asciiTheme="minorHAnsi" w:hAnsiTheme="minorHAnsi"/>
          <w:lang w:val="sq-AL"/>
        </w:rPr>
        <w:t xml:space="preserve">. </w:t>
      </w:r>
    </w:p>
    <w:p w14:paraId="23C437D7" w14:textId="77777777" w:rsidR="00562780" w:rsidRPr="006F15D6" w:rsidRDefault="00562780" w:rsidP="00D43A95">
      <w:pPr>
        <w:pStyle w:val="Heading1"/>
        <w:numPr>
          <w:ilvl w:val="0"/>
          <w:numId w:val="1"/>
        </w:numPr>
        <w:spacing w:line="276" w:lineRule="auto"/>
        <w:ind w:left="720"/>
        <w:jc w:val="both"/>
        <w:rPr>
          <w:sz w:val="32"/>
          <w:u w:val="none"/>
        </w:rPr>
      </w:pPr>
      <w:bookmarkStart w:id="103" w:name="_Toc107496995"/>
      <w:r w:rsidRPr="006F15D6">
        <w:rPr>
          <w:sz w:val="32"/>
          <w:u w:val="none"/>
        </w:rPr>
        <w:t>RREZIQET FISKALE DHE DETYRIMET KONTIGJENTE</w:t>
      </w:r>
      <w:bookmarkEnd w:id="97"/>
      <w:bookmarkEnd w:id="98"/>
      <w:bookmarkEnd w:id="103"/>
      <w:r w:rsidRPr="006F15D6">
        <w:rPr>
          <w:sz w:val="32"/>
          <w:u w:val="none"/>
        </w:rPr>
        <w:t xml:space="preserve"> </w:t>
      </w:r>
      <w:bookmarkEnd w:id="99"/>
    </w:p>
    <w:p w14:paraId="79338ADD" w14:textId="4519BB02" w:rsidR="00A60CC8" w:rsidRPr="00D77A28" w:rsidRDefault="00A60CC8" w:rsidP="007D226B">
      <w:pPr>
        <w:spacing w:before="120" w:line="276" w:lineRule="auto"/>
        <w:jc w:val="both"/>
        <w:rPr>
          <w:rFonts w:asciiTheme="minorHAnsi" w:hAnsiTheme="minorHAnsi"/>
          <w:lang w:val="sq-AL"/>
        </w:rPr>
      </w:pPr>
      <w:r w:rsidRPr="00D77A28">
        <w:rPr>
          <w:rFonts w:asciiTheme="minorHAnsi" w:hAnsiTheme="minorHAnsi"/>
          <w:lang w:val="sq-AL"/>
        </w:rPr>
        <w:t xml:space="preserve">Me qëllim ndjekjen e performancës të zbatimit të buxhetit të shtetit, Ministria e Financave dhe Ekonomisë me mbështetjen e FMN dhe BB që prej vitit 2017 ka nisur monitorimin e risqeve që shoqërojnë zbatimin e tij. Ky proces ka për qëllim që, në bazë të analizave të thelluara, të rekomandojë zbutjen dhe/apo parandalimin në kohë të rreziqeve fiskale, pasuar nga një vendimarrje koherente. Risqet fiskale janë faktorë që mund të shkaktojnë devijim nga parashikimet fiskale dhe buxhetore gjatë ciklit të buxhetit, si rrjedhojë e disa ngjarjeve të paparashikuara. Ato mund të lindin si pasojë e supozimeve dhe zhvillimeve makroekonomike, vendimeve </w:t>
      </w:r>
      <w:r w:rsidRPr="000D4371">
        <w:rPr>
          <w:rFonts w:asciiTheme="minorHAnsi" w:hAnsiTheme="minorHAnsi"/>
          <w:i/>
          <w:lang w:val="sq-AL"/>
        </w:rPr>
        <w:t>ad-hoc</w:t>
      </w:r>
      <w:r w:rsidRPr="00D77A28">
        <w:rPr>
          <w:rFonts w:asciiTheme="minorHAnsi" w:hAnsiTheme="minorHAnsi"/>
          <w:lang w:val="sq-AL"/>
        </w:rPr>
        <w:t xml:space="preserve"> mbi politikën fiskale dhe/ose materializimin e detyrimeve kontingjente. Vlerësimi i probabilitetit dhe ndikimit të risqeve fiskale kryhet në bazë të analizave të thelluara dhe parashikimeve në kuadër të Buxhetit </w:t>
      </w:r>
      <w:r>
        <w:rPr>
          <w:rFonts w:asciiTheme="minorHAnsi" w:hAnsiTheme="minorHAnsi"/>
          <w:lang w:val="sq-AL"/>
        </w:rPr>
        <w:t>A</w:t>
      </w:r>
      <w:r w:rsidRPr="00D77A28">
        <w:rPr>
          <w:rFonts w:asciiTheme="minorHAnsi" w:hAnsiTheme="minorHAnsi"/>
          <w:lang w:val="sq-AL"/>
        </w:rPr>
        <w:t xml:space="preserve">fatmesëm. Përkatësisht vlerësohen </w:t>
      </w:r>
      <w:r w:rsidRPr="000D4371">
        <w:rPr>
          <w:rFonts w:asciiTheme="minorHAnsi" w:hAnsiTheme="minorHAnsi"/>
          <w:u w:val="single"/>
          <w:lang w:val="sq-AL"/>
        </w:rPr>
        <w:t>dy kategori risqesh</w:t>
      </w:r>
      <w:r w:rsidRPr="00D77A28">
        <w:rPr>
          <w:rFonts w:asciiTheme="minorHAnsi" w:hAnsiTheme="minorHAnsi"/>
          <w:lang w:val="sq-AL"/>
        </w:rPr>
        <w:t>:</w:t>
      </w:r>
    </w:p>
    <w:p w14:paraId="49633E77" w14:textId="77777777" w:rsidR="00A60CC8" w:rsidRPr="006F15D6" w:rsidRDefault="00A60CC8" w:rsidP="00056DE5">
      <w:pPr>
        <w:pStyle w:val="ListParagraph"/>
        <w:numPr>
          <w:ilvl w:val="0"/>
          <w:numId w:val="14"/>
        </w:numPr>
        <w:spacing w:line="276" w:lineRule="auto"/>
        <w:jc w:val="both"/>
        <w:rPr>
          <w:rFonts w:asciiTheme="minorHAnsi" w:hAnsiTheme="minorHAnsi"/>
          <w:i/>
          <w:lang w:val="sq-AL"/>
        </w:rPr>
      </w:pPr>
      <w:r w:rsidRPr="006F15D6">
        <w:rPr>
          <w:rFonts w:asciiTheme="minorHAnsi" w:hAnsiTheme="minorHAnsi"/>
          <w:i/>
          <w:u w:val="single"/>
          <w:lang w:val="sq-AL"/>
        </w:rPr>
        <w:t>“Eksplicite”</w:t>
      </w:r>
      <w:r w:rsidRPr="006F15D6">
        <w:rPr>
          <w:rFonts w:asciiTheme="minorHAnsi" w:hAnsiTheme="minorHAnsi"/>
          <w:i/>
          <w:lang w:val="sq-AL"/>
        </w:rPr>
        <w:t>, Detyrime të njohura nga qeveria dhe të bazuara në legjislacionin në fuqi apo kontrata të ndryshme të cilat mund të lidhen me supozimet dhe zhvillimet makroekonomike, të ardhurat e qeverisë, shpenzimet e përgjithshme të qeverisë, shpenzimet dhe menaxhimin e borxhit, etj.</w:t>
      </w:r>
    </w:p>
    <w:p w14:paraId="7F603092" w14:textId="77777777" w:rsidR="00A60CC8" w:rsidRDefault="00A60CC8" w:rsidP="00056DE5">
      <w:pPr>
        <w:pStyle w:val="ListParagraph"/>
        <w:numPr>
          <w:ilvl w:val="0"/>
          <w:numId w:val="14"/>
        </w:numPr>
        <w:spacing w:line="276" w:lineRule="auto"/>
        <w:jc w:val="both"/>
        <w:rPr>
          <w:rFonts w:asciiTheme="minorHAnsi" w:hAnsiTheme="minorHAnsi"/>
          <w:i/>
          <w:lang w:val="sq-AL"/>
        </w:rPr>
      </w:pPr>
      <w:r w:rsidRPr="006F15D6">
        <w:rPr>
          <w:rFonts w:asciiTheme="minorHAnsi" w:hAnsiTheme="minorHAnsi"/>
          <w:i/>
          <w:u w:val="single"/>
          <w:lang w:val="sq-AL"/>
        </w:rPr>
        <w:t>“Implicite”,</w:t>
      </w:r>
      <w:r w:rsidRPr="006F15D6">
        <w:rPr>
          <w:rFonts w:asciiTheme="minorHAnsi" w:hAnsiTheme="minorHAnsi"/>
          <w:i/>
          <w:lang w:val="sq-AL"/>
        </w:rPr>
        <w:t xml:space="preserve"> kontingjente, Detyrime (indirekte) që mund të lindin si pasojë e presionit politik apo presionit të grupeve të ndryshme të interesit si detyrimet e lidhura me PPP-të, ato të vetëqeverisjes vendore, ndërmarrjet publike me kapital shtetëror, risqe të tjera si vendime gjyqësore, fatkeqësi natyrore dhe sektori financiar apo risqet afatgjata.</w:t>
      </w:r>
    </w:p>
    <w:p w14:paraId="7D543A2E" w14:textId="77777777" w:rsidR="00325B8D" w:rsidRPr="007D226B" w:rsidRDefault="00325B8D" w:rsidP="00325B8D">
      <w:pPr>
        <w:spacing w:line="276" w:lineRule="auto"/>
        <w:jc w:val="both"/>
        <w:rPr>
          <w:rFonts w:asciiTheme="minorHAnsi" w:hAnsiTheme="minorHAnsi"/>
          <w:i/>
          <w:sz w:val="8"/>
          <w:lang w:val="sq-AL"/>
        </w:rPr>
      </w:pPr>
    </w:p>
    <w:p w14:paraId="2349006E" w14:textId="48532064" w:rsidR="00A60CC8" w:rsidRPr="00343167" w:rsidRDefault="00343167" w:rsidP="00343167">
      <w:pPr>
        <w:pStyle w:val="Caption"/>
        <w:keepNext/>
        <w:spacing w:after="0"/>
        <w:rPr>
          <w:rFonts w:asciiTheme="minorHAnsi" w:hAnsiTheme="minorHAnsi"/>
          <w:b w:val="0"/>
          <w:bCs w:val="0"/>
          <w:i/>
          <w:noProof/>
          <w:color w:val="auto"/>
          <w:sz w:val="22"/>
          <w:szCs w:val="24"/>
        </w:rPr>
      </w:pPr>
      <w:bookmarkStart w:id="104" w:name="_Toc107496750"/>
      <w:r w:rsidRPr="00343167">
        <w:rPr>
          <w:rFonts w:asciiTheme="minorHAnsi" w:hAnsiTheme="minorHAnsi"/>
          <w:b w:val="0"/>
          <w:bCs w:val="0"/>
          <w:i/>
          <w:noProof/>
          <w:color w:val="auto"/>
          <w:sz w:val="22"/>
          <w:szCs w:val="24"/>
        </w:rPr>
        <w:lastRenderedPageBreak/>
        <w:t xml:space="preserve">Tabela </w:t>
      </w:r>
      <w:r w:rsidRPr="00343167">
        <w:rPr>
          <w:rFonts w:asciiTheme="minorHAnsi" w:hAnsiTheme="minorHAnsi"/>
          <w:b w:val="0"/>
          <w:bCs w:val="0"/>
          <w:i/>
          <w:noProof/>
          <w:color w:val="auto"/>
          <w:sz w:val="22"/>
          <w:szCs w:val="24"/>
        </w:rPr>
        <w:fldChar w:fldCharType="begin"/>
      </w:r>
      <w:r w:rsidRPr="00343167">
        <w:rPr>
          <w:rFonts w:asciiTheme="minorHAnsi" w:hAnsiTheme="minorHAnsi"/>
          <w:b w:val="0"/>
          <w:bCs w:val="0"/>
          <w:i/>
          <w:noProof/>
          <w:color w:val="auto"/>
          <w:sz w:val="22"/>
          <w:szCs w:val="24"/>
        </w:rPr>
        <w:instrText xml:space="preserve"> SEQ Tabela \* ARABIC </w:instrText>
      </w:r>
      <w:r w:rsidRPr="00343167">
        <w:rPr>
          <w:rFonts w:asciiTheme="minorHAnsi" w:hAnsiTheme="minorHAnsi"/>
          <w:b w:val="0"/>
          <w:bCs w:val="0"/>
          <w:i/>
          <w:noProof/>
          <w:color w:val="auto"/>
          <w:sz w:val="22"/>
          <w:szCs w:val="24"/>
        </w:rPr>
        <w:fldChar w:fldCharType="separate"/>
      </w:r>
      <w:r w:rsidR="00C153A9">
        <w:rPr>
          <w:rFonts w:asciiTheme="minorHAnsi" w:hAnsiTheme="minorHAnsi"/>
          <w:b w:val="0"/>
          <w:bCs w:val="0"/>
          <w:i/>
          <w:noProof/>
          <w:color w:val="auto"/>
          <w:sz w:val="22"/>
          <w:szCs w:val="24"/>
        </w:rPr>
        <w:t>14</w:t>
      </w:r>
      <w:r w:rsidRPr="00343167">
        <w:rPr>
          <w:rFonts w:asciiTheme="minorHAnsi" w:hAnsiTheme="minorHAnsi"/>
          <w:b w:val="0"/>
          <w:bCs w:val="0"/>
          <w:i/>
          <w:noProof/>
          <w:color w:val="auto"/>
          <w:sz w:val="22"/>
          <w:szCs w:val="24"/>
        </w:rPr>
        <w:fldChar w:fldCharType="end"/>
      </w:r>
      <w:r w:rsidR="00A60CC8" w:rsidRPr="00343167">
        <w:rPr>
          <w:rFonts w:asciiTheme="minorHAnsi" w:hAnsiTheme="minorHAnsi"/>
          <w:b w:val="0"/>
          <w:bCs w:val="0"/>
          <w:i/>
          <w:noProof/>
          <w:color w:val="auto"/>
          <w:sz w:val="22"/>
          <w:szCs w:val="24"/>
        </w:rPr>
        <w:t>: Matrica e riskut</w:t>
      </w:r>
      <w:bookmarkEnd w:id="104"/>
    </w:p>
    <w:tbl>
      <w:tblPr>
        <w:tblStyle w:val="GridTable4-Accent11"/>
        <w:tblW w:w="5426" w:type="pct"/>
        <w:jc w:val="center"/>
        <w:tblLook w:val="04A0" w:firstRow="1" w:lastRow="0" w:firstColumn="1" w:lastColumn="0" w:noHBand="0" w:noVBand="1"/>
      </w:tblPr>
      <w:tblGrid>
        <w:gridCol w:w="2775"/>
        <w:gridCol w:w="7665"/>
      </w:tblGrid>
      <w:tr w:rsidR="00A60CC8" w:rsidRPr="00EC407D" w14:paraId="5245437F" w14:textId="77777777" w:rsidTr="006F15D6">
        <w:trPr>
          <w:cnfStyle w:val="100000000000" w:firstRow="1" w:lastRow="0" w:firstColumn="0" w:lastColumn="0" w:oddVBand="0" w:evenVBand="0" w:oddHBand="0" w:evenHBand="0" w:firstRowFirstColumn="0" w:firstRowLastColumn="0" w:lastRowFirstColumn="0" w:lastRowLastColumn="0"/>
          <w:trHeight w:val="185"/>
          <w:jc w:val="center"/>
        </w:trPr>
        <w:tc>
          <w:tcPr>
            <w:cnfStyle w:val="001000000000" w:firstRow="0" w:lastRow="0" w:firstColumn="1" w:lastColumn="0" w:oddVBand="0" w:evenVBand="0" w:oddHBand="0" w:evenHBand="0" w:firstRowFirstColumn="0" w:firstRowLastColumn="0" w:lastRowFirstColumn="0" w:lastRowLastColumn="0"/>
            <w:tcW w:w="1329" w:type="pct"/>
            <w:hideMark/>
          </w:tcPr>
          <w:p w14:paraId="42A25068" w14:textId="77777777" w:rsidR="00A60CC8" w:rsidRPr="00EC407D" w:rsidRDefault="00A60CC8" w:rsidP="006F15D6">
            <w:pPr>
              <w:jc w:val="center"/>
              <w:rPr>
                <w:rFonts w:cs="Times New Roman"/>
                <w:b w:val="0"/>
                <w:bCs w:val="0"/>
                <w:kern w:val="24"/>
                <w:sz w:val="20"/>
                <w:lang w:val="sq-AL" w:eastAsia="nb-NO"/>
              </w:rPr>
            </w:pPr>
          </w:p>
          <w:p w14:paraId="67F37474" w14:textId="77777777" w:rsidR="00A60CC8" w:rsidRPr="00EC407D" w:rsidRDefault="00A60CC8" w:rsidP="006F15D6">
            <w:pPr>
              <w:jc w:val="center"/>
              <w:rPr>
                <w:rFonts w:cs="Times New Roman"/>
                <w:sz w:val="20"/>
                <w:lang w:val="sq-AL" w:eastAsia="nb-NO"/>
              </w:rPr>
            </w:pPr>
            <w:r w:rsidRPr="00EC407D">
              <w:rPr>
                <w:rFonts w:cs="Times New Roman"/>
                <w:kern w:val="24"/>
                <w:sz w:val="20"/>
                <w:lang w:val="sq-AL" w:eastAsia="nb-NO"/>
              </w:rPr>
              <w:t>Lloji i rrezikut</w:t>
            </w:r>
          </w:p>
        </w:tc>
        <w:tc>
          <w:tcPr>
            <w:tcW w:w="3671" w:type="pct"/>
            <w:hideMark/>
          </w:tcPr>
          <w:p w14:paraId="01C77BB5" w14:textId="77777777" w:rsidR="00A60CC8" w:rsidRPr="00EC407D" w:rsidRDefault="00A60CC8" w:rsidP="006F15D6">
            <w:pPr>
              <w:jc w:val="center"/>
              <w:cnfStyle w:val="100000000000" w:firstRow="1" w:lastRow="0" w:firstColumn="0" w:lastColumn="0" w:oddVBand="0" w:evenVBand="0" w:oddHBand="0" w:evenHBand="0" w:firstRowFirstColumn="0" w:firstRowLastColumn="0" w:lastRowFirstColumn="0" w:lastRowLastColumn="0"/>
              <w:rPr>
                <w:rFonts w:cs="Times New Roman"/>
                <w:b w:val="0"/>
                <w:bCs w:val="0"/>
                <w:kern w:val="24"/>
                <w:sz w:val="20"/>
                <w:lang w:val="sq-AL" w:eastAsia="nb-NO"/>
              </w:rPr>
            </w:pPr>
          </w:p>
          <w:p w14:paraId="5CE18201" w14:textId="77777777" w:rsidR="00A60CC8" w:rsidRPr="00EC407D" w:rsidRDefault="00A60CC8" w:rsidP="006F15D6">
            <w:pPr>
              <w:jc w:val="center"/>
              <w:cnfStyle w:val="100000000000" w:firstRow="1" w:lastRow="0" w:firstColumn="0" w:lastColumn="0" w:oddVBand="0" w:evenVBand="0" w:oddHBand="0" w:evenHBand="0" w:firstRowFirstColumn="0" w:firstRowLastColumn="0" w:lastRowFirstColumn="0" w:lastRowLastColumn="0"/>
              <w:rPr>
                <w:rFonts w:cs="Times New Roman"/>
                <w:sz w:val="20"/>
                <w:lang w:val="sq-AL" w:eastAsia="nb-NO"/>
              </w:rPr>
            </w:pPr>
            <w:r w:rsidRPr="00EC407D">
              <w:rPr>
                <w:rFonts w:cs="Times New Roman"/>
                <w:kern w:val="24"/>
                <w:sz w:val="20"/>
                <w:lang w:val="sq-AL" w:eastAsia="nb-NO"/>
              </w:rPr>
              <w:t>Skenarët e mundshëm</w:t>
            </w:r>
          </w:p>
        </w:tc>
      </w:tr>
      <w:tr w:rsidR="00A60CC8" w:rsidRPr="00EC407D" w14:paraId="68816670" w14:textId="77777777" w:rsidTr="006F15D6">
        <w:trPr>
          <w:cnfStyle w:val="000000100000" w:firstRow="0" w:lastRow="0" w:firstColumn="0" w:lastColumn="0" w:oddVBand="0" w:evenVBand="0" w:oddHBand="1"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5000" w:type="pct"/>
            <w:gridSpan w:val="2"/>
            <w:hideMark/>
          </w:tcPr>
          <w:p w14:paraId="463B3587" w14:textId="77777777" w:rsidR="00A60CC8" w:rsidRPr="00EC407D" w:rsidRDefault="00A60CC8" w:rsidP="006F15D6">
            <w:pPr>
              <w:jc w:val="center"/>
              <w:rPr>
                <w:rFonts w:cs="Times New Roman"/>
                <w:b w:val="0"/>
                <w:bCs w:val="0"/>
                <w:color w:val="C00000"/>
                <w:kern w:val="24"/>
                <w:sz w:val="20"/>
                <w:lang w:val="sq-AL" w:eastAsia="nb-NO"/>
              </w:rPr>
            </w:pPr>
            <w:r w:rsidRPr="00EC407D">
              <w:rPr>
                <w:rFonts w:cs="Times New Roman"/>
                <w:color w:val="C00000"/>
                <w:kern w:val="24"/>
                <w:sz w:val="20"/>
                <w:lang w:val="sq-AL" w:eastAsia="nb-NO"/>
              </w:rPr>
              <w:t xml:space="preserve">Risqet dhe detyrimet </w:t>
            </w:r>
            <w:r w:rsidRPr="00EC407D">
              <w:rPr>
                <w:rFonts w:cs="Times New Roman"/>
                <w:color w:val="C00000"/>
                <w:kern w:val="24"/>
                <w:sz w:val="20"/>
                <w:u w:val="single"/>
                <w:lang w:val="sq-AL" w:eastAsia="nb-NO"/>
              </w:rPr>
              <w:t>eksplicite</w:t>
            </w:r>
          </w:p>
        </w:tc>
      </w:tr>
      <w:tr w:rsidR="00A60CC8" w:rsidRPr="00EC407D" w14:paraId="119346C2" w14:textId="77777777" w:rsidTr="006F15D6">
        <w:trPr>
          <w:trHeight w:val="333"/>
          <w:jc w:val="center"/>
        </w:trPr>
        <w:tc>
          <w:tcPr>
            <w:cnfStyle w:val="001000000000" w:firstRow="0" w:lastRow="0" w:firstColumn="1" w:lastColumn="0" w:oddVBand="0" w:evenVBand="0" w:oddHBand="0" w:evenHBand="0" w:firstRowFirstColumn="0" w:firstRowLastColumn="0" w:lastRowFirstColumn="0" w:lastRowLastColumn="0"/>
            <w:tcW w:w="1329" w:type="pct"/>
            <w:hideMark/>
          </w:tcPr>
          <w:p w14:paraId="4743D431" w14:textId="77777777" w:rsidR="00A60CC8" w:rsidRPr="007000D1" w:rsidRDefault="00A60CC8" w:rsidP="006F15D6">
            <w:pPr>
              <w:jc w:val="center"/>
              <w:rPr>
                <w:rFonts w:cs="Times New Roman"/>
                <w:b w:val="0"/>
                <w:bCs w:val="0"/>
                <w:color w:val="000000"/>
                <w:kern w:val="24"/>
                <w:sz w:val="8"/>
                <w:szCs w:val="8"/>
                <w:lang w:val="sq-AL" w:eastAsia="nb-NO"/>
              </w:rPr>
            </w:pPr>
          </w:p>
          <w:p w14:paraId="10303F29" w14:textId="77777777" w:rsidR="00A60CC8" w:rsidRPr="00EC407D" w:rsidRDefault="00A60CC8" w:rsidP="006F15D6">
            <w:pPr>
              <w:jc w:val="center"/>
              <w:rPr>
                <w:rFonts w:cs="Times New Roman"/>
                <w:sz w:val="20"/>
                <w:lang w:val="sq-AL" w:eastAsia="nb-NO"/>
              </w:rPr>
            </w:pPr>
            <w:r w:rsidRPr="00EC407D">
              <w:rPr>
                <w:rFonts w:cs="Times New Roman"/>
                <w:color w:val="000000"/>
                <w:kern w:val="24"/>
                <w:sz w:val="20"/>
                <w:lang w:val="sq-AL" w:eastAsia="nb-NO"/>
              </w:rPr>
              <w:t>Goditje Makroekonomike</w:t>
            </w:r>
          </w:p>
        </w:tc>
        <w:tc>
          <w:tcPr>
            <w:tcW w:w="3671" w:type="pct"/>
            <w:hideMark/>
          </w:tcPr>
          <w:p w14:paraId="25F3B5D4" w14:textId="77777777" w:rsidR="00A60CC8" w:rsidRPr="00EC407D" w:rsidRDefault="00A60CC8" w:rsidP="006F15D6">
            <w:pPr>
              <w:jc w:val="center"/>
              <w:cnfStyle w:val="000000000000" w:firstRow="0" w:lastRow="0" w:firstColumn="0" w:lastColumn="0" w:oddVBand="0" w:evenVBand="0" w:oddHBand="0" w:evenHBand="0" w:firstRowFirstColumn="0" w:firstRowLastColumn="0" w:lastRowFirstColumn="0" w:lastRowLastColumn="0"/>
              <w:rPr>
                <w:rFonts w:cs="Times New Roman"/>
                <w:color w:val="000000"/>
                <w:kern w:val="24"/>
                <w:sz w:val="20"/>
                <w:lang w:val="sq-AL" w:eastAsia="nb-NO"/>
              </w:rPr>
            </w:pPr>
            <w:r w:rsidRPr="00EC407D">
              <w:rPr>
                <w:rFonts w:cs="Times New Roman"/>
                <w:color w:val="000000"/>
                <w:kern w:val="24"/>
                <w:sz w:val="20"/>
                <w:lang w:val="sq-AL" w:eastAsia="nb-NO"/>
              </w:rPr>
              <w:t>Zhvillime  makroekonomike të paparashikuara, që mund të ndryshojnë perspektivën e rritjes ekonomike dhe pozicionin fiskal</w:t>
            </w:r>
          </w:p>
        </w:tc>
      </w:tr>
      <w:tr w:rsidR="00A60CC8" w:rsidRPr="00EC407D" w14:paraId="613BD8F6" w14:textId="77777777" w:rsidTr="006F15D6">
        <w:trPr>
          <w:cnfStyle w:val="000000100000" w:firstRow="0" w:lastRow="0" w:firstColumn="0" w:lastColumn="0" w:oddVBand="0" w:evenVBand="0" w:oddHBand="1" w:evenHBand="0" w:firstRowFirstColumn="0" w:firstRowLastColumn="0" w:lastRowFirstColumn="0" w:lastRowLastColumn="0"/>
          <w:trHeight w:val="37"/>
          <w:jc w:val="center"/>
        </w:trPr>
        <w:tc>
          <w:tcPr>
            <w:cnfStyle w:val="001000000000" w:firstRow="0" w:lastRow="0" w:firstColumn="1" w:lastColumn="0" w:oddVBand="0" w:evenVBand="0" w:oddHBand="0" w:evenHBand="0" w:firstRowFirstColumn="0" w:firstRowLastColumn="0" w:lastRowFirstColumn="0" w:lastRowLastColumn="0"/>
            <w:tcW w:w="1329" w:type="pct"/>
            <w:hideMark/>
          </w:tcPr>
          <w:p w14:paraId="5A0E318E" w14:textId="77777777" w:rsidR="00A60CC8" w:rsidRPr="007000D1" w:rsidRDefault="00A60CC8" w:rsidP="006F15D6">
            <w:pPr>
              <w:jc w:val="center"/>
              <w:rPr>
                <w:rFonts w:cs="Times New Roman"/>
                <w:b w:val="0"/>
                <w:bCs w:val="0"/>
                <w:color w:val="000000"/>
                <w:kern w:val="24"/>
                <w:sz w:val="8"/>
                <w:szCs w:val="8"/>
                <w:lang w:val="sq-AL" w:eastAsia="nb-NO"/>
              </w:rPr>
            </w:pPr>
          </w:p>
          <w:p w14:paraId="6D8FED73" w14:textId="77777777" w:rsidR="00A60CC8" w:rsidRPr="00EC407D" w:rsidRDefault="00A60CC8" w:rsidP="006F15D6">
            <w:pPr>
              <w:jc w:val="center"/>
              <w:rPr>
                <w:rFonts w:cs="Times New Roman"/>
                <w:sz w:val="20"/>
                <w:lang w:val="sq-AL" w:eastAsia="nb-NO"/>
              </w:rPr>
            </w:pPr>
            <w:r w:rsidRPr="00EC407D">
              <w:rPr>
                <w:rFonts w:cs="Times New Roman"/>
                <w:color w:val="000000"/>
                <w:kern w:val="24"/>
                <w:sz w:val="20"/>
                <w:lang w:val="sq-AL" w:eastAsia="nb-NO"/>
              </w:rPr>
              <w:t>Parashikimi i të ardhurave</w:t>
            </w:r>
          </w:p>
        </w:tc>
        <w:tc>
          <w:tcPr>
            <w:tcW w:w="3671" w:type="pct"/>
            <w:hideMark/>
          </w:tcPr>
          <w:p w14:paraId="45953EF3" w14:textId="77777777" w:rsidR="00A60CC8" w:rsidRPr="007000D1" w:rsidRDefault="00A60CC8" w:rsidP="006F15D6">
            <w:pPr>
              <w:jc w:val="center"/>
              <w:cnfStyle w:val="000000100000" w:firstRow="0" w:lastRow="0" w:firstColumn="0" w:lastColumn="0" w:oddVBand="0" w:evenVBand="0" w:oddHBand="1" w:evenHBand="0" w:firstRowFirstColumn="0" w:firstRowLastColumn="0" w:lastRowFirstColumn="0" w:lastRowLastColumn="0"/>
              <w:rPr>
                <w:rFonts w:cs="Times New Roman"/>
                <w:color w:val="000000"/>
                <w:kern w:val="24"/>
                <w:sz w:val="8"/>
                <w:lang w:val="sq-AL" w:eastAsia="nb-NO"/>
              </w:rPr>
            </w:pPr>
          </w:p>
          <w:p w14:paraId="099CD8F5" w14:textId="77777777" w:rsidR="00A60CC8" w:rsidRPr="00EC407D" w:rsidRDefault="00A60CC8" w:rsidP="006F15D6">
            <w:pPr>
              <w:jc w:val="center"/>
              <w:cnfStyle w:val="000000100000" w:firstRow="0" w:lastRow="0" w:firstColumn="0" w:lastColumn="0" w:oddVBand="0" w:evenVBand="0" w:oddHBand="1" w:evenHBand="0" w:firstRowFirstColumn="0" w:firstRowLastColumn="0" w:lastRowFirstColumn="0" w:lastRowLastColumn="0"/>
              <w:rPr>
                <w:rFonts w:cs="Times New Roman"/>
                <w:color w:val="000000"/>
                <w:kern w:val="24"/>
                <w:sz w:val="20"/>
                <w:lang w:val="sq-AL" w:eastAsia="nb-NO"/>
              </w:rPr>
            </w:pPr>
            <w:r w:rsidRPr="00EC407D">
              <w:rPr>
                <w:rFonts w:cs="Times New Roman"/>
                <w:color w:val="000000"/>
                <w:kern w:val="24"/>
                <w:sz w:val="20"/>
                <w:lang w:val="sq-AL" w:eastAsia="nb-NO"/>
              </w:rPr>
              <w:t>Mosrealizimi i të ardhurave, që mund të sjellë përkeqësimin e bilancit fiskal</w:t>
            </w:r>
          </w:p>
        </w:tc>
      </w:tr>
      <w:tr w:rsidR="00A60CC8" w:rsidRPr="00EC407D" w14:paraId="1BFDC3C3" w14:textId="77777777" w:rsidTr="006F15D6">
        <w:trPr>
          <w:trHeight w:val="37"/>
          <w:jc w:val="center"/>
        </w:trPr>
        <w:tc>
          <w:tcPr>
            <w:cnfStyle w:val="001000000000" w:firstRow="0" w:lastRow="0" w:firstColumn="1" w:lastColumn="0" w:oddVBand="0" w:evenVBand="0" w:oddHBand="0" w:evenHBand="0" w:firstRowFirstColumn="0" w:firstRowLastColumn="0" w:lastRowFirstColumn="0" w:lastRowLastColumn="0"/>
            <w:tcW w:w="1329" w:type="pct"/>
            <w:hideMark/>
          </w:tcPr>
          <w:p w14:paraId="4FFF4AC7" w14:textId="77777777" w:rsidR="00A60CC8" w:rsidRPr="007000D1" w:rsidRDefault="00A60CC8" w:rsidP="006F15D6">
            <w:pPr>
              <w:jc w:val="center"/>
              <w:rPr>
                <w:rFonts w:cs="Times New Roman"/>
                <w:b w:val="0"/>
                <w:bCs w:val="0"/>
                <w:color w:val="000000"/>
                <w:kern w:val="24"/>
                <w:sz w:val="8"/>
                <w:szCs w:val="8"/>
                <w:lang w:val="sq-AL" w:eastAsia="nb-NO"/>
              </w:rPr>
            </w:pPr>
          </w:p>
          <w:p w14:paraId="0FE4A656" w14:textId="77777777" w:rsidR="00A60CC8" w:rsidRPr="00EC407D" w:rsidRDefault="00A60CC8" w:rsidP="006F15D6">
            <w:pPr>
              <w:jc w:val="center"/>
              <w:rPr>
                <w:rFonts w:cs="Times New Roman"/>
                <w:sz w:val="20"/>
                <w:lang w:val="sq-AL" w:eastAsia="nb-NO"/>
              </w:rPr>
            </w:pPr>
            <w:r w:rsidRPr="00EC407D">
              <w:rPr>
                <w:rFonts w:cs="Times New Roman"/>
                <w:color w:val="000000"/>
                <w:kern w:val="24"/>
                <w:sz w:val="20"/>
                <w:lang w:val="sq-AL" w:eastAsia="nb-NO"/>
              </w:rPr>
              <w:t>Shpenzime të paplanifikuara</w:t>
            </w:r>
          </w:p>
        </w:tc>
        <w:tc>
          <w:tcPr>
            <w:tcW w:w="3671" w:type="pct"/>
            <w:hideMark/>
          </w:tcPr>
          <w:p w14:paraId="51CDF640" w14:textId="77777777" w:rsidR="00A60CC8" w:rsidRPr="007000D1" w:rsidRDefault="00A60CC8" w:rsidP="006F15D6">
            <w:pPr>
              <w:jc w:val="center"/>
              <w:cnfStyle w:val="000000000000" w:firstRow="0" w:lastRow="0" w:firstColumn="0" w:lastColumn="0" w:oddVBand="0" w:evenVBand="0" w:oddHBand="0" w:evenHBand="0" w:firstRowFirstColumn="0" w:firstRowLastColumn="0" w:lastRowFirstColumn="0" w:lastRowLastColumn="0"/>
              <w:rPr>
                <w:rFonts w:cs="Times New Roman"/>
                <w:color w:val="000000"/>
                <w:kern w:val="24"/>
                <w:sz w:val="8"/>
                <w:szCs w:val="8"/>
                <w:lang w:val="sq-AL" w:eastAsia="nb-NO"/>
              </w:rPr>
            </w:pPr>
          </w:p>
          <w:p w14:paraId="656CDA40" w14:textId="77777777" w:rsidR="00A60CC8" w:rsidRPr="00EC407D" w:rsidRDefault="00A60CC8" w:rsidP="006F15D6">
            <w:pPr>
              <w:jc w:val="center"/>
              <w:cnfStyle w:val="000000000000" w:firstRow="0" w:lastRow="0" w:firstColumn="0" w:lastColumn="0" w:oddVBand="0" w:evenVBand="0" w:oddHBand="0" w:evenHBand="0" w:firstRowFirstColumn="0" w:firstRowLastColumn="0" w:lastRowFirstColumn="0" w:lastRowLastColumn="0"/>
              <w:rPr>
                <w:rFonts w:cs="Times New Roman"/>
                <w:color w:val="000000"/>
                <w:kern w:val="24"/>
                <w:sz w:val="20"/>
                <w:lang w:val="sq-AL" w:eastAsia="nb-NO"/>
              </w:rPr>
            </w:pPr>
            <w:r w:rsidRPr="00EC407D">
              <w:rPr>
                <w:rFonts w:cs="Times New Roman"/>
                <w:color w:val="000000"/>
                <w:kern w:val="24"/>
                <w:sz w:val="20"/>
                <w:lang w:val="sq-AL" w:eastAsia="nb-NO"/>
              </w:rPr>
              <w:t>Detyrime ligjore ose presione politike, që mund të sjellin rishpërndarje të shpenzimeve</w:t>
            </w:r>
          </w:p>
        </w:tc>
      </w:tr>
      <w:tr w:rsidR="00A60CC8" w:rsidRPr="00EC407D" w14:paraId="6756623A" w14:textId="77777777" w:rsidTr="006F15D6">
        <w:trPr>
          <w:cnfStyle w:val="000000100000" w:firstRow="0" w:lastRow="0" w:firstColumn="0" w:lastColumn="0" w:oddVBand="0" w:evenVBand="0" w:oddHBand="1" w:evenHBand="0" w:firstRowFirstColumn="0" w:firstRowLastColumn="0" w:lastRowFirstColumn="0" w:lastRowLastColumn="0"/>
          <w:trHeight w:val="37"/>
          <w:jc w:val="center"/>
        </w:trPr>
        <w:tc>
          <w:tcPr>
            <w:cnfStyle w:val="001000000000" w:firstRow="0" w:lastRow="0" w:firstColumn="1" w:lastColumn="0" w:oddVBand="0" w:evenVBand="0" w:oddHBand="0" w:evenHBand="0" w:firstRowFirstColumn="0" w:firstRowLastColumn="0" w:lastRowFirstColumn="0" w:lastRowLastColumn="0"/>
            <w:tcW w:w="1329" w:type="pct"/>
            <w:hideMark/>
          </w:tcPr>
          <w:p w14:paraId="714BC2A3" w14:textId="77777777" w:rsidR="00A60CC8" w:rsidRPr="007000D1" w:rsidRDefault="00A60CC8" w:rsidP="006F15D6">
            <w:pPr>
              <w:jc w:val="center"/>
              <w:rPr>
                <w:rFonts w:cs="Times New Roman"/>
                <w:b w:val="0"/>
                <w:bCs w:val="0"/>
                <w:color w:val="000000"/>
                <w:kern w:val="24"/>
                <w:sz w:val="8"/>
                <w:lang w:val="sq-AL" w:eastAsia="nb-NO"/>
              </w:rPr>
            </w:pPr>
          </w:p>
          <w:p w14:paraId="0276ED44" w14:textId="77777777" w:rsidR="00A60CC8" w:rsidRPr="00EC407D" w:rsidRDefault="00A60CC8" w:rsidP="006F15D6">
            <w:pPr>
              <w:jc w:val="center"/>
              <w:rPr>
                <w:rFonts w:cs="Times New Roman"/>
                <w:sz w:val="20"/>
                <w:lang w:val="sq-AL" w:eastAsia="nb-NO"/>
              </w:rPr>
            </w:pPr>
            <w:r w:rsidRPr="00EC407D">
              <w:rPr>
                <w:rFonts w:cs="Times New Roman"/>
                <w:color w:val="000000"/>
                <w:kern w:val="24"/>
                <w:sz w:val="20"/>
                <w:lang w:val="sq-AL" w:eastAsia="nb-NO"/>
              </w:rPr>
              <w:t>Borxhi publik</w:t>
            </w:r>
          </w:p>
        </w:tc>
        <w:tc>
          <w:tcPr>
            <w:tcW w:w="3671" w:type="pct"/>
            <w:hideMark/>
          </w:tcPr>
          <w:p w14:paraId="2778FB88" w14:textId="77777777" w:rsidR="00A60CC8" w:rsidRPr="00EC407D" w:rsidRDefault="00A60CC8" w:rsidP="006F15D6">
            <w:pPr>
              <w:jc w:val="center"/>
              <w:cnfStyle w:val="000000100000" w:firstRow="0" w:lastRow="0" w:firstColumn="0" w:lastColumn="0" w:oddVBand="0" w:evenVBand="0" w:oddHBand="1" w:evenHBand="0" w:firstRowFirstColumn="0" w:firstRowLastColumn="0" w:lastRowFirstColumn="0" w:lastRowLastColumn="0"/>
              <w:rPr>
                <w:rFonts w:cs="Times New Roman"/>
                <w:color w:val="000000"/>
                <w:kern w:val="24"/>
                <w:sz w:val="20"/>
                <w:lang w:val="sq-AL" w:eastAsia="nb-NO"/>
              </w:rPr>
            </w:pPr>
            <w:r w:rsidRPr="00EC407D">
              <w:rPr>
                <w:rFonts w:cs="Times New Roman"/>
                <w:color w:val="000000"/>
                <w:kern w:val="24"/>
                <w:sz w:val="20"/>
                <w:lang w:val="sq-AL" w:eastAsia="nb-NO"/>
              </w:rPr>
              <w:t>Zhvillime të papritura të tregut, ndryshime në normën e interesit ose në kursin e këmbimit, që mund të rrisin nivelin e borxhit publik</w:t>
            </w:r>
          </w:p>
        </w:tc>
      </w:tr>
      <w:tr w:rsidR="00A60CC8" w:rsidRPr="00EC407D" w14:paraId="4156FDA5" w14:textId="77777777" w:rsidTr="006F15D6">
        <w:trPr>
          <w:trHeight w:val="277"/>
          <w:jc w:val="center"/>
        </w:trPr>
        <w:tc>
          <w:tcPr>
            <w:cnfStyle w:val="001000000000" w:firstRow="0" w:lastRow="0" w:firstColumn="1" w:lastColumn="0" w:oddVBand="0" w:evenVBand="0" w:oddHBand="0" w:evenHBand="0" w:firstRowFirstColumn="0" w:firstRowLastColumn="0" w:lastRowFirstColumn="0" w:lastRowLastColumn="0"/>
            <w:tcW w:w="5000" w:type="pct"/>
            <w:gridSpan w:val="2"/>
          </w:tcPr>
          <w:p w14:paraId="78034965" w14:textId="77777777" w:rsidR="00A60CC8" w:rsidRPr="007000D1" w:rsidRDefault="00A60CC8" w:rsidP="006F15D6">
            <w:pPr>
              <w:jc w:val="center"/>
              <w:rPr>
                <w:rFonts w:cs="Times New Roman"/>
                <w:b w:val="0"/>
                <w:color w:val="C00000"/>
                <w:kern w:val="24"/>
                <w:sz w:val="8"/>
                <w:lang w:val="sq-AL" w:eastAsia="nb-NO"/>
              </w:rPr>
            </w:pPr>
          </w:p>
          <w:p w14:paraId="3123B156" w14:textId="77777777" w:rsidR="00A60CC8" w:rsidRPr="007000D1" w:rsidRDefault="00A60CC8" w:rsidP="006F15D6">
            <w:pPr>
              <w:jc w:val="center"/>
              <w:rPr>
                <w:rFonts w:cs="Times New Roman"/>
                <w:b w:val="0"/>
                <w:color w:val="C00000"/>
                <w:kern w:val="24"/>
                <w:sz w:val="8"/>
                <w:lang w:val="sq-AL" w:eastAsia="nb-NO"/>
              </w:rPr>
            </w:pPr>
            <w:r w:rsidRPr="00EC407D">
              <w:rPr>
                <w:rFonts w:cs="Times New Roman"/>
                <w:color w:val="C00000"/>
                <w:kern w:val="24"/>
                <w:sz w:val="20"/>
                <w:lang w:val="sq-AL" w:eastAsia="nb-NO"/>
              </w:rPr>
              <w:t xml:space="preserve">Risqet </w:t>
            </w:r>
            <w:r w:rsidRPr="00EC407D">
              <w:rPr>
                <w:rFonts w:cs="Times New Roman"/>
                <w:color w:val="C00000"/>
                <w:kern w:val="24"/>
                <w:sz w:val="20"/>
                <w:u w:val="single"/>
                <w:lang w:val="sq-AL" w:eastAsia="nb-NO"/>
              </w:rPr>
              <w:t>implicite</w:t>
            </w:r>
            <w:r w:rsidRPr="00EC407D">
              <w:rPr>
                <w:rFonts w:cs="Times New Roman"/>
                <w:color w:val="C00000"/>
                <w:kern w:val="24"/>
                <w:sz w:val="20"/>
                <w:lang w:val="sq-AL" w:eastAsia="nb-NO"/>
              </w:rPr>
              <w:t xml:space="preserve"> dhe detyrimet </w:t>
            </w:r>
            <w:r w:rsidRPr="00EC407D">
              <w:rPr>
                <w:rFonts w:cs="Times New Roman"/>
                <w:color w:val="C00000"/>
                <w:kern w:val="24"/>
                <w:sz w:val="20"/>
                <w:u w:val="single"/>
                <w:lang w:val="sq-AL" w:eastAsia="nb-NO"/>
              </w:rPr>
              <w:t>kontigjente</w:t>
            </w:r>
          </w:p>
        </w:tc>
      </w:tr>
      <w:tr w:rsidR="00A60CC8" w:rsidRPr="00EC407D" w14:paraId="034E53FB" w14:textId="77777777" w:rsidTr="006F15D6">
        <w:trPr>
          <w:cnfStyle w:val="000000100000" w:firstRow="0" w:lastRow="0" w:firstColumn="0" w:lastColumn="0" w:oddVBand="0" w:evenVBand="0" w:oddHBand="1" w:evenHBand="0" w:firstRowFirstColumn="0" w:firstRowLastColumn="0" w:lastRowFirstColumn="0" w:lastRowLastColumn="0"/>
          <w:trHeight w:val="37"/>
          <w:jc w:val="center"/>
        </w:trPr>
        <w:tc>
          <w:tcPr>
            <w:cnfStyle w:val="001000000000" w:firstRow="0" w:lastRow="0" w:firstColumn="1" w:lastColumn="0" w:oddVBand="0" w:evenVBand="0" w:oddHBand="0" w:evenHBand="0" w:firstRowFirstColumn="0" w:firstRowLastColumn="0" w:lastRowFirstColumn="0" w:lastRowLastColumn="0"/>
            <w:tcW w:w="1329" w:type="pct"/>
            <w:hideMark/>
          </w:tcPr>
          <w:p w14:paraId="414D6EC5" w14:textId="77777777" w:rsidR="00A60CC8" w:rsidRPr="00736B74" w:rsidRDefault="00A60CC8" w:rsidP="006F15D6">
            <w:pPr>
              <w:jc w:val="center"/>
              <w:rPr>
                <w:rFonts w:cs="Times New Roman"/>
                <w:b w:val="0"/>
                <w:bCs w:val="0"/>
                <w:color w:val="000000"/>
                <w:kern w:val="24"/>
                <w:sz w:val="12"/>
                <w:szCs w:val="8"/>
                <w:lang w:val="sq-AL" w:eastAsia="nb-NO"/>
              </w:rPr>
            </w:pPr>
          </w:p>
          <w:p w14:paraId="529F4E83" w14:textId="77777777" w:rsidR="00A60CC8" w:rsidRPr="00EC407D" w:rsidRDefault="00A60CC8" w:rsidP="006F15D6">
            <w:pPr>
              <w:jc w:val="center"/>
              <w:rPr>
                <w:rFonts w:cs="Times New Roman"/>
                <w:sz w:val="20"/>
                <w:lang w:val="sq-AL" w:eastAsia="nb-NO"/>
              </w:rPr>
            </w:pPr>
            <w:r w:rsidRPr="00EC407D">
              <w:rPr>
                <w:rFonts w:cs="Times New Roman"/>
                <w:color w:val="000000"/>
                <w:kern w:val="24"/>
                <w:sz w:val="20"/>
                <w:lang w:val="sq-AL" w:eastAsia="nb-NO"/>
              </w:rPr>
              <w:t>Pagesat për PPP</w:t>
            </w:r>
          </w:p>
        </w:tc>
        <w:tc>
          <w:tcPr>
            <w:tcW w:w="3671" w:type="pct"/>
            <w:hideMark/>
          </w:tcPr>
          <w:p w14:paraId="4493D45A" w14:textId="77777777" w:rsidR="00A60CC8" w:rsidRPr="007000D1" w:rsidRDefault="00A60CC8" w:rsidP="006F15D6">
            <w:pPr>
              <w:jc w:val="center"/>
              <w:cnfStyle w:val="000000100000" w:firstRow="0" w:lastRow="0" w:firstColumn="0" w:lastColumn="0" w:oddVBand="0" w:evenVBand="0" w:oddHBand="1" w:evenHBand="0" w:firstRowFirstColumn="0" w:firstRowLastColumn="0" w:lastRowFirstColumn="0" w:lastRowLastColumn="0"/>
              <w:rPr>
                <w:rFonts w:cs="Times New Roman"/>
                <w:color w:val="000000"/>
                <w:kern w:val="24"/>
                <w:sz w:val="8"/>
                <w:lang w:val="sq-AL" w:eastAsia="nb-NO"/>
              </w:rPr>
            </w:pPr>
          </w:p>
          <w:p w14:paraId="76465596" w14:textId="77777777" w:rsidR="00A60CC8" w:rsidRPr="00EC407D" w:rsidRDefault="00A60CC8" w:rsidP="006F15D6">
            <w:pPr>
              <w:jc w:val="center"/>
              <w:cnfStyle w:val="000000100000" w:firstRow="0" w:lastRow="0" w:firstColumn="0" w:lastColumn="0" w:oddVBand="0" w:evenVBand="0" w:oddHBand="1" w:evenHBand="0" w:firstRowFirstColumn="0" w:firstRowLastColumn="0" w:lastRowFirstColumn="0" w:lastRowLastColumn="0"/>
              <w:rPr>
                <w:rFonts w:cs="Times New Roman"/>
                <w:color w:val="000000"/>
                <w:kern w:val="24"/>
                <w:sz w:val="20"/>
                <w:lang w:val="sq-AL" w:eastAsia="nb-NO"/>
              </w:rPr>
            </w:pPr>
            <w:r w:rsidRPr="00EC407D">
              <w:rPr>
                <w:rFonts w:cs="Times New Roman"/>
                <w:color w:val="000000"/>
                <w:kern w:val="24"/>
                <w:sz w:val="20"/>
                <w:lang w:val="sq-AL" w:eastAsia="nb-NO"/>
              </w:rPr>
              <w:t>Pagesat vjetore për PPP-të, mund të tejkalojnë nivelin e lejuar ligjor prej 5% të të ardhurave tatimore faktike të vitit paraardhës</w:t>
            </w:r>
          </w:p>
        </w:tc>
      </w:tr>
      <w:tr w:rsidR="00A60CC8" w:rsidRPr="00EC407D" w14:paraId="32307A2E" w14:textId="77777777" w:rsidTr="006F15D6">
        <w:trPr>
          <w:trHeight w:val="23"/>
          <w:jc w:val="center"/>
        </w:trPr>
        <w:tc>
          <w:tcPr>
            <w:cnfStyle w:val="001000000000" w:firstRow="0" w:lastRow="0" w:firstColumn="1" w:lastColumn="0" w:oddVBand="0" w:evenVBand="0" w:oddHBand="0" w:evenHBand="0" w:firstRowFirstColumn="0" w:firstRowLastColumn="0" w:lastRowFirstColumn="0" w:lastRowLastColumn="0"/>
            <w:tcW w:w="1329" w:type="pct"/>
            <w:hideMark/>
          </w:tcPr>
          <w:p w14:paraId="6EF87AA7" w14:textId="77777777" w:rsidR="00A60CC8" w:rsidRPr="00EC407D" w:rsidRDefault="00A60CC8" w:rsidP="006F15D6">
            <w:pPr>
              <w:jc w:val="center"/>
              <w:rPr>
                <w:rFonts w:cs="Times New Roman"/>
                <w:sz w:val="20"/>
                <w:lang w:val="sq-AL" w:eastAsia="nb-NO"/>
              </w:rPr>
            </w:pPr>
            <w:r w:rsidRPr="00EC407D">
              <w:rPr>
                <w:rFonts w:cs="Times New Roman"/>
                <w:color w:val="000000"/>
                <w:kern w:val="24"/>
                <w:sz w:val="20"/>
                <w:lang w:val="sq-AL" w:eastAsia="nb-NO"/>
              </w:rPr>
              <w:t>Vështirësia financiare e Ndërmarrjeve Shtetërore (NSH)</w:t>
            </w:r>
          </w:p>
        </w:tc>
        <w:tc>
          <w:tcPr>
            <w:tcW w:w="3671" w:type="pct"/>
            <w:hideMark/>
          </w:tcPr>
          <w:p w14:paraId="4D865AE5" w14:textId="77777777" w:rsidR="00A60CC8" w:rsidRPr="00EC407D" w:rsidRDefault="00A60CC8" w:rsidP="006F15D6">
            <w:pPr>
              <w:jc w:val="center"/>
              <w:cnfStyle w:val="000000000000" w:firstRow="0" w:lastRow="0" w:firstColumn="0" w:lastColumn="0" w:oddVBand="0" w:evenVBand="0" w:oddHBand="0" w:evenHBand="0" w:firstRowFirstColumn="0" w:firstRowLastColumn="0" w:lastRowFirstColumn="0" w:lastRowLastColumn="0"/>
              <w:rPr>
                <w:rFonts w:cs="Times New Roman"/>
                <w:color w:val="000000"/>
                <w:kern w:val="24"/>
                <w:sz w:val="20"/>
                <w:lang w:val="sq-AL" w:eastAsia="nb-NO"/>
              </w:rPr>
            </w:pPr>
          </w:p>
          <w:p w14:paraId="3659E845" w14:textId="77777777" w:rsidR="00A60CC8" w:rsidRPr="00EC407D" w:rsidRDefault="00A60CC8" w:rsidP="006F15D6">
            <w:pPr>
              <w:jc w:val="center"/>
              <w:cnfStyle w:val="000000000000" w:firstRow="0" w:lastRow="0" w:firstColumn="0" w:lastColumn="0" w:oddVBand="0" w:evenVBand="0" w:oddHBand="0" w:evenHBand="0" w:firstRowFirstColumn="0" w:firstRowLastColumn="0" w:lastRowFirstColumn="0" w:lastRowLastColumn="0"/>
              <w:rPr>
                <w:rFonts w:cs="Times New Roman"/>
                <w:color w:val="000000"/>
                <w:kern w:val="24"/>
                <w:sz w:val="20"/>
                <w:lang w:val="sq-AL" w:eastAsia="nb-NO"/>
              </w:rPr>
            </w:pPr>
            <w:r w:rsidRPr="00EC407D">
              <w:rPr>
                <w:rFonts w:cs="Times New Roman"/>
                <w:color w:val="000000"/>
                <w:kern w:val="24"/>
                <w:sz w:val="20"/>
                <w:lang w:val="sq-AL" w:eastAsia="nb-NO"/>
              </w:rPr>
              <w:t>Qeverisë mund t’i duhet të ndërhyjë për të mbështur financiarisht NSH-të</w:t>
            </w:r>
          </w:p>
        </w:tc>
      </w:tr>
      <w:tr w:rsidR="00A60CC8" w:rsidRPr="00EC407D" w14:paraId="5C3AA960" w14:textId="77777777" w:rsidTr="006F15D6">
        <w:trPr>
          <w:cnfStyle w:val="000000100000" w:firstRow="0" w:lastRow="0" w:firstColumn="0" w:lastColumn="0" w:oddVBand="0" w:evenVBand="0" w:oddHBand="1" w:evenHBand="0" w:firstRowFirstColumn="0" w:firstRowLastColumn="0" w:lastRowFirstColumn="0" w:lastRowLastColumn="0"/>
          <w:trHeight w:val="37"/>
          <w:jc w:val="center"/>
        </w:trPr>
        <w:tc>
          <w:tcPr>
            <w:cnfStyle w:val="001000000000" w:firstRow="0" w:lastRow="0" w:firstColumn="1" w:lastColumn="0" w:oddVBand="0" w:evenVBand="0" w:oddHBand="0" w:evenHBand="0" w:firstRowFirstColumn="0" w:firstRowLastColumn="0" w:lastRowFirstColumn="0" w:lastRowLastColumn="0"/>
            <w:tcW w:w="1329" w:type="pct"/>
            <w:hideMark/>
          </w:tcPr>
          <w:p w14:paraId="08CC0BC2" w14:textId="77777777" w:rsidR="00A60CC8" w:rsidRPr="007000D1" w:rsidRDefault="00A60CC8" w:rsidP="006F15D6">
            <w:pPr>
              <w:jc w:val="center"/>
              <w:rPr>
                <w:rFonts w:cs="Times New Roman"/>
                <w:b w:val="0"/>
                <w:bCs w:val="0"/>
                <w:color w:val="000000"/>
                <w:kern w:val="24"/>
                <w:sz w:val="8"/>
                <w:lang w:val="sq-AL" w:eastAsia="nb-NO"/>
              </w:rPr>
            </w:pPr>
          </w:p>
          <w:p w14:paraId="16EBCB2D" w14:textId="77777777" w:rsidR="00A60CC8" w:rsidRPr="00EC407D" w:rsidRDefault="00A60CC8" w:rsidP="006F15D6">
            <w:pPr>
              <w:jc w:val="center"/>
              <w:rPr>
                <w:rFonts w:cs="Times New Roman"/>
                <w:sz w:val="20"/>
                <w:lang w:val="sq-AL" w:eastAsia="nb-NO"/>
              </w:rPr>
            </w:pPr>
            <w:r w:rsidRPr="00EC407D">
              <w:rPr>
                <w:rFonts w:cs="Times New Roman"/>
                <w:color w:val="000000"/>
                <w:kern w:val="24"/>
                <w:sz w:val="20"/>
                <w:lang w:val="sq-AL" w:eastAsia="nb-NO"/>
              </w:rPr>
              <w:t>Risqe të tjera</w:t>
            </w:r>
          </w:p>
        </w:tc>
        <w:tc>
          <w:tcPr>
            <w:tcW w:w="3671" w:type="pct"/>
            <w:hideMark/>
          </w:tcPr>
          <w:p w14:paraId="6EDE2B93" w14:textId="77777777" w:rsidR="00A60CC8" w:rsidRPr="00EC407D" w:rsidRDefault="00A60CC8" w:rsidP="006F15D6">
            <w:pPr>
              <w:jc w:val="center"/>
              <w:cnfStyle w:val="000000100000" w:firstRow="0" w:lastRow="0" w:firstColumn="0" w:lastColumn="0" w:oddVBand="0" w:evenVBand="0" w:oddHBand="1" w:evenHBand="0" w:firstRowFirstColumn="0" w:firstRowLastColumn="0" w:lastRowFirstColumn="0" w:lastRowLastColumn="0"/>
              <w:rPr>
                <w:rFonts w:cs="Times New Roman"/>
                <w:color w:val="000000"/>
                <w:kern w:val="24"/>
                <w:sz w:val="20"/>
                <w:lang w:val="sq-AL" w:eastAsia="nb-NO"/>
              </w:rPr>
            </w:pPr>
            <w:r w:rsidRPr="00EC407D">
              <w:rPr>
                <w:rFonts w:cs="Times New Roman"/>
                <w:color w:val="000000"/>
                <w:kern w:val="24"/>
                <w:sz w:val="20"/>
                <w:lang w:val="sq-AL" w:eastAsia="nb-NO"/>
              </w:rPr>
              <w:t>Vendime gjyqësore, arbitrazhe ndërkombëtare, fatkeqësi natyrore, etj, që mund të sjellin kosto buxhetore shtesë në buxhetin e shtetit</w:t>
            </w:r>
          </w:p>
        </w:tc>
      </w:tr>
    </w:tbl>
    <w:p w14:paraId="5180B532" w14:textId="77777777" w:rsidR="00A60CC8" w:rsidRPr="0064168E" w:rsidRDefault="00193978" w:rsidP="00A60CC8">
      <w:pPr>
        <w:spacing w:line="276" w:lineRule="auto"/>
        <w:rPr>
          <w:rFonts w:asciiTheme="minorHAnsi" w:eastAsia="SimSun" w:hAnsiTheme="minorHAnsi"/>
          <w:i/>
          <w:sz w:val="20"/>
          <w:szCs w:val="20"/>
          <w:lang w:val="sq-AL"/>
        </w:rPr>
      </w:pPr>
      <w:r>
        <w:rPr>
          <w:rFonts w:asciiTheme="minorHAnsi" w:eastAsia="SimSun" w:hAnsiTheme="minorHAnsi"/>
          <w:i/>
          <w:sz w:val="20"/>
          <w:szCs w:val="20"/>
          <w:lang w:val="sq-AL"/>
        </w:rPr>
        <w:t>Burimi: Ministria e Financave dhe Ekonomisë (2023)</w:t>
      </w:r>
    </w:p>
    <w:p w14:paraId="51B41987" w14:textId="77777777" w:rsidR="00A60CC8" w:rsidRPr="006F15D6" w:rsidRDefault="00A60CC8" w:rsidP="00A60CC8">
      <w:pPr>
        <w:spacing w:after="200" w:line="276" w:lineRule="auto"/>
        <w:contextualSpacing/>
        <w:jc w:val="both"/>
        <w:rPr>
          <w:rFonts w:asciiTheme="minorHAnsi" w:eastAsia="MS Mincho" w:hAnsiTheme="minorHAnsi"/>
          <w:sz w:val="12"/>
          <w:lang w:val="sq-AL"/>
        </w:rPr>
      </w:pPr>
    </w:p>
    <w:p w14:paraId="05442C22" w14:textId="77777777" w:rsidR="00EC7D92" w:rsidRPr="00E13D81" w:rsidRDefault="006F15D6" w:rsidP="00EC7D92">
      <w:pPr>
        <w:spacing w:line="276" w:lineRule="auto"/>
        <w:jc w:val="both"/>
        <w:rPr>
          <w:rFonts w:asciiTheme="minorHAnsi" w:hAnsiTheme="minorHAnsi"/>
          <w:lang w:val="sq-AL"/>
        </w:rPr>
      </w:pPr>
      <w:r>
        <w:rPr>
          <w:rFonts w:asciiTheme="minorHAnsi" w:eastAsia="MS Mincho" w:hAnsiTheme="minorHAnsi"/>
          <w:lang w:val="sq-AL"/>
        </w:rPr>
        <w:t xml:space="preserve">Gjatë vitit </w:t>
      </w:r>
      <w:r w:rsidR="00EC7D92">
        <w:rPr>
          <w:rFonts w:asciiTheme="minorHAnsi" w:eastAsia="MS Mincho" w:hAnsiTheme="minorHAnsi"/>
          <w:lang w:val="sq-AL"/>
        </w:rPr>
        <w:t>2023, MFE</w:t>
      </w:r>
      <w:r w:rsidR="00EC7D92" w:rsidRPr="00E13D81">
        <w:rPr>
          <w:rFonts w:asciiTheme="minorHAnsi" w:eastAsia="MS Mincho" w:hAnsiTheme="minorHAnsi"/>
          <w:lang w:val="sq-AL"/>
        </w:rPr>
        <w:t xml:space="preserve"> vijoi monitorimin e risqeve kryesore fiskale/buxhetore, sipas Udhëzimit Plotësues të Ministrit të Financave dhe Ekonomisë nr.2 datë 19.01.2023 “</w:t>
      </w:r>
      <w:r w:rsidR="00EC7D92" w:rsidRPr="00E13D81">
        <w:rPr>
          <w:rFonts w:asciiTheme="minorHAnsi" w:eastAsia="MS Mincho" w:hAnsiTheme="minorHAnsi"/>
          <w:i/>
          <w:lang w:val="sq-AL"/>
        </w:rPr>
        <w:t>Për zbatimin e Buxhetit të vitit 2023</w:t>
      </w:r>
      <w:r w:rsidR="00EC7D92" w:rsidRPr="00E13D81">
        <w:rPr>
          <w:rFonts w:asciiTheme="minorHAnsi" w:eastAsia="MS Mincho" w:hAnsiTheme="minorHAnsi"/>
          <w:lang w:val="sq-AL"/>
        </w:rPr>
        <w:t>”</w:t>
      </w:r>
      <w:r w:rsidR="00EC7D92">
        <w:rPr>
          <w:rFonts w:asciiTheme="minorHAnsi" w:eastAsia="MS Mincho" w:hAnsiTheme="minorHAnsi"/>
          <w:lang w:val="sq-AL"/>
        </w:rPr>
        <w:t xml:space="preserve">, </w:t>
      </w:r>
      <w:r w:rsidR="00EC7D92" w:rsidRPr="00E13D81">
        <w:rPr>
          <w:rFonts w:asciiTheme="minorHAnsi" w:eastAsia="MS Mincho" w:hAnsiTheme="minorHAnsi"/>
          <w:lang w:val="sq-AL"/>
        </w:rPr>
        <w:t>Udhëzimit nr.37 datë 06.10.2020 “</w:t>
      </w:r>
      <w:r w:rsidR="00EC7D92" w:rsidRPr="00E13D81">
        <w:rPr>
          <w:rFonts w:asciiTheme="minorHAnsi" w:eastAsia="MS Mincho" w:hAnsiTheme="minorHAnsi"/>
          <w:i/>
          <w:lang w:val="sq-AL"/>
        </w:rPr>
        <w:t>Për monitorimin dhe publikimin periodik të stokut të detyrimeve të prapambetura të qeverisjes së përgjithshme</w:t>
      </w:r>
      <w:r w:rsidR="00EC7D92" w:rsidRPr="00E13D81">
        <w:rPr>
          <w:rFonts w:asciiTheme="minorHAnsi" w:eastAsia="MS Mincho" w:hAnsiTheme="minorHAnsi"/>
          <w:lang w:val="sq-AL"/>
        </w:rPr>
        <w:t xml:space="preserve">” </w:t>
      </w:r>
      <w:r w:rsidR="00EC7D92" w:rsidRPr="00E13D81">
        <w:rPr>
          <w:rFonts w:asciiTheme="minorHAnsi" w:hAnsiTheme="minorHAnsi"/>
          <w:lang w:val="sq-AL"/>
        </w:rPr>
        <w:t>dhe Udhëzimit nr.35 datë 29.12.2022 “</w:t>
      </w:r>
      <w:r w:rsidR="00EC7D92" w:rsidRPr="00E13D81">
        <w:rPr>
          <w:rFonts w:asciiTheme="minorHAnsi" w:hAnsiTheme="minorHAnsi"/>
          <w:i/>
          <w:lang w:val="sq-AL"/>
        </w:rPr>
        <w:t>Për procedurat standarde të raportimit dhe monitorimit të risqeve fiskale nga njësitë e qeverisjes së përgjithshme dhe njësi të tjera të sektorit publik</w:t>
      </w:r>
      <w:r w:rsidR="00EC7D92" w:rsidRPr="00E13D81">
        <w:rPr>
          <w:rFonts w:asciiTheme="minorHAnsi" w:hAnsiTheme="minorHAnsi"/>
          <w:lang w:val="sq-AL"/>
        </w:rPr>
        <w:t xml:space="preserve">”. </w:t>
      </w:r>
    </w:p>
    <w:p w14:paraId="235DD0E5" w14:textId="77777777" w:rsidR="00EC7D92" w:rsidRPr="00EC7D92" w:rsidRDefault="00EC7D92" w:rsidP="00EC7D92">
      <w:pPr>
        <w:spacing w:after="200" w:line="276" w:lineRule="auto"/>
        <w:contextualSpacing/>
        <w:jc w:val="both"/>
        <w:rPr>
          <w:rFonts w:asciiTheme="minorHAnsi" w:eastAsia="MS Mincho" w:hAnsiTheme="minorHAnsi"/>
          <w:sz w:val="12"/>
          <w:lang w:val="sq-AL"/>
        </w:rPr>
      </w:pPr>
    </w:p>
    <w:p w14:paraId="6123B20A" w14:textId="77777777" w:rsidR="00A60CC8" w:rsidRPr="007000D1" w:rsidRDefault="00EC7D92" w:rsidP="0080615E">
      <w:pPr>
        <w:spacing w:after="200" w:line="276" w:lineRule="auto"/>
        <w:contextualSpacing/>
        <w:jc w:val="both"/>
        <w:rPr>
          <w:rFonts w:asciiTheme="minorHAnsi" w:eastAsia="MS Mincho" w:hAnsiTheme="minorHAnsi"/>
          <w:lang w:val="sq-AL"/>
        </w:rPr>
      </w:pPr>
      <w:r w:rsidRPr="00E13D81">
        <w:rPr>
          <w:rFonts w:asciiTheme="minorHAnsi" w:eastAsia="MS Mincho" w:hAnsiTheme="minorHAnsi"/>
          <w:lang w:val="sq-AL"/>
        </w:rPr>
        <w:t>Kryesisht, raportimi në adresë të MFE u kanalizua përmes skeduleve kohore strikte dhe formateve standarde të miratuara, një proces tashmë i institucionalizuar për monitorimin e risqeve, krahas intensifikimit të punës në drejtim të rritjes së cilësisë së përpunimit, raportimit dhe publikimit të informacionit të grumbulluar, me synim final</w:t>
      </w:r>
      <w:r w:rsidR="00A60CC8" w:rsidRPr="00C31398">
        <w:rPr>
          <w:rFonts w:asciiTheme="minorHAnsi" w:eastAsia="MS Mincho" w:hAnsiTheme="minorHAnsi"/>
          <w:lang w:val="sq-AL"/>
        </w:rPr>
        <w:t>:</w:t>
      </w:r>
      <w:r w:rsidR="00A60CC8" w:rsidRPr="00C31398">
        <w:rPr>
          <w:rFonts w:asciiTheme="minorHAnsi" w:eastAsia="MS Mincho" w:hAnsiTheme="minorHAnsi"/>
          <w:bCs/>
          <w:i/>
          <w:lang w:val="sq-AL"/>
        </w:rPr>
        <w:t xml:space="preserve">  </w:t>
      </w:r>
    </w:p>
    <w:p w14:paraId="31720319" w14:textId="77777777" w:rsidR="00EC7D92" w:rsidRPr="00325B8D" w:rsidRDefault="00EC7D92" w:rsidP="0080615E">
      <w:pPr>
        <w:numPr>
          <w:ilvl w:val="0"/>
          <w:numId w:val="4"/>
        </w:numPr>
        <w:spacing w:line="276" w:lineRule="auto"/>
        <w:ind w:left="450" w:hanging="270"/>
        <w:jc w:val="both"/>
        <w:rPr>
          <w:rFonts w:asciiTheme="minorHAnsi" w:eastAsia="MS Mincho" w:hAnsiTheme="minorHAnsi"/>
          <w:i/>
          <w:lang w:val="sq-AL"/>
        </w:rPr>
      </w:pPr>
      <w:r w:rsidRPr="00325B8D">
        <w:rPr>
          <w:rFonts w:asciiTheme="minorHAnsi" w:eastAsia="MS Mincho" w:hAnsiTheme="minorHAnsi"/>
          <w:i/>
          <w:lang w:val="sq-AL"/>
        </w:rPr>
        <w:t>Monitorimin dhe raportimin periodik</w:t>
      </w:r>
      <w:r>
        <w:rPr>
          <w:rFonts w:asciiTheme="minorHAnsi" w:eastAsia="MS Mincho" w:hAnsiTheme="minorHAnsi"/>
          <w:i/>
          <w:lang w:val="sq-AL"/>
        </w:rPr>
        <w:t xml:space="preserve"> </w:t>
      </w:r>
      <w:r w:rsidRPr="00325B8D">
        <w:rPr>
          <w:rFonts w:asciiTheme="minorHAnsi" w:eastAsia="MS Mincho" w:hAnsiTheme="minorHAnsi"/>
          <w:i/>
          <w:u w:val="single"/>
          <w:lang w:val="sq-AL"/>
        </w:rPr>
        <w:t>mbi</w:t>
      </w:r>
      <w:r>
        <w:rPr>
          <w:rFonts w:asciiTheme="minorHAnsi" w:eastAsia="MS Mincho" w:hAnsiTheme="minorHAnsi"/>
          <w:i/>
          <w:u w:val="single"/>
          <w:lang w:val="sq-AL"/>
        </w:rPr>
        <w:t xml:space="preserve"> </w:t>
      </w:r>
      <w:r w:rsidRPr="00325B8D">
        <w:rPr>
          <w:rFonts w:asciiTheme="minorHAnsi" w:eastAsia="MS Mincho" w:hAnsiTheme="minorHAnsi"/>
          <w:i/>
          <w:u w:val="single"/>
          <w:lang w:val="sq-AL"/>
        </w:rPr>
        <w:t>bazë</w:t>
      </w:r>
      <w:r>
        <w:rPr>
          <w:rFonts w:asciiTheme="minorHAnsi" w:eastAsia="MS Mincho" w:hAnsiTheme="minorHAnsi"/>
          <w:i/>
          <w:u w:val="single"/>
          <w:lang w:val="sq-AL"/>
        </w:rPr>
        <w:t xml:space="preserve"> </w:t>
      </w:r>
      <w:r w:rsidRPr="00325B8D">
        <w:rPr>
          <w:rFonts w:asciiTheme="minorHAnsi" w:eastAsia="MS Mincho" w:hAnsiTheme="minorHAnsi"/>
          <w:i/>
          <w:u w:val="single"/>
          <w:lang w:val="sq-AL"/>
        </w:rPr>
        <w:t>mujore</w:t>
      </w:r>
      <w:r w:rsidRPr="00325B8D">
        <w:rPr>
          <w:rFonts w:asciiTheme="minorHAnsi" w:eastAsia="MS Mincho" w:hAnsiTheme="minorHAnsi"/>
          <w:i/>
          <w:lang w:val="sq-AL"/>
        </w:rPr>
        <w:t>,</w:t>
      </w:r>
      <w:r>
        <w:rPr>
          <w:rFonts w:asciiTheme="minorHAnsi" w:eastAsia="MS Mincho" w:hAnsiTheme="minorHAnsi"/>
          <w:i/>
          <w:lang w:val="sq-AL"/>
        </w:rPr>
        <w:t xml:space="preserve"> </w:t>
      </w:r>
      <w:r w:rsidRPr="00325B8D">
        <w:rPr>
          <w:rFonts w:asciiTheme="minorHAnsi" w:eastAsia="MS Mincho" w:hAnsiTheme="minorHAnsi"/>
          <w:i/>
          <w:lang w:val="sq-AL"/>
        </w:rPr>
        <w:t>të performancës së kontratave konçesionare/PPP, me mbështetje buxhetore.</w:t>
      </w:r>
    </w:p>
    <w:p w14:paraId="7DEDAB46" w14:textId="77777777" w:rsidR="00EC7D92" w:rsidRPr="00E13D81" w:rsidRDefault="00EC7D92" w:rsidP="0080615E">
      <w:pPr>
        <w:numPr>
          <w:ilvl w:val="0"/>
          <w:numId w:val="4"/>
        </w:numPr>
        <w:spacing w:line="276" w:lineRule="auto"/>
        <w:ind w:left="450" w:hanging="270"/>
        <w:jc w:val="both"/>
        <w:rPr>
          <w:rFonts w:asciiTheme="minorHAnsi" w:eastAsia="MS Mincho" w:hAnsiTheme="minorHAnsi"/>
          <w:i/>
          <w:lang w:val="sq-AL"/>
        </w:rPr>
      </w:pPr>
      <w:r w:rsidRPr="00E13D81">
        <w:rPr>
          <w:rFonts w:asciiTheme="minorHAnsi" w:eastAsia="MS Mincho" w:hAnsiTheme="minorHAnsi"/>
          <w:i/>
          <w:lang w:val="sq-AL"/>
        </w:rPr>
        <w:t xml:space="preserve">Monitorimin dhe raportimin periodik </w:t>
      </w:r>
      <w:r w:rsidRPr="00E13D81">
        <w:rPr>
          <w:rFonts w:asciiTheme="minorHAnsi" w:eastAsia="MS Mincho" w:hAnsiTheme="minorHAnsi"/>
          <w:i/>
          <w:u w:val="single"/>
          <w:lang w:val="sq-AL"/>
        </w:rPr>
        <w:t>mbi bazë tremujore</w:t>
      </w:r>
      <w:r w:rsidRPr="00E13D81">
        <w:rPr>
          <w:rFonts w:asciiTheme="minorHAnsi" w:eastAsia="MS Mincho" w:hAnsiTheme="minorHAnsi"/>
          <w:i/>
          <w:lang w:val="sq-AL"/>
        </w:rPr>
        <w:t>, të stokut të akumuluar të detyrimeve të prapambetura të qeverisjes së përgjithshme;</w:t>
      </w:r>
    </w:p>
    <w:p w14:paraId="21D08A6D" w14:textId="77777777" w:rsidR="00EC7D92" w:rsidRPr="00E13D81" w:rsidRDefault="00EC7D92" w:rsidP="0080615E">
      <w:pPr>
        <w:numPr>
          <w:ilvl w:val="0"/>
          <w:numId w:val="4"/>
        </w:numPr>
        <w:spacing w:line="276" w:lineRule="auto"/>
        <w:ind w:left="450" w:hanging="270"/>
        <w:jc w:val="both"/>
        <w:rPr>
          <w:rFonts w:asciiTheme="minorHAnsi" w:eastAsia="MS Mincho" w:hAnsiTheme="minorHAnsi"/>
          <w:i/>
          <w:lang w:val="sq-AL"/>
        </w:rPr>
      </w:pPr>
      <w:r w:rsidRPr="00E13D81">
        <w:rPr>
          <w:rFonts w:asciiTheme="minorHAnsi" w:eastAsia="MS Mincho" w:hAnsiTheme="minorHAnsi"/>
          <w:i/>
          <w:lang w:val="sq-AL"/>
        </w:rPr>
        <w:t xml:space="preserve">Monitorimin dhe raportimin periodik </w:t>
      </w:r>
      <w:r w:rsidRPr="00E13D81">
        <w:rPr>
          <w:rFonts w:asciiTheme="minorHAnsi" w:eastAsia="MS Mincho" w:hAnsiTheme="minorHAnsi"/>
          <w:i/>
          <w:u w:val="single"/>
          <w:lang w:val="sq-AL"/>
        </w:rPr>
        <w:t>mbi bazë tremujore</w:t>
      </w:r>
      <w:r w:rsidRPr="00E13D81">
        <w:rPr>
          <w:rFonts w:asciiTheme="minorHAnsi" w:eastAsia="MS Mincho" w:hAnsiTheme="minorHAnsi"/>
          <w:i/>
          <w:lang w:val="sq-AL"/>
        </w:rPr>
        <w:t xml:space="preserve">, të performancës financiare të ndërmarrjeve kryesore </w:t>
      </w:r>
      <w:r>
        <w:rPr>
          <w:rFonts w:asciiTheme="minorHAnsi" w:eastAsia="MS Mincho" w:hAnsiTheme="minorHAnsi"/>
          <w:i/>
          <w:lang w:val="sq-AL"/>
        </w:rPr>
        <w:t xml:space="preserve">publike me kapital </w:t>
      </w:r>
      <w:r w:rsidRPr="00E13D81">
        <w:rPr>
          <w:rFonts w:asciiTheme="minorHAnsi" w:eastAsia="MS Mincho" w:hAnsiTheme="minorHAnsi"/>
          <w:i/>
          <w:lang w:val="sq-AL"/>
        </w:rPr>
        <w:t xml:space="preserve">shtetëror; </w:t>
      </w:r>
    </w:p>
    <w:p w14:paraId="585B43F3" w14:textId="77777777" w:rsidR="00EC7D92" w:rsidRPr="001717A9" w:rsidRDefault="00EC7D92" w:rsidP="0080615E">
      <w:pPr>
        <w:numPr>
          <w:ilvl w:val="0"/>
          <w:numId w:val="4"/>
        </w:numPr>
        <w:spacing w:line="276" w:lineRule="auto"/>
        <w:ind w:left="450" w:hanging="270"/>
        <w:jc w:val="both"/>
        <w:rPr>
          <w:rFonts w:asciiTheme="minorHAnsi" w:eastAsia="MS Mincho" w:hAnsiTheme="minorHAnsi"/>
          <w:i/>
          <w:lang w:val="sq-AL"/>
        </w:rPr>
      </w:pPr>
      <w:r w:rsidRPr="001717A9">
        <w:rPr>
          <w:rFonts w:asciiTheme="minorHAnsi" w:eastAsia="MS Mincho" w:hAnsiTheme="minorHAnsi"/>
          <w:i/>
          <w:lang w:val="sq-AL"/>
        </w:rPr>
        <w:t xml:space="preserve">Monitorimin dhe raportimin periodik </w:t>
      </w:r>
      <w:r w:rsidRPr="001717A9">
        <w:rPr>
          <w:rFonts w:asciiTheme="minorHAnsi" w:eastAsia="MS Mincho" w:hAnsiTheme="minorHAnsi"/>
          <w:i/>
          <w:u w:val="single"/>
          <w:lang w:val="sq-AL"/>
        </w:rPr>
        <w:t>mbi bazë tremujore</w:t>
      </w:r>
      <w:r>
        <w:rPr>
          <w:rFonts w:asciiTheme="minorHAnsi" w:eastAsia="MS Mincho" w:hAnsiTheme="minorHAnsi"/>
          <w:i/>
          <w:lang w:val="sq-AL"/>
        </w:rPr>
        <w:t>,</w:t>
      </w:r>
      <w:r w:rsidRPr="001717A9">
        <w:rPr>
          <w:rFonts w:asciiTheme="minorHAnsi" w:eastAsia="MS Mincho" w:hAnsiTheme="minorHAnsi"/>
          <w:i/>
          <w:lang w:val="sq-AL"/>
        </w:rPr>
        <w:t xml:space="preserve"> të detyrimeve të ndërsjellta të sektorit energjitik  dhe palëve të treta.</w:t>
      </w:r>
    </w:p>
    <w:p w14:paraId="404A9EA3" w14:textId="1D38C7A4" w:rsidR="00EC7D92" w:rsidRPr="001717A9" w:rsidRDefault="00EC7D92" w:rsidP="0080615E">
      <w:pPr>
        <w:numPr>
          <w:ilvl w:val="0"/>
          <w:numId w:val="4"/>
        </w:numPr>
        <w:spacing w:line="276" w:lineRule="auto"/>
        <w:ind w:left="450" w:hanging="270"/>
        <w:jc w:val="both"/>
        <w:rPr>
          <w:rFonts w:asciiTheme="minorHAnsi" w:eastAsia="MS Mincho" w:hAnsiTheme="minorHAnsi"/>
          <w:i/>
          <w:lang w:val="sq-AL"/>
        </w:rPr>
      </w:pPr>
      <w:r w:rsidRPr="001717A9">
        <w:rPr>
          <w:rFonts w:asciiTheme="minorHAnsi" w:eastAsia="MS Mincho" w:hAnsiTheme="minorHAnsi"/>
          <w:i/>
          <w:lang w:val="sq-AL"/>
        </w:rPr>
        <w:t xml:space="preserve">Monitorimin dhe raportimin </w:t>
      </w:r>
      <w:r w:rsidRPr="00EC7D92">
        <w:rPr>
          <w:rFonts w:asciiTheme="minorHAnsi" w:eastAsia="MS Mincho" w:hAnsiTheme="minorHAnsi"/>
          <w:i/>
          <w:u w:val="single"/>
          <w:lang w:val="sq-AL"/>
        </w:rPr>
        <w:t>mbi baz</w:t>
      </w:r>
      <w:r w:rsidR="004B3FF3">
        <w:rPr>
          <w:rFonts w:asciiTheme="minorHAnsi" w:eastAsia="MS Mincho" w:hAnsiTheme="minorHAnsi"/>
          <w:i/>
          <w:u w:val="single"/>
          <w:lang w:val="sq-AL"/>
        </w:rPr>
        <w:t>ë</w:t>
      </w:r>
      <w:r w:rsidRPr="00EC7D92">
        <w:rPr>
          <w:rFonts w:asciiTheme="minorHAnsi" w:eastAsia="MS Mincho" w:hAnsiTheme="minorHAnsi"/>
          <w:i/>
          <w:u w:val="single"/>
          <w:lang w:val="sq-AL"/>
        </w:rPr>
        <w:t xml:space="preserve"> 6M dhe vjetore</w:t>
      </w:r>
      <w:r>
        <w:rPr>
          <w:rFonts w:asciiTheme="minorHAnsi" w:eastAsia="MS Mincho" w:hAnsiTheme="minorHAnsi"/>
          <w:i/>
          <w:lang w:val="sq-AL"/>
        </w:rPr>
        <w:t>, t</w:t>
      </w:r>
      <w:r w:rsidR="004B3FF3">
        <w:rPr>
          <w:rFonts w:asciiTheme="minorHAnsi" w:eastAsia="MS Mincho" w:hAnsiTheme="minorHAnsi"/>
          <w:i/>
          <w:lang w:val="sq-AL"/>
        </w:rPr>
        <w:t>ë</w:t>
      </w:r>
      <w:r w:rsidRPr="001717A9">
        <w:rPr>
          <w:rFonts w:asciiTheme="minorHAnsi" w:eastAsia="MS Mincho" w:hAnsiTheme="minorHAnsi"/>
          <w:i/>
          <w:lang w:val="sq-AL"/>
        </w:rPr>
        <w:t xml:space="preserve"> vendime</w:t>
      </w:r>
      <w:r>
        <w:rPr>
          <w:rFonts w:asciiTheme="minorHAnsi" w:eastAsia="MS Mincho" w:hAnsiTheme="minorHAnsi"/>
          <w:i/>
          <w:lang w:val="sq-AL"/>
        </w:rPr>
        <w:t>ve</w:t>
      </w:r>
      <w:r w:rsidRPr="001717A9">
        <w:rPr>
          <w:rFonts w:asciiTheme="minorHAnsi" w:eastAsia="MS Mincho" w:hAnsiTheme="minorHAnsi"/>
          <w:i/>
          <w:lang w:val="sq-AL"/>
        </w:rPr>
        <w:t xml:space="preserve"> gjyqësore të Gjykatës Evropiane për të Drejtat e Njeriut dhe atyre të Arbitrazhit Ndërkombëtar</w:t>
      </w:r>
      <w:r>
        <w:rPr>
          <w:rFonts w:asciiTheme="minorHAnsi" w:eastAsia="MS Mincho" w:hAnsiTheme="minorHAnsi"/>
          <w:i/>
          <w:lang w:val="sq-AL"/>
        </w:rPr>
        <w:t>.</w:t>
      </w:r>
    </w:p>
    <w:p w14:paraId="09B4B97F" w14:textId="77777777" w:rsidR="0068128A" w:rsidRDefault="0068128A" w:rsidP="0080615E">
      <w:pPr>
        <w:spacing w:before="120" w:after="120" w:line="276" w:lineRule="auto"/>
        <w:ind w:right="49"/>
        <w:contextualSpacing/>
        <w:jc w:val="both"/>
        <w:rPr>
          <w:rFonts w:asciiTheme="minorHAnsi" w:eastAsia="MS Mincho" w:hAnsiTheme="minorHAnsi"/>
          <w:bCs/>
          <w:sz w:val="8"/>
          <w:szCs w:val="8"/>
          <w:lang w:val="sq-AL" w:eastAsia="sq-AL"/>
        </w:rPr>
      </w:pPr>
    </w:p>
    <w:p w14:paraId="753CEE49" w14:textId="77777777" w:rsidR="00325B8D" w:rsidRDefault="00325B8D" w:rsidP="0080615E">
      <w:pPr>
        <w:spacing w:before="120" w:after="120" w:line="276" w:lineRule="auto"/>
        <w:ind w:right="49"/>
        <w:contextualSpacing/>
        <w:jc w:val="both"/>
        <w:rPr>
          <w:rFonts w:asciiTheme="minorHAnsi" w:eastAsia="MS Mincho" w:hAnsiTheme="minorHAnsi"/>
          <w:bCs/>
          <w:sz w:val="8"/>
          <w:szCs w:val="8"/>
          <w:lang w:val="sq-AL" w:eastAsia="sq-AL"/>
        </w:rPr>
      </w:pPr>
    </w:p>
    <w:p w14:paraId="3D8E6CB7" w14:textId="77777777" w:rsidR="00325B8D" w:rsidRPr="0068128A" w:rsidRDefault="00325B8D" w:rsidP="0080615E">
      <w:pPr>
        <w:spacing w:before="120" w:after="120" w:line="276" w:lineRule="auto"/>
        <w:ind w:right="49"/>
        <w:contextualSpacing/>
        <w:jc w:val="both"/>
        <w:rPr>
          <w:rFonts w:asciiTheme="minorHAnsi" w:eastAsia="MS Mincho" w:hAnsiTheme="minorHAnsi"/>
          <w:bCs/>
          <w:sz w:val="8"/>
          <w:szCs w:val="8"/>
          <w:lang w:val="sq-AL" w:eastAsia="sq-AL"/>
        </w:rPr>
      </w:pPr>
    </w:p>
    <w:p w14:paraId="1BED8E9C" w14:textId="77777777" w:rsidR="00A60CC8" w:rsidRDefault="00A60CC8" w:rsidP="0080615E">
      <w:pPr>
        <w:spacing w:before="120" w:after="120" w:line="276" w:lineRule="auto"/>
        <w:ind w:right="49"/>
        <w:contextualSpacing/>
        <w:jc w:val="both"/>
        <w:rPr>
          <w:rFonts w:asciiTheme="minorHAnsi" w:eastAsia="MS Mincho" w:hAnsiTheme="minorHAnsi"/>
          <w:bCs/>
          <w:lang w:val="sq-AL" w:eastAsia="sq-AL"/>
        </w:rPr>
      </w:pPr>
      <w:r w:rsidRPr="004E355C">
        <w:rPr>
          <w:rFonts w:asciiTheme="minorHAnsi" w:eastAsia="MS Mincho" w:hAnsiTheme="minorHAnsi"/>
          <w:bCs/>
          <w:lang w:val="sq-AL" w:eastAsia="sq-AL"/>
        </w:rPr>
        <w:t>Mëposhtë jepet një tablo e vlerësimeve mbi disa nga tipologjitë e risqeve fiskale, si rezultat i monitorimit nga njësitë përgjegjëse në MFE, për periudhën Janar-Maj 20</w:t>
      </w:r>
      <w:r>
        <w:rPr>
          <w:rFonts w:asciiTheme="minorHAnsi" w:eastAsia="MS Mincho" w:hAnsiTheme="minorHAnsi"/>
          <w:bCs/>
          <w:lang w:val="sq-AL" w:eastAsia="sq-AL"/>
        </w:rPr>
        <w:t>2</w:t>
      </w:r>
      <w:r w:rsidR="00EC7D92">
        <w:rPr>
          <w:rFonts w:asciiTheme="minorHAnsi" w:eastAsia="MS Mincho" w:hAnsiTheme="minorHAnsi"/>
          <w:bCs/>
          <w:lang w:val="sq-AL" w:eastAsia="sq-AL"/>
        </w:rPr>
        <w:t>3</w:t>
      </w:r>
      <w:r w:rsidRPr="004E355C">
        <w:rPr>
          <w:rFonts w:asciiTheme="minorHAnsi" w:eastAsia="MS Mincho" w:hAnsiTheme="minorHAnsi"/>
          <w:bCs/>
          <w:lang w:val="sq-AL" w:eastAsia="sq-AL"/>
        </w:rPr>
        <w:t>:</w:t>
      </w:r>
    </w:p>
    <w:p w14:paraId="0384C041" w14:textId="77777777" w:rsidR="00F07CB3" w:rsidRDefault="00F07CB3" w:rsidP="00A60CC8">
      <w:pPr>
        <w:spacing w:before="120" w:after="120" w:line="276" w:lineRule="auto"/>
        <w:ind w:right="49"/>
        <w:contextualSpacing/>
        <w:jc w:val="both"/>
        <w:rPr>
          <w:rFonts w:asciiTheme="minorHAnsi" w:eastAsia="MS Mincho" w:hAnsiTheme="minorHAnsi"/>
          <w:bCs/>
          <w:sz w:val="16"/>
          <w:lang w:val="sq-AL" w:eastAsia="sq-AL"/>
        </w:rPr>
      </w:pPr>
    </w:p>
    <w:p w14:paraId="16D03F54" w14:textId="77777777" w:rsidR="00325B8D" w:rsidRDefault="00325B8D" w:rsidP="00A60CC8">
      <w:pPr>
        <w:spacing w:before="120" w:after="120" w:line="276" w:lineRule="auto"/>
        <w:ind w:right="49"/>
        <w:contextualSpacing/>
        <w:jc w:val="both"/>
        <w:rPr>
          <w:rFonts w:asciiTheme="minorHAnsi" w:eastAsia="MS Mincho" w:hAnsiTheme="minorHAnsi"/>
          <w:bCs/>
          <w:sz w:val="16"/>
          <w:lang w:val="sq-AL" w:eastAsia="sq-AL"/>
        </w:rPr>
      </w:pPr>
    </w:p>
    <w:p w14:paraId="4E1A3874" w14:textId="77777777" w:rsidR="00325B8D" w:rsidRDefault="00325B8D" w:rsidP="00A60CC8">
      <w:pPr>
        <w:spacing w:before="120" w:after="120" w:line="276" w:lineRule="auto"/>
        <w:ind w:right="49"/>
        <w:contextualSpacing/>
        <w:jc w:val="both"/>
        <w:rPr>
          <w:rFonts w:asciiTheme="minorHAnsi" w:eastAsia="MS Mincho" w:hAnsiTheme="minorHAnsi"/>
          <w:bCs/>
          <w:sz w:val="16"/>
          <w:lang w:val="sq-AL" w:eastAsia="sq-AL"/>
        </w:rPr>
      </w:pPr>
    </w:p>
    <w:p w14:paraId="5EF4AA28" w14:textId="77777777" w:rsidR="00325B8D" w:rsidRDefault="00325B8D" w:rsidP="00A60CC8">
      <w:pPr>
        <w:spacing w:before="120" w:after="120" w:line="276" w:lineRule="auto"/>
        <w:ind w:right="49"/>
        <w:contextualSpacing/>
        <w:jc w:val="both"/>
        <w:rPr>
          <w:rFonts w:asciiTheme="minorHAnsi" w:eastAsia="MS Mincho" w:hAnsiTheme="minorHAnsi"/>
          <w:bCs/>
          <w:sz w:val="16"/>
          <w:lang w:val="sq-AL" w:eastAsia="sq-AL"/>
        </w:rPr>
      </w:pPr>
    </w:p>
    <w:p w14:paraId="6B30AF93" w14:textId="77777777" w:rsidR="00325B8D" w:rsidRDefault="00325B8D" w:rsidP="00A60CC8">
      <w:pPr>
        <w:spacing w:before="120" w:after="120" w:line="276" w:lineRule="auto"/>
        <w:ind w:right="49"/>
        <w:contextualSpacing/>
        <w:jc w:val="both"/>
        <w:rPr>
          <w:rFonts w:asciiTheme="minorHAnsi" w:eastAsia="MS Mincho" w:hAnsiTheme="minorHAnsi"/>
          <w:bCs/>
          <w:sz w:val="16"/>
          <w:lang w:val="sq-AL" w:eastAsia="sq-AL"/>
        </w:rPr>
      </w:pPr>
    </w:p>
    <w:p w14:paraId="45CC7B96" w14:textId="77777777" w:rsidR="00001086" w:rsidRDefault="00001086" w:rsidP="00056DE5">
      <w:pPr>
        <w:pStyle w:val="Heading2"/>
        <w:numPr>
          <w:ilvl w:val="0"/>
          <w:numId w:val="15"/>
        </w:numPr>
        <w:ind w:left="630" w:hanging="630"/>
        <w:rPr>
          <w:sz w:val="26"/>
          <w:szCs w:val="26"/>
        </w:rPr>
      </w:pPr>
      <w:bookmarkStart w:id="105" w:name="_Toc107496996"/>
      <w:bookmarkStart w:id="106" w:name="_Toc10033284"/>
      <w:bookmarkStart w:id="107" w:name="_Toc10721421"/>
      <w:bookmarkStart w:id="108" w:name="_Toc11134241"/>
      <w:r w:rsidRPr="00BF5960">
        <w:rPr>
          <w:sz w:val="26"/>
          <w:szCs w:val="26"/>
        </w:rPr>
        <w:lastRenderedPageBreak/>
        <w:t>Ndërmarrjet shtetërore</w:t>
      </w:r>
      <w:bookmarkEnd w:id="105"/>
      <w:r w:rsidRPr="00BF5960">
        <w:rPr>
          <w:sz w:val="26"/>
          <w:szCs w:val="26"/>
        </w:rPr>
        <w:t xml:space="preserve"> </w:t>
      </w:r>
    </w:p>
    <w:p w14:paraId="50ADF398" w14:textId="77777777" w:rsidR="00001086" w:rsidRPr="0080615E" w:rsidRDefault="00001086" w:rsidP="00001086">
      <w:pPr>
        <w:rPr>
          <w:rFonts w:asciiTheme="minorHAnsi" w:hAnsiTheme="minorHAnsi" w:cstheme="minorHAnsi"/>
          <w:i/>
          <w:iCs/>
          <w:color w:val="1F497D"/>
          <w:sz w:val="16"/>
          <w:szCs w:val="22"/>
          <w:highlight w:val="yellow"/>
          <w:lang w:val="sq-AL"/>
        </w:rPr>
      </w:pPr>
    </w:p>
    <w:p w14:paraId="3C6700B6" w14:textId="4B00744D" w:rsidR="00001086" w:rsidRPr="00001086" w:rsidRDefault="00343167" w:rsidP="00001086">
      <w:pPr>
        <w:rPr>
          <w:rFonts w:asciiTheme="minorHAnsi" w:hAnsiTheme="minorHAnsi"/>
          <w:bCs/>
          <w:lang w:val="sq-AL" w:eastAsia="sq-AL"/>
        </w:rPr>
      </w:pPr>
      <w:bookmarkStart w:id="109" w:name="_Toc107498135"/>
      <w:r w:rsidRPr="00343167">
        <w:rPr>
          <w:rFonts w:asciiTheme="minorHAnsi" w:hAnsiTheme="minorHAnsi"/>
          <w:bCs/>
          <w:i/>
          <w:noProof/>
          <w:sz w:val="22"/>
        </w:rPr>
        <w:t xml:space="preserve">Grafiku </w:t>
      </w:r>
      <w:r w:rsidRPr="00343167">
        <w:rPr>
          <w:rFonts w:asciiTheme="minorHAnsi" w:hAnsiTheme="minorHAnsi"/>
          <w:bCs/>
          <w:i/>
          <w:noProof/>
          <w:sz w:val="22"/>
        </w:rPr>
        <w:fldChar w:fldCharType="begin"/>
      </w:r>
      <w:r w:rsidRPr="00343167">
        <w:rPr>
          <w:rFonts w:asciiTheme="minorHAnsi" w:hAnsiTheme="minorHAnsi"/>
          <w:bCs/>
          <w:i/>
          <w:noProof/>
          <w:sz w:val="22"/>
        </w:rPr>
        <w:instrText xml:space="preserve"> SEQ Grafiku \* ARABIC </w:instrText>
      </w:r>
      <w:r w:rsidRPr="00343167">
        <w:rPr>
          <w:rFonts w:asciiTheme="minorHAnsi" w:hAnsiTheme="minorHAnsi"/>
          <w:bCs/>
          <w:i/>
          <w:noProof/>
          <w:sz w:val="22"/>
        </w:rPr>
        <w:fldChar w:fldCharType="separate"/>
      </w:r>
      <w:r w:rsidR="00C153A9">
        <w:rPr>
          <w:rFonts w:asciiTheme="minorHAnsi" w:hAnsiTheme="minorHAnsi"/>
          <w:bCs/>
          <w:i/>
          <w:noProof/>
          <w:sz w:val="22"/>
        </w:rPr>
        <w:t>43</w:t>
      </w:r>
      <w:r w:rsidRPr="00343167">
        <w:rPr>
          <w:rFonts w:asciiTheme="minorHAnsi" w:hAnsiTheme="minorHAnsi"/>
          <w:bCs/>
          <w:i/>
          <w:noProof/>
          <w:sz w:val="22"/>
        </w:rPr>
        <w:fldChar w:fldCharType="end"/>
      </w:r>
      <w:r w:rsidRPr="00343167">
        <w:rPr>
          <w:rFonts w:asciiTheme="minorHAnsi" w:hAnsiTheme="minorHAnsi"/>
          <w:i/>
          <w:noProof/>
          <w:sz w:val="22"/>
        </w:rPr>
        <w:t>:</w:t>
      </w:r>
      <w:r w:rsidR="0080615E">
        <w:rPr>
          <w:rFonts w:asciiTheme="minorHAnsi" w:hAnsiTheme="minorHAnsi"/>
          <w:i/>
          <w:noProof/>
          <w:sz w:val="22"/>
        </w:rPr>
        <w:t xml:space="preserve"> </w:t>
      </w:r>
      <w:r w:rsidR="00001086" w:rsidRPr="00343167">
        <w:rPr>
          <w:rFonts w:asciiTheme="minorHAnsi" w:hAnsiTheme="minorHAnsi"/>
          <w:i/>
          <w:noProof/>
          <w:sz w:val="22"/>
        </w:rPr>
        <w:t>Sektori quasi publik sipas numrit të ndërmarrjeve Burimi: INSTAT (202</w:t>
      </w:r>
      <w:r w:rsidR="0080615E">
        <w:rPr>
          <w:rFonts w:asciiTheme="minorHAnsi" w:hAnsiTheme="minorHAnsi"/>
          <w:i/>
          <w:noProof/>
          <w:sz w:val="22"/>
        </w:rPr>
        <w:t>3</w:t>
      </w:r>
      <w:r w:rsidR="00001086" w:rsidRPr="00343167">
        <w:rPr>
          <w:rFonts w:asciiTheme="minorHAnsi" w:hAnsiTheme="minorHAnsi"/>
          <w:i/>
          <w:noProof/>
          <w:sz w:val="22"/>
        </w:rPr>
        <w:t>)</w:t>
      </w:r>
      <w:bookmarkEnd w:id="109"/>
    </w:p>
    <w:p w14:paraId="56930E92" w14:textId="77777777" w:rsidR="00001086" w:rsidRPr="00001086" w:rsidRDefault="00001086" w:rsidP="00001086">
      <w:pPr>
        <w:jc w:val="center"/>
        <w:rPr>
          <w:rFonts w:asciiTheme="minorHAnsi" w:hAnsiTheme="minorHAnsi"/>
          <w:bCs/>
          <w:sz w:val="4"/>
          <w:lang w:val="sq-AL" w:eastAsia="sq-AL"/>
        </w:rPr>
      </w:pPr>
    </w:p>
    <w:p w14:paraId="62A2E9AD" w14:textId="77777777" w:rsidR="00325B8D" w:rsidRDefault="0080615E" w:rsidP="00325B8D">
      <w:pPr>
        <w:spacing w:before="120" w:after="120" w:line="276" w:lineRule="auto"/>
        <w:jc w:val="both"/>
        <w:rPr>
          <w:rFonts w:asciiTheme="minorHAnsi" w:hAnsiTheme="minorHAnsi"/>
          <w:bCs/>
          <w:lang w:val="sq-AL" w:eastAsia="sq-AL"/>
        </w:rPr>
      </w:pPr>
      <w:r>
        <w:rPr>
          <w:rFonts w:asciiTheme="minorHAnsi" w:hAnsiTheme="minorHAnsi"/>
          <w:bCs/>
          <w:noProof/>
        </w:rPr>
        <w:drawing>
          <wp:anchor distT="0" distB="0" distL="114300" distR="114300" simplePos="0" relativeHeight="251700736" behindDoc="0" locked="0" layoutInCell="1" allowOverlap="1" wp14:anchorId="6CBC8D59" wp14:editId="18878473">
            <wp:simplePos x="0" y="0"/>
            <wp:positionH relativeFrom="margin">
              <wp:posOffset>63500</wp:posOffset>
            </wp:positionH>
            <wp:positionV relativeFrom="page">
              <wp:posOffset>1676400</wp:posOffset>
            </wp:positionV>
            <wp:extent cx="3387090" cy="2266950"/>
            <wp:effectExtent l="19050" t="19050" r="22860" b="19050"/>
            <wp:wrapSquare wrapText="bothSides"/>
            <wp:docPr id="1087926021" name="Picture 1087926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87090" cy="2266950"/>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00001086">
        <w:rPr>
          <w:rFonts w:asciiTheme="minorHAnsi" w:hAnsiTheme="minorHAnsi"/>
          <w:bCs/>
          <w:lang w:val="sq-AL" w:eastAsia="sq-AL"/>
        </w:rPr>
        <w:t>Në zbatim të Ligjit “</w:t>
      </w:r>
      <w:r w:rsidR="00001086" w:rsidRPr="00325B8D">
        <w:rPr>
          <w:rFonts w:asciiTheme="minorHAnsi" w:hAnsiTheme="minorHAnsi"/>
          <w:bCs/>
          <w:i/>
          <w:lang w:val="sq-AL" w:eastAsia="sq-AL"/>
        </w:rPr>
        <w:t>Për menaxhimin e sistemit buxhetor në Republikën e Shqipërisë”, të ndryshuar</w:t>
      </w:r>
      <w:r w:rsidR="00001086">
        <w:rPr>
          <w:rFonts w:asciiTheme="minorHAnsi" w:hAnsiTheme="minorHAnsi"/>
          <w:bCs/>
          <w:lang w:val="sq-AL" w:eastAsia="sq-AL"/>
        </w:rPr>
        <w:t>”, specifikisht nenit 4/2 sipas së cilit: “...</w:t>
      </w:r>
      <w:r w:rsidR="00001086" w:rsidRPr="00402E3B">
        <w:rPr>
          <w:rFonts w:asciiTheme="minorHAnsi" w:hAnsiTheme="minorHAnsi"/>
          <w:bCs/>
          <w:i/>
          <w:lang w:val="sq-AL" w:eastAsia="sq-AL"/>
        </w:rPr>
        <w:t>Planet financiare vjetore dhe pasqyrat financiare mbi bazë tremujori, të çdo njësie jo të qeverisjes së përgjithshme përfituese të fondeve buxhetore dhe/ose garancive shtetërore, dorëzohen në Ministrinë e Financave</w:t>
      </w:r>
      <w:r>
        <w:rPr>
          <w:rFonts w:asciiTheme="minorHAnsi" w:hAnsiTheme="minorHAnsi"/>
          <w:bCs/>
          <w:i/>
          <w:lang w:val="sq-AL" w:eastAsia="sq-AL"/>
        </w:rPr>
        <w:t xml:space="preserve">...” </w:t>
      </w:r>
      <w:r>
        <w:rPr>
          <w:rFonts w:asciiTheme="minorHAnsi" w:hAnsiTheme="minorHAnsi"/>
          <w:bCs/>
          <w:lang w:val="sq-AL" w:eastAsia="sq-AL"/>
        </w:rPr>
        <w:t>dhe në zbatim të Udhëzimit Plotësues nr.2/2023 “</w:t>
      </w:r>
      <w:r w:rsidRPr="00402E3B">
        <w:rPr>
          <w:rFonts w:asciiTheme="minorHAnsi" w:hAnsiTheme="minorHAnsi"/>
          <w:bCs/>
          <w:i/>
          <w:lang w:val="sq-AL" w:eastAsia="sq-AL"/>
        </w:rPr>
        <w:t>Për zbatimin e Buxhetit të vitit 202</w:t>
      </w:r>
      <w:r>
        <w:rPr>
          <w:rFonts w:asciiTheme="minorHAnsi" w:hAnsiTheme="minorHAnsi"/>
          <w:bCs/>
          <w:i/>
          <w:lang w:val="sq-AL" w:eastAsia="sq-AL"/>
        </w:rPr>
        <w:t>3</w:t>
      </w:r>
      <w:r>
        <w:rPr>
          <w:rFonts w:asciiTheme="minorHAnsi" w:hAnsiTheme="minorHAnsi"/>
          <w:bCs/>
          <w:lang w:val="sq-AL" w:eastAsia="sq-AL"/>
        </w:rPr>
        <w:t>”, MFE monitoron dhe përgatit periodikisht mbi baza tremujore, analizat financiare të performancës së NSH-ve kryesore bazuar në potencialin e tyre për të ndikuar në financat dhe buxhetin e shtetit. Monitorimi është fokusuar kryesisht në performancën financiare dhe jofinanciare të tre kompanive të sektorit energjetik, që është thelluar në kuadër të reformës të këtij sektori. Këto raporte analitike, të cilat përgatiten rregullisht në baza tremujore, bëhen pjesë/publikohen në të gjitha raportet periodike të MFE/DMB, si Buxheti Faktik, Raporti i Mesvitit, dhe Projektbuxheti</w:t>
      </w:r>
      <w:r w:rsidR="00001086">
        <w:rPr>
          <w:rFonts w:asciiTheme="minorHAnsi" w:hAnsiTheme="minorHAnsi"/>
          <w:bCs/>
          <w:lang w:val="sq-AL" w:eastAsia="sq-AL"/>
        </w:rPr>
        <w:t xml:space="preserve">. </w:t>
      </w:r>
    </w:p>
    <w:p w14:paraId="1EEB8E9B" w14:textId="7ECEBCFB" w:rsidR="00402E3B" w:rsidRDefault="00402E3B" w:rsidP="00325B8D">
      <w:pPr>
        <w:spacing w:before="120" w:after="120" w:line="276" w:lineRule="auto"/>
        <w:jc w:val="both"/>
        <w:rPr>
          <w:rFonts w:asciiTheme="minorHAnsi" w:hAnsiTheme="minorHAnsi"/>
          <w:bCs/>
          <w:lang w:val="sq-AL" w:eastAsia="sq-AL"/>
        </w:rPr>
      </w:pPr>
      <w:r>
        <w:rPr>
          <w:rFonts w:asciiTheme="minorHAnsi" w:hAnsiTheme="minorHAnsi"/>
          <w:bCs/>
          <w:lang w:val="sq-AL" w:eastAsia="sq-AL"/>
        </w:rPr>
        <w:t>M</w:t>
      </w:r>
      <w:r w:rsidR="009647C4">
        <w:rPr>
          <w:rFonts w:asciiTheme="minorHAnsi" w:hAnsiTheme="minorHAnsi"/>
          <w:bCs/>
          <w:lang w:val="sq-AL" w:eastAsia="sq-AL"/>
        </w:rPr>
        <w:t>ë</w:t>
      </w:r>
      <w:r>
        <w:rPr>
          <w:rFonts w:asciiTheme="minorHAnsi" w:hAnsiTheme="minorHAnsi"/>
          <w:bCs/>
          <w:lang w:val="sq-AL" w:eastAsia="sq-AL"/>
        </w:rPr>
        <w:t>posht</w:t>
      </w:r>
      <w:r w:rsidR="009647C4">
        <w:rPr>
          <w:rFonts w:asciiTheme="minorHAnsi" w:hAnsiTheme="minorHAnsi"/>
          <w:bCs/>
          <w:lang w:val="sq-AL" w:eastAsia="sq-AL"/>
        </w:rPr>
        <w:t>ë</w:t>
      </w:r>
      <w:r>
        <w:rPr>
          <w:rFonts w:asciiTheme="minorHAnsi" w:hAnsiTheme="minorHAnsi"/>
          <w:bCs/>
          <w:lang w:val="sq-AL" w:eastAsia="sq-AL"/>
        </w:rPr>
        <w:t xml:space="preserve"> </w:t>
      </w:r>
      <w:bookmarkStart w:id="110" w:name="_Hlk138147931"/>
      <w:r w:rsidR="0080615E" w:rsidRPr="001F16EF">
        <w:rPr>
          <w:rFonts w:asciiTheme="minorHAnsi" w:hAnsiTheme="minorHAnsi"/>
          <w:bCs/>
          <w:lang w:val="sq-AL" w:eastAsia="sq-AL"/>
        </w:rPr>
        <w:t>paraqitet performanca financiare të Ndërmarrjeve Shtetërore</w:t>
      </w:r>
      <w:r w:rsidR="007D226B">
        <w:rPr>
          <w:rFonts w:asciiTheme="minorHAnsi" w:hAnsiTheme="minorHAnsi"/>
          <w:bCs/>
          <w:lang w:val="sq-AL" w:eastAsia="sq-AL"/>
        </w:rPr>
        <w:t xml:space="preserve"> që kanë raportuar,</w:t>
      </w:r>
      <w:r w:rsidR="0080615E" w:rsidRPr="001F16EF">
        <w:rPr>
          <w:rFonts w:asciiTheme="minorHAnsi" w:hAnsiTheme="minorHAnsi"/>
          <w:bCs/>
          <w:lang w:val="sq-AL" w:eastAsia="sq-AL"/>
        </w:rPr>
        <w:t xml:space="preserve"> si Ujësjellës Kanalizime Tiranë (UKT) </w:t>
      </w:r>
      <w:r w:rsidR="007D226B">
        <w:rPr>
          <w:rFonts w:asciiTheme="minorHAnsi" w:hAnsiTheme="minorHAnsi"/>
          <w:bCs/>
          <w:lang w:val="sq-AL" w:eastAsia="sq-AL"/>
        </w:rPr>
        <w:t>sha</w:t>
      </w:r>
      <w:r w:rsidR="0080615E" w:rsidRPr="001F16EF">
        <w:rPr>
          <w:rFonts w:asciiTheme="minorHAnsi" w:hAnsiTheme="minorHAnsi"/>
          <w:bCs/>
          <w:lang w:val="sq-AL" w:eastAsia="sq-AL"/>
        </w:rPr>
        <w:t xml:space="preserve">, Hekurudha Shqiptare </w:t>
      </w:r>
      <w:r w:rsidR="007D226B">
        <w:rPr>
          <w:rFonts w:asciiTheme="minorHAnsi" w:hAnsiTheme="minorHAnsi"/>
          <w:bCs/>
          <w:lang w:val="sq-AL" w:eastAsia="sq-AL"/>
        </w:rPr>
        <w:t>sha</w:t>
      </w:r>
      <w:r w:rsidR="0080615E" w:rsidRPr="001F16EF">
        <w:rPr>
          <w:rFonts w:asciiTheme="minorHAnsi" w:hAnsiTheme="minorHAnsi"/>
          <w:bCs/>
          <w:lang w:val="sq-AL" w:eastAsia="sq-AL"/>
        </w:rPr>
        <w:t xml:space="preserve">, Autoriteti Portual Durrës (APD) </w:t>
      </w:r>
      <w:r w:rsidR="007D226B">
        <w:rPr>
          <w:rFonts w:asciiTheme="minorHAnsi" w:hAnsiTheme="minorHAnsi"/>
          <w:bCs/>
          <w:lang w:val="sq-AL" w:eastAsia="sq-AL"/>
        </w:rPr>
        <w:t>sha</w:t>
      </w:r>
      <w:r w:rsidR="0080615E" w:rsidRPr="001F16EF">
        <w:rPr>
          <w:rFonts w:asciiTheme="minorHAnsi" w:hAnsiTheme="minorHAnsi"/>
          <w:bCs/>
          <w:lang w:val="sq-AL" w:eastAsia="sq-AL"/>
        </w:rPr>
        <w:t xml:space="preserve"> dhe Albpetrol </w:t>
      </w:r>
      <w:r w:rsidR="007D226B">
        <w:rPr>
          <w:rFonts w:asciiTheme="minorHAnsi" w:hAnsiTheme="minorHAnsi"/>
          <w:bCs/>
          <w:lang w:val="sq-AL" w:eastAsia="sq-AL"/>
        </w:rPr>
        <w:t>sha</w:t>
      </w:r>
      <w:r w:rsidR="0080615E" w:rsidRPr="001F16EF">
        <w:rPr>
          <w:rFonts w:asciiTheme="minorHAnsi" w:hAnsiTheme="minorHAnsi"/>
          <w:bCs/>
          <w:lang w:val="sq-AL" w:eastAsia="sq-AL"/>
        </w:rPr>
        <w:t xml:space="preserve">, të monitoruara gjatë </w:t>
      </w:r>
      <w:r w:rsidR="008879EF">
        <w:rPr>
          <w:rFonts w:asciiTheme="minorHAnsi" w:hAnsiTheme="minorHAnsi"/>
          <w:bCs/>
          <w:lang w:val="sq-AL" w:eastAsia="sq-AL"/>
        </w:rPr>
        <w:t>gjysmës së parë t</w:t>
      </w:r>
      <w:r w:rsidR="008879EF" w:rsidRPr="008879EF">
        <w:rPr>
          <w:rFonts w:asciiTheme="minorHAnsi" w:hAnsiTheme="minorHAnsi"/>
          <w:bCs/>
          <w:lang w:val="sq-AL" w:eastAsia="sq-AL"/>
        </w:rPr>
        <w:t xml:space="preserve">ë vitit </w:t>
      </w:r>
      <w:r w:rsidR="0080615E" w:rsidRPr="001F16EF">
        <w:rPr>
          <w:rFonts w:asciiTheme="minorHAnsi" w:hAnsiTheme="minorHAnsi"/>
          <w:bCs/>
          <w:lang w:val="sq-AL" w:eastAsia="sq-AL"/>
        </w:rPr>
        <w:t>2023</w:t>
      </w:r>
      <w:bookmarkEnd w:id="110"/>
      <w:r>
        <w:rPr>
          <w:rFonts w:asciiTheme="minorHAnsi" w:hAnsiTheme="minorHAnsi"/>
          <w:bCs/>
          <w:lang w:val="sq-AL" w:eastAsia="sq-AL"/>
        </w:rPr>
        <w:t>:</w:t>
      </w:r>
    </w:p>
    <w:p w14:paraId="4DCA9458" w14:textId="77777777" w:rsidR="0080615E" w:rsidRPr="0080615E" w:rsidRDefault="0080615E" w:rsidP="00325B8D">
      <w:pPr>
        <w:spacing w:before="120" w:after="120" w:line="276" w:lineRule="auto"/>
        <w:jc w:val="both"/>
        <w:rPr>
          <w:rFonts w:asciiTheme="minorHAnsi" w:hAnsiTheme="minorHAnsi"/>
          <w:bCs/>
          <w:sz w:val="2"/>
          <w:lang w:val="sq-AL" w:eastAsia="sq-AL"/>
        </w:rPr>
      </w:pPr>
    </w:p>
    <w:p w14:paraId="6FA9CB1C" w14:textId="77777777" w:rsidR="00402E3B" w:rsidRDefault="00402E3B" w:rsidP="00056DE5">
      <w:pPr>
        <w:keepNext/>
        <w:numPr>
          <w:ilvl w:val="0"/>
          <w:numId w:val="27"/>
        </w:numPr>
        <w:spacing w:before="120" w:line="276" w:lineRule="auto"/>
        <w:jc w:val="both"/>
        <w:rPr>
          <w:rFonts w:ascii="Calibri" w:hAnsi="Calibri"/>
          <w:i/>
          <w:lang w:val="sq-AL"/>
        </w:rPr>
      </w:pPr>
      <w:r>
        <w:rPr>
          <w:rFonts w:ascii="Calibri" w:hAnsi="Calibri"/>
          <w:i/>
          <w:lang w:val="sq-AL"/>
        </w:rPr>
        <w:t xml:space="preserve">Performanca financiare e UKT </w:t>
      </w:r>
      <w:r w:rsidR="00B703A6">
        <w:rPr>
          <w:rFonts w:ascii="Calibri" w:hAnsi="Calibri"/>
          <w:i/>
          <w:lang w:val="sq-AL"/>
        </w:rPr>
        <w:t>sh.a</w:t>
      </w:r>
      <w:r>
        <w:rPr>
          <w:rFonts w:ascii="Calibri" w:hAnsi="Calibri"/>
          <w:i/>
          <w:lang w:val="sq-AL"/>
        </w:rPr>
        <w:t>.</w:t>
      </w:r>
    </w:p>
    <w:p w14:paraId="5FE1D486" w14:textId="77777777" w:rsidR="00402E3B" w:rsidRDefault="0080615E" w:rsidP="00402E3B">
      <w:pPr>
        <w:spacing w:line="276" w:lineRule="auto"/>
        <w:jc w:val="both"/>
        <w:rPr>
          <w:rFonts w:asciiTheme="minorHAnsi" w:hAnsiTheme="minorHAnsi"/>
          <w:bCs/>
          <w:lang w:val="sq-AL" w:eastAsia="sq-AL"/>
        </w:rPr>
      </w:pPr>
      <w:r w:rsidRPr="006F5438">
        <w:rPr>
          <w:rFonts w:asciiTheme="minorHAnsi" w:hAnsiTheme="minorHAnsi"/>
          <w:bCs/>
          <w:lang w:val="sq-AL" w:eastAsia="sq-AL"/>
        </w:rPr>
        <w:t xml:space="preserve">Gjatë </w:t>
      </w:r>
      <w:r>
        <w:rPr>
          <w:rFonts w:asciiTheme="minorHAnsi" w:hAnsiTheme="minorHAnsi"/>
          <w:bCs/>
          <w:lang w:val="sq-AL" w:eastAsia="sq-AL"/>
        </w:rPr>
        <w:t>T1</w:t>
      </w:r>
      <w:r w:rsidRPr="006F5438">
        <w:rPr>
          <w:rFonts w:asciiTheme="minorHAnsi" w:hAnsiTheme="minorHAnsi"/>
          <w:bCs/>
          <w:lang w:val="sq-AL" w:eastAsia="sq-AL"/>
        </w:rPr>
        <w:t xml:space="preserve"> 2023, të ardhurat për UKT Sh.a (Ujësjellës Kanalizime Tiranë) arritën në 1,032 milion </w:t>
      </w:r>
      <w:r>
        <w:rPr>
          <w:rFonts w:asciiTheme="minorHAnsi" w:hAnsiTheme="minorHAnsi"/>
          <w:bCs/>
          <w:lang w:val="sq-AL" w:eastAsia="sq-AL"/>
        </w:rPr>
        <w:t>LEK</w:t>
      </w:r>
      <w:r w:rsidRPr="006F5438">
        <w:rPr>
          <w:rFonts w:asciiTheme="minorHAnsi" w:hAnsiTheme="minorHAnsi"/>
          <w:bCs/>
          <w:lang w:val="sq-AL" w:eastAsia="sq-AL"/>
        </w:rPr>
        <w:t xml:space="preserve">, ndërsa shpenzimet e përgjithshme 805 milion </w:t>
      </w:r>
      <w:r>
        <w:rPr>
          <w:rFonts w:asciiTheme="minorHAnsi" w:hAnsiTheme="minorHAnsi"/>
          <w:bCs/>
          <w:lang w:val="sq-AL" w:eastAsia="sq-AL"/>
        </w:rPr>
        <w:t>LEK</w:t>
      </w:r>
      <w:r w:rsidRPr="006F5438">
        <w:rPr>
          <w:rFonts w:asciiTheme="minorHAnsi" w:hAnsiTheme="minorHAnsi"/>
          <w:bCs/>
          <w:lang w:val="sq-AL" w:eastAsia="sq-AL"/>
        </w:rPr>
        <w:t xml:space="preserve">. Për rrjedhojë, shoqëria regjistroi një fitim neto pozitiv prej rreth 227 milionë </w:t>
      </w:r>
      <w:r>
        <w:rPr>
          <w:rFonts w:asciiTheme="minorHAnsi" w:hAnsiTheme="minorHAnsi"/>
          <w:bCs/>
          <w:lang w:val="sq-AL" w:eastAsia="sq-AL"/>
        </w:rPr>
        <w:t>LEK, duke treguar një vazhdimësi të ecurisë pozitive të kompanisë.</w:t>
      </w:r>
      <w:r w:rsidRPr="006F5438">
        <w:rPr>
          <w:rFonts w:asciiTheme="minorHAnsi" w:hAnsiTheme="minorHAnsi"/>
          <w:bCs/>
          <w:lang w:val="sq-AL" w:eastAsia="sq-AL"/>
        </w:rPr>
        <w:t xml:space="preserve"> Në fund të vitit 2022, UKT Sh.a nëpërmjet pasqyrave financiare ka raportuar se të ardhurat arritën në 4,719 milion </w:t>
      </w:r>
      <w:r>
        <w:rPr>
          <w:rFonts w:asciiTheme="minorHAnsi" w:hAnsiTheme="minorHAnsi"/>
          <w:bCs/>
          <w:lang w:val="sq-AL" w:eastAsia="sq-AL"/>
        </w:rPr>
        <w:t>LEK</w:t>
      </w:r>
      <w:r w:rsidRPr="006F5438">
        <w:rPr>
          <w:rFonts w:asciiTheme="minorHAnsi" w:hAnsiTheme="minorHAnsi"/>
          <w:bCs/>
          <w:lang w:val="sq-AL" w:eastAsia="sq-AL"/>
        </w:rPr>
        <w:t>, ndërsa shpenzimet e përgjith</w:t>
      </w:r>
      <w:r>
        <w:rPr>
          <w:rFonts w:asciiTheme="minorHAnsi" w:hAnsiTheme="minorHAnsi"/>
          <w:bCs/>
          <w:lang w:val="sq-AL" w:eastAsia="sq-AL"/>
        </w:rPr>
        <w:t>shme në rreth 3,694 milion LEK, duke regjistruar</w:t>
      </w:r>
      <w:r w:rsidRPr="006F5438">
        <w:rPr>
          <w:rFonts w:asciiTheme="minorHAnsi" w:hAnsiTheme="minorHAnsi"/>
          <w:bCs/>
          <w:lang w:val="sq-AL" w:eastAsia="sq-AL"/>
        </w:rPr>
        <w:t xml:space="preserve"> një fitim neto pozitiv prej 1,025 milionë </w:t>
      </w:r>
      <w:r>
        <w:rPr>
          <w:rFonts w:asciiTheme="minorHAnsi" w:hAnsiTheme="minorHAnsi"/>
          <w:bCs/>
          <w:lang w:val="sq-AL" w:eastAsia="sq-AL"/>
        </w:rPr>
        <w:t>LEK</w:t>
      </w:r>
      <w:r w:rsidR="00402E3B" w:rsidRPr="00544A4D">
        <w:rPr>
          <w:rFonts w:asciiTheme="minorHAnsi" w:hAnsiTheme="minorHAnsi"/>
          <w:bCs/>
          <w:lang w:val="sq-AL" w:eastAsia="sq-AL"/>
        </w:rPr>
        <w:t>.</w:t>
      </w:r>
    </w:p>
    <w:p w14:paraId="75A3137C" w14:textId="5CA30209" w:rsidR="0080615E" w:rsidRDefault="00343167" w:rsidP="0080615E">
      <w:pPr>
        <w:spacing w:before="120" w:line="276" w:lineRule="auto"/>
        <w:jc w:val="both"/>
        <w:rPr>
          <w:rFonts w:ascii="Calibri" w:hAnsi="Calibri"/>
          <w:i/>
          <w:sz w:val="22"/>
          <w:highlight w:val="yellow"/>
          <w:lang w:val="sq-AL"/>
        </w:rPr>
      </w:pPr>
      <w:bookmarkStart w:id="111" w:name="_Toc107496751"/>
      <w:r w:rsidRPr="00343167">
        <w:rPr>
          <w:rFonts w:asciiTheme="minorHAnsi" w:hAnsiTheme="minorHAnsi"/>
          <w:bCs/>
          <w:i/>
          <w:noProof/>
          <w:sz w:val="22"/>
        </w:rPr>
        <w:t xml:space="preserve">Tabela </w:t>
      </w:r>
      <w:r w:rsidRPr="00343167">
        <w:rPr>
          <w:rFonts w:asciiTheme="minorHAnsi" w:hAnsiTheme="minorHAnsi"/>
          <w:bCs/>
          <w:i/>
          <w:noProof/>
          <w:sz w:val="22"/>
        </w:rPr>
        <w:fldChar w:fldCharType="begin"/>
      </w:r>
      <w:r w:rsidRPr="00343167">
        <w:rPr>
          <w:rFonts w:asciiTheme="minorHAnsi" w:hAnsiTheme="minorHAnsi"/>
          <w:bCs/>
          <w:i/>
          <w:noProof/>
          <w:sz w:val="22"/>
        </w:rPr>
        <w:instrText xml:space="preserve"> SEQ Tabela \* ARABIC </w:instrText>
      </w:r>
      <w:r w:rsidRPr="00343167">
        <w:rPr>
          <w:rFonts w:asciiTheme="minorHAnsi" w:hAnsiTheme="minorHAnsi"/>
          <w:bCs/>
          <w:i/>
          <w:noProof/>
          <w:sz w:val="22"/>
        </w:rPr>
        <w:fldChar w:fldCharType="separate"/>
      </w:r>
      <w:r w:rsidR="00C153A9">
        <w:rPr>
          <w:rFonts w:asciiTheme="minorHAnsi" w:hAnsiTheme="minorHAnsi"/>
          <w:bCs/>
          <w:i/>
          <w:noProof/>
          <w:sz w:val="22"/>
        </w:rPr>
        <w:t>15</w:t>
      </w:r>
      <w:r w:rsidRPr="00343167">
        <w:rPr>
          <w:rFonts w:asciiTheme="minorHAnsi" w:hAnsiTheme="minorHAnsi"/>
          <w:bCs/>
          <w:i/>
          <w:noProof/>
          <w:sz w:val="22"/>
        </w:rPr>
        <w:fldChar w:fldCharType="end"/>
      </w:r>
      <w:r w:rsidRPr="00343167">
        <w:rPr>
          <w:rFonts w:asciiTheme="minorHAnsi" w:hAnsiTheme="minorHAnsi"/>
          <w:b/>
          <w:bCs/>
          <w:i/>
          <w:noProof/>
          <w:sz w:val="22"/>
        </w:rPr>
        <w:t xml:space="preserve">: </w:t>
      </w:r>
      <w:r w:rsidR="00402E3B" w:rsidRPr="00B926B8">
        <w:rPr>
          <w:rFonts w:ascii="Calibri" w:hAnsi="Calibri" w:cs="Calibri"/>
          <w:i/>
          <w:iCs/>
          <w:sz w:val="22"/>
          <w:szCs w:val="22"/>
          <w:lang w:val="sq-AL"/>
        </w:rPr>
        <w:t xml:space="preserve">Të dhënat financiare  për UKT </w:t>
      </w:r>
      <w:r w:rsidR="00B703A6">
        <w:rPr>
          <w:rFonts w:ascii="Calibri" w:hAnsi="Calibri" w:cs="Calibri"/>
          <w:i/>
          <w:iCs/>
          <w:sz w:val="22"/>
          <w:szCs w:val="22"/>
          <w:lang w:val="sq-AL"/>
        </w:rPr>
        <w:t>sh.a</w:t>
      </w:r>
      <w:r w:rsidR="00402E3B" w:rsidRPr="00B926B8">
        <w:rPr>
          <w:rFonts w:ascii="Calibri" w:hAnsi="Calibri" w:cs="Calibri"/>
          <w:i/>
          <w:iCs/>
          <w:sz w:val="22"/>
          <w:szCs w:val="22"/>
          <w:lang w:val="sq-AL"/>
        </w:rPr>
        <w:t xml:space="preserve"> (202</w:t>
      </w:r>
      <w:r w:rsidR="0080615E">
        <w:rPr>
          <w:rFonts w:ascii="Calibri" w:hAnsi="Calibri" w:cs="Calibri"/>
          <w:i/>
          <w:iCs/>
          <w:sz w:val="22"/>
          <w:szCs w:val="22"/>
          <w:lang w:val="sq-AL"/>
        </w:rPr>
        <w:t>1</w:t>
      </w:r>
      <w:r w:rsidR="00402E3B" w:rsidRPr="00B926B8">
        <w:rPr>
          <w:rFonts w:ascii="Calibri" w:hAnsi="Calibri" w:cs="Calibri"/>
          <w:i/>
          <w:iCs/>
          <w:sz w:val="22"/>
          <w:szCs w:val="22"/>
          <w:lang w:val="sq-AL"/>
        </w:rPr>
        <w:t xml:space="preserve"> </w:t>
      </w:r>
      <w:r w:rsidR="00325B8D" w:rsidRPr="00B926B8">
        <w:rPr>
          <w:rFonts w:ascii="Calibri" w:hAnsi="Calibri" w:cs="Calibri"/>
          <w:i/>
          <w:iCs/>
          <w:sz w:val="22"/>
          <w:szCs w:val="22"/>
          <w:lang w:val="sq-AL"/>
        </w:rPr>
        <w:t xml:space="preserve">– </w:t>
      </w:r>
      <w:r w:rsidR="00193698">
        <w:rPr>
          <w:rFonts w:ascii="Calibri" w:hAnsi="Calibri" w:cs="Calibri"/>
          <w:i/>
          <w:iCs/>
          <w:sz w:val="22"/>
          <w:szCs w:val="22"/>
          <w:lang w:val="sq-AL"/>
        </w:rPr>
        <w:t>T1</w:t>
      </w:r>
      <w:r w:rsidR="00402E3B" w:rsidRPr="00B926B8">
        <w:rPr>
          <w:rFonts w:ascii="Calibri" w:hAnsi="Calibri" w:cs="Calibri"/>
          <w:i/>
          <w:iCs/>
          <w:sz w:val="22"/>
          <w:szCs w:val="22"/>
          <w:lang w:val="sq-AL"/>
        </w:rPr>
        <w:t xml:space="preserve"> 202</w:t>
      </w:r>
      <w:r w:rsidR="0080615E">
        <w:rPr>
          <w:rFonts w:ascii="Calibri" w:hAnsi="Calibri" w:cs="Calibri"/>
          <w:i/>
          <w:iCs/>
          <w:sz w:val="22"/>
          <w:szCs w:val="22"/>
          <w:lang w:val="sq-AL"/>
        </w:rPr>
        <w:t>3</w:t>
      </w:r>
      <w:r w:rsidR="00402E3B" w:rsidRPr="00B926B8">
        <w:rPr>
          <w:rFonts w:ascii="Calibri" w:hAnsi="Calibri" w:cs="Calibri"/>
          <w:i/>
          <w:iCs/>
          <w:sz w:val="22"/>
          <w:szCs w:val="22"/>
          <w:lang w:val="sq-AL"/>
        </w:rPr>
        <w:t>) (në mijë LEK)</w:t>
      </w:r>
      <w:bookmarkEnd w:id="111"/>
    </w:p>
    <w:tbl>
      <w:tblPr>
        <w:tblW w:w="9192"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1958"/>
        <w:gridCol w:w="1785"/>
        <w:gridCol w:w="1779"/>
        <w:gridCol w:w="1835"/>
        <w:gridCol w:w="1835"/>
      </w:tblGrid>
      <w:tr w:rsidR="0080615E" w:rsidRPr="0080615E" w14:paraId="21CDB9EF" w14:textId="77777777" w:rsidTr="0080615E">
        <w:trPr>
          <w:trHeight w:val="250"/>
          <w:jc w:val="center"/>
        </w:trPr>
        <w:tc>
          <w:tcPr>
            <w:tcW w:w="1958" w:type="dxa"/>
            <w:tcBorders>
              <w:top w:val="single" w:sz="24" w:space="0" w:color="95B3D7"/>
              <w:left w:val="single" w:sz="24" w:space="0" w:color="95B3D7"/>
              <w:bottom w:val="nil"/>
              <w:right w:val="nil"/>
            </w:tcBorders>
            <w:shd w:val="clear" w:color="auto" w:fill="B3DDF2"/>
            <w:noWrap/>
            <w:vAlign w:val="center"/>
            <w:hideMark/>
          </w:tcPr>
          <w:p w14:paraId="0C2F7117" w14:textId="77777777" w:rsidR="0080615E" w:rsidRPr="0080615E" w:rsidRDefault="0080615E" w:rsidP="0080615E">
            <w:pPr>
              <w:rPr>
                <w:rFonts w:asciiTheme="minorHAnsi" w:hAnsiTheme="minorHAnsi" w:cs="Calibri"/>
                <w:color w:val="000000"/>
                <w:sz w:val="18"/>
                <w:szCs w:val="18"/>
                <w:lang w:val="sq-AL"/>
              </w:rPr>
            </w:pPr>
            <w:r w:rsidRPr="0080615E">
              <w:rPr>
                <w:rFonts w:asciiTheme="minorHAnsi" w:hAnsiTheme="minorHAnsi" w:cs="Calibri"/>
                <w:b/>
                <w:color w:val="C00000"/>
                <w:sz w:val="18"/>
                <w:szCs w:val="18"/>
                <w:lang w:val="sq-AL"/>
              </w:rPr>
              <w:t>Zërat/Periudha</w:t>
            </w:r>
          </w:p>
        </w:tc>
        <w:tc>
          <w:tcPr>
            <w:tcW w:w="1785" w:type="dxa"/>
            <w:tcBorders>
              <w:top w:val="single" w:sz="24" w:space="0" w:color="95B3D7"/>
              <w:left w:val="nil"/>
              <w:bottom w:val="nil"/>
              <w:right w:val="nil"/>
            </w:tcBorders>
            <w:shd w:val="clear" w:color="auto" w:fill="B3DDF2"/>
            <w:noWrap/>
            <w:vAlign w:val="center"/>
            <w:hideMark/>
          </w:tcPr>
          <w:p w14:paraId="13122858" w14:textId="77777777" w:rsidR="0080615E" w:rsidRPr="0080615E" w:rsidRDefault="0080615E" w:rsidP="0080615E">
            <w:pPr>
              <w:jc w:val="right"/>
              <w:rPr>
                <w:rFonts w:asciiTheme="minorHAnsi" w:hAnsiTheme="minorHAnsi" w:cs="Calibri"/>
                <w:b/>
                <w:bCs/>
                <w:color w:val="000000"/>
                <w:sz w:val="18"/>
                <w:szCs w:val="18"/>
              </w:rPr>
            </w:pPr>
            <w:r w:rsidRPr="0080615E">
              <w:rPr>
                <w:rFonts w:asciiTheme="minorHAnsi" w:hAnsiTheme="minorHAnsi" w:cs="Calibri"/>
                <w:b/>
                <w:bCs/>
                <w:color w:val="C00000"/>
                <w:sz w:val="18"/>
                <w:szCs w:val="18"/>
              </w:rPr>
              <w:t xml:space="preserve">                     2021</w:t>
            </w:r>
          </w:p>
        </w:tc>
        <w:tc>
          <w:tcPr>
            <w:tcW w:w="1779" w:type="dxa"/>
            <w:tcBorders>
              <w:top w:val="single" w:sz="24" w:space="0" w:color="95B3D7"/>
              <w:left w:val="nil"/>
              <w:bottom w:val="nil"/>
              <w:right w:val="nil"/>
            </w:tcBorders>
            <w:shd w:val="clear" w:color="auto" w:fill="B3DDF2"/>
            <w:noWrap/>
            <w:vAlign w:val="center"/>
            <w:hideMark/>
          </w:tcPr>
          <w:p w14:paraId="3AA27928" w14:textId="77777777" w:rsidR="0080615E" w:rsidRPr="0080615E" w:rsidRDefault="0080615E" w:rsidP="0080615E">
            <w:pPr>
              <w:jc w:val="right"/>
              <w:rPr>
                <w:rFonts w:asciiTheme="minorHAnsi" w:hAnsiTheme="minorHAnsi" w:cs="Calibri"/>
                <w:b/>
                <w:bCs/>
                <w:color w:val="000000"/>
                <w:sz w:val="18"/>
                <w:szCs w:val="18"/>
              </w:rPr>
            </w:pPr>
            <w:r w:rsidRPr="0080615E">
              <w:rPr>
                <w:rFonts w:asciiTheme="minorHAnsi" w:hAnsiTheme="minorHAnsi" w:cs="Calibri"/>
                <w:b/>
                <w:bCs/>
                <w:color w:val="C00000"/>
                <w:sz w:val="18"/>
                <w:szCs w:val="18"/>
              </w:rPr>
              <w:t xml:space="preserve">              T1 2022</w:t>
            </w:r>
          </w:p>
        </w:tc>
        <w:tc>
          <w:tcPr>
            <w:tcW w:w="1835" w:type="dxa"/>
            <w:tcBorders>
              <w:top w:val="single" w:sz="24" w:space="0" w:color="95B3D7"/>
              <w:left w:val="nil"/>
              <w:bottom w:val="nil"/>
              <w:right w:val="nil"/>
            </w:tcBorders>
            <w:shd w:val="clear" w:color="auto" w:fill="B3DDF2"/>
            <w:vAlign w:val="center"/>
            <w:hideMark/>
          </w:tcPr>
          <w:p w14:paraId="060ECE6C" w14:textId="77777777" w:rsidR="0080615E" w:rsidRPr="0080615E" w:rsidRDefault="0080615E" w:rsidP="0080615E">
            <w:pPr>
              <w:jc w:val="right"/>
              <w:rPr>
                <w:rFonts w:asciiTheme="minorHAnsi" w:hAnsiTheme="minorHAnsi" w:cs="Calibri"/>
                <w:b/>
                <w:bCs/>
                <w:color w:val="C00000"/>
                <w:sz w:val="18"/>
                <w:szCs w:val="18"/>
              </w:rPr>
            </w:pPr>
            <w:r w:rsidRPr="0080615E">
              <w:rPr>
                <w:rFonts w:asciiTheme="minorHAnsi" w:hAnsiTheme="minorHAnsi" w:cs="Calibri"/>
                <w:b/>
                <w:bCs/>
                <w:color w:val="C00000"/>
                <w:sz w:val="18"/>
                <w:szCs w:val="18"/>
              </w:rPr>
              <w:t xml:space="preserve">                      2022</w:t>
            </w:r>
          </w:p>
        </w:tc>
        <w:tc>
          <w:tcPr>
            <w:tcW w:w="1835" w:type="dxa"/>
            <w:tcBorders>
              <w:top w:val="single" w:sz="24" w:space="0" w:color="95B3D7"/>
              <w:left w:val="nil"/>
              <w:bottom w:val="nil"/>
              <w:right w:val="single" w:sz="24" w:space="0" w:color="95B3D7"/>
            </w:tcBorders>
            <w:shd w:val="clear" w:color="auto" w:fill="B3DDF2"/>
            <w:noWrap/>
            <w:vAlign w:val="center"/>
            <w:hideMark/>
          </w:tcPr>
          <w:p w14:paraId="0111C561" w14:textId="77777777" w:rsidR="0080615E" w:rsidRPr="0080615E" w:rsidRDefault="0080615E" w:rsidP="0080615E">
            <w:pPr>
              <w:jc w:val="right"/>
              <w:rPr>
                <w:rFonts w:asciiTheme="minorHAnsi" w:hAnsiTheme="minorHAnsi" w:cs="Calibri"/>
                <w:b/>
                <w:bCs/>
                <w:color w:val="000000"/>
                <w:sz w:val="18"/>
                <w:szCs w:val="18"/>
              </w:rPr>
            </w:pPr>
            <w:r w:rsidRPr="0080615E">
              <w:rPr>
                <w:rFonts w:asciiTheme="minorHAnsi" w:hAnsiTheme="minorHAnsi" w:cs="Calibri"/>
                <w:b/>
                <w:bCs/>
                <w:color w:val="C00000"/>
                <w:sz w:val="18"/>
                <w:szCs w:val="18"/>
              </w:rPr>
              <w:t xml:space="preserve">               T1 2023</w:t>
            </w:r>
          </w:p>
        </w:tc>
      </w:tr>
      <w:tr w:rsidR="0080615E" w:rsidRPr="0080615E" w14:paraId="352141C9" w14:textId="77777777" w:rsidTr="0080615E">
        <w:trPr>
          <w:trHeight w:val="250"/>
          <w:jc w:val="center"/>
        </w:trPr>
        <w:tc>
          <w:tcPr>
            <w:tcW w:w="1958" w:type="dxa"/>
            <w:tcBorders>
              <w:top w:val="nil"/>
              <w:left w:val="single" w:sz="24" w:space="0" w:color="95B3D7"/>
              <w:bottom w:val="nil"/>
              <w:right w:val="nil"/>
            </w:tcBorders>
            <w:shd w:val="clear" w:color="auto" w:fill="FFFFFF"/>
            <w:noWrap/>
            <w:vAlign w:val="center"/>
            <w:hideMark/>
          </w:tcPr>
          <w:p w14:paraId="6C62D94B" w14:textId="77777777" w:rsidR="0080615E" w:rsidRPr="0080615E" w:rsidRDefault="0080615E" w:rsidP="0080615E">
            <w:pPr>
              <w:rPr>
                <w:rFonts w:asciiTheme="minorHAnsi" w:hAnsiTheme="minorHAnsi" w:cs="Calibri"/>
                <w:i/>
                <w:color w:val="000000"/>
                <w:sz w:val="18"/>
                <w:szCs w:val="18"/>
              </w:rPr>
            </w:pPr>
            <w:r w:rsidRPr="0080615E">
              <w:rPr>
                <w:rFonts w:asciiTheme="minorHAnsi" w:hAnsiTheme="minorHAnsi" w:cs="Calibri"/>
                <w:i/>
                <w:color w:val="000000"/>
                <w:sz w:val="18"/>
                <w:szCs w:val="18"/>
              </w:rPr>
              <w:t>Të ardhurat</w:t>
            </w:r>
          </w:p>
        </w:tc>
        <w:tc>
          <w:tcPr>
            <w:tcW w:w="1785" w:type="dxa"/>
            <w:tcBorders>
              <w:top w:val="nil"/>
              <w:left w:val="nil"/>
              <w:bottom w:val="nil"/>
              <w:right w:val="nil"/>
            </w:tcBorders>
            <w:shd w:val="clear" w:color="auto" w:fill="FFFFFF"/>
            <w:noWrap/>
            <w:vAlign w:val="center"/>
            <w:hideMark/>
          </w:tcPr>
          <w:p w14:paraId="273704ED"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4,410,579</w:t>
            </w:r>
          </w:p>
        </w:tc>
        <w:tc>
          <w:tcPr>
            <w:tcW w:w="1779" w:type="dxa"/>
            <w:tcBorders>
              <w:top w:val="nil"/>
              <w:left w:val="nil"/>
              <w:bottom w:val="nil"/>
              <w:right w:val="nil"/>
            </w:tcBorders>
            <w:shd w:val="clear" w:color="auto" w:fill="FFFFFF"/>
            <w:noWrap/>
            <w:vAlign w:val="center"/>
            <w:hideMark/>
          </w:tcPr>
          <w:p w14:paraId="04C4BEE9"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1,014,607</w:t>
            </w:r>
          </w:p>
        </w:tc>
        <w:tc>
          <w:tcPr>
            <w:tcW w:w="1835" w:type="dxa"/>
            <w:tcBorders>
              <w:top w:val="nil"/>
              <w:left w:val="nil"/>
              <w:bottom w:val="nil"/>
              <w:right w:val="nil"/>
            </w:tcBorders>
            <w:shd w:val="clear" w:color="auto" w:fill="FFFFFF"/>
            <w:vAlign w:val="center"/>
            <w:hideMark/>
          </w:tcPr>
          <w:p w14:paraId="0ADC96B6"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4,718,877</w:t>
            </w:r>
          </w:p>
        </w:tc>
        <w:tc>
          <w:tcPr>
            <w:tcW w:w="1835" w:type="dxa"/>
            <w:tcBorders>
              <w:top w:val="nil"/>
              <w:left w:val="nil"/>
              <w:bottom w:val="nil"/>
              <w:right w:val="single" w:sz="24" w:space="0" w:color="95B3D7"/>
            </w:tcBorders>
            <w:shd w:val="clear" w:color="auto" w:fill="FFFFFF"/>
            <w:noWrap/>
            <w:vAlign w:val="center"/>
            <w:hideMark/>
          </w:tcPr>
          <w:p w14:paraId="4B8E8215"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1,032,182  </w:t>
            </w:r>
          </w:p>
        </w:tc>
      </w:tr>
      <w:tr w:rsidR="0080615E" w:rsidRPr="0080615E" w14:paraId="341A761C" w14:textId="77777777" w:rsidTr="0080615E">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57E593E9" w14:textId="77777777" w:rsidR="0080615E" w:rsidRPr="0080615E" w:rsidRDefault="0080615E" w:rsidP="0080615E">
            <w:pPr>
              <w:rPr>
                <w:rFonts w:asciiTheme="minorHAnsi" w:hAnsiTheme="minorHAnsi" w:cs="Calibri"/>
                <w:i/>
                <w:color w:val="000000"/>
                <w:sz w:val="18"/>
                <w:szCs w:val="18"/>
              </w:rPr>
            </w:pPr>
            <w:r w:rsidRPr="0080615E">
              <w:rPr>
                <w:rFonts w:asciiTheme="minorHAnsi" w:hAnsiTheme="minorHAnsi" w:cs="Calibri"/>
                <w:i/>
                <w:color w:val="000000"/>
                <w:sz w:val="18"/>
                <w:szCs w:val="18"/>
              </w:rPr>
              <w:t>Shpenzimet</w:t>
            </w:r>
          </w:p>
        </w:tc>
        <w:tc>
          <w:tcPr>
            <w:tcW w:w="1785" w:type="dxa"/>
            <w:tcBorders>
              <w:top w:val="nil"/>
              <w:left w:val="nil"/>
              <w:bottom w:val="nil"/>
              <w:right w:val="nil"/>
            </w:tcBorders>
            <w:shd w:val="clear" w:color="auto" w:fill="FFFFFF"/>
            <w:noWrap/>
            <w:vAlign w:val="center"/>
            <w:hideMark/>
          </w:tcPr>
          <w:p w14:paraId="1D682DF5"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3,545,775</w:t>
            </w:r>
          </w:p>
        </w:tc>
        <w:tc>
          <w:tcPr>
            <w:tcW w:w="1779" w:type="dxa"/>
            <w:tcBorders>
              <w:top w:val="nil"/>
              <w:left w:val="nil"/>
              <w:bottom w:val="nil"/>
              <w:right w:val="nil"/>
            </w:tcBorders>
            <w:shd w:val="clear" w:color="auto" w:fill="FFFFFF"/>
            <w:noWrap/>
            <w:vAlign w:val="center"/>
            <w:hideMark/>
          </w:tcPr>
          <w:p w14:paraId="40B7E174"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815,963</w:t>
            </w:r>
          </w:p>
        </w:tc>
        <w:tc>
          <w:tcPr>
            <w:tcW w:w="1835" w:type="dxa"/>
            <w:tcBorders>
              <w:top w:val="nil"/>
              <w:left w:val="nil"/>
              <w:bottom w:val="nil"/>
              <w:right w:val="nil"/>
            </w:tcBorders>
            <w:shd w:val="clear" w:color="auto" w:fill="FFFFFF"/>
            <w:vAlign w:val="center"/>
            <w:hideMark/>
          </w:tcPr>
          <w:p w14:paraId="6950E39F"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3,693,814  </w:t>
            </w:r>
          </w:p>
        </w:tc>
        <w:tc>
          <w:tcPr>
            <w:tcW w:w="1835" w:type="dxa"/>
            <w:tcBorders>
              <w:top w:val="nil"/>
              <w:left w:val="nil"/>
              <w:bottom w:val="nil"/>
              <w:right w:val="single" w:sz="24" w:space="0" w:color="95B3D7"/>
            </w:tcBorders>
            <w:shd w:val="clear" w:color="auto" w:fill="FFFFFF"/>
            <w:noWrap/>
            <w:vAlign w:val="center"/>
            <w:hideMark/>
          </w:tcPr>
          <w:p w14:paraId="5F394BB6"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804,742  </w:t>
            </w:r>
          </w:p>
        </w:tc>
      </w:tr>
      <w:tr w:rsidR="0080615E" w:rsidRPr="0080615E" w14:paraId="45C15832" w14:textId="77777777" w:rsidTr="0080615E">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7631E6B6" w14:textId="77777777" w:rsidR="0080615E" w:rsidRPr="0080615E" w:rsidRDefault="0080615E" w:rsidP="0080615E">
            <w:pPr>
              <w:rPr>
                <w:rFonts w:asciiTheme="minorHAnsi" w:hAnsiTheme="minorHAnsi" w:cs="Calibri"/>
                <w:b/>
                <w:bCs/>
                <w:color w:val="000000"/>
                <w:sz w:val="18"/>
                <w:szCs w:val="18"/>
              </w:rPr>
            </w:pPr>
            <w:r w:rsidRPr="0080615E">
              <w:rPr>
                <w:rFonts w:asciiTheme="minorHAnsi" w:hAnsiTheme="minorHAnsi" w:cs="Calibri"/>
                <w:b/>
                <w:bCs/>
                <w:color w:val="000000"/>
                <w:sz w:val="18"/>
                <w:szCs w:val="18"/>
              </w:rPr>
              <w:t>Humbje/Fitim</w:t>
            </w:r>
          </w:p>
        </w:tc>
        <w:tc>
          <w:tcPr>
            <w:tcW w:w="1785" w:type="dxa"/>
            <w:tcBorders>
              <w:top w:val="nil"/>
              <w:left w:val="nil"/>
              <w:bottom w:val="nil"/>
              <w:right w:val="nil"/>
            </w:tcBorders>
            <w:shd w:val="clear" w:color="auto" w:fill="FFFFFF"/>
            <w:noWrap/>
            <w:vAlign w:val="center"/>
            <w:hideMark/>
          </w:tcPr>
          <w:p w14:paraId="736CCC73" w14:textId="77777777" w:rsidR="0080615E" w:rsidRPr="0080615E" w:rsidRDefault="0080615E" w:rsidP="0080615E">
            <w:pPr>
              <w:jc w:val="right"/>
              <w:rPr>
                <w:rFonts w:asciiTheme="minorHAnsi" w:hAnsiTheme="minorHAnsi" w:cs="Calibri"/>
                <w:b/>
                <w:i/>
                <w:color w:val="C00000"/>
                <w:sz w:val="18"/>
                <w:szCs w:val="18"/>
              </w:rPr>
            </w:pPr>
            <w:r w:rsidRPr="0080615E">
              <w:rPr>
                <w:rFonts w:asciiTheme="minorHAnsi" w:hAnsiTheme="minorHAnsi" w:cs="Calibri"/>
                <w:b/>
                <w:i/>
                <w:color w:val="C00000"/>
                <w:sz w:val="18"/>
                <w:szCs w:val="18"/>
              </w:rPr>
              <w:t xml:space="preserve">            864,805</w:t>
            </w:r>
          </w:p>
        </w:tc>
        <w:tc>
          <w:tcPr>
            <w:tcW w:w="1779" w:type="dxa"/>
            <w:tcBorders>
              <w:top w:val="nil"/>
              <w:left w:val="nil"/>
              <w:bottom w:val="nil"/>
              <w:right w:val="nil"/>
            </w:tcBorders>
            <w:shd w:val="clear" w:color="auto" w:fill="FFFFFF"/>
            <w:noWrap/>
            <w:vAlign w:val="center"/>
            <w:hideMark/>
          </w:tcPr>
          <w:p w14:paraId="2FEC4D31" w14:textId="77777777" w:rsidR="0080615E" w:rsidRPr="0080615E" w:rsidRDefault="0080615E" w:rsidP="0080615E">
            <w:pPr>
              <w:jc w:val="right"/>
              <w:rPr>
                <w:rFonts w:asciiTheme="minorHAnsi" w:hAnsiTheme="minorHAnsi" w:cs="Calibri"/>
                <w:b/>
                <w:i/>
                <w:color w:val="C00000"/>
                <w:sz w:val="18"/>
                <w:szCs w:val="18"/>
              </w:rPr>
            </w:pPr>
            <w:r w:rsidRPr="0080615E">
              <w:rPr>
                <w:rFonts w:asciiTheme="minorHAnsi" w:hAnsiTheme="minorHAnsi" w:cs="Calibri"/>
                <w:b/>
                <w:i/>
                <w:color w:val="C00000"/>
                <w:sz w:val="18"/>
                <w:szCs w:val="18"/>
              </w:rPr>
              <w:t xml:space="preserve">                  198,644</w:t>
            </w:r>
          </w:p>
        </w:tc>
        <w:tc>
          <w:tcPr>
            <w:tcW w:w="1835" w:type="dxa"/>
            <w:tcBorders>
              <w:top w:val="nil"/>
              <w:left w:val="nil"/>
              <w:bottom w:val="nil"/>
              <w:right w:val="nil"/>
            </w:tcBorders>
            <w:shd w:val="clear" w:color="auto" w:fill="FFFFFF"/>
            <w:vAlign w:val="center"/>
            <w:hideMark/>
          </w:tcPr>
          <w:p w14:paraId="175A1C8E" w14:textId="77777777" w:rsidR="0080615E" w:rsidRPr="0080615E" w:rsidRDefault="0080615E" w:rsidP="0080615E">
            <w:pPr>
              <w:jc w:val="right"/>
              <w:rPr>
                <w:rFonts w:asciiTheme="minorHAnsi" w:hAnsiTheme="minorHAnsi" w:cs="Calibri"/>
                <w:b/>
                <w:i/>
                <w:color w:val="C00000"/>
                <w:sz w:val="18"/>
                <w:szCs w:val="18"/>
              </w:rPr>
            </w:pPr>
            <w:r w:rsidRPr="0080615E">
              <w:rPr>
                <w:rFonts w:asciiTheme="minorHAnsi" w:hAnsiTheme="minorHAnsi" w:cs="Calibri"/>
                <w:b/>
                <w:i/>
                <w:color w:val="C00000"/>
                <w:sz w:val="18"/>
                <w:szCs w:val="18"/>
              </w:rPr>
              <w:t xml:space="preserve">               1,025,062</w:t>
            </w:r>
          </w:p>
        </w:tc>
        <w:tc>
          <w:tcPr>
            <w:tcW w:w="1835" w:type="dxa"/>
            <w:tcBorders>
              <w:top w:val="nil"/>
              <w:left w:val="nil"/>
              <w:bottom w:val="nil"/>
              <w:right w:val="single" w:sz="24" w:space="0" w:color="95B3D7"/>
            </w:tcBorders>
            <w:shd w:val="clear" w:color="auto" w:fill="FFFFFF"/>
            <w:noWrap/>
            <w:vAlign w:val="center"/>
            <w:hideMark/>
          </w:tcPr>
          <w:p w14:paraId="77063F8F" w14:textId="77777777" w:rsidR="0080615E" w:rsidRPr="0080615E" w:rsidRDefault="0080615E" w:rsidP="0080615E">
            <w:pPr>
              <w:jc w:val="right"/>
              <w:rPr>
                <w:rFonts w:asciiTheme="minorHAnsi" w:hAnsiTheme="minorHAnsi" w:cs="Calibri"/>
                <w:b/>
                <w:i/>
                <w:color w:val="C00000"/>
                <w:sz w:val="18"/>
                <w:szCs w:val="18"/>
              </w:rPr>
            </w:pPr>
            <w:r w:rsidRPr="0080615E">
              <w:rPr>
                <w:rFonts w:asciiTheme="minorHAnsi" w:hAnsiTheme="minorHAnsi" w:cs="Calibri"/>
                <w:b/>
                <w:i/>
                <w:color w:val="C00000"/>
                <w:sz w:val="18"/>
                <w:szCs w:val="18"/>
              </w:rPr>
              <w:t xml:space="preserve">               227,441</w:t>
            </w:r>
          </w:p>
        </w:tc>
      </w:tr>
      <w:tr w:rsidR="0080615E" w:rsidRPr="0080615E" w14:paraId="44EB767B" w14:textId="77777777" w:rsidTr="0080615E">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25614AC3" w14:textId="77777777" w:rsidR="0080615E" w:rsidRPr="0080615E" w:rsidRDefault="0080615E" w:rsidP="0080615E">
            <w:pPr>
              <w:rPr>
                <w:rFonts w:asciiTheme="minorHAnsi" w:hAnsiTheme="minorHAnsi" w:cs="Calibri"/>
                <w:i/>
                <w:color w:val="000000"/>
                <w:sz w:val="18"/>
                <w:szCs w:val="18"/>
              </w:rPr>
            </w:pPr>
            <w:r w:rsidRPr="0080615E">
              <w:rPr>
                <w:rFonts w:asciiTheme="minorHAnsi" w:hAnsiTheme="minorHAnsi" w:cs="Calibri"/>
                <w:i/>
                <w:color w:val="000000"/>
                <w:sz w:val="18"/>
                <w:szCs w:val="18"/>
              </w:rPr>
              <w:t>Aktivet Afatshkurtra</w:t>
            </w:r>
          </w:p>
        </w:tc>
        <w:tc>
          <w:tcPr>
            <w:tcW w:w="1785" w:type="dxa"/>
            <w:tcBorders>
              <w:top w:val="nil"/>
              <w:left w:val="nil"/>
              <w:bottom w:val="nil"/>
              <w:right w:val="nil"/>
            </w:tcBorders>
            <w:shd w:val="clear" w:color="auto" w:fill="FFFFFF"/>
            <w:noWrap/>
            <w:vAlign w:val="center"/>
            <w:hideMark/>
          </w:tcPr>
          <w:p w14:paraId="207DD117"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5,863,741</w:t>
            </w:r>
          </w:p>
        </w:tc>
        <w:tc>
          <w:tcPr>
            <w:tcW w:w="1779" w:type="dxa"/>
            <w:tcBorders>
              <w:top w:val="nil"/>
              <w:left w:val="nil"/>
              <w:bottom w:val="nil"/>
              <w:right w:val="nil"/>
            </w:tcBorders>
            <w:shd w:val="clear" w:color="auto" w:fill="FFFFFF"/>
            <w:noWrap/>
            <w:vAlign w:val="center"/>
            <w:hideMark/>
          </w:tcPr>
          <w:p w14:paraId="15CB2651"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5,651,363</w:t>
            </w:r>
          </w:p>
        </w:tc>
        <w:tc>
          <w:tcPr>
            <w:tcW w:w="1835" w:type="dxa"/>
            <w:tcBorders>
              <w:top w:val="nil"/>
              <w:left w:val="nil"/>
              <w:bottom w:val="nil"/>
              <w:right w:val="nil"/>
            </w:tcBorders>
            <w:shd w:val="clear" w:color="auto" w:fill="FFFFFF"/>
            <w:vAlign w:val="center"/>
            <w:hideMark/>
          </w:tcPr>
          <w:p w14:paraId="2D89A56D"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6,145,529  </w:t>
            </w:r>
          </w:p>
        </w:tc>
        <w:tc>
          <w:tcPr>
            <w:tcW w:w="1835" w:type="dxa"/>
            <w:tcBorders>
              <w:top w:val="nil"/>
              <w:left w:val="nil"/>
              <w:bottom w:val="nil"/>
              <w:right w:val="single" w:sz="24" w:space="0" w:color="95B3D7"/>
            </w:tcBorders>
            <w:shd w:val="clear" w:color="auto" w:fill="FFFFFF"/>
            <w:noWrap/>
            <w:vAlign w:val="center"/>
            <w:hideMark/>
          </w:tcPr>
          <w:p w14:paraId="149C22B0"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6,154,902  </w:t>
            </w:r>
          </w:p>
        </w:tc>
      </w:tr>
      <w:tr w:rsidR="0080615E" w:rsidRPr="0080615E" w14:paraId="2C97AA4A" w14:textId="77777777" w:rsidTr="0080615E">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182D1D89" w14:textId="77777777" w:rsidR="0080615E" w:rsidRPr="0080615E" w:rsidRDefault="0080615E" w:rsidP="0080615E">
            <w:pPr>
              <w:rPr>
                <w:rFonts w:asciiTheme="minorHAnsi" w:hAnsiTheme="minorHAnsi" w:cs="Calibri"/>
                <w:i/>
                <w:color w:val="000000"/>
                <w:sz w:val="18"/>
                <w:szCs w:val="18"/>
              </w:rPr>
            </w:pPr>
            <w:r w:rsidRPr="0080615E">
              <w:rPr>
                <w:rFonts w:asciiTheme="minorHAnsi" w:hAnsiTheme="minorHAnsi" w:cs="Calibri"/>
                <w:i/>
                <w:color w:val="000000"/>
                <w:sz w:val="18"/>
                <w:szCs w:val="18"/>
              </w:rPr>
              <w:t>Aktivet Afatgjata</w:t>
            </w:r>
          </w:p>
        </w:tc>
        <w:tc>
          <w:tcPr>
            <w:tcW w:w="1785" w:type="dxa"/>
            <w:tcBorders>
              <w:top w:val="nil"/>
              <w:left w:val="nil"/>
              <w:bottom w:val="nil"/>
              <w:right w:val="nil"/>
            </w:tcBorders>
            <w:shd w:val="clear" w:color="auto" w:fill="FFFFFF"/>
            <w:noWrap/>
            <w:vAlign w:val="center"/>
            <w:hideMark/>
          </w:tcPr>
          <w:p w14:paraId="15D2C3E0"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21,524,590  </w:t>
            </w:r>
          </w:p>
        </w:tc>
        <w:tc>
          <w:tcPr>
            <w:tcW w:w="1779" w:type="dxa"/>
            <w:tcBorders>
              <w:top w:val="nil"/>
              <w:left w:val="nil"/>
              <w:bottom w:val="nil"/>
              <w:right w:val="nil"/>
            </w:tcBorders>
            <w:shd w:val="clear" w:color="auto" w:fill="FFFFFF"/>
            <w:noWrap/>
            <w:vAlign w:val="center"/>
            <w:hideMark/>
          </w:tcPr>
          <w:p w14:paraId="51B11734"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21,601,921</w:t>
            </w:r>
          </w:p>
        </w:tc>
        <w:tc>
          <w:tcPr>
            <w:tcW w:w="1835" w:type="dxa"/>
            <w:tcBorders>
              <w:top w:val="nil"/>
              <w:left w:val="nil"/>
              <w:bottom w:val="nil"/>
              <w:right w:val="nil"/>
            </w:tcBorders>
            <w:shd w:val="clear" w:color="auto" w:fill="FFFFFF"/>
            <w:vAlign w:val="center"/>
            <w:hideMark/>
          </w:tcPr>
          <w:p w14:paraId="11D413E3"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21,718,635</w:t>
            </w:r>
          </w:p>
        </w:tc>
        <w:tc>
          <w:tcPr>
            <w:tcW w:w="1835" w:type="dxa"/>
            <w:tcBorders>
              <w:top w:val="nil"/>
              <w:left w:val="nil"/>
              <w:bottom w:val="nil"/>
              <w:right w:val="single" w:sz="24" w:space="0" w:color="95B3D7"/>
            </w:tcBorders>
            <w:shd w:val="clear" w:color="auto" w:fill="FFFFFF"/>
            <w:noWrap/>
            <w:vAlign w:val="center"/>
            <w:hideMark/>
          </w:tcPr>
          <w:p w14:paraId="100BB7D2"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22,059,368  </w:t>
            </w:r>
          </w:p>
        </w:tc>
      </w:tr>
      <w:tr w:rsidR="0080615E" w:rsidRPr="0080615E" w14:paraId="2ACA9863" w14:textId="77777777" w:rsidTr="0080615E">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516C98CC" w14:textId="77777777" w:rsidR="0080615E" w:rsidRPr="0080615E" w:rsidRDefault="0080615E" w:rsidP="0080615E">
            <w:pPr>
              <w:rPr>
                <w:rFonts w:asciiTheme="minorHAnsi" w:hAnsiTheme="minorHAnsi" w:cs="Calibri"/>
                <w:b/>
                <w:bCs/>
                <w:color w:val="000000"/>
                <w:sz w:val="18"/>
                <w:szCs w:val="18"/>
              </w:rPr>
            </w:pPr>
            <w:r w:rsidRPr="0080615E">
              <w:rPr>
                <w:rFonts w:asciiTheme="minorHAnsi" w:hAnsiTheme="minorHAnsi" w:cs="Calibri"/>
                <w:b/>
                <w:bCs/>
                <w:color w:val="000000"/>
                <w:sz w:val="18"/>
                <w:szCs w:val="18"/>
              </w:rPr>
              <w:t>Total Aktive</w:t>
            </w:r>
          </w:p>
        </w:tc>
        <w:tc>
          <w:tcPr>
            <w:tcW w:w="1785" w:type="dxa"/>
            <w:tcBorders>
              <w:top w:val="nil"/>
              <w:left w:val="nil"/>
              <w:bottom w:val="nil"/>
              <w:right w:val="nil"/>
            </w:tcBorders>
            <w:shd w:val="clear" w:color="auto" w:fill="FFFFFF"/>
            <w:noWrap/>
            <w:vAlign w:val="center"/>
            <w:hideMark/>
          </w:tcPr>
          <w:p w14:paraId="4E2EA1A0" w14:textId="77777777" w:rsidR="0080615E" w:rsidRPr="0080615E" w:rsidRDefault="0080615E" w:rsidP="0080615E">
            <w:pPr>
              <w:jc w:val="right"/>
              <w:rPr>
                <w:rFonts w:asciiTheme="minorHAnsi" w:hAnsiTheme="minorHAnsi" w:cs="Calibri"/>
                <w:b/>
                <w:i/>
                <w:color w:val="C00000"/>
                <w:sz w:val="18"/>
                <w:szCs w:val="18"/>
              </w:rPr>
            </w:pPr>
            <w:r w:rsidRPr="0080615E">
              <w:rPr>
                <w:rFonts w:asciiTheme="minorHAnsi" w:hAnsiTheme="minorHAnsi" w:cs="Calibri"/>
                <w:b/>
                <w:i/>
                <w:color w:val="C00000"/>
                <w:sz w:val="18"/>
                <w:szCs w:val="18"/>
              </w:rPr>
              <w:t xml:space="preserve">            27,388,331  </w:t>
            </w:r>
          </w:p>
        </w:tc>
        <w:tc>
          <w:tcPr>
            <w:tcW w:w="1779" w:type="dxa"/>
            <w:tcBorders>
              <w:top w:val="nil"/>
              <w:left w:val="nil"/>
              <w:bottom w:val="nil"/>
              <w:right w:val="nil"/>
            </w:tcBorders>
            <w:shd w:val="clear" w:color="auto" w:fill="FFFFFF"/>
            <w:noWrap/>
            <w:vAlign w:val="center"/>
            <w:hideMark/>
          </w:tcPr>
          <w:p w14:paraId="6DFB56F5" w14:textId="77777777" w:rsidR="0080615E" w:rsidRPr="0080615E" w:rsidRDefault="0080615E" w:rsidP="0080615E">
            <w:pPr>
              <w:jc w:val="right"/>
              <w:rPr>
                <w:rFonts w:asciiTheme="minorHAnsi" w:hAnsiTheme="minorHAnsi" w:cs="Calibri"/>
                <w:b/>
                <w:i/>
                <w:color w:val="C00000"/>
                <w:sz w:val="18"/>
                <w:szCs w:val="18"/>
              </w:rPr>
            </w:pPr>
            <w:r w:rsidRPr="0080615E">
              <w:rPr>
                <w:rFonts w:asciiTheme="minorHAnsi" w:hAnsiTheme="minorHAnsi" w:cs="Calibri"/>
                <w:b/>
                <w:i/>
                <w:color w:val="C00000"/>
                <w:sz w:val="18"/>
                <w:szCs w:val="18"/>
              </w:rPr>
              <w:t xml:space="preserve">           27,253,284</w:t>
            </w:r>
          </w:p>
        </w:tc>
        <w:tc>
          <w:tcPr>
            <w:tcW w:w="1835" w:type="dxa"/>
            <w:tcBorders>
              <w:top w:val="nil"/>
              <w:left w:val="nil"/>
              <w:bottom w:val="nil"/>
              <w:right w:val="nil"/>
            </w:tcBorders>
            <w:shd w:val="clear" w:color="auto" w:fill="FFFFFF"/>
            <w:vAlign w:val="center"/>
            <w:hideMark/>
          </w:tcPr>
          <w:p w14:paraId="5E43DB0E" w14:textId="77777777" w:rsidR="0080615E" w:rsidRPr="0080615E" w:rsidRDefault="0080615E" w:rsidP="0080615E">
            <w:pPr>
              <w:jc w:val="right"/>
              <w:rPr>
                <w:rFonts w:asciiTheme="minorHAnsi" w:hAnsiTheme="minorHAnsi" w:cs="Calibri"/>
                <w:b/>
                <w:i/>
                <w:color w:val="C00000"/>
                <w:sz w:val="18"/>
                <w:szCs w:val="18"/>
              </w:rPr>
            </w:pPr>
            <w:r w:rsidRPr="0080615E">
              <w:rPr>
                <w:rFonts w:asciiTheme="minorHAnsi" w:hAnsiTheme="minorHAnsi" w:cs="Calibri"/>
                <w:b/>
                <w:i/>
                <w:color w:val="C00000"/>
                <w:sz w:val="18"/>
                <w:szCs w:val="18"/>
              </w:rPr>
              <w:t xml:space="preserve">           27,864,164  </w:t>
            </w:r>
          </w:p>
        </w:tc>
        <w:tc>
          <w:tcPr>
            <w:tcW w:w="1835" w:type="dxa"/>
            <w:tcBorders>
              <w:top w:val="nil"/>
              <w:left w:val="nil"/>
              <w:bottom w:val="nil"/>
              <w:right w:val="single" w:sz="24" w:space="0" w:color="95B3D7"/>
            </w:tcBorders>
            <w:shd w:val="clear" w:color="auto" w:fill="FFFFFF"/>
            <w:noWrap/>
            <w:vAlign w:val="center"/>
            <w:hideMark/>
          </w:tcPr>
          <w:p w14:paraId="6C379135" w14:textId="77777777" w:rsidR="0080615E" w:rsidRPr="0080615E" w:rsidRDefault="0080615E" w:rsidP="0080615E">
            <w:pPr>
              <w:jc w:val="right"/>
              <w:rPr>
                <w:rFonts w:asciiTheme="minorHAnsi" w:hAnsiTheme="minorHAnsi" w:cs="Calibri"/>
                <w:b/>
                <w:i/>
                <w:color w:val="C00000"/>
                <w:sz w:val="18"/>
                <w:szCs w:val="18"/>
              </w:rPr>
            </w:pPr>
            <w:r w:rsidRPr="0080615E">
              <w:rPr>
                <w:rFonts w:asciiTheme="minorHAnsi" w:hAnsiTheme="minorHAnsi" w:cs="Calibri"/>
                <w:b/>
                <w:i/>
                <w:color w:val="C00000"/>
                <w:sz w:val="18"/>
                <w:szCs w:val="18"/>
              </w:rPr>
              <w:t xml:space="preserve">            28,214,270</w:t>
            </w:r>
          </w:p>
        </w:tc>
      </w:tr>
      <w:tr w:rsidR="0080615E" w:rsidRPr="0080615E" w14:paraId="28604AFA" w14:textId="77777777" w:rsidTr="0080615E">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3944EACD" w14:textId="77777777" w:rsidR="0080615E" w:rsidRPr="0080615E" w:rsidRDefault="0080615E" w:rsidP="0080615E">
            <w:pPr>
              <w:rPr>
                <w:rFonts w:asciiTheme="minorHAnsi" w:hAnsiTheme="minorHAnsi" w:cs="Calibri"/>
                <w:i/>
                <w:color w:val="000000"/>
                <w:sz w:val="18"/>
                <w:szCs w:val="18"/>
              </w:rPr>
            </w:pPr>
            <w:r w:rsidRPr="0080615E">
              <w:rPr>
                <w:rFonts w:asciiTheme="minorHAnsi" w:hAnsiTheme="minorHAnsi" w:cs="Calibri"/>
                <w:i/>
                <w:color w:val="000000"/>
                <w:sz w:val="18"/>
                <w:szCs w:val="18"/>
              </w:rPr>
              <w:t>Detyrimet Afatshkurtra</w:t>
            </w:r>
          </w:p>
        </w:tc>
        <w:tc>
          <w:tcPr>
            <w:tcW w:w="1785" w:type="dxa"/>
            <w:tcBorders>
              <w:top w:val="nil"/>
              <w:left w:val="nil"/>
              <w:bottom w:val="nil"/>
              <w:right w:val="nil"/>
            </w:tcBorders>
            <w:shd w:val="clear" w:color="auto" w:fill="FFFFFF"/>
            <w:noWrap/>
            <w:vAlign w:val="center"/>
            <w:hideMark/>
          </w:tcPr>
          <w:p w14:paraId="23F09656"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8,645,874  </w:t>
            </w:r>
          </w:p>
        </w:tc>
        <w:tc>
          <w:tcPr>
            <w:tcW w:w="1779" w:type="dxa"/>
            <w:tcBorders>
              <w:top w:val="nil"/>
              <w:left w:val="nil"/>
              <w:bottom w:val="nil"/>
              <w:right w:val="nil"/>
            </w:tcBorders>
            <w:shd w:val="clear" w:color="auto" w:fill="FFFFFF"/>
            <w:noWrap/>
            <w:vAlign w:val="center"/>
            <w:hideMark/>
          </w:tcPr>
          <w:p w14:paraId="5FC42F3E"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8,461,014</w:t>
            </w:r>
          </w:p>
        </w:tc>
        <w:tc>
          <w:tcPr>
            <w:tcW w:w="1835" w:type="dxa"/>
            <w:tcBorders>
              <w:top w:val="nil"/>
              <w:left w:val="nil"/>
              <w:bottom w:val="nil"/>
              <w:right w:val="nil"/>
            </w:tcBorders>
            <w:shd w:val="clear" w:color="auto" w:fill="FFFFFF"/>
            <w:vAlign w:val="center"/>
            <w:hideMark/>
          </w:tcPr>
          <w:p w14:paraId="04553ABD"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8,869,637  </w:t>
            </w:r>
          </w:p>
        </w:tc>
        <w:tc>
          <w:tcPr>
            <w:tcW w:w="1835" w:type="dxa"/>
            <w:tcBorders>
              <w:top w:val="nil"/>
              <w:left w:val="nil"/>
              <w:bottom w:val="nil"/>
              <w:right w:val="single" w:sz="24" w:space="0" w:color="95B3D7"/>
            </w:tcBorders>
            <w:shd w:val="clear" w:color="auto" w:fill="FFFFFF"/>
            <w:noWrap/>
            <w:vAlign w:val="center"/>
            <w:hideMark/>
          </w:tcPr>
          <w:p w14:paraId="54BB16A3"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8,788,590</w:t>
            </w:r>
          </w:p>
        </w:tc>
      </w:tr>
      <w:tr w:rsidR="0080615E" w:rsidRPr="0080615E" w14:paraId="474BBC93" w14:textId="77777777" w:rsidTr="0080615E">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1129118B" w14:textId="77777777" w:rsidR="0080615E" w:rsidRPr="0080615E" w:rsidRDefault="0080615E" w:rsidP="0080615E">
            <w:pPr>
              <w:rPr>
                <w:rFonts w:asciiTheme="minorHAnsi" w:hAnsiTheme="minorHAnsi" w:cs="Calibri"/>
                <w:i/>
                <w:color w:val="000000"/>
                <w:sz w:val="18"/>
                <w:szCs w:val="18"/>
              </w:rPr>
            </w:pPr>
            <w:r w:rsidRPr="0080615E">
              <w:rPr>
                <w:rFonts w:asciiTheme="minorHAnsi" w:hAnsiTheme="minorHAnsi" w:cs="Calibri"/>
                <w:i/>
                <w:color w:val="000000"/>
                <w:sz w:val="18"/>
                <w:szCs w:val="18"/>
              </w:rPr>
              <w:t>Detyrimet Afatgjata</w:t>
            </w:r>
          </w:p>
        </w:tc>
        <w:tc>
          <w:tcPr>
            <w:tcW w:w="1785" w:type="dxa"/>
            <w:tcBorders>
              <w:top w:val="nil"/>
              <w:left w:val="nil"/>
              <w:bottom w:val="nil"/>
              <w:right w:val="nil"/>
            </w:tcBorders>
            <w:shd w:val="clear" w:color="auto" w:fill="FFFFFF"/>
            <w:noWrap/>
            <w:vAlign w:val="center"/>
            <w:hideMark/>
          </w:tcPr>
          <w:p w14:paraId="6F92C83A"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7,957,806  </w:t>
            </w:r>
          </w:p>
        </w:tc>
        <w:tc>
          <w:tcPr>
            <w:tcW w:w="1779" w:type="dxa"/>
            <w:tcBorders>
              <w:top w:val="nil"/>
              <w:left w:val="nil"/>
              <w:bottom w:val="nil"/>
              <w:right w:val="nil"/>
            </w:tcBorders>
            <w:shd w:val="clear" w:color="auto" w:fill="FFFFFF"/>
            <w:noWrap/>
            <w:vAlign w:val="center"/>
            <w:hideMark/>
          </w:tcPr>
          <w:p w14:paraId="6D1844E4"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7,802,181  </w:t>
            </w:r>
          </w:p>
        </w:tc>
        <w:tc>
          <w:tcPr>
            <w:tcW w:w="1835" w:type="dxa"/>
            <w:tcBorders>
              <w:top w:val="nil"/>
              <w:left w:val="nil"/>
              <w:bottom w:val="nil"/>
              <w:right w:val="nil"/>
            </w:tcBorders>
            <w:shd w:val="clear" w:color="auto" w:fill="FFFFFF"/>
            <w:vAlign w:val="center"/>
            <w:hideMark/>
          </w:tcPr>
          <w:p w14:paraId="5717C75A"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7,184,814  </w:t>
            </w:r>
          </w:p>
        </w:tc>
        <w:tc>
          <w:tcPr>
            <w:tcW w:w="1835" w:type="dxa"/>
            <w:tcBorders>
              <w:top w:val="nil"/>
              <w:left w:val="nil"/>
              <w:bottom w:val="nil"/>
              <w:right w:val="single" w:sz="24" w:space="0" w:color="95B3D7"/>
            </w:tcBorders>
            <w:shd w:val="clear" w:color="auto" w:fill="FFFFFF"/>
            <w:noWrap/>
            <w:vAlign w:val="center"/>
            <w:hideMark/>
          </w:tcPr>
          <w:p w14:paraId="4647B085" w14:textId="77777777" w:rsidR="0080615E" w:rsidRPr="0080615E" w:rsidRDefault="0080615E" w:rsidP="0080615E">
            <w:pPr>
              <w:jc w:val="right"/>
              <w:rPr>
                <w:rFonts w:asciiTheme="minorHAnsi" w:hAnsiTheme="minorHAnsi" w:cs="Calibri"/>
                <w:i/>
                <w:color w:val="000000"/>
                <w:sz w:val="18"/>
                <w:szCs w:val="18"/>
              </w:rPr>
            </w:pPr>
            <w:r w:rsidRPr="0080615E">
              <w:rPr>
                <w:rFonts w:asciiTheme="minorHAnsi" w:hAnsiTheme="minorHAnsi" w:cs="Calibri"/>
                <w:i/>
                <w:color w:val="000000"/>
                <w:sz w:val="18"/>
                <w:szCs w:val="18"/>
              </w:rPr>
              <w:t xml:space="preserve">            7,388,527  </w:t>
            </w:r>
          </w:p>
        </w:tc>
      </w:tr>
      <w:tr w:rsidR="0080615E" w:rsidRPr="0080615E" w14:paraId="1268CD45" w14:textId="77777777" w:rsidTr="0080615E">
        <w:trPr>
          <w:trHeight w:val="237"/>
          <w:jc w:val="center"/>
        </w:trPr>
        <w:tc>
          <w:tcPr>
            <w:tcW w:w="1958" w:type="dxa"/>
            <w:tcBorders>
              <w:top w:val="nil"/>
              <w:left w:val="single" w:sz="24" w:space="0" w:color="95B3D7"/>
              <w:bottom w:val="nil"/>
              <w:right w:val="nil"/>
            </w:tcBorders>
            <w:shd w:val="clear" w:color="auto" w:fill="FFFFFF"/>
            <w:noWrap/>
            <w:vAlign w:val="center"/>
            <w:hideMark/>
          </w:tcPr>
          <w:p w14:paraId="3F8E4093" w14:textId="77777777" w:rsidR="0080615E" w:rsidRPr="0080615E" w:rsidRDefault="0080615E" w:rsidP="0080615E">
            <w:pPr>
              <w:rPr>
                <w:rFonts w:asciiTheme="minorHAnsi" w:hAnsiTheme="minorHAnsi" w:cs="Calibri"/>
                <w:b/>
                <w:bCs/>
                <w:color w:val="000000"/>
                <w:sz w:val="18"/>
                <w:szCs w:val="18"/>
              </w:rPr>
            </w:pPr>
            <w:r w:rsidRPr="0080615E">
              <w:rPr>
                <w:rFonts w:asciiTheme="minorHAnsi" w:hAnsiTheme="minorHAnsi" w:cs="Calibri"/>
                <w:b/>
                <w:bCs/>
                <w:color w:val="000000"/>
                <w:sz w:val="18"/>
                <w:szCs w:val="18"/>
              </w:rPr>
              <w:t>Total Detyrime</w:t>
            </w:r>
          </w:p>
        </w:tc>
        <w:tc>
          <w:tcPr>
            <w:tcW w:w="1785" w:type="dxa"/>
            <w:tcBorders>
              <w:top w:val="nil"/>
              <w:left w:val="nil"/>
              <w:bottom w:val="nil"/>
              <w:right w:val="nil"/>
            </w:tcBorders>
            <w:shd w:val="clear" w:color="auto" w:fill="FFFFFF"/>
            <w:noWrap/>
            <w:vAlign w:val="center"/>
            <w:hideMark/>
          </w:tcPr>
          <w:p w14:paraId="4F5013D4" w14:textId="77777777" w:rsidR="0080615E" w:rsidRPr="0080615E" w:rsidRDefault="0080615E" w:rsidP="0080615E">
            <w:pPr>
              <w:jc w:val="right"/>
              <w:rPr>
                <w:rFonts w:asciiTheme="minorHAnsi" w:hAnsiTheme="minorHAnsi" w:cs="Calibri"/>
                <w:b/>
                <w:i/>
                <w:color w:val="C00000"/>
                <w:sz w:val="18"/>
                <w:szCs w:val="18"/>
              </w:rPr>
            </w:pPr>
            <w:r w:rsidRPr="0080615E">
              <w:rPr>
                <w:rFonts w:asciiTheme="minorHAnsi" w:hAnsiTheme="minorHAnsi" w:cs="Calibri"/>
                <w:b/>
                <w:i/>
                <w:color w:val="C00000"/>
                <w:sz w:val="18"/>
                <w:szCs w:val="18"/>
              </w:rPr>
              <w:t xml:space="preserve">           16,603,680  </w:t>
            </w:r>
          </w:p>
        </w:tc>
        <w:tc>
          <w:tcPr>
            <w:tcW w:w="1779" w:type="dxa"/>
            <w:tcBorders>
              <w:top w:val="nil"/>
              <w:left w:val="nil"/>
              <w:bottom w:val="nil"/>
              <w:right w:val="nil"/>
            </w:tcBorders>
            <w:shd w:val="clear" w:color="auto" w:fill="FFFFFF"/>
            <w:noWrap/>
            <w:vAlign w:val="center"/>
            <w:hideMark/>
          </w:tcPr>
          <w:p w14:paraId="4E159058" w14:textId="77777777" w:rsidR="0080615E" w:rsidRPr="0080615E" w:rsidRDefault="0080615E" w:rsidP="0080615E">
            <w:pPr>
              <w:jc w:val="right"/>
              <w:rPr>
                <w:rFonts w:asciiTheme="minorHAnsi" w:hAnsiTheme="minorHAnsi" w:cs="Calibri"/>
                <w:b/>
                <w:i/>
                <w:color w:val="C00000"/>
                <w:sz w:val="18"/>
                <w:szCs w:val="18"/>
              </w:rPr>
            </w:pPr>
            <w:r w:rsidRPr="0080615E">
              <w:rPr>
                <w:rFonts w:asciiTheme="minorHAnsi" w:hAnsiTheme="minorHAnsi" w:cs="Calibri"/>
                <w:b/>
                <w:i/>
                <w:color w:val="C00000"/>
                <w:sz w:val="18"/>
                <w:szCs w:val="18"/>
              </w:rPr>
              <w:t>16,263,195</w:t>
            </w:r>
          </w:p>
        </w:tc>
        <w:tc>
          <w:tcPr>
            <w:tcW w:w="1835" w:type="dxa"/>
            <w:tcBorders>
              <w:top w:val="nil"/>
              <w:left w:val="nil"/>
              <w:bottom w:val="nil"/>
              <w:right w:val="nil"/>
            </w:tcBorders>
            <w:shd w:val="clear" w:color="auto" w:fill="FFFFFF"/>
            <w:vAlign w:val="center"/>
            <w:hideMark/>
          </w:tcPr>
          <w:p w14:paraId="2C4F6220" w14:textId="77777777" w:rsidR="0080615E" w:rsidRPr="0080615E" w:rsidRDefault="0080615E" w:rsidP="0080615E">
            <w:pPr>
              <w:jc w:val="right"/>
              <w:rPr>
                <w:rFonts w:asciiTheme="minorHAnsi" w:hAnsiTheme="minorHAnsi" w:cs="Calibri"/>
                <w:b/>
                <w:i/>
                <w:color w:val="C00000"/>
                <w:sz w:val="18"/>
                <w:szCs w:val="18"/>
              </w:rPr>
            </w:pPr>
            <w:r w:rsidRPr="0080615E">
              <w:rPr>
                <w:rFonts w:asciiTheme="minorHAnsi" w:hAnsiTheme="minorHAnsi" w:cs="Calibri"/>
                <w:b/>
                <w:i/>
                <w:color w:val="C00000"/>
                <w:sz w:val="18"/>
                <w:szCs w:val="18"/>
              </w:rPr>
              <w:t>16,054,451</w:t>
            </w:r>
          </w:p>
        </w:tc>
        <w:tc>
          <w:tcPr>
            <w:tcW w:w="1835" w:type="dxa"/>
            <w:tcBorders>
              <w:top w:val="nil"/>
              <w:left w:val="nil"/>
              <w:bottom w:val="nil"/>
              <w:right w:val="single" w:sz="24" w:space="0" w:color="95B3D7"/>
            </w:tcBorders>
            <w:shd w:val="clear" w:color="auto" w:fill="FFFFFF"/>
            <w:noWrap/>
            <w:vAlign w:val="center"/>
            <w:hideMark/>
          </w:tcPr>
          <w:p w14:paraId="7C743D83" w14:textId="77777777" w:rsidR="0080615E" w:rsidRPr="0080615E" w:rsidRDefault="0080615E" w:rsidP="0080615E">
            <w:pPr>
              <w:jc w:val="right"/>
              <w:rPr>
                <w:rFonts w:asciiTheme="minorHAnsi" w:hAnsiTheme="minorHAnsi" w:cs="Calibri"/>
                <w:b/>
                <w:i/>
                <w:color w:val="C00000"/>
                <w:sz w:val="18"/>
                <w:szCs w:val="18"/>
              </w:rPr>
            </w:pPr>
            <w:r w:rsidRPr="0080615E">
              <w:rPr>
                <w:rFonts w:asciiTheme="minorHAnsi" w:hAnsiTheme="minorHAnsi" w:cs="Calibri"/>
                <w:b/>
                <w:i/>
                <w:color w:val="C00000"/>
                <w:sz w:val="18"/>
                <w:szCs w:val="18"/>
              </w:rPr>
              <w:t xml:space="preserve">           16,177,117  </w:t>
            </w:r>
          </w:p>
        </w:tc>
      </w:tr>
      <w:tr w:rsidR="0080615E" w:rsidRPr="0080615E" w14:paraId="19F78B3F" w14:textId="77777777" w:rsidTr="0080615E">
        <w:trPr>
          <w:trHeight w:val="250"/>
          <w:jc w:val="center"/>
        </w:trPr>
        <w:tc>
          <w:tcPr>
            <w:tcW w:w="1958" w:type="dxa"/>
            <w:tcBorders>
              <w:top w:val="nil"/>
              <w:left w:val="single" w:sz="24" w:space="0" w:color="95B3D7"/>
              <w:bottom w:val="single" w:sz="24" w:space="0" w:color="95B3D7"/>
              <w:right w:val="nil"/>
            </w:tcBorders>
            <w:shd w:val="clear" w:color="auto" w:fill="FFFFFF"/>
            <w:noWrap/>
            <w:vAlign w:val="center"/>
            <w:hideMark/>
          </w:tcPr>
          <w:p w14:paraId="59977B26" w14:textId="77777777" w:rsidR="0080615E" w:rsidRPr="0080615E" w:rsidRDefault="0080615E" w:rsidP="0080615E">
            <w:pPr>
              <w:rPr>
                <w:rFonts w:asciiTheme="minorHAnsi" w:hAnsiTheme="minorHAnsi" w:cs="Calibri"/>
                <w:b/>
                <w:bCs/>
                <w:color w:val="000000"/>
                <w:sz w:val="18"/>
                <w:szCs w:val="18"/>
              </w:rPr>
            </w:pPr>
            <w:r w:rsidRPr="0080615E">
              <w:rPr>
                <w:rFonts w:asciiTheme="minorHAnsi" w:hAnsiTheme="minorHAnsi" w:cs="Calibri"/>
                <w:b/>
                <w:bCs/>
                <w:color w:val="000000"/>
                <w:sz w:val="18"/>
                <w:szCs w:val="18"/>
              </w:rPr>
              <w:t>Kapital</w:t>
            </w:r>
          </w:p>
        </w:tc>
        <w:tc>
          <w:tcPr>
            <w:tcW w:w="1785" w:type="dxa"/>
            <w:tcBorders>
              <w:top w:val="nil"/>
              <w:left w:val="nil"/>
              <w:bottom w:val="single" w:sz="24" w:space="0" w:color="95B3D7"/>
              <w:right w:val="nil"/>
            </w:tcBorders>
            <w:shd w:val="clear" w:color="auto" w:fill="FFFFFF"/>
            <w:noWrap/>
            <w:vAlign w:val="center"/>
            <w:hideMark/>
          </w:tcPr>
          <w:p w14:paraId="235C4BA8" w14:textId="77777777" w:rsidR="0080615E" w:rsidRPr="0080615E" w:rsidRDefault="0080615E" w:rsidP="0080615E">
            <w:pPr>
              <w:jc w:val="right"/>
              <w:rPr>
                <w:rFonts w:asciiTheme="minorHAnsi" w:hAnsiTheme="minorHAnsi" w:cs="Calibri"/>
                <w:b/>
                <w:i/>
                <w:color w:val="C00000"/>
                <w:sz w:val="18"/>
                <w:szCs w:val="18"/>
              </w:rPr>
            </w:pPr>
            <w:r w:rsidRPr="0080615E">
              <w:rPr>
                <w:rFonts w:asciiTheme="minorHAnsi" w:hAnsiTheme="minorHAnsi" w:cs="Calibri"/>
                <w:b/>
                <w:i/>
                <w:color w:val="C00000"/>
                <w:sz w:val="18"/>
                <w:szCs w:val="18"/>
              </w:rPr>
              <w:t>10,784,651</w:t>
            </w:r>
          </w:p>
        </w:tc>
        <w:tc>
          <w:tcPr>
            <w:tcW w:w="1779" w:type="dxa"/>
            <w:tcBorders>
              <w:top w:val="nil"/>
              <w:left w:val="nil"/>
              <w:bottom w:val="single" w:sz="24" w:space="0" w:color="95B3D7"/>
              <w:right w:val="nil"/>
            </w:tcBorders>
            <w:shd w:val="clear" w:color="auto" w:fill="FFFFFF"/>
            <w:noWrap/>
            <w:vAlign w:val="center"/>
            <w:hideMark/>
          </w:tcPr>
          <w:p w14:paraId="26CF2042" w14:textId="77777777" w:rsidR="0080615E" w:rsidRPr="0080615E" w:rsidRDefault="0080615E" w:rsidP="0080615E">
            <w:pPr>
              <w:jc w:val="right"/>
              <w:rPr>
                <w:rFonts w:asciiTheme="minorHAnsi" w:hAnsiTheme="minorHAnsi" w:cs="Calibri"/>
                <w:b/>
                <w:i/>
                <w:color w:val="C00000"/>
                <w:sz w:val="18"/>
                <w:szCs w:val="18"/>
              </w:rPr>
            </w:pPr>
            <w:r w:rsidRPr="0080615E">
              <w:rPr>
                <w:rFonts w:asciiTheme="minorHAnsi" w:hAnsiTheme="minorHAnsi" w:cs="Calibri"/>
                <w:b/>
                <w:i/>
                <w:color w:val="C00000"/>
                <w:sz w:val="18"/>
                <w:szCs w:val="18"/>
              </w:rPr>
              <w:t xml:space="preserve">            10,990,090</w:t>
            </w:r>
          </w:p>
        </w:tc>
        <w:tc>
          <w:tcPr>
            <w:tcW w:w="1835" w:type="dxa"/>
            <w:tcBorders>
              <w:top w:val="nil"/>
              <w:left w:val="nil"/>
              <w:bottom w:val="single" w:sz="24" w:space="0" w:color="95B3D7"/>
              <w:right w:val="nil"/>
            </w:tcBorders>
            <w:shd w:val="clear" w:color="auto" w:fill="FFFFFF"/>
            <w:vAlign w:val="center"/>
            <w:hideMark/>
          </w:tcPr>
          <w:p w14:paraId="73154E9A" w14:textId="77777777" w:rsidR="0080615E" w:rsidRPr="0080615E" w:rsidRDefault="0080615E" w:rsidP="0080615E">
            <w:pPr>
              <w:jc w:val="right"/>
              <w:rPr>
                <w:rFonts w:asciiTheme="minorHAnsi" w:hAnsiTheme="minorHAnsi" w:cs="Calibri"/>
                <w:b/>
                <w:i/>
                <w:color w:val="C00000"/>
                <w:sz w:val="18"/>
                <w:szCs w:val="18"/>
              </w:rPr>
            </w:pPr>
            <w:r w:rsidRPr="0080615E">
              <w:rPr>
                <w:rFonts w:asciiTheme="minorHAnsi" w:hAnsiTheme="minorHAnsi" w:cs="Calibri"/>
                <w:b/>
                <w:i/>
                <w:color w:val="C00000"/>
                <w:sz w:val="18"/>
                <w:szCs w:val="18"/>
              </w:rPr>
              <w:t xml:space="preserve">           11,809,713</w:t>
            </w:r>
          </w:p>
        </w:tc>
        <w:tc>
          <w:tcPr>
            <w:tcW w:w="1835" w:type="dxa"/>
            <w:tcBorders>
              <w:top w:val="nil"/>
              <w:left w:val="nil"/>
              <w:bottom w:val="single" w:sz="24" w:space="0" w:color="95B3D7"/>
              <w:right w:val="single" w:sz="24" w:space="0" w:color="95B3D7"/>
            </w:tcBorders>
            <w:shd w:val="clear" w:color="auto" w:fill="FFFFFF"/>
            <w:noWrap/>
            <w:vAlign w:val="center"/>
            <w:hideMark/>
          </w:tcPr>
          <w:p w14:paraId="137566DB" w14:textId="77777777" w:rsidR="0080615E" w:rsidRPr="0080615E" w:rsidRDefault="0080615E" w:rsidP="0080615E">
            <w:pPr>
              <w:jc w:val="right"/>
              <w:rPr>
                <w:rFonts w:asciiTheme="minorHAnsi" w:hAnsiTheme="minorHAnsi" w:cs="Calibri"/>
                <w:b/>
                <w:i/>
                <w:color w:val="C00000"/>
                <w:sz w:val="18"/>
                <w:szCs w:val="18"/>
              </w:rPr>
            </w:pPr>
            <w:r w:rsidRPr="0080615E">
              <w:rPr>
                <w:rFonts w:asciiTheme="minorHAnsi" w:hAnsiTheme="minorHAnsi" w:cs="Calibri"/>
                <w:b/>
                <w:i/>
                <w:color w:val="C00000"/>
                <w:sz w:val="18"/>
                <w:szCs w:val="18"/>
              </w:rPr>
              <w:t xml:space="preserve">            12,037,153</w:t>
            </w:r>
          </w:p>
        </w:tc>
      </w:tr>
    </w:tbl>
    <w:p w14:paraId="48A59F64" w14:textId="77777777" w:rsidR="00402E3B" w:rsidRPr="0080615E" w:rsidRDefault="00402E3B" w:rsidP="00402E3B">
      <w:pPr>
        <w:spacing w:before="240" w:line="360" w:lineRule="auto"/>
        <w:ind w:firstLine="360"/>
        <w:contextualSpacing/>
        <w:jc w:val="both"/>
        <w:rPr>
          <w:rFonts w:ascii="Calibri" w:hAnsi="Calibri"/>
          <w:i/>
          <w:sz w:val="18"/>
          <w:szCs w:val="20"/>
          <w:lang w:val="sq-AL"/>
        </w:rPr>
      </w:pPr>
      <w:r w:rsidRPr="0080615E">
        <w:rPr>
          <w:rFonts w:ascii="Calibri" w:hAnsi="Calibri"/>
          <w:i/>
          <w:sz w:val="18"/>
          <w:szCs w:val="20"/>
          <w:lang w:val="sq-AL"/>
        </w:rPr>
        <w:t xml:space="preserve">Burimi: UKT </w:t>
      </w:r>
      <w:r w:rsidR="00B703A6" w:rsidRPr="0080615E">
        <w:rPr>
          <w:rFonts w:ascii="Calibri" w:hAnsi="Calibri"/>
          <w:i/>
          <w:sz w:val="18"/>
          <w:szCs w:val="20"/>
          <w:lang w:val="sq-AL"/>
        </w:rPr>
        <w:t>sh.a</w:t>
      </w:r>
      <w:r w:rsidRPr="0080615E">
        <w:rPr>
          <w:rFonts w:ascii="Calibri" w:hAnsi="Calibri"/>
          <w:i/>
          <w:sz w:val="18"/>
          <w:szCs w:val="20"/>
          <w:lang w:val="sq-AL"/>
        </w:rPr>
        <w:t>.</w:t>
      </w:r>
    </w:p>
    <w:p w14:paraId="14E09F50" w14:textId="77777777" w:rsidR="00402E3B" w:rsidRDefault="00402E3B" w:rsidP="00056DE5">
      <w:pPr>
        <w:keepNext/>
        <w:numPr>
          <w:ilvl w:val="0"/>
          <w:numId w:val="27"/>
        </w:numPr>
        <w:spacing w:before="120" w:line="276" w:lineRule="auto"/>
        <w:jc w:val="both"/>
        <w:rPr>
          <w:rFonts w:ascii="Calibri" w:hAnsi="Calibri"/>
          <w:i/>
          <w:lang w:val="sq-AL"/>
        </w:rPr>
      </w:pPr>
      <w:r>
        <w:rPr>
          <w:rFonts w:ascii="Calibri" w:hAnsi="Calibri"/>
          <w:i/>
          <w:lang w:val="sq-AL"/>
        </w:rPr>
        <w:lastRenderedPageBreak/>
        <w:t xml:space="preserve">Performanca financiare e Hekurudhës Shqiptare </w:t>
      </w:r>
      <w:r w:rsidR="00B703A6">
        <w:rPr>
          <w:rFonts w:ascii="Calibri" w:hAnsi="Calibri"/>
          <w:i/>
          <w:lang w:val="sq-AL"/>
        </w:rPr>
        <w:t>sh.a</w:t>
      </w:r>
      <w:r>
        <w:rPr>
          <w:rFonts w:ascii="Calibri" w:hAnsi="Calibri"/>
          <w:i/>
          <w:lang w:val="sq-AL"/>
        </w:rPr>
        <w:t>.</w:t>
      </w:r>
    </w:p>
    <w:p w14:paraId="084C8DB1" w14:textId="77777777" w:rsidR="00402E3B" w:rsidRDefault="0080615E" w:rsidP="00402E3B">
      <w:pPr>
        <w:spacing w:line="276" w:lineRule="auto"/>
        <w:jc w:val="both"/>
        <w:rPr>
          <w:rFonts w:asciiTheme="minorHAnsi" w:hAnsiTheme="minorHAnsi"/>
          <w:bCs/>
          <w:lang w:val="sq-AL" w:eastAsia="sq-AL"/>
        </w:rPr>
      </w:pPr>
      <w:r w:rsidRPr="00FE308D">
        <w:rPr>
          <w:rFonts w:asciiTheme="minorHAnsi" w:hAnsiTheme="minorHAnsi"/>
          <w:bCs/>
          <w:lang w:val="sq-AL" w:eastAsia="sq-AL"/>
        </w:rPr>
        <w:t xml:space="preserve">Gjatë T1 2023, të ardhurat për Hekurudhën Shqiptare arritën në 170 milion </w:t>
      </w:r>
      <w:r>
        <w:rPr>
          <w:rFonts w:asciiTheme="minorHAnsi" w:hAnsiTheme="minorHAnsi"/>
          <w:bCs/>
          <w:lang w:val="sq-AL" w:eastAsia="sq-AL"/>
        </w:rPr>
        <w:t>LEK</w:t>
      </w:r>
      <w:r w:rsidRPr="00FE308D">
        <w:rPr>
          <w:rFonts w:asciiTheme="minorHAnsi" w:hAnsiTheme="minorHAnsi"/>
          <w:bCs/>
          <w:lang w:val="sq-AL" w:eastAsia="sq-AL"/>
        </w:rPr>
        <w:t xml:space="preserve">, ndërsa shpenzimet e përgjithshme 224 milion </w:t>
      </w:r>
      <w:r>
        <w:rPr>
          <w:rFonts w:asciiTheme="minorHAnsi" w:hAnsiTheme="minorHAnsi"/>
          <w:bCs/>
          <w:lang w:val="sq-AL" w:eastAsia="sq-AL"/>
        </w:rPr>
        <w:t>LEK</w:t>
      </w:r>
      <w:r w:rsidRPr="00FE308D">
        <w:rPr>
          <w:rFonts w:asciiTheme="minorHAnsi" w:hAnsiTheme="minorHAnsi"/>
          <w:bCs/>
          <w:lang w:val="sq-AL" w:eastAsia="sq-AL"/>
        </w:rPr>
        <w:t xml:space="preserve">. Për rrjedhojë, Shoqëria rezulton me një humbje neto prej rreth 54 milionë </w:t>
      </w:r>
      <w:r>
        <w:rPr>
          <w:rFonts w:asciiTheme="minorHAnsi" w:hAnsiTheme="minorHAnsi"/>
          <w:bCs/>
          <w:lang w:val="sq-AL" w:eastAsia="sq-AL"/>
        </w:rPr>
        <w:t>LEK</w:t>
      </w:r>
      <w:r w:rsidRPr="00FE308D">
        <w:rPr>
          <w:rFonts w:asciiTheme="minorHAnsi" w:hAnsiTheme="minorHAnsi"/>
          <w:bCs/>
          <w:lang w:val="sq-AL" w:eastAsia="sq-AL"/>
        </w:rPr>
        <w:t xml:space="preserve">, duke </w:t>
      </w:r>
      <w:r>
        <w:rPr>
          <w:rFonts w:asciiTheme="minorHAnsi" w:hAnsiTheme="minorHAnsi"/>
          <w:bCs/>
          <w:lang w:val="sq-AL" w:eastAsia="sq-AL"/>
        </w:rPr>
        <w:t>vijuar me trendin negativ</w:t>
      </w:r>
      <w:r w:rsidRPr="00FE308D">
        <w:rPr>
          <w:rFonts w:asciiTheme="minorHAnsi" w:hAnsiTheme="minorHAnsi"/>
          <w:bCs/>
          <w:lang w:val="sq-AL" w:eastAsia="sq-AL"/>
        </w:rPr>
        <w:t xml:space="preserve">. Në fund të vitit 2022, Hekurudha Shqiptare nëpërmjet pasqyrave financiare ka raportuar se të ardhurat arritën në 797 milion </w:t>
      </w:r>
      <w:r>
        <w:rPr>
          <w:rFonts w:asciiTheme="minorHAnsi" w:hAnsiTheme="minorHAnsi"/>
          <w:bCs/>
          <w:lang w:val="sq-AL" w:eastAsia="sq-AL"/>
        </w:rPr>
        <w:t>LEK</w:t>
      </w:r>
      <w:r w:rsidRPr="00FE308D">
        <w:rPr>
          <w:rFonts w:asciiTheme="minorHAnsi" w:hAnsiTheme="minorHAnsi"/>
          <w:bCs/>
          <w:lang w:val="sq-AL" w:eastAsia="sq-AL"/>
        </w:rPr>
        <w:t>, ndërsa shpenzimet e përgjiths</w:t>
      </w:r>
      <w:r>
        <w:rPr>
          <w:rFonts w:asciiTheme="minorHAnsi" w:hAnsiTheme="minorHAnsi"/>
          <w:bCs/>
          <w:lang w:val="sq-AL" w:eastAsia="sq-AL"/>
        </w:rPr>
        <w:t>hme në rreth 3,071 milion LEK, duke regjistruar</w:t>
      </w:r>
      <w:r w:rsidRPr="00FE308D">
        <w:rPr>
          <w:rFonts w:asciiTheme="minorHAnsi" w:hAnsiTheme="minorHAnsi"/>
          <w:bCs/>
          <w:lang w:val="sq-AL" w:eastAsia="sq-AL"/>
        </w:rPr>
        <w:t xml:space="preserve"> një humbje neto prej 2,274 milionë </w:t>
      </w:r>
      <w:r>
        <w:rPr>
          <w:rFonts w:asciiTheme="minorHAnsi" w:hAnsiTheme="minorHAnsi"/>
          <w:bCs/>
          <w:lang w:val="sq-AL" w:eastAsia="sq-AL"/>
        </w:rPr>
        <w:t>LEK</w:t>
      </w:r>
      <w:r w:rsidR="00402E3B" w:rsidRPr="00544A4D">
        <w:rPr>
          <w:rFonts w:asciiTheme="minorHAnsi" w:hAnsiTheme="minorHAnsi"/>
          <w:bCs/>
          <w:lang w:val="sq-AL" w:eastAsia="sq-AL"/>
        </w:rPr>
        <w:t>.</w:t>
      </w:r>
    </w:p>
    <w:p w14:paraId="7BE479AB" w14:textId="0140674A" w:rsidR="00402E3B" w:rsidRDefault="00343167" w:rsidP="00402E3B">
      <w:pPr>
        <w:spacing w:before="120" w:line="276" w:lineRule="auto"/>
        <w:jc w:val="both"/>
        <w:rPr>
          <w:rFonts w:ascii="Calibri" w:hAnsi="Calibri" w:cs="Calibri"/>
          <w:b/>
          <w:i/>
          <w:iCs/>
          <w:color w:val="17406D"/>
          <w:sz w:val="22"/>
          <w:szCs w:val="22"/>
          <w:lang w:val="sq-AL"/>
        </w:rPr>
      </w:pPr>
      <w:bookmarkStart w:id="112" w:name="_Toc107496752"/>
      <w:r w:rsidRPr="00343167">
        <w:rPr>
          <w:rFonts w:asciiTheme="minorHAnsi" w:hAnsiTheme="minorHAnsi"/>
          <w:bCs/>
          <w:i/>
          <w:noProof/>
          <w:sz w:val="22"/>
        </w:rPr>
        <w:t xml:space="preserve">Tabela </w:t>
      </w:r>
      <w:r w:rsidRPr="00343167">
        <w:rPr>
          <w:rFonts w:asciiTheme="minorHAnsi" w:hAnsiTheme="minorHAnsi"/>
          <w:bCs/>
          <w:i/>
          <w:noProof/>
          <w:sz w:val="22"/>
        </w:rPr>
        <w:fldChar w:fldCharType="begin"/>
      </w:r>
      <w:r w:rsidRPr="00343167">
        <w:rPr>
          <w:rFonts w:asciiTheme="minorHAnsi" w:hAnsiTheme="minorHAnsi"/>
          <w:bCs/>
          <w:i/>
          <w:noProof/>
          <w:sz w:val="22"/>
        </w:rPr>
        <w:instrText xml:space="preserve"> SEQ Tabela \* ARABIC </w:instrText>
      </w:r>
      <w:r w:rsidRPr="00343167">
        <w:rPr>
          <w:rFonts w:asciiTheme="minorHAnsi" w:hAnsiTheme="minorHAnsi"/>
          <w:bCs/>
          <w:i/>
          <w:noProof/>
          <w:sz w:val="22"/>
        </w:rPr>
        <w:fldChar w:fldCharType="separate"/>
      </w:r>
      <w:r w:rsidR="00C153A9">
        <w:rPr>
          <w:rFonts w:asciiTheme="minorHAnsi" w:hAnsiTheme="minorHAnsi"/>
          <w:bCs/>
          <w:i/>
          <w:noProof/>
          <w:sz w:val="22"/>
        </w:rPr>
        <w:t>16</w:t>
      </w:r>
      <w:r w:rsidRPr="00343167">
        <w:rPr>
          <w:rFonts w:asciiTheme="minorHAnsi" w:hAnsiTheme="minorHAnsi"/>
          <w:bCs/>
          <w:i/>
          <w:noProof/>
          <w:sz w:val="22"/>
        </w:rPr>
        <w:fldChar w:fldCharType="end"/>
      </w:r>
      <w:r w:rsidRPr="00343167">
        <w:rPr>
          <w:rFonts w:asciiTheme="minorHAnsi" w:hAnsiTheme="minorHAnsi"/>
          <w:bCs/>
          <w:i/>
          <w:noProof/>
          <w:sz w:val="22"/>
        </w:rPr>
        <w:t>:</w:t>
      </w:r>
      <w:r w:rsidRPr="00343167">
        <w:rPr>
          <w:rFonts w:asciiTheme="minorHAnsi" w:hAnsiTheme="minorHAnsi"/>
          <w:b/>
          <w:bCs/>
          <w:i/>
          <w:noProof/>
          <w:sz w:val="22"/>
        </w:rPr>
        <w:t xml:space="preserve"> </w:t>
      </w:r>
      <w:r w:rsidR="00402E3B" w:rsidRPr="00325B8D">
        <w:rPr>
          <w:rFonts w:ascii="Calibri" w:hAnsi="Calibri" w:cs="Calibri"/>
          <w:i/>
          <w:iCs/>
          <w:sz w:val="22"/>
          <w:szCs w:val="22"/>
          <w:lang w:val="sq-AL"/>
        </w:rPr>
        <w:t xml:space="preserve">Të dhënat financiare për Hekurudha Shqiptare </w:t>
      </w:r>
      <w:r w:rsidR="00B703A6">
        <w:rPr>
          <w:rFonts w:ascii="Calibri" w:hAnsi="Calibri" w:cs="Calibri"/>
          <w:i/>
          <w:iCs/>
          <w:sz w:val="22"/>
          <w:szCs w:val="22"/>
          <w:lang w:val="sq-AL"/>
        </w:rPr>
        <w:t>sh.a</w:t>
      </w:r>
      <w:r w:rsidR="00402E3B" w:rsidRPr="00325B8D">
        <w:rPr>
          <w:rFonts w:ascii="Calibri" w:hAnsi="Calibri" w:cs="Calibri"/>
          <w:i/>
          <w:iCs/>
          <w:sz w:val="22"/>
          <w:szCs w:val="22"/>
          <w:lang w:val="sq-AL"/>
        </w:rPr>
        <w:t xml:space="preserve"> (202</w:t>
      </w:r>
      <w:r w:rsidR="0080615E">
        <w:rPr>
          <w:rFonts w:ascii="Calibri" w:hAnsi="Calibri" w:cs="Calibri"/>
          <w:i/>
          <w:iCs/>
          <w:sz w:val="22"/>
          <w:szCs w:val="22"/>
          <w:lang w:val="sq-AL"/>
        </w:rPr>
        <w:t>1</w:t>
      </w:r>
      <w:r w:rsidR="00325B8D">
        <w:rPr>
          <w:rFonts w:ascii="Calibri" w:hAnsi="Calibri" w:cs="Calibri"/>
          <w:i/>
          <w:iCs/>
          <w:sz w:val="22"/>
          <w:szCs w:val="22"/>
          <w:lang w:val="sq-AL"/>
        </w:rPr>
        <w:t xml:space="preserve"> – T1 </w:t>
      </w:r>
      <w:r w:rsidR="00402E3B" w:rsidRPr="00325B8D">
        <w:rPr>
          <w:rFonts w:ascii="Calibri" w:hAnsi="Calibri" w:cs="Calibri"/>
          <w:i/>
          <w:iCs/>
          <w:sz w:val="22"/>
          <w:szCs w:val="22"/>
          <w:lang w:val="sq-AL"/>
        </w:rPr>
        <w:t>202</w:t>
      </w:r>
      <w:r w:rsidR="0080615E">
        <w:rPr>
          <w:rFonts w:ascii="Calibri" w:hAnsi="Calibri" w:cs="Calibri"/>
          <w:i/>
          <w:iCs/>
          <w:sz w:val="22"/>
          <w:szCs w:val="22"/>
          <w:lang w:val="sq-AL"/>
        </w:rPr>
        <w:t>3</w:t>
      </w:r>
      <w:r w:rsidR="00402E3B" w:rsidRPr="00325B8D">
        <w:rPr>
          <w:rFonts w:ascii="Calibri" w:hAnsi="Calibri" w:cs="Calibri"/>
          <w:i/>
          <w:iCs/>
          <w:sz w:val="22"/>
          <w:szCs w:val="22"/>
          <w:lang w:val="sq-AL"/>
        </w:rPr>
        <w:t>) (në mijë LEK)</w:t>
      </w:r>
      <w:bookmarkEnd w:id="112"/>
      <w:r w:rsidR="00402E3B">
        <w:rPr>
          <w:rFonts w:ascii="Calibri" w:hAnsi="Calibri"/>
          <w:i/>
          <w:iCs/>
          <w:color w:val="17406D"/>
          <w:sz w:val="22"/>
          <w:szCs w:val="22"/>
          <w:highlight w:val="yellow"/>
          <w:lang w:val="sq-AL"/>
        </w:rPr>
        <w:fldChar w:fldCharType="begin"/>
      </w:r>
      <w:r w:rsidR="00402E3B">
        <w:rPr>
          <w:rFonts w:ascii="Calibri" w:hAnsi="Calibri"/>
          <w:i/>
          <w:iCs/>
          <w:color w:val="17406D"/>
          <w:sz w:val="22"/>
          <w:szCs w:val="22"/>
          <w:highlight w:val="yellow"/>
          <w:lang w:val="sq-AL"/>
        </w:rPr>
        <w:instrText xml:space="preserve"> LINK </w:instrText>
      </w:r>
      <w:r w:rsidR="00C371C2">
        <w:rPr>
          <w:rFonts w:ascii="Calibri" w:hAnsi="Calibri"/>
          <w:i/>
          <w:iCs/>
          <w:color w:val="17406D"/>
          <w:sz w:val="22"/>
          <w:szCs w:val="22"/>
          <w:highlight w:val="yellow"/>
          <w:lang w:val="sq-AL"/>
        </w:rPr>
        <w:instrText xml:space="preserve">Excel.Sheet.12 "C:\\Users\\ilvis.ballvora\\Desktop\\Sectori Energjetike\\1.3 Te dhenat sektori i energjise. xlsx.xlsx" "DATA Extras 3!R108C7:R119C12" </w:instrText>
      </w:r>
      <w:r w:rsidR="00402E3B">
        <w:rPr>
          <w:rFonts w:ascii="Calibri" w:hAnsi="Calibri"/>
          <w:i/>
          <w:iCs/>
          <w:color w:val="17406D"/>
          <w:sz w:val="22"/>
          <w:szCs w:val="22"/>
          <w:highlight w:val="yellow"/>
          <w:lang w:val="sq-AL"/>
        </w:rPr>
        <w:instrText xml:space="preserve">\a \f 4 \h  \* MERGEFORMAT </w:instrText>
      </w:r>
      <w:r w:rsidR="00402E3B">
        <w:rPr>
          <w:rFonts w:ascii="Calibri" w:hAnsi="Calibri"/>
          <w:i/>
          <w:iCs/>
          <w:color w:val="17406D"/>
          <w:sz w:val="22"/>
          <w:szCs w:val="22"/>
          <w:highlight w:val="yellow"/>
          <w:lang w:val="sq-AL"/>
        </w:rPr>
        <w:fldChar w:fldCharType="separate"/>
      </w:r>
    </w:p>
    <w:tbl>
      <w:tblPr>
        <w:tblW w:w="9016"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1920"/>
        <w:gridCol w:w="1751"/>
        <w:gridCol w:w="1745"/>
        <w:gridCol w:w="1800"/>
        <w:gridCol w:w="1800"/>
      </w:tblGrid>
      <w:tr w:rsidR="0080615E" w14:paraId="3D0A7E69" w14:textId="77777777" w:rsidTr="00495067">
        <w:trPr>
          <w:trHeight w:val="240"/>
          <w:jc w:val="center"/>
        </w:trPr>
        <w:tc>
          <w:tcPr>
            <w:tcW w:w="1920" w:type="dxa"/>
            <w:tcBorders>
              <w:top w:val="single" w:sz="24" w:space="0" w:color="95B3D7"/>
              <w:left w:val="single" w:sz="24" w:space="0" w:color="95B3D7"/>
              <w:bottom w:val="nil"/>
              <w:right w:val="nil"/>
            </w:tcBorders>
            <w:shd w:val="clear" w:color="auto" w:fill="B3DDF2"/>
            <w:noWrap/>
            <w:vAlign w:val="center"/>
            <w:hideMark/>
          </w:tcPr>
          <w:p w14:paraId="071C8212" w14:textId="77777777" w:rsidR="0080615E" w:rsidRDefault="0080615E" w:rsidP="00495067">
            <w:pPr>
              <w:rPr>
                <w:rFonts w:ascii="Calibri" w:hAnsi="Calibri" w:cs="Calibri"/>
                <w:color w:val="000000"/>
                <w:sz w:val="20"/>
                <w:szCs w:val="20"/>
                <w:lang w:val="sq-AL"/>
              </w:rPr>
            </w:pPr>
            <w:r>
              <w:rPr>
                <w:rFonts w:ascii="Calibri" w:hAnsi="Calibri" w:cs="Calibri"/>
                <w:b/>
                <w:color w:val="C00000"/>
                <w:sz w:val="22"/>
                <w:szCs w:val="22"/>
                <w:lang w:val="sq-AL"/>
              </w:rPr>
              <w:t>Zërat/Periudha</w:t>
            </w:r>
          </w:p>
        </w:tc>
        <w:tc>
          <w:tcPr>
            <w:tcW w:w="1751" w:type="dxa"/>
            <w:tcBorders>
              <w:top w:val="single" w:sz="24" w:space="0" w:color="95B3D7"/>
              <w:left w:val="nil"/>
              <w:bottom w:val="nil"/>
              <w:right w:val="nil"/>
            </w:tcBorders>
            <w:shd w:val="clear" w:color="auto" w:fill="B3DDF2"/>
            <w:noWrap/>
            <w:vAlign w:val="center"/>
            <w:hideMark/>
          </w:tcPr>
          <w:p w14:paraId="6BB6A435" w14:textId="77777777" w:rsidR="0080615E" w:rsidRDefault="0080615E" w:rsidP="00495067">
            <w:pPr>
              <w:jc w:val="right"/>
              <w:rPr>
                <w:rFonts w:ascii="Calibri" w:hAnsi="Calibri" w:cs="Calibri"/>
                <w:b/>
                <w:bCs/>
                <w:color w:val="000000"/>
                <w:sz w:val="20"/>
                <w:szCs w:val="20"/>
              </w:rPr>
            </w:pPr>
            <w:r>
              <w:rPr>
                <w:rFonts w:ascii="Calibri" w:hAnsi="Calibri" w:cs="Calibri"/>
                <w:b/>
                <w:bCs/>
                <w:color w:val="C00000"/>
                <w:sz w:val="22"/>
                <w:szCs w:val="22"/>
              </w:rPr>
              <w:t>2021</w:t>
            </w:r>
          </w:p>
        </w:tc>
        <w:tc>
          <w:tcPr>
            <w:tcW w:w="1745" w:type="dxa"/>
            <w:tcBorders>
              <w:top w:val="single" w:sz="24" w:space="0" w:color="95B3D7"/>
              <w:left w:val="nil"/>
              <w:bottom w:val="nil"/>
              <w:right w:val="nil"/>
            </w:tcBorders>
            <w:shd w:val="clear" w:color="auto" w:fill="B3DDF2"/>
            <w:noWrap/>
            <w:vAlign w:val="center"/>
            <w:hideMark/>
          </w:tcPr>
          <w:p w14:paraId="58C683E2" w14:textId="77777777" w:rsidR="0080615E" w:rsidRDefault="0080615E" w:rsidP="00495067">
            <w:pPr>
              <w:jc w:val="right"/>
              <w:rPr>
                <w:rFonts w:ascii="Calibri" w:hAnsi="Calibri" w:cs="Calibri"/>
                <w:b/>
                <w:bCs/>
                <w:color w:val="000000"/>
                <w:sz w:val="20"/>
                <w:szCs w:val="20"/>
              </w:rPr>
            </w:pPr>
            <w:r>
              <w:rPr>
                <w:rFonts w:ascii="Calibri" w:hAnsi="Calibri" w:cs="Calibri"/>
                <w:b/>
                <w:bCs/>
                <w:color w:val="C00000"/>
                <w:sz w:val="22"/>
                <w:szCs w:val="22"/>
              </w:rPr>
              <w:t>T1 2022</w:t>
            </w:r>
          </w:p>
        </w:tc>
        <w:tc>
          <w:tcPr>
            <w:tcW w:w="1800" w:type="dxa"/>
            <w:tcBorders>
              <w:top w:val="single" w:sz="24" w:space="0" w:color="95B3D7"/>
              <w:left w:val="nil"/>
              <w:bottom w:val="nil"/>
              <w:right w:val="nil"/>
            </w:tcBorders>
            <w:shd w:val="clear" w:color="auto" w:fill="B3DDF2"/>
            <w:vAlign w:val="center"/>
            <w:hideMark/>
          </w:tcPr>
          <w:p w14:paraId="52BE4E0A" w14:textId="77777777" w:rsidR="0080615E" w:rsidRDefault="0080615E" w:rsidP="00495067">
            <w:pPr>
              <w:jc w:val="right"/>
              <w:rPr>
                <w:rFonts w:ascii="Calibri" w:hAnsi="Calibri" w:cs="Calibri"/>
                <w:b/>
                <w:bCs/>
                <w:color w:val="C00000"/>
                <w:sz w:val="22"/>
                <w:szCs w:val="22"/>
              </w:rPr>
            </w:pPr>
            <w:r>
              <w:rPr>
                <w:rFonts w:ascii="Calibri" w:hAnsi="Calibri" w:cs="Calibri"/>
                <w:b/>
                <w:bCs/>
                <w:color w:val="C00000"/>
                <w:sz w:val="22"/>
                <w:szCs w:val="22"/>
              </w:rPr>
              <w:t>2022</w:t>
            </w:r>
          </w:p>
        </w:tc>
        <w:tc>
          <w:tcPr>
            <w:tcW w:w="1800" w:type="dxa"/>
            <w:tcBorders>
              <w:top w:val="single" w:sz="24" w:space="0" w:color="95B3D7"/>
              <w:left w:val="nil"/>
              <w:bottom w:val="nil"/>
              <w:right w:val="single" w:sz="24" w:space="0" w:color="95B3D7"/>
            </w:tcBorders>
            <w:shd w:val="clear" w:color="auto" w:fill="B3DDF2"/>
            <w:noWrap/>
            <w:vAlign w:val="center"/>
            <w:hideMark/>
          </w:tcPr>
          <w:p w14:paraId="69C4C6C6" w14:textId="77777777" w:rsidR="0080615E" w:rsidRDefault="0080615E" w:rsidP="00495067">
            <w:pPr>
              <w:jc w:val="right"/>
              <w:rPr>
                <w:rFonts w:ascii="Calibri" w:hAnsi="Calibri" w:cs="Calibri"/>
                <w:b/>
                <w:bCs/>
                <w:color w:val="000000"/>
                <w:sz w:val="20"/>
                <w:szCs w:val="20"/>
              </w:rPr>
            </w:pPr>
            <w:r>
              <w:rPr>
                <w:rFonts w:ascii="Calibri" w:hAnsi="Calibri" w:cs="Calibri"/>
                <w:b/>
                <w:bCs/>
                <w:color w:val="C00000"/>
                <w:sz w:val="22"/>
                <w:szCs w:val="22"/>
              </w:rPr>
              <w:t>T1 2023</w:t>
            </w:r>
          </w:p>
        </w:tc>
      </w:tr>
      <w:tr w:rsidR="0080615E" w14:paraId="06C3FC6C" w14:textId="77777777" w:rsidTr="00495067">
        <w:trPr>
          <w:trHeight w:val="240"/>
          <w:jc w:val="center"/>
        </w:trPr>
        <w:tc>
          <w:tcPr>
            <w:tcW w:w="1920" w:type="dxa"/>
            <w:tcBorders>
              <w:top w:val="nil"/>
              <w:left w:val="single" w:sz="24" w:space="0" w:color="95B3D7"/>
              <w:bottom w:val="nil"/>
              <w:right w:val="nil"/>
            </w:tcBorders>
            <w:shd w:val="clear" w:color="auto" w:fill="FFFFFF"/>
            <w:noWrap/>
            <w:vAlign w:val="center"/>
            <w:hideMark/>
          </w:tcPr>
          <w:p w14:paraId="56A04BDF" w14:textId="77777777" w:rsidR="0080615E" w:rsidRDefault="0080615E" w:rsidP="00495067">
            <w:pPr>
              <w:rPr>
                <w:rFonts w:ascii="Calibri" w:hAnsi="Calibri" w:cs="Calibri"/>
                <w:i/>
                <w:color w:val="000000"/>
                <w:sz w:val="18"/>
                <w:szCs w:val="20"/>
              </w:rPr>
            </w:pPr>
            <w:r>
              <w:rPr>
                <w:rFonts w:ascii="Calibri" w:hAnsi="Calibri" w:cs="Calibri"/>
                <w:i/>
                <w:color w:val="000000"/>
                <w:sz w:val="18"/>
                <w:szCs w:val="20"/>
              </w:rPr>
              <w:t>Të ardhurat</w:t>
            </w:r>
          </w:p>
        </w:tc>
        <w:tc>
          <w:tcPr>
            <w:tcW w:w="1751" w:type="dxa"/>
            <w:tcBorders>
              <w:top w:val="nil"/>
              <w:left w:val="nil"/>
              <w:bottom w:val="nil"/>
              <w:right w:val="nil"/>
            </w:tcBorders>
            <w:shd w:val="clear" w:color="auto" w:fill="FFFFFF"/>
            <w:noWrap/>
            <w:vAlign w:val="center"/>
            <w:hideMark/>
          </w:tcPr>
          <w:p w14:paraId="5E8BA006" w14:textId="77777777" w:rsidR="0080615E" w:rsidRDefault="0080615E" w:rsidP="00495067">
            <w:pPr>
              <w:jc w:val="right"/>
              <w:rPr>
                <w:rFonts w:ascii="Calibri" w:hAnsi="Calibri" w:cs="Calibri"/>
                <w:i/>
                <w:color w:val="000000"/>
                <w:sz w:val="18"/>
                <w:szCs w:val="20"/>
              </w:rPr>
            </w:pPr>
            <w:r w:rsidRPr="000766A6">
              <w:rPr>
                <w:rFonts w:ascii="Calibri" w:hAnsi="Calibri" w:cs="Calibri"/>
                <w:i/>
                <w:color w:val="000000"/>
                <w:sz w:val="18"/>
                <w:szCs w:val="20"/>
              </w:rPr>
              <w:t>586,655</w:t>
            </w:r>
          </w:p>
        </w:tc>
        <w:tc>
          <w:tcPr>
            <w:tcW w:w="1745" w:type="dxa"/>
            <w:tcBorders>
              <w:top w:val="nil"/>
              <w:left w:val="nil"/>
              <w:bottom w:val="nil"/>
              <w:right w:val="nil"/>
            </w:tcBorders>
            <w:shd w:val="clear" w:color="auto" w:fill="FFFFFF"/>
            <w:noWrap/>
            <w:vAlign w:val="center"/>
            <w:hideMark/>
          </w:tcPr>
          <w:p w14:paraId="2D86E33E"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103,506</w:t>
            </w:r>
          </w:p>
        </w:tc>
        <w:tc>
          <w:tcPr>
            <w:tcW w:w="1800" w:type="dxa"/>
            <w:tcBorders>
              <w:top w:val="nil"/>
              <w:left w:val="nil"/>
              <w:bottom w:val="nil"/>
              <w:right w:val="nil"/>
            </w:tcBorders>
            <w:shd w:val="clear" w:color="auto" w:fill="FFFFFF"/>
            <w:vAlign w:val="center"/>
            <w:hideMark/>
          </w:tcPr>
          <w:p w14:paraId="2AC88BEE"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796,768</w:t>
            </w:r>
          </w:p>
        </w:tc>
        <w:tc>
          <w:tcPr>
            <w:tcW w:w="1800" w:type="dxa"/>
            <w:tcBorders>
              <w:top w:val="nil"/>
              <w:left w:val="nil"/>
              <w:bottom w:val="nil"/>
              <w:right w:val="single" w:sz="24" w:space="0" w:color="95B3D7"/>
            </w:tcBorders>
            <w:shd w:val="clear" w:color="auto" w:fill="FFFFFF"/>
            <w:noWrap/>
            <w:vAlign w:val="center"/>
            <w:hideMark/>
          </w:tcPr>
          <w:p w14:paraId="6AACEB19"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169,716</w:t>
            </w:r>
          </w:p>
        </w:tc>
      </w:tr>
      <w:tr w:rsidR="0080615E" w14:paraId="44DF078F"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27B762A6" w14:textId="77777777" w:rsidR="0080615E" w:rsidRDefault="0080615E" w:rsidP="00495067">
            <w:pPr>
              <w:rPr>
                <w:rFonts w:ascii="Calibri" w:hAnsi="Calibri" w:cs="Calibri"/>
                <w:i/>
                <w:color w:val="000000"/>
                <w:sz w:val="18"/>
                <w:szCs w:val="20"/>
              </w:rPr>
            </w:pPr>
            <w:r>
              <w:rPr>
                <w:rFonts w:ascii="Calibri" w:hAnsi="Calibri" w:cs="Calibri"/>
                <w:i/>
                <w:color w:val="000000"/>
                <w:sz w:val="18"/>
                <w:szCs w:val="20"/>
              </w:rPr>
              <w:t>Shpenzimet</w:t>
            </w:r>
          </w:p>
        </w:tc>
        <w:tc>
          <w:tcPr>
            <w:tcW w:w="1751" w:type="dxa"/>
            <w:tcBorders>
              <w:top w:val="nil"/>
              <w:left w:val="nil"/>
              <w:bottom w:val="nil"/>
              <w:right w:val="nil"/>
            </w:tcBorders>
            <w:shd w:val="clear" w:color="auto" w:fill="FFFFFF"/>
            <w:noWrap/>
            <w:vAlign w:val="center"/>
            <w:hideMark/>
          </w:tcPr>
          <w:p w14:paraId="4150429C"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1,013,804</w:t>
            </w:r>
          </w:p>
        </w:tc>
        <w:tc>
          <w:tcPr>
            <w:tcW w:w="1745" w:type="dxa"/>
            <w:tcBorders>
              <w:top w:val="nil"/>
              <w:left w:val="nil"/>
              <w:bottom w:val="nil"/>
              <w:right w:val="nil"/>
            </w:tcBorders>
            <w:shd w:val="clear" w:color="auto" w:fill="FFFFFF"/>
            <w:noWrap/>
            <w:vAlign w:val="center"/>
            <w:hideMark/>
          </w:tcPr>
          <w:p w14:paraId="3F183F60"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221,178</w:t>
            </w:r>
          </w:p>
        </w:tc>
        <w:tc>
          <w:tcPr>
            <w:tcW w:w="1800" w:type="dxa"/>
            <w:tcBorders>
              <w:top w:val="nil"/>
              <w:left w:val="nil"/>
              <w:bottom w:val="nil"/>
              <w:right w:val="nil"/>
            </w:tcBorders>
            <w:shd w:val="clear" w:color="auto" w:fill="FFFFFF"/>
            <w:vAlign w:val="center"/>
            <w:hideMark/>
          </w:tcPr>
          <w:p w14:paraId="20442483"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3,071,143</w:t>
            </w:r>
          </w:p>
        </w:tc>
        <w:tc>
          <w:tcPr>
            <w:tcW w:w="1800" w:type="dxa"/>
            <w:tcBorders>
              <w:top w:val="nil"/>
              <w:left w:val="nil"/>
              <w:bottom w:val="nil"/>
              <w:right w:val="single" w:sz="24" w:space="0" w:color="95B3D7"/>
            </w:tcBorders>
            <w:shd w:val="clear" w:color="auto" w:fill="FFFFFF"/>
            <w:noWrap/>
            <w:vAlign w:val="center"/>
            <w:hideMark/>
          </w:tcPr>
          <w:p w14:paraId="713978DF"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224,167</w:t>
            </w:r>
          </w:p>
        </w:tc>
      </w:tr>
      <w:tr w:rsidR="0080615E" w14:paraId="46564CC7"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3B31DF3A" w14:textId="77777777" w:rsidR="0080615E" w:rsidRDefault="0080615E" w:rsidP="00495067">
            <w:pPr>
              <w:rPr>
                <w:rFonts w:ascii="Calibri" w:hAnsi="Calibri" w:cs="Calibri"/>
                <w:b/>
                <w:bCs/>
                <w:color w:val="000000"/>
                <w:sz w:val="20"/>
                <w:szCs w:val="20"/>
              </w:rPr>
            </w:pPr>
            <w:r>
              <w:rPr>
                <w:rFonts w:ascii="Calibri" w:hAnsi="Calibri" w:cs="Calibri"/>
                <w:b/>
                <w:bCs/>
                <w:color w:val="000000"/>
                <w:sz w:val="20"/>
                <w:szCs w:val="20"/>
              </w:rPr>
              <w:t>Humbje/Fitim</w:t>
            </w:r>
          </w:p>
        </w:tc>
        <w:tc>
          <w:tcPr>
            <w:tcW w:w="1751" w:type="dxa"/>
            <w:tcBorders>
              <w:top w:val="nil"/>
              <w:left w:val="nil"/>
              <w:bottom w:val="nil"/>
              <w:right w:val="nil"/>
            </w:tcBorders>
            <w:shd w:val="clear" w:color="auto" w:fill="FFFFFF"/>
            <w:noWrap/>
            <w:vAlign w:val="center"/>
            <w:hideMark/>
          </w:tcPr>
          <w:p w14:paraId="034D8B97" w14:textId="77777777" w:rsidR="0080615E" w:rsidRDefault="0080615E"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0766A6">
              <w:rPr>
                <w:rFonts w:ascii="Calibri" w:hAnsi="Calibri" w:cs="Calibri"/>
                <w:b/>
                <w:i/>
                <w:color w:val="C00000"/>
                <w:sz w:val="20"/>
                <w:szCs w:val="20"/>
              </w:rPr>
              <w:t>(427,149)</w:t>
            </w:r>
          </w:p>
        </w:tc>
        <w:tc>
          <w:tcPr>
            <w:tcW w:w="1745" w:type="dxa"/>
            <w:tcBorders>
              <w:top w:val="nil"/>
              <w:left w:val="nil"/>
              <w:bottom w:val="nil"/>
              <w:right w:val="nil"/>
            </w:tcBorders>
            <w:shd w:val="clear" w:color="auto" w:fill="FFFFFF"/>
            <w:noWrap/>
            <w:vAlign w:val="center"/>
            <w:hideMark/>
          </w:tcPr>
          <w:p w14:paraId="50F0D953" w14:textId="77777777" w:rsidR="0080615E" w:rsidRDefault="0080615E"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0766A6">
              <w:rPr>
                <w:rFonts w:ascii="Calibri" w:hAnsi="Calibri" w:cs="Calibri"/>
                <w:b/>
                <w:i/>
                <w:color w:val="C00000"/>
                <w:sz w:val="20"/>
                <w:szCs w:val="20"/>
              </w:rPr>
              <w:t>(117,672)</w:t>
            </w:r>
          </w:p>
        </w:tc>
        <w:tc>
          <w:tcPr>
            <w:tcW w:w="1800" w:type="dxa"/>
            <w:tcBorders>
              <w:top w:val="nil"/>
              <w:left w:val="nil"/>
              <w:bottom w:val="nil"/>
              <w:right w:val="nil"/>
            </w:tcBorders>
            <w:shd w:val="clear" w:color="auto" w:fill="FFFFFF"/>
            <w:vAlign w:val="center"/>
            <w:hideMark/>
          </w:tcPr>
          <w:p w14:paraId="42CE2B35" w14:textId="77777777" w:rsidR="0080615E" w:rsidRDefault="0080615E"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0766A6">
              <w:rPr>
                <w:rFonts w:ascii="Calibri" w:hAnsi="Calibri" w:cs="Calibri"/>
                <w:b/>
                <w:i/>
                <w:color w:val="C00000"/>
                <w:sz w:val="20"/>
                <w:szCs w:val="20"/>
              </w:rPr>
              <w:t>(2,274,375)</w:t>
            </w:r>
          </w:p>
        </w:tc>
        <w:tc>
          <w:tcPr>
            <w:tcW w:w="1800" w:type="dxa"/>
            <w:tcBorders>
              <w:top w:val="nil"/>
              <w:left w:val="nil"/>
              <w:bottom w:val="nil"/>
              <w:right w:val="single" w:sz="24" w:space="0" w:color="95B3D7"/>
            </w:tcBorders>
            <w:shd w:val="clear" w:color="auto" w:fill="FFFFFF"/>
            <w:noWrap/>
            <w:vAlign w:val="center"/>
            <w:hideMark/>
          </w:tcPr>
          <w:p w14:paraId="7A5C69DD" w14:textId="77777777" w:rsidR="0080615E" w:rsidRDefault="0080615E"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0766A6">
              <w:rPr>
                <w:rFonts w:ascii="Calibri" w:hAnsi="Calibri" w:cs="Calibri"/>
                <w:b/>
                <w:i/>
                <w:color w:val="C00000"/>
                <w:sz w:val="20"/>
                <w:szCs w:val="20"/>
              </w:rPr>
              <w:t>(54,451)</w:t>
            </w:r>
          </w:p>
        </w:tc>
      </w:tr>
      <w:tr w:rsidR="0080615E" w14:paraId="28588FCF"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77CC541E" w14:textId="77777777" w:rsidR="0080615E" w:rsidRDefault="0080615E" w:rsidP="00495067">
            <w:pPr>
              <w:rPr>
                <w:rFonts w:ascii="Calibri" w:hAnsi="Calibri" w:cs="Calibri"/>
                <w:i/>
                <w:color w:val="000000"/>
                <w:sz w:val="18"/>
                <w:szCs w:val="20"/>
              </w:rPr>
            </w:pPr>
            <w:r>
              <w:rPr>
                <w:rFonts w:ascii="Calibri" w:hAnsi="Calibri" w:cs="Calibri"/>
                <w:i/>
                <w:color w:val="000000"/>
                <w:sz w:val="18"/>
                <w:szCs w:val="20"/>
              </w:rPr>
              <w:t>Aktivet Afatshkurtra</w:t>
            </w:r>
          </w:p>
        </w:tc>
        <w:tc>
          <w:tcPr>
            <w:tcW w:w="1751" w:type="dxa"/>
            <w:tcBorders>
              <w:top w:val="nil"/>
              <w:left w:val="nil"/>
              <w:bottom w:val="nil"/>
              <w:right w:val="nil"/>
            </w:tcBorders>
            <w:shd w:val="clear" w:color="auto" w:fill="FFFFFF"/>
            <w:noWrap/>
            <w:vAlign w:val="center"/>
            <w:hideMark/>
          </w:tcPr>
          <w:p w14:paraId="74C3FD54"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 xml:space="preserve">373,301 </w:t>
            </w:r>
            <w:r>
              <w:rPr>
                <w:rFonts w:ascii="Calibri" w:hAnsi="Calibri" w:cs="Calibri"/>
                <w:i/>
                <w:color w:val="000000"/>
                <w:sz w:val="18"/>
                <w:szCs w:val="20"/>
              </w:rPr>
              <w:t xml:space="preserve"> </w:t>
            </w:r>
          </w:p>
        </w:tc>
        <w:tc>
          <w:tcPr>
            <w:tcW w:w="1745" w:type="dxa"/>
            <w:tcBorders>
              <w:top w:val="nil"/>
              <w:left w:val="nil"/>
              <w:bottom w:val="nil"/>
              <w:right w:val="nil"/>
            </w:tcBorders>
            <w:shd w:val="clear" w:color="auto" w:fill="FFFFFF"/>
            <w:noWrap/>
            <w:vAlign w:val="center"/>
            <w:hideMark/>
          </w:tcPr>
          <w:p w14:paraId="1DDA783A"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 xml:space="preserve">519,245 </w:t>
            </w:r>
            <w:r>
              <w:rPr>
                <w:rFonts w:ascii="Calibri" w:hAnsi="Calibri" w:cs="Calibri"/>
                <w:i/>
                <w:color w:val="000000"/>
                <w:sz w:val="18"/>
                <w:szCs w:val="20"/>
              </w:rPr>
              <w:t xml:space="preserve"> </w:t>
            </w:r>
          </w:p>
        </w:tc>
        <w:tc>
          <w:tcPr>
            <w:tcW w:w="1800" w:type="dxa"/>
            <w:tcBorders>
              <w:top w:val="nil"/>
              <w:left w:val="nil"/>
              <w:bottom w:val="nil"/>
              <w:right w:val="nil"/>
            </w:tcBorders>
            <w:shd w:val="clear" w:color="auto" w:fill="FFFFFF"/>
            <w:vAlign w:val="center"/>
            <w:hideMark/>
          </w:tcPr>
          <w:p w14:paraId="61431485"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 xml:space="preserve">594,825 </w:t>
            </w:r>
            <w:r>
              <w:rPr>
                <w:rFonts w:ascii="Calibri" w:hAnsi="Calibri" w:cs="Calibri"/>
                <w:i/>
                <w:color w:val="000000"/>
                <w:sz w:val="18"/>
                <w:szCs w:val="20"/>
              </w:rPr>
              <w:t xml:space="preserve"> </w:t>
            </w:r>
          </w:p>
        </w:tc>
        <w:tc>
          <w:tcPr>
            <w:tcW w:w="1800" w:type="dxa"/>
            <w:tcBorders>
              <w:top w:val="nil"/>
              <w:left w:val="nil"/>
              <w:bottom w:val="nil"/>
              <w:right w:val="single" w:sz="24" w:space="0" w:color="95B3D7"/>
            </w:tcBorders>
            <w:shd w:val="clear" w:color="auto" w:fill="FFFFFF"/>
            <w:noWrap/>
            <w:vAlign w:val="center"/>
            <w:hideMark/>
          </w:tcPr>
          <w:p w14:paraId="65772F25"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522,831</w:t>
            </w:r>
          </w:p>
        </w:tc>
      </w:tr>
      <w:tr w:rsidR="0080615E" w14:paraId="530CF7C7"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6891CB38" w14:textId="77777777" w:rsidR="0080615E" w:rsidRDefault="0080615E" w:rsidP="00495067">
            <w:pPr>
              <w:rPr>
                <w:rFonts w:ascii="Calibri" w:hAnsi="Calibri" w:cs="Calibri"/>
                <w:i/>
                <w:color w:val="000000"/>
                <w:sz w:val="18"/>
                <w:szCs w:val="20"/>
              </w:rPr>
            </w:pPr>
            <w:r>
              <w:rPr>
                <w:rFonts w:ascii="Calibri" w:hAnsi="Calibri" w:cs="Calibri"/>
                <w:i/>
                <w:color w:val="000000"/>
                <w:sz w:val="18"/>
                <w:szCs w:val="20"/>
              </w:rPr>
              <w:t>Aktivet Afatgjata</w:t>
            </w:r>
          </w:p>
        </w:tc>
        <w:tc>
          <w:tcPr>
            <w:tcW w:w="1751" w:type="dxa"/>
            <w:tcBorders>
              <w:top w:val="nil"/>
              <w:left w:val="nil"/>
              <w:bottom w:val="nil"/>
              <w:right w:val="nil"/>
            </w:tcBorders>
            <w:shd w:val="clear" w:color="auto" w:fill="FFFFFF"/>
            <w:noWrap/>
            <w:vAlign w:val="center"/>
            <w:hideMark/>
          </w:tcPr>
          <w:p w14:paraId="3C2E0713"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80,422,273</w:t>
            </w:r>
          </w:p>
        </w:tc>
        <w:tc>
          <w:tcPr>
            <w:tcW w:w="1745" w:type="dxa"/>
            <w:tcBorders>
              <w:top w:val="nil"/>
              <w:left w:val="nil"/>
              <w:bottom w:val="nil"/>
              <w:right w:val="nil"/>
            </w:tcBorders>
            <w:shd w:val="clear" w:color="auto" w:fill="FFFFFF"/>
            <w:noWrap/>
            <w:vAlign w:val="center"/>
            <w:hideMark/>
          </w:tcPr>
          <w:p w14:paraId="4CD234AD" w14:textId="77777777" w:rsidR="0080615E" w:rsidRDefault="0080615E" w:rsidP="00495067">
            <w:pPr>
              <w:jc w:val="right"/>
              <w:rPr>
                <w:rFonts w:ascii="Calibri" w:hAnsi="Calibri" w:cs="Calibri"/>
                <w:i/>
                <w:color w:val="000000"/>
                <w:sz w:val="18"/>
                <w:szCs w:val="20"/>
              </w:rPr>
            </w:pPr>
            <w:r w:rsidRPr="000766A6">
              <w:rPr>
                <w:rFonts w:ascii="Calibri" w:hAnsi="Calibri" w:cs="Calibri"/>
                <w:i/>
                <w:color w:val="000000"/>
                <w:sz w:val="18"/>
                <w:szCs w:val="20"/>
              </w:rPr>
              <w:t>80,323,161</w:t>
            </w:r>
          </w:p>
        </w:tc>
        <w:tc>
          <w:tcPr>
            <w:tcW w:w="1800" w:type="dxa"/>
            <w:tcBorders>
              <w:top w:val="nil"/>
              <w:left w:val="nil"/>
              <w:bottom w:val="nil"/>
              <w:right w:val="nil"/>
            </w:tcBorders>
            <w:shd w:val="clear" w:color="auto" w:fill="FFFFFF"/>
            <w:vAlign w:val="center"/>
            <w:hideMark/>
          </w:tcPr>
          <w:p w14:paraId="373BA358"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77,978,610</w:t>
            </w:r>
          </w:p>
        </w:tc>
        <w:tc>
          <w:tcPr>
            <w:tcW w:w="1800" w:type="dxa"/>
            <w:tcBorders>
              <w:top w:val="nil"/>
              <w:left w:val="nil"/>
              <w:bottom w:val="nil"/>
              <w:right w:val="single" w:sz="24" w:space="0" w:color="95B3D7"/>
            </w:tcBorders>
            <w:shd w:val="clear" w:color="auto" w:fill="FFFFFF"/>
            <w:noWrap/>
            <w:vAlign w:val="center"/>
            <w:hideMark/>
          </w:tcPr>
          <w:p w14:paraId="05F6404A"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77,869,834</w:t>
            </w:r>
          </w:p>
        </w:tc>
      </w:tr>
      <w:tr w:rsidR="0080615E" w14:paraId="5635A4EC"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338A5D2B" w14:textId="77777777" w:rsidR="0080615E" w:rsidRDefault="0080615E" w:rsidP="00495067">
            <w:pPr>
              <w:rPr>
                <w:rFonts w:ascii="Calibri" w:hAnsi="Calibri" w:cs="Calibri"/>
                <w:b/>
                <w:bCs/>
                <w:color w:val="000000"/>
                <w:sz w:val="20"/>
                <w:szCs w:val="20"/>
              </w:rPr>
            </w:pPr>
            <w:r>
              <w:rPr>
                <w:rFonts w:ascii="Calibri" w:hAnsi="Calibri" w:cs="Calibri"/>
                <w:b/>
                <w:bCs/>
                <w:color w:val="000000"/>
                <w:sz w:val="20"/>
                <w:szCs w:val="20"/>
              </w:rPr>
              <w:t>Total Aktive</w:t>
            </w:r>
          </w:p>
        </w:tc>
        <w:tc>
          <w:tcPr>
            <w:tcW w:w="1751" w:type="dxa"/>
            <w:tcBorders>
              <w:top w:val="nil"/>
              <w:left w:val="nil"/>
              <w:bottom w:val="nil"/>
              <w:right w:val="nil"/>
            </w:tcBorders>
            <w:shd w:val="clear" w:color="auto" w:fill="FFFFFF"/>
            <w:noWrap/>
            <w:vAlign w:val="center"/>
            <w:hideMark/>
          </w:tcPr>
          <w:p w14:paraId="5E250639" w14:textId="77777777" w:rsidR="0080615E" w:rsidRDefault="0080615E"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0766A6">
              <w:rPr>
                <w:rFonts w:ascii="Calibri" w:hAnsi="Calibri" w:cs="Calibri"/>
                <w:b/>
                <w:i/>
                <w:color w:val="C00000"/>
                <w:sz w:val="20"/>
                <w:szCs w:val="20"/>
              </w:rPr>
              <w:t>80,795,573</w:t>
            </w:r>
          </w:p>
        </w:tc>
        <w:tc>
          <w:tcPr>
            <w:tcW w:w="1745" w:type="dxa"/>
            <w:tcBorders>
              <w:top w:val="nil"/>
              <w:left w:val="nil"/>
              <w:bottom w:val="nil"/>
              <w:right w:val="nil"/>
            </w:tcBorders>
            <w:shd w:val="clear" w:color="auto" w:fill="FFFFFF"/>
            <w:noWrap/>
            <w:vAlign w:val="center"/>
            <w:hideMark/>
          </w:tcPr>
          <w:p w14:paraId="4D6C9D1C" w14:textId="77777777" w:rsidR="0080615E" w:rsidRDefault="0080615E"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0766A6">
              <w:rPr>
                <w:rFonts w:ascii="Calibri" w:hAnsi="Calibri" w:cs="Calibri"/>
                <w:b/>
                <w:i/>
                <w:color w:val="C00000"/>
                <w:sz w:val="20"/>
                <w:szCs w:val="20"/>
              </w:rPr>
              <w:t>80,842,406</w:t>
            </w:r>
          </w:p>
        </w:tc>
        <w:tc>
          <w:tcPr>
            <w:tcW w:w="1800" w:type="dxa"/>
            <w:tcBorders>
              <w:top w:val="nil"/>
              <w:left w:val="nil"/>
              <w:bottom w:val="nil"/>
              <w:right w:val="nil"/>
            </w:tcBorders>
            <w:shd w:val="clear" w:color="auto" w:fill="FFFFFF"/>
            <w:vAlign w:val="center"/>
            <w:hideMark/>
          </w:tcPr>
          <w:p w14:paraId="5AD4244C" w14:textId="77777777" w:rsidR="0080615E" w:rsidRDefault="0080615E" w:rsidP="00495067">
            <w:pPr>
              <w:jc w:val="right"/>
              <w:rPr>
                <w:rFonts w:ascii="Calibri" w:hAnsi="Calibri" w:cs="Calibri"/>
                <w:b/>
                <w:i/>
                <w:color w:val="C00000"/>
                <w:sz w:val="20"/>
                <w:szCs w:val="20"/>
              </w:rPr>
            </w:pPr>
            <w:r w:rsidRPr="000766A6">
              <w:rPr>
                <w:rFonts w:ascii="Calibri" w:hAnsi="Calibri" w:cs="Calibri"/>
                <w:b/>
                <w:i/>
                <w:color w:val="C00000"/>
                <w:sz w:val="20"/>
                <w:szCs w:val="20"/>
              </w:rPr>
              <w:t>78,573,435</w:t>
            </w:r>
          </w:p>
        </w:tc>
        <w:tc>
          <w:tcPr>
            <w:tcW w:w="1800" w:type="dxa"/>
            <w:tcBorders>
              <w:top w:val="nil"/>
              <w:left w:val="nil"/>
              <w:bottom w:val="nil"/>
              <w:right w:val="single" w:sz="24" w:space="0" w:color="95B3D7"/>
            </w:tcBorders>
            <w:shd w:val="clear" w:color="auto" w:fill="FFFFFF"/>
            <w:noWrap/>
            <w:vAlign w:val="center"/>
            <w:hideMark/>
          </w:tcPr>
          <w:p w14:paraId="17814B62" w14:textId="77777777" w:rsidR="0080615E" w:rsidRDefault="0080615E" w:rsidP="00495067">
            <w:pPr>
              <w:jc w:val="right"/>
              <w:rPr>
                <w:rFonts w:ascii="Calibri" w:hAnsi="Calibri" w:cs="Calibri"/>
                <w:b/>
                <w:i/>
                <w:color w:val="C00000"/>
                <w:sz w:val="20"/>
                <w:szCs w:val="20"/>
              </w:rPr>
            </w:pPr>
            <w:r w:rsidRPr="000766A6">
              <w:rPr>
                <w:rFonts w:ascii="Calibri" w:hAnsi="Calibri" w:cs="Calibri"/>
                <w:b/>
                <w:i/>
                <w:color w:val="C00000"/>
                <w:sz w:val="20"/>
                <w:szCs w:val="20"/>
              </w:rPr>
              <w:t>78,392,665</w:t>
            </w:r>
          </w:p>
        </w:tc>
      </w:tr>
      <w:tr w:rsidR="0080615E" w14:paraId="143B81F1"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6304E605" w14:textId="77777777" w:rsidR="0080615E" w:rsidRDefault="0080615E" w:rsidP="00495067">
            <w:pPr>
              <w:rPr>
                <w:rFonts w:ascii="Calibri" w:hAnsi="Calibri" w:cs="Calibri"/>
                <w:i/>
                <w:color w:val="000000"/>
                <w:sz w:val="18"/>
                <w:szCs w:val="20"/>
              </w:rPr>
            </w:pPr>
            <w:r>
              <w:rPr>
                <w:rFonts w:ascii="Calibri" w:hAnsi="Calibri" w:cs="Calibri"/>
                <w:i/>
                <w:color w:val="000000"/>
                <w:sz w:val="18"/>
                <w:szCs w:val="20"/>
              </w:rPr>
              <w:t>Detyrimet Afatshkurtra</w:t>
            </w:r>
          </w:p>
        </w:tc>
        <w:tc>
          <w:tcPr>
            <w:tcW w:w="1751" w:type="dxa"/>
            <w:tcBorders>
              <w:top w:val="nil"/>
              <w:left w:val="nil"/>
              <w:bottom w:val="nil"/>
              <w:right w:val="nil"/>
            </w:tcBorders>
            <w:shd w:val="clear" w:color="auto" w:fill="FFFFFF"/>
            <w:noWrap/>
            <w:vAlign w:val="center"/>
            <w:hideMark/>
          </w:tcPr>
          <w:p w14:paraId="4DF94A6C"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1,026,315</w:t>
            </w:r>
          </w:p>
        </w:tc>
        <w:tc>
          <w:tcPr>
            <w:tcW w:w="1745" w:type="dxa"/>
            <w:tcBorders>
              <w:top w:val="nil"/>
              <w:left w:val="nil"/>
              <w:bottom w:val="nil"/>
              <w:right w:val="nil"/>
            </w:tcBorders>
            <w:shd w:val="clear" w:color="auto" w:fill="FFFFFF"/>
            <w:noWrap/>
            <w:vAlign w:val="center"/>
            <w:hideMark/>
          </w:tcPr>
          <w:p w14:paraId="6FA8EDB1"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 xml:space="preserve">1,190,351 </w:t>
            </w:r>
            <w:r>
              <w:rPr>
                <w:rFonts w:ascii="Calibri" w:hAnsi="Calibri" w:cs="Calibri"/>
                <w:i/>
                <w:color w:val="000000"/>
                <w:sz w:val="18"/>
                <w:szCs w:val="20"/>
              </w:rPr>
              <w:t xml:space="preserve"> </w:t>
            </w:r>
          </w:p>
        </w:tc>
        <w:tc>
          <w:tcPr>
            <w:tcW w:w="1800" w:type="dxa"/>
            <w:tcBorders>
              <w:top w:val="nil"/>
              <w:left w:val="nil"/>
              <w:bottom w:val="nil"/>
              <w:right w:val="nil"/>
            </w:tcBorders>
            <w:shd w:val="clear" w:color="auto" w:fill="FFFFFF"/>
            <w:vAlign w:val="center"/>
            <w:hideMark/>
          </w:tcPr>
          <w:p w14:paraId="3EB3A50C"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 xml:space="preserve">1,096,943 </w:t>
            </w:r>
            <w:r>
              <w:rPr>
                <w:rFonts w:ascii="Calibri" w:hAnsi="Calibri" w:cs="Calibri"/>
                <w:i/>
                <w:color w:val="000000"/>
                <w:sz w:val="18"/>
                <w:szCs w:val="20"/>
              </w:rPr>
              <w:t xml:space="preserve"> </w:t>
            </w:r>
          </w:p>
        </w:tc>
        <w:tc>
          <w:tcPr>
            <w:tcW w:w="1800" w:type="dxa"/>
            <w:tcBorders>
              <w:top w:val="nil"/>
              <w:left w:val="nil"/>
              <w:bottom w:val="nil"/>
              <w:right w:val="single" w:sz="24" w:space="0" w:color="95B3D7"/>
            </w:tcBorders>
            <w:shd w:val="clear" w:color="auto" w:fill="FFFFFF"/>
            <w:noWrap/>
            <w:vAlign w:val="center"/>
            <w:hideMark/>
          </w:tcPr>
          <w:p w14:paraId="0CCFA00B"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970,323</w:t>
            </w:r>
          </w:p>
        </w:tc>
      </w:tr>
      <w:tr w:rsidR="0080615E" w14:paraId="545A0684"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49F4BA04" w14:textId="77777777" w:rsidR="0080615E" w:rsidRDefault="0080615E" w:rsidP="00495067">
            <w:pPr>
              <w:rPr>
                <w:rFonts w:ascii="Calibri" w:hAnsi="Calibri" w:cs="Calibri"/>
                <w:i/>
                <w:color w:val="000000"/>
                <w:sz w:val="18"/>
                <w:szCs w:val="20"/>
              </w:rPr>
            </w:pPr>
            <w:r>
              <w:rPr>
                <w:rFonts w:ascii="Calibri" w:hAnsi="Calibri" w:cs="Calibri"/>
                <w:i/>
                <w:color w:val="000000"/>
                <w:sz w:val="18"/>
                <w:szCs w:val="20"/>
              </w:rPr>
              <w:t>Detyrimet Afatgjata</w:t>
            </w:r>
          </w:p>
        </w:tc>
        <w:tc>
          <w:tcPr>
            <w:tcW w:w="1751" w:type="dxa"/>
            <w:tcBorders>
              <w:top w:val="nil"/>
              <w:left w:val="nil"/>
              <w:bottom w:val="nil"/>
              <w:right w:val="nil"/>
            </w:tcBorders>
            <w:shd w:val="clear" w:color="auto" w:fill="FFFFFF"/>
            <w:noWrap/>
            <w:vAlign w:val="center"/>
            <w:hideMark/>
          </w:tcPr>
          <w:p w14:paraId="4C90FF86"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 xml:space="preserve">1,694,432 </w:t>
            </w:r>
            <w:r>
              <w:rPr>
                <w:rFonts w:ascii="Calibri" w:hAnsi="Calibri" w:cs="Calibri"/>
                <w:i/>
                <w:color w:val="000000"/>
                <w:sz w:val="18"/>
                <w:szCs w:val="20"/>
              </w:rPr>
              <w:t xml:space="preserve"> </w:t>
            </w:r>
          </w:p>
        </w:tc>
        <w:tc>
          <w:tcPr>
            <w:tcW w:w="1745" w:type="dxa"/>
            <w:tcBorders>
              <w:top w:val="nil"/>
              <w:left w:val="nil"/>
              <w:bottom w:val="nil"/>
              <w:right w:val="nil"/>
            </w:tcBorders>
            <w:shd w:val="clear" w:color="auto" w:fill="FFFFFF"/>
            <w:noWrap/>
            <w:vAlign w:val="center"/>
            <w:hideMark/>
          </w:tcPr>
          <w:p w14:paraId="71A789E0"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1,694,901</w:t>
            </w:r>
          </w:p>
        </w:tc>
        <w:tc>
          <w:tcPr>
            <w:tcW w:w="1800" w:type="dxa"/>
            <w:tcBorders>
              <w:top w:val="nil"/>
              <w:left w:val="nil"/>
              <w:bottom w:val="nil"/>
              <w:right w:val="nil"/>
            </w:tcBorders>
            <w:shd w:val="clear" w:color="auto" w:fill="FFFFFF"/>
            <w:vAlign w:val="center"/>
            <w:hideMark/>
          </w:tcPr>
          <w:p w14:paraId="43613A2E"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 xml:space="preserve">1,676,137 </w:t>
            </w:r>
            <w:r>
              <w:rPr>
                <w:rFonts w:ascii="Calibri" w:hAnsi="Calibri" w:cs="Calibri"/>
                <w:i/>
                <w:color w:val="000000"/>
                <w:sz w:val="18"/>
                <w:szCs w:val="20"/>
              </w:rPr>
              <w:t xml:space="preserve"> </w:t>
            </w:r>
          </w:p>
        </w:tc>
        <w:tc>
          <w:tcPr>
            <w:tcW w:w="1800" w:type="dxa"/>
            <w:tcBorders>
              <w:top w:val="nil"/>
              <w:left w:val="nil"/>
              <w:bottom w:val="nil"/>
              <w:right w:val="single" w:sz="24" w:space="0" w:color="95B3D7"/>
            </w:tcBorders>
            <w:shd w:val="clear" w:color="auto" w:fill="FFFFFF"/>
            <w:noWrap/>
            <w:vAlign w:val="center"/>
            <w:hideMark/>
          </w:tcPr>
          <w:p w14:paraId="0401CE75" w14:textId="77777777" w:rsidR="0080615E" w:rsidRDefault="0080615E"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0766A6">
              <w:rPr>
                <w:rFonts w:ascii="Calibri" w:hAnsi="Calibri" w:cs="Calibri"/>
                <w:i/>
                <w:color w:val="000000"/>
                <w:sz w:val="18"/>
                <w:szCs w:val="20"/>
              </w:rPr>
              <w:t>1,676,438</w:t>
            </w:r>
          </w:p>
        </w:tc>
      </w:tr>
      <w:tr w:rsidR="0080615E" w14:paraId="51842BE3"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1CB8CFA5" w14:textId="77777777" w:rsidR="0080615E" w:rsidRDefault="0080615E" w:rsidP="00495067">
            <w:pPr>
              <w:rPr>
                <w:rFonts w:ascii="Calibri" w:hAnsi="Calibri" w:cs="Calibri"/>
                <w:b/>
                <w:bCs/>
                <w:color w:val="000000"/>
                <w:sz w:val="20"/>
                <w:szCs w:val="20"/>
              </w:rPr>
            </w:pPr>
            <w:r>
              <w:rPr>
                <w:rFonts w:ascii="Calibri" w:hAnsi="Calibri" w:cs="Calibri"/>
                <w:b/>
                <w:bCs/>
                <w:color w:val="000000"/>
                <w:sz w:val="20"/>
                <w:szCs w:val="20"/>
              </w:rPr>
              <w:t>Total Detyrime</w:t>
            </w:r>
          </w:p>
        </w:tc>
        <w:tc>
          <w:tcPr>
            <w:tcW w:w="1751" w:type="dxa"/>
            <w:tcBorders>
              <w:top w:val="nil"/>
              <w:left w:val="nil"/>
              <w:bottom w:val="nil"/>
              <w:right w:val="nil"/>
            </w:tcBorders>
            <w:shd w:val="clear" w:color="auto" w:fill="FFFFFF"/>
            <w:noWrap/>
            <w:vAlign w:val="center"/>
            <w:hideMark/>
          </w:tcPr>
          <w:p w14:paraId="7902B0AC" w14:textId="77777777" w:rsidR="0080615E" w:rsidRDefault="0080615E"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0766A6">
              <w:rPr>
                <w:rFonts w:ascii="Calibri" w:hAnsi="Calibri" w:cs="Calibri"/>
                <w:b/>
                <w:i/>
                <w:color w:val="C00000"/>
                <w:sz w:val="20"/>
                <w:szCs w:val="20"/>
              </w:rPr>
              <w:t xml:space="preserve">2,720,747 </w:t>
            </w:r>
            <w:r>
              <w:rPr>
                <w:rFonts w:ascii="Calibri" w:hAnsi="Calibri" w:cs="Calibri"/>
                <w:b/>
                <w:i/>
                <w:color w:val="C00000"/>
                <w:sz w:val="20"/>
                <w:szCs w:val="20"/>
              </w:rPr>
              <w:t xml:space="preserve"> </w:t>
            </w:r>
          </w:p>
        </w:tc>
        <w:tc>
          <w:tcPr>
            <w:tcW w:w="1745" w:type="dxa"/>
            <w:tcBorders>
              <w:top w:val="nil"/>
              <w:left w:val="nil"/>
              <w:bottom w:val="nil"/>
              <w:right w:val="nil"/>
            </w:tcBorders>
            <w:shd w:val="clear" w:color="auto" w:fill="FFFFFF"/>
            <w:noWrap/>
            <w:vAlign w:val="center"/>
            <w:hideMark/>
          </w:tcPr>
          <w:p w14:paraId="7740BE7A" w14:textId="77777777" w:rsidR="0080615E" w:rsidRDefault="0080615E"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0766A6">
              <w:rPr>
                <w:rFonts w:ascii="Calibri" w:hAnsi="Calibri" w:cs="Calibri"/>
                <w:b/>
                <w:i/>
                <w:color w:val="C00000"/>
                <w:sz w:val="20"/>
                <w:szCs w:val="20"/>
              </w:rPr>
              <w:t>2,885,252</w:t>
            </w:r>
          </w:p>
        </w:tc>
        <w:tc>
          <w:tcPr>
            <w:tcW w:w="1800" w:type="dxa"/>
            <w:tcBorders>
              <w:top w:val="nil"/>
              <w:left w:val="nil"/>
              <w:bottom w:val="nil"/>
              <w:right w:val="nil"/>
            </w:tcBorders>
            <w:shd w:val="clear" w:color="auto" w:fill="FFFFFF"/>
            <w:vAlign w:val="center"/>
            <w:hideMark/>
          </w:tcPr>
          <w:p w14:paraId="09D8423D" w14:textId="77777777" w:rsidR="0080615E" w:rsidRDefault="0080615E"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0766A6">
              <w:rPr>
                <w:rFonts w:ascii="Calibri" w:hAnsi="Calibri" w:cs="Calibri"/>
                <w:b/>
                <w:i/>
                <w:color w:val="C00000"/>
                <w:sz w:val="20"/>
                <w:szCs w:val="20"/>
              </w:rPr>
              <w:t>2,773,080</w:t>
            </w:r>
          </w:p>
        </w:tc>
        <w:tc>
          <w:tcPr>
            <w:tcW w:w="1800" w:type="dxa"/>
            <w:tcBorders>
              <w:top w:val="nil"/>
              <w:left w:val="nil"/>
              <w:bottom w:val="nil"/>
              <w:right w:val="single" w:sz="24" w:space="0" w:color="95B3D7"/>
            </w:tcBorders>
            <w:shd w:val="clear" w:color="auto" w:fill="FFFFFF"/>
            <w:noWrap/>
            <w:vAlign w:val="center"/>
            <w:hideMark/>
          </w:tcPr>
          <w:p w14:paraId="4871D1A3" w14:textId="77777777" w:rsidR="0080615E" w:rsidRDefault="0080615E"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0766A6">
              <w:rPr>
                <w:rFonts w:ascii="Calibri" w:hAnsi="Calibri" w:cs="Calibri"/>
                <w:b/>
                <w:i/>
                <w:color w:val="C00000"/>
                <w:sz w:val="20"/>
                <w:szCs w:val="20"/>
              </w:rPr>
              <w:t>2,646,761</w:t>
            </w:r>
          </w:p>
        </w:tc>
      </w:tr>
      <w:tr w:rsidR="0080615E" w14:paraId="5777ACC7" w14:textId="77777777" w:rsidTr="00495067">
        <w:trPr>
          <w:trHeight w:val="240"/>
          <w:jc w:val="center"/>
        </w:trPr>
        <w:tc>
          <w:tcPr>
            <w:tcW w:w="1920" w:type="dxa"/>
            <w:tcBorders>
              <w:top w:val="nil"/>
              <w:left w:val="single" w:sz="24" w:space="0" w:color="95B3D7"/>
              <w:bottom w:val="single" w:sz="24" w:space="0" w:color="95B3D7"/>
              <w:right w:val="nil"/>
            </w:tcBorders>
            <w:shd w:val="clear" w:color="auto" w:fill="FFFFFF"/>
            <w:noWrap/>
            <w:vAlign w:val="center"/>
            <w:hideMark/>
          </w:tcPr>
          <w:p w14:paraId="56947CDA" w14:textId="77777777" w:rsidR="0080615E" w:rsidRDefault="0080615E" w:rsidP="00495067">
            <w:pPr>
              <w:rPr>
                <w:rFonts w:ascii="Calibri" w:hAnsi="Calibri" w:cs="Calibri"/>
                <w:b/>
                <w:bCs/>
                <w:color w:val="000000"/>
                <w:sz w:val="20"/>
                <w:szCs w:val="20"/>
              </w:rPr>
            </w:pPr>
            <w:r>
              <w:rPr>
                <w:rFonts w:ascii="Calibri" w:hAnsi="Calibri" w:cs="Calibri"/>
                <w:b/>
                <w:bCs/>
                <w:color w:val="000000"/>
                <w:sz w:val="20"/>
                <w:szCs w:val="20"/>
              </w:rPr>
              <w:t>Kapital</w:t>
            </w:r>
          </w:p>
        </w:tc>
        <w:tc>
          <w:tcPr>
            <w:tcW w:w="1751" w:type="dxa"/>
            <w:tcBorders>
              <w:top w:val="nil"/>
              <w:left w:val="nil"/>
              <w:bottom w:val="single" w:sz="24" w:space="0" w:color="95B3D7"/>
              <w:right w:val="nil"/>
            </w:tcBorders>
            <w:shd w:val="clear" w:color="auto" w:fill="FFFFFF"/>
            <w:noWrap/>
            <w:vAlign w:val="center"/>
            <w:hideMark/>
          </w:tcPr>
          <w:p w14:paraId="1986ABC9" w14:textId="77777777" w:rsidR="0080615E" w:rsidRDefault="0080615E" w:rsidP="00495067">
            <w:pPr>
              <w:jc w:val="right"/>
              <w:rPr>
                <w:rFonts w:ascii="Calibri" w:hAnsi="Calibri" w:cs="Calibri"/>
                <w:b/>
                <w:i/>
                <w:color w:val="C00000"/>
                <w:sz w:val="20"/>
                <w:szCs w:val="20"/>
              </w:rPr>
            </w:pPr>
            <w:r w:rsidRPr="000766A6">
              <w:rPr>
                <w:rFonts w:ascii="Calibri" w:hAnsi="Calibri" w:cs="Calibri"/>
                <w:b/>
                <w:i/>
                <w:color w:val="C00000"/>
                <w:sz w:val="20"/>
                <w:szCs w:val="20"/>
              </w:rPr>
              <w:t>78,074,827</w:t>
            </w:r>
          </w:p>
        </w:tc>
        <w:tc>
          <w:tcPr>
            <w:tcW w:w="1745" w:type="dxa"/>
            <w:tcBorders>
              <w:top w:val="nil"/>
              <w:left w:val="nil"/>
              <w:bottom w:val="single" w:sz="24" w:space="0" w:color="95B3D7"/>
              <w:right w:val="nil"/>
            </w:tcBorders>
            <w:shd w:val="clear" w:color="auto" w:fill="FFFFFF"/>
            <w:noWrap/>
            <w:vAlign w:val="center"/>
            <w:hideMark/>
          </w:tcPr>
          <w:p w14:paraId="5E7909C5" w14:textId="77777777" w:rsidR="0080615E" w:rsidRDefault="0080615E"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0766A6">
              <w:rPr>
                <w:rFonts w:ascii="Calibri" w:hAnsi="Calibri" w:cs="Calibri"/>
                <w:b/>
                <w:i/>
                <w:color w:val="C00000"/>
                <w:sz w:val="20"/>
                <w:szCs w:val="20"/>
              </w:rPr>
              <w:t>77,957,154</w:t>
            </w:r>
          </w:p>
        </w:tc>
        <w:tc>
          <w:tcPr>
            <w:tcW w:w="1800" w:type="dxa"/>
            <w:tcBorders>
              <w:top w:val="nil"/>
              <w:left w:val="nil"/>
              <w:bottom w:val="single" w:sz="24" w:space="0" w:color="95B3D7"/>
              <w:right w:val="nil"/>
            </w:tcBorders>
            <w:shd w:val="clear" w:color="auto" w:fill="FFFFFF"/>
            <w:vAlign w:val="center"/>
            <w:hideMark/>
          </w:tcPr>
          <w:p w14:paraId="6478BCE8" w14:textId="77777777" w:rsidR="0080615E" w:rsidRDefault="0080615E"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0766A6">
              <w:rPr>
                <w:rFonts w:ascii="Calibri" w:hAnsi="Calibri" w:cs="Calibri"/>
                <w:b/>
                <w:i/>
                <w:color w:val="C00000"/>
                <w:sz w:val="20"/>
                <w:szCs w:val="20"/>
              </w:rPr>
              <w:t>75,800,355</w:t>
            </w:r>
          </w:p>
        </w:tc>
        <w:tc>
          <w:tcPr>
            <w:tcW w:w="1800" w:type="dxa"/>
            <w:tcBorders>
              <w:top w:val="nil"/>
              <w:left w:val="nil"/>
              <w:bottom w:val="single" w:sz="24" w:space="0" w:color="95B3D7"/>
              <w:right w:val="single" w:sz="24" w:space="0" w:color="95B3D7"/>
            </w:tcBorders>
            <w:shd w:val="clear" w:color="auto" w:fill="FFFFFF"/>
            <w:noWrap/>
            <w:vAlign w:val="center"/>
            <w:hideMark/>
          </w:tcPr>
          <w:p w14:paraId="06F3F12B" w14:textId="77777777" w:rsidR="0080615E" w:rsidRDefault="0080615E"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0766A6">
              <w:rPr>
                <w:rFonts w:ascii="Calibri" w:hAnsi="Calibri" w:cs="Calibri"/>
                <w:b/>
                <w:i/>
                <w:color w:val="C00000"/>
                <w:sz w:val="20"/>
                <w:szCs w:val="20"/>
              </w:rPr>
              <w:t>75,745,904</w:t>
            </w:r>
          </w:p>
        </w:tc>
      </w:tr>
    </w:tbl>
    <w:p w14:paraId="252C23F0" w14:textId="77777777" w:rsidR="00402E3B" w:rsidRDefault="00402E3B" w:rsidP="00402E3B">
      <w:pPr>
        <w:spacing w:before="240" w:line="360" w:lineRule="auto"/>
        <w:ind w:firstLine="360"/>
        <w:contextualSpacing/>
        <w:jc w:val="both"/>
        <w:rPr>
          <w:rFonts w:ascii="Calibri" w:hAnsi="Calibri"/>
          <w:i/>
          <w:sz w:val="20"/>
          <w:szCs w:val="20"/>
          <w:lang w:val="sq-AL"/>
        </w:rPr>
      </w:pPr>
      <w:r>
        <w:rPr>
          <w:rFonts w:ascii="Calibri" w:hAnsi="Calibri"/>
          <w:i/>
          <w:sz w:val="22"/>
          <w:highlight w:val="yellow"/>
          <w:lang w:val="sq-AL"/>
        </w:rPr>
        <w:fldChar w:fldCharType="end"/>
      </w:r>
      <w:r>
        <w:rPr>
          <w:rFonts w:ascii="Calibri" w:hAnsi="Calibri"/>
          <w:i/>
          <w:sz w:val="20"/>
          <w:szCs w:val="20"/>
          <w:lang w:val="sq-AL"/>
        </w:rPr>
        <w:t xml:space="preserve">Burimi: Hekurudha Shqiptare </w:t>
      </w:r>
      <w:r w:rsidR="00B703A6">
        <w:rPr>
          <w:rFonts w:ascii="Calibri" w:hAnsi="Calibri"/>
          <w:i/>
          <w:sz w:val="20"/>
          <w:szCs w:val="20"/>
          <w:lang w:val="sq-AL"/>
        </w:rPr>
        <w:t>sh.a</w:t>
      </w:r>
      <w:r>
        <w:rPr>
          <w:rFonts w:ascii="Calibri" w:hAnsi="Calibri"/>
          <w:i/>
          <w:sz w:val="20"/>
          <w:szCs w:val="20"/>
          <w:lang w:val="sq-AL"/>
        </w:rPr>
        <w:t>.</w:t>
      </w:r>
    </w:p>
    <w:p w14:paraId="296B7944" w14:textId="77777777" w:rsidR="00BC2D86" w:rsidRDefault="00BC2D86" w:rsidP="00402E3B">
      <w:pPr>
        <w:spacing w:before="240" w:line="360" w:lineRule="auto"/>
        <w:ind w:firstLine="360"/>
        <w:contextualSpacing/>
        <w:jc w:val="both"/>
        <w:rPr>
          <w:rFonts w:ascii="Calibri" w:hAnsi="Calibri"/>
          <w:i/>
          <w:sz w:val="20"/>
          <w:szCs w:val="20"/>
          <w:lang w:val="sq-AL"/>
        </w:rPr>
      </w:pPr>
    </w:p>
    <w:p w14:paraId="1B17FFB2" w14:textId="77777777" w:rsidR="00BC2D86" w:rsidRDefault="00BC2D86" w:rsidP="00056DE5">
      <w:pPr>
        <w:keepNext/>
        <w:numPr>
          <w:ilvl w:val="0"/>
          <w:numId w:val="27"/>
        </w:numPr>
        <w:spacing w:before="120" w:line="276" w:lineRule="auto"/>
        <w:jc w:val="both"/>
        <w:rPr>
          <w:rFonts w:ascii="Calibri" w:hAnsi="Calibri"/>
          <w:i/>
          <w:lang w:val="sq-AL"/>
        </w:rPr>
      </w:pPr>
      <w:r>
        <w:rPr>
          <w:rFonts w:ascii="Calibri" w:hAnsi="Calibri"/>
          <w:i/>
          <w:lang w:val="sq-AL"/>
        </w:rPr>
        <w:t>Performanca financiare Autoriteti Portual Durrës (APD) Sh.a.</w:t>
      </w:r>
    </w:p>
    <w:p w14:paraId="02B908EA" w14:textId="77777777" w:rsidR="00BC2D86" w:rsidRPr="002C6CED" w:rsidRDefault="00BC2D86" w:rsidP="00BC2D86">
      <w:pPr>
        <w:spacing w:line="276" w:lineRule="auto"/>
        <w:jc w:val="both"/>
        <w:rPr>
          <w:rFonts w:asciiTheme="minorHAnsi" w:hAnsiTheme="minorHAnsi"/>
          <w:bCs/>
          <w:lang w:val="sq-AL" w:eastAsia="sq-AL"/>
        </w:rPr>
      </w:pPr>
      <w:r w:rsidRPr="006F5438">
        <w:rPr>
          <w:rFonts w:asciiTheme="minorHAnsi" w:hAnsiTheme="minorHAnsi"/>
          <w:bCs/>
          <w:lang w:val="sq-AL" w:eastAsia="sq-AL"/>
        </w:rPr>
        <w:t xml:space="preserve">Gjatë </w:t>
      </w:r>
      <w:r>
        <w:rPr>
          <w:rFonts w:asciiTheme="minorHAnsi" w:hAnsiTheme="minorHAnsi"/>
          <w:bCs/>
          <w:lang w:val="sq-AL" w:eastAsia="sq-AL"/>
        </w:rPr>
        <w:t>T1</w:t>
      </w:r>
      <w:r w:rsidRPr="006F5438">
        <w:rPr>
          <w:rFonts w:asciiTheme="minorHAnsi" w:hAnsiTheme="minorHAnsi"/>
          <w:bCs/>
          <w:lang w:val="sq-AL" w:eastAsia="sq-AL"/>
        </w:rPr>
        <w:t xml:space="preserve"> 2023, të ardhurat nga APD arritën në 624 milionë </w:t>
      </w:r>
      <w:r>
        <w:rPr>
          <w:rFonts w:asciiTheme="minorHAnsi" w:hAnsiTheme="minorHAnsi"/>
          <w:bCs/>
          <w:lang w:val="sq-AL" w:eastAsia="sq-AL"/>
        </w:rPr>
        <w:t>LEK</w:t>
      </w:r>
      <w:r w:rsidRPr="006F5438">
        <w:rPr>
          <w:rFonts w:asciiTheme="minorHAnsi" w:hAnsiTheme="minorHAnsi"/>
          <w:bCs/>
          <w:lang w:val="sq-AL" w:eastAsia="sq-AL"/>
        </w:rPr>
        <w:t xml:space="preserve">, ndërsa shpenzimet e përgjithshme në 639 milionë </w:t>
      </w:r>
      <w:r>
        <w:rPr>
          <w:rFonts w:asciiTheme="minorHAnsi" w:hAnsiTheme="minorHAnsi"/>
          <w:bCs/>
          <w:lang w:val="sq-AL" w:eastAsia="sq-AL"/>
        </w:rPr>
        <w:t>LEK</w:t>
      </w:r>
      <w:r w:rsidRPr="006F5438">
        <w:rPr>
          <w:rFonts w:asciiTheme="minorHAnsi" w:hAnsiTheme="minorHAnsi"/>
          <w:bCs/>
          <w:lang w:val="sq-AL" w:eastAsia="sq-AL"/>
        </w:rPr>
        <w:t xml:space="preserve">, duke </w:t>
      </w:r>
      <w:r>
        <w:rPr>
          <w:rFonts w:asciiTheme="minorHAnsi" w:hAnsiTheme="minorHAnsi"/>
          <w:bCs/>
          <w:lang w:val="sq-AL" w:eastAsia="sq-AL"/>
        </w:rPr>
        <w:t>vijuar me trendin negativ</w:t>
      </w:r>
      <w:r w:rsidRPr="006F5438">
        <w:rPr>
          <w:rFonts w:asciiTheme="minorHAnsi" w:hAnsiTheme="minorHAnsi"/>
          <w:bCs/>
          <w:lang w:val="sq-AL" w:eastAsia="sq-AL"/>
        </w:rPr>
        <w:t xml:space="preserve"> dhe një humbje neto prej rreth 15 milion </w:t>
      </w:r>
      <w:r>
        <w:rPr>
          <w:rFonts w:asciiTheme="minorHAnsi" w:hAnsiTheme="minorHAnsi"/>
          <w:bCs/>
          <w:lang w:val="sq-AL" w:eastAsia="sq-AL"/>
        </w:rPr>
        <w:t>LEK</w:t>
      </w:r>
      <w:r w:rsidRPr="006F5438">
        <w:rPr>
          <w:rFonts w:asciiTheme="minorHAnsi" w:hAnsiTheme="minorHAnsi"/>
          <w:bCs/>
          <w:lang w:val="sq-AL" w:eastAsia="sq-AL"/>
        </w:rPr>
        <w:t xml:space="preserve">. Në fund të vitit 2022, të ardhurat e APD-së rezultonin në vlerën rreth 2,931 milionë </w:t>
      </w:r>
      <w:r>
        <w:rPr>
          <w:rFonts w:asciiTheme="minorHAnsi" w:hAnsiTheme="minorHAnsi"/>
          <w:bCs/>
          <w:lang w:val="sq-AL" w:eastAsia="sq-AL"/>
        </w:rPr>
        <w:t>LEK</w:t>
      </w:r>
      <w:r w:rsidRPr="006F5438">
        <w:rPr>
          <w:rFonts w:asciiTheme="minorHAnsi" w:hAnsiTheme="minorHAnsi"/>
          <w:bCs/>
          <w:lang w:val="sq-AL" w:eastAsia="sq-AL"/>
        </w:rPr>
        <w:t xml:space="preserve"> ndërsa shpenzimet në rreth 2,943 milionë </w:t>
      </w:r>
      <w:r>
        <w:rPr>
          <w:rFonts w:asciiTheme="minorHAnsi" w:hAnsiTheme="minorHAnsi"/>
          <w:bCs/>
          <w:lang w:val="sq-AL" w:eastAsia="sq-AL"/>
        </w:rPr>
        <w:t>LEK, duke rezultuar</w:t>
      </w:r>
      <w:r w:rsidRPr="006F5438">
        <w:rPr>
          <w:rFonts w:asciiTheme="minorHAnsi" w:hAnsiTheme="minorHAnsi"/>
          <w:bCs/>
          <w:lang w:val="sq-AL" w:eastAsia="sq-AL"/>
        </w:rPr>
        <w:t xml:space="preserve"> me një humbje neto prej 12 milionë </w:t>
      </w:r>
      <w:r>
        <w:rPr>
          <w:rFonts w:asciiTheme="minorHAnsi" w:hAnsiTheme="minorHAnsi"/>
          <w:bCs/>
          <w:lang w:val="sq-AL" w:eastAsia="sq-AL"/>
        </w:rPr>
        <w:t xml:space="preserve">LEK. </w:t>
      </w:r>
    </w:p>
    <w:p w14:paraId="0F97A3CC" w14:textId="26DD470C" w:rsidR="00BC2D86" w:rsidRDefault="00BC2D86" w:rsidP="00BC2D86">
      <w:pPr>
        <w:spacing w:before="120" w:line="276" w:lineRule="auto"/>
        <w:jc w:val="both"/>
        <w:rPr>
          <w:rFonts w:ascii="Calibri" w:hAnsi="Calibri" w:cs="Calibri"/>
          <w:b/>
          <w:i/>
          <w:iCs/>
          <w:color w:val="17406D"/>
          <w:sz w:val="22"/>
          <w:szCs w:val="22"/>
          <w:lang w:val="sq-AL"/>
        </w:rPr>
      </w:pPr>
      <w:r w:rsidRPr="008E5E18">
        <w:rPr>
          <w:rFonts w:asciiTheme="minorHAnsi" w:hAnsiTheme="minorHAnsi"/>
          <w:bCs/>
          <w:i/>
          <w:noProof/>
          <w:sz w:val="22"/>
          <w:lang w:val="sq-AL"/>
        </w:rPr>
        <w:t xml:space="preserve">Tabela </w:t>
      </w:r>
      <w:r w:rsidRPr="00343167">
        <w:rPr>
          <w:rFonts w:asciiTheme="minorHAnsi" w:hAnsiTheme="minorHAnsi"/>
          <w:bCs/>
          <w:i/>
          <w:noProof/>
          <w:sz w:val="22"/>
        </w:rPr>
        <w:fldChar w:fldCharType="begin"/>
      </w:r>
      <w:r w:rsidRPr="008E5E18">
        <w:rPr>
          <w:rFonts w:asciiTheme="minorHAnsi" w:hAnsiTheme="minorHAnsi"/>
          <w:bCs/>
          <w:i/>
          <w:noProof/>
          <w:sz w:val="22"/>
          <w:lang w:val="sq-AL"/>
        </w:rPr>
        <w:instrText xml:space="preserve"> SEQ Tabela \* ARABIC </w:instrText>
      </w:r>
      <w:r w:rsidRPr="00343167">
        <w:rPr>
          <w:rFonts w:asciiTheme="minorHAnsi" w:hAnsiTheme="minorHAnsi"/>
          <w:bCs/>
          <w:i/>
          <w:noProof/>
          <w:sz w:val="22"/>
        </w:rPr>
        <w:fldChar w:fldCharType="separate"/>
      </w:r>
      <w:r w:rsidR="00C153A9">
        <w:rPr>
          <w:rFonts w:asciiTheme="minorHAnsi" w:hAnsiTheme="minorHAnsi"/>
          <w:bCs/>
          <w:i/>
          <w:noProof/>
          <w:sz w:val="22"/>
          <w:lang w:val="sq-AL"/>
        </w:rPr>
        <w:t>17</w:t>
      </w:r>
      <w:r w:rsidRPr="00343167">
        <w:rPr>
          <w:rFonts w:asciiTheme="minorHAnsi" w:hAnsiTheme="minorHAnsi"/>
          <w:bCs/>
          <w:i/>
          <w:noProof/>
          <w:sz w:val="22"/>
        </w:rPr>
        <w:fldChar w:fldCharType="end"/>
      </w:r>
      <w:r w:rsidRPr="008E5E18">
        <w:rPr>
          <w:rFonts w:asciiTheme="minorHAnsi" w:hAnsiTheme="minorHAnsi"/>
          <w:bCs/>
          <w:i/>
          <w:noProof/>
          <w:sz w:val="22"/>
          <w:lang w:val="sq-AL"/>
        </w:rPr>
        <w:t>:</w:t>
      </w:r>
      <w:r w:rsidRPr="008E5E18">
        <w:rPr>
          <w:rFonts w:asciiTheme="minorHAnsi" w:hAnsiTheme="minorHAnsi"/>
          <w:b/>
          <w:bCs/>
          <w:i/>
          <w:noProof/>
          <w:sz w:val="22"/>
          <w:lang w:val="sq-AL"/>
        </w:rPr>
        <w:t xml:space="preserve"> </w:t>
      </w:r>
      <w:r w:rsidRPr="00B926B8">
        <w:rPr>
          <w:rFonts w:ascii="Calibri" w:hAnsi="Calibri" w:cs="Calibri"/>
          <w:i/>
          <w:iCs/>
          <w:sz w:val="22"/>
          <w:szCs w:val="22"/>
          <w:lang w:val="sq-AL"/>
        </w:rPr>
        <w:t xml:space="preserve">Të dhënat financiare për </w:t>
      </w:r>
      <w:r>
        <w:rPr>
          <w:rFonts w:ascii="Calibri" w:hAnsi="Calibri" w:cs="Calibri"/>
          <w:i/>
          <w:iCs/>
          <w:sz w:val="22"/>
          <w:szCs w:val="22"/>
          <w:lang w:val="sq-AL"/>
        </w:rPr>
        <w:t>Autoritetin Portual Durrës (APD)</w:t>
      </w:r>
      <w:r w:rsidRPr="00B926B8">
        <w:rPr>
          <w:rFonts w:ascii="Calibri" w:hAnsi="Calibri" w:cs="Calibri"/>
          <w:i/>
          <w:iCs/>
          <w:sz w:val="22"/>
          <w:szCs w:val="22"/>
          <w:lang w:val="sq-AL"/>
        </w:rPr>
        <w:t xml:space="preserve"> </w:t>
      </w:r>
      <w:r>
        <w:rPr>
          <w:rFonts w:ascii="Calibri" w:hAnsi="Calibri" w:cs="Calibri"/>
          <w:i/>
          <w:iCs/>
          <w:sz w:val="22"/>
          <w:szCs w:val="22"/>
          <w:lang w:val="sq-AL"/>
        </w:rPr>
        <w:t>Sh.a</w:t>
      </w:r>
      <w:r w:rsidRPr="00B926B8">
        <w:rPr>
          <w:rFonts w:ascii="Calibri" w:hAnsi="Calibri" w:cs="Calibri"/>
          <w:i/>
          <w:iCs/>
          <w:sz w:val="22"/>
          <w:szCs w:val="22"/>
          <w:lang w:val="sq-AL"/>
        </w:rPr>
        <w:t xml:space="preserve"> (202</w:t>
      </w:r>
      <w:r>
        <w:rPr>
          <w:rFonts w:ascii="Calibri" w:hAnsi="Calibri" w:cs="Calibri"/>
          <w:i/>
          <w:iCs/>
          <w:sz w:val="22"/>
          <w:szCs w:val="22"/>
          <w:lang w:val="sq-AL"/>
        </w:rPr>
        <w:t>1-T1</w:t>
      </w:r>
      <w:r w:rsidRPr="00B926B8">
        <w:rPr>
          <w:rFonts w:ascii="Calibri" w:hAnsi="Calibri" w:cs="Calibri"/>
          <w:i/>
          <w:iCs/>
          <w:sz w:val="22"/>
          <w:szCs w:val="22"/>
          <w:lang w:val="sq-AL"/>
        </w:rPr>
        <w:t xml:space="preserve"> 202</w:t>
      </w:r>
      <w:r>
        <w:rPr>
          <w:rFonts w:ascii="Calibri" w:hAnsi="Calibri" w:cs="Calibri"/>
          <w:i/>
          <w:iCs/>
          <w:sz w:val="22"/>
          <w:szCs w:val="22"/>
          <w:lang w:val="sq-AL"/>
        </w:rPr>
        <w:t>3</w:t>
      </w:r>
      <w:r w:rsidRPr="00B926B8">
        <w:rPr>
          <w:rFonts w:ascii="Calibri" w:hAnsi="Calibri" w:cs="Calibri"/>
          <w:i/>
          <w:iCs/>
          <w:sz w:val="22"/>
          <w:szCs w:val="22"/>
          <w:lang w:val="sq-AL"/>
        </w:rPr>
        <w:t xml:space="preserve">) (në mijë </w:t>
      </w:r>
      <w:r>
        <w:rPr>
          <w:rFonts w:ascii="Calibri" w:hAnsi="Calibri" w:cs="Calibri"/>
          <w:i/>
          <w:iCs/>
          <w:sz w:val="22"/>
          <w:szCs w:val="22"/>
          <w:lang w:val="sq-AL"/>
        </w:rPr>
        <w:t>LEK</w:t>
      </w:r>
      <w:r w:rsidRPr="00B926B8">
        <w:rPr>
          <w:rFonts w:ascii="Calibri" w:hAnsi="Calibri" w:cs="Calibri"/>
          <w:i/>
          <w:iCs/>
          <w:sz w:val="22"/>
          <w:szCs w:val="22"/>
          <w:lang w:val="sq-AL"/>
        </w:rPr>
        <w:t>)</w:t>
      </w:r>
      <w:r>
        <w:rPr>
          <w:rFonts w:ascii="Calibri" w:hAnsi="Calibri"/>
          <w:i/>
          <w:iCs/>
          <w:color w:val="17406D"/>
          <w:sz w:val="22"/>
          <w:szCs w:val="22"/>
          <w:highlight w:val="yellow"/>
          <w:lang w:val="sq-AL"/>
        </w:rPr>
        <w:fldChar w:fldCharType="begin"/>
      </w:r>
      <w:r>
        <w:rPr>
          <w:rFonts w:ascii="Calibri" w:hAnsi="Calibri"/>
          <w:i/>
          <w:iCs/>
          <w:color w:val="17406D"/>
          <w:sz w:val="22"/>
          <w:szCs w:val="22"/>
          <w:highlight w:val="yellow"/>
          <w:lang w:val="sq-AL"/>
        </w:rPr>
        <w:instrText xml:space="preserve"> LINK Excel.Sheet.12 "C:\\Users\\ilvis.ballvora\\Desktop\\Sectori Energjetike\\1.3 Te dhenat sektori i energjise. xlsx.xlsx" "DATA Extras 3!R108C7:R119C12" \a \f 4 \h  \* MERGEFORMAT </w:instrText>
      </w:r>
      <w:r>
        <w:rPr>
          <w:rFonts w:ascii="Calibri" w:hAnsi="Calibri"/>
          <w:i/>
          <w:iCs/>
          <w:color w:val="17406D"/>
          <w:sz w:val="22"/>
          <w:szCs w:val="22"/>
          <w:highlight w:val="yellow"/>
          <w:lang w:val="sq-AL"/>
        </w:rPr>
        <w:fldChar w:fldCharType="separate"/>
      </w:r>
    </w:p>
    <w:tbl>
      <w:tblPr>
        <w:tblW w:w="9016"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1920"/>
        <w:gridCol w:w="1751"/>
        <w:gridCol w:w="1745"/>
        <w:gridCol w:w="1800"/>
        <w:gridCol w:w="1800"/>
      </w:tblGrid>
      <w:tr w:rsidR="00BC2D86" w14:paraId="07AED4B9" w14:textId="77777777" w:rsidTr="00495067">
        <w:trPr>
          <w:trHeight w:val="240"/>
          <w:jc w:val="center"/>
        </w:trPr>
        <w:tc>
          <w:tcPr>
            <w:tcW w:w="1920" w:type="dxa"/>
            <w:tcBorders>
              <w:top w:val="single" w:sz="24" w:space="0" w:color="95B3D7"/>
              <w:left w:val="single" w:sz="24" w:space="0" w:color="95B3D7"/>
              <w:bottom w:val="nil"/>
              <w:right w:val="nil"/>
            </w:tcBorders>
            <w:shd w:val="clear" w:color="auto" w:fill="B3DDF2"/>
            <w:noWrap/>
            <w:vAlign w:val="center"/>
            <w:hideMark/>
          </w:tcPr>
          <w:p w14:paraId="477371B9" w14:textId="77777777" w:rsidR="00BC2D86" w:rsidRDefault="00BC2D86" w:rsidP="00495067">
            <w:pPr>
              <w:rPr>
                <w:rFonts w:ascii="Calibri" w:hAnsi="Calibri" w:cs="Calibri"/>
                <w:color w:val="000000"/>
                <w:sz w:val="20"/>
                <w:szCs w:val="20"/>
                <w:lang w:val="sq-AL"/>
              </w:rPr>
            </w:pPr>
            <w:r>
              <w:rPr>
                <w:rFonts w:ascii="Calibri" w:hAnsi="Calibri" w:cs="Calibri"/>
                <w:b/>
                <w:color w:val="C00000"/>
                <w:sz w:val="22"/>
                <w:szCs w:val="22"/>
                <w:lang w:val="sq-AL"/>
              </w:rPr>
              <w:t>Zërat/Periudha</w:t>
            </w:r>
          </w:p>
        </w:tc>
        <w:tc>
          <w:tcPr>
            <w:tcW w:w="1751" w:type="dxa"/>
            <w:tcBorders>
              <w:top w:val="single" w:sz="24" w:space="0" w:color="95B3D7"/>
              <w:left w:val="nil"/>
              <w:bottom w:val="nil"/>
              <w:right w:val="nil"/>
            </w:tcBorders>
            <w:shd w:val="clear" w:color="auto" w:fill="B3DDF2"/>
            <w:noWrap/>
            <w:vAlign w:val="center"/>
            <w:hideMark/>
          </w:tcPr>
          <w:p w14:paraId="32DEA1EC" w14:textId="77777777" w:rsidR="00BC2D86" w:rsidRDefault="00BC2D86" w:rsidP="00495067">
            <w:pPr>
              <w:jc w:val="right"/>
              <w:rPr>
                <w:rFonts w:ascii="Calibri" w:hAnsi="Calibri" w:cs="Calibri"/>
                <w:b/>
                <w:bCs/>
                <w:color w:val="000000"/>
                <w:sz w:val="20"/>
                <w:szCs w:val="20"/>
              </w:rPr>
            </w:pPr>
            <w:r>
              <w:rPr>
                <w:rFonts w:ascii="Calibri" w:hAnsi="Calibri" w:cs="Calibri"/>
                <w:b/>
                <w:bCs/>
                <w:color w:val="C00000"/>
                <w:sz w:val="22"/>
                <w:szCs w:val="22"/>
              </w:rPr>
              <w:t xml:space="preserve">                     2021</w:t>
            </w:r>
          </w:p>
        </w:tc>
        <w:tc>
          <w:tcPr>
            <w:tcW w:w="1745" w:type="dxa"/>
            <w:tcBorders>
              <w:top w:val="single" w:sz="24" w:space="0" w:color="95B3D7"/>
              <w:left w:val="nil"/>
              <w:bottom w:val="nil"/>
              <w:right w:val="nil"/>
            </w:tcBorders>
            <w:shd w:val="clear" w:color="auto" w:fill="B3DDF2"/>
            <w:noWrap/>
            <w:vAlign w:val="center"/>
            <w:hideMark/>
          </w:tcPr>
          <w:p w14:paraId="21F69ACD" w14:textId="77777777" w:rsidR="00BC2D86" w:rsidRDefault="00BC2D86" w:rsidP="00495067">
            <w:pPr>
              <w:jc w:val="right"/>
              <w:rPr>
                <w:rFonts w:ascii="Calibri" w:hAnsi="Calibri" w:cs="Calibri"/>
                <w:b/>
                <w:bCs/>
                <w:color w:val="000000"/>
                <w:sz w:val="20"/>
                <w:szCs w:val="20"/>
              </w:rPr>
            </w:pPr>
            <w:r>
              <w:rPr>
                <w:rFonts w:ascii="Calibri" w:hAnsi="Calibri" w:cs="Calibri"/>
                <w:b/>
                <w:bCs/>
                <w:color w:val="C00000"/>
                <w:sz w:val="22"/>
                <w:szCs w:val="22"/>
              </w:rPr>
              <w:t xml:space="preserve">              T1 2022</w:t>
            </w:r>
          </w:p>
        </w:tc>
        <w:tc>
          <w:tcPr>
            <w:tcW w:w="1800" w:type="dxa"/>
            <w:tcBorders>
              <w:top w:val="single" w:sz="24" w:space="0" w:color="95B3D7"/>
              <w:left w:val="nil"/>
              <w:bottom w:val="nil"/>
              <w:right w:val="nil"/>
            </w:tcBorders>
            <w:shd w:val="clear" w:color="auto" w:fill="B3DDF2"/>
            <w:vAlign w:val="center"/>
            <w:hideMark/>
          </w:tcPr>
          <w:p w14:paraId="0C9D6991" w14:textId="77777777" w:rsidR="00BC2D86" w:rsidRDefault="00BC2D86" w:rsidP="00495067">
            <w:pPr>
              <w:jc w:val="right"/>
              <w:rPr>
                <w:rFonts w:ascii="Calibri" w:hAnsi="Calibri" w:cs="Calibri"/>
                <w:b/>
                <w:bCs/>
                <w:color w:val="C00000"/>
                <w:sz w:val="22"/>
                <w:szCs w:val="22"/>
              </w:rPr>
            </w:pPr>
            <w:r>
              <w:rPr>
                <w:rFonts w:ascii="Calibri" w:hAnsi="Calibri" w:cs="Calibri"/>
                <w:b/>
                <w:bCs/>
                <w:color w:val="C00000"/>
                <w:sz w:val="22"/>
                <w:szCs w:val="22"/>
              </w:rPr>
              <w:t xml:space="preserve">                      2022</w:t>
            </w:r>
          </w:p>
        </w:tc>
        <w:tc>
          <w:tcPr>
            <w:tcW w:w="1800" w:type="dxa"/>
            <w:tcBorders>
              <w:top w:val="single" w:sz="24" w:space="0" w:color="95B3D7"/>
              <w:left w:val="nil"/>
              <w:bottom w:val="nil"/>
              <w:right w:val="single" w:sz="24" w:space="0" w:color="95B3D7"/>
            </w:tcBorders>
            <w:shd w:val="clear" w:color="auto" w:fill="B3DDF2"/>
            <w:noWrap/>
            <w:vAlign w:val="center"/>
            <w:hideMark/>
          </w:tcPr>
          <w:p w14:paraId="0DE790E8" w14:textId="77777777" w:rsidR="00BC2D86" w:rsidRDefault="00BC2D86" w:rsidP="00495067">
            <w:pPr>
              <w:jc w:val="right"/>
              <w:rPr>
                <w:rFonts w:ascii="Calibri" w:hAnsi="Calibri" w:cs="Calibri"/>
                <w:b/>
                <w:bCs/>
                <w:color w:val="000000"/>
                <w:sz w:val="20"/>
                <w:szCs w:val="20"/>
              </w:rPr>
            </w:pPr>
            <w:r>
              <w:rPr>
                <w:rFonts w:ascii="Calibri" w:hAnsi="Calibri" w:cs="Calibri"/>
                <w:b/>
                <w:bCs/>
                <w:color w:val="C00000"/>
                <w:sz w:val="22"/>
                <w:szCs w:val="22"/>
              </w:rPr>
              <w:t xml:space="preserve">               T1 2023</w:t>
            </w:r>
          </w:p>
        </w:tc>
      </w:tr>
      <w:tr w:rsidR="00BC2D86" w14:paraId="7B02134B" w14:textId="77777777" w:rsidTr="00495067">
        <w:trPr>
          <w:trHeight w:val="240"/>
          <w:jc w:val="center"/>
        </w:trPr>
        <w:tc>
          <w:tcPr>
            <w:tcW w:w="1920" w:type="dxa"/>
            <w:tcBorders>
              <w:top w:val="nil"/>
              <w:left w:val="single" w:sz="24" w:space="0" w:color="95B3D7"/>
              <w:bottom w:val="nil"/>
              <w:right w:val="nil"/>
            </w:tcBorders>
            <w:shd w:val="clear" w:color="auto" w:fill="FFFFFF"/>
            <w:noWrap/>
            <w:vAlign w:val="center"/>
            <w:hideMark/>
          </w:tcPr>
          <w:p w14:paraId="592378C6" w14:textId="77777777" w:rsidR="00BC2D86" w:rsidRDefault="00BC2D86" w:rsidP="00495067">
            <w:pPr>
              <w:rPr>
                <w:rFonts w:ascii="Calibri" w:hAnsi="Calibri" w:cs="Calibri"/>
                <w:i/>
                <w:color w:val="000000"/>
                <w:sz w:val="18"/>
                <w:szCs w:val="20"/>
              </w:rPr>
            </w:pPr>
            <w:r>
              <w:rPr>
                <w:rFonts w:ascii="Calibri" w:hAnsi="Calibri" w:cs="Calibri"/>
                <w:i/>
                <w:color w:val="000000"/>
                <w:sz w:val="18"/>
                <w:szCs w:val="20"/>
              </w:rPr>
              <w:t>Të ardhurat</w:t>
            </w:r>
          </w:p>
        </w:tc>
        <w:tc>
          <w:tcPr>
            <w:tcW w:w="1751" w:type="dxa"/>
            <w:tcBorders>
              <w:top w:val="nil"/>
              <w:left w:val="nil"/>
              <w:bottom w:val="nil"/>
              <w:right w:val="nil"/>
            </w:tcBorders>
            <w:shd w:val="clear" w:color="auto" w:fill="FFFFFF"/>
            <w:noWrap/>
            <w:vAlign w:val="center"/>
            <w:hideMark/>
          </w:tcPr>
          <w:p w14:paraId="40DD2D47" w14:textId="77777777" w:rsidR="00BC2D86" w:rsidRDefault="00BC2D86" w:rsidP="00495067">
            <w:pPr>
              <w:jc w:val="right"/>
              <w:rPr>
                <w:rFonts w:ascii="Calibri" w:hAnsi="Calibri" w:cs="Calibri"/>
                <w:i/>
                <w:color w:val="000000"/>
                <w:sz w:val="18"/>
                <w:szCs w:val="20"/>
              </w:rPr>
            </w:pPr>
            <w:r w:rsidRPr="0076710A">
              <w:rPr>
                <w:rFonts w:ascii="Calibri" w:hAnsi="Calibri" w:cs="Calibri"/>
                <w:i/>
                <w:color w:val="000000"/>
                <w:sz w:val="18"/>
                <w:szCs w:val="20"/>
              </w:rPr>
              <w:t>2,821,234</w:t>
            </w:r>
          </w:p>
        </w:tc>
        <w:tc>
          <w:tcPr>
            <w:tcW w:w="1745" w:type="dxa"/>
            <w:tcBorders>
              <w:top w:val="nil"/>
              <w:left w:val="nil"/>
              <w:bottom w:val="nil"/>
              <w:right w:val="nil"/>
            </w:tcBorders>
            <w:shd w:val="clear" w:color="auto" w:fill="FFFFFF"/>
            <w:noWrap/>
            <w:vAlign w:val="center"/>
            <w:hideMark/>
          </w:tcPr>
          <w:p w14:paraId="001EE579"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882F3D">
              <w:rPr>
                <w:rFonts w:ascii="Calibri" w:hAnsi="Calibri" w:cs="Calibri"/>
                <w:i/>
                <w:color w:val="000000"/>
                <w:sz w:val="18"/>
                <w:szCs w:val="20"/>
              </w:rPr>
              <w:t>642,094</w:t>
            </w:r>
          </w:p>
        </w:tc>
        <w:tc>
          <w:tcPr>
            <w:tcW w:w="1800" w:type="dxa"/>
            <w:tcBorders>
              <w:top w:val="nil"/>
              <w:left w:val="nil"/>
              <w:bottom w:val="nil"/>
              <w:right w:val="nil"/>
            </w:tcBorders>
            <w:shd w:val="clear" w:color="auto" w:fill="FFFFFF"/>
            <w:vAlign w:val="center"/>
            <w:hideMark/>
          </w:tcPr>
          <w:p w14:paraId="3C55FCEB"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882F3D">
              <w:rPr>
                <w:rFonts w:ascii="Calibri" w:hAnsi="Calibri" w:cs="Calibri"/>
                <w:i/>
                <w:color w:val="000000"/>
                <w:sz w:val="18"/>
                <w:szCs w:val="20"/>
              </w:rPr>
              <w:t>2,931,204</w:t>
            </w:r>
          </w:p>
        </w:tc>
        <w:tc>
          <w:tcPr>
            <w:tcW w:w="1800" w:type="dxa"/>
            <w:tcBorders>
              <w:top w:val="nil"/>
              <w:left w:val="nil"/>
              <w:bottom w:val="nil"/>
              <w:right w:val="single" w:sz="24" w:space="0" w:color="95B3D7"/>
            </w:tcBorders>
            <w:shd w:val="clear" w:color="auto" w:fill="FFFFFF"/>
            <w:noWrap/>
            <w:vAlign w:val="center"/>
            <w:hideMark/>
          </w:tcPr>
          <w:p w14:paraId="49D4926C"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882F3D">
              <w:rPr>
                <w:rFonts w:ascii="Calibri" w:hAnsi="Calibri" w:cs="Calibri"/>
                <w:i/>
                <w:color w:val="000000"/>
                <w:sz w:val="18"/>
                <w:szCs w:val="20"/>
              </w:rPr>
              <w:t xml:space="preserve">623,743 </w:t>
            </w:r>
            <w:r>
              <w:rPr>
                <w:rFonts w:ascii="Calibri" w:hAnsi="Calibri" w:cs="Calibri"/>
                <w:i/>
                <w:color w:val="000000"/>
                <w:sz w:val="18"/>
                <w:szCs w:val="20"/>
              </w:rPr>
              <w:t xml:space="preserve"> </w:t>
            </w:r>
          </w:p>
        </w:tc>
      </w:tr>
      <w:tr w:rsidR="00BC2D86" w14:paraId="634483EF"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19AB3130" w14:textId="77777777" w:rsidR="00BC2D86" w:rsidRDefault="00BC2D86" w:rsidP="00495067">
            <w:pPr>
              <w:rPr>
                <w:rFonts w:ascii="Calibri" w:hAnsi="Calibri" w:cs="Calibri"/>
                <w:i/>
                <w:color w:val="000000"/>
                <w:sz w:val="18"/>
                <w:szCs w:val="20"/>
              </w:rPr>
            </w:pPr>
            <w:r>
              <w:rPr>
                <w:rFonts w:ascii="Calibri" w:hAnsi="Calibri" w:cs="Calibri"/>
                <w:i/>
                <w:color w:val="000000"/>
                <w:sz w:val="18"/>
                <w:szCs w:val="20"/>
              </w:rPr>
              <w:t>Shpenzimet</w:t>
            </w:r>
          </w:p>
        </w:tc>
        <w:tc>
          <w:tcPr>
            <w:tcW w:w="1751" w:type="dxa"/>
            <w:tcBorders>
              <w:top w:val="nil"/>
              <w:left w:val="nil"/>
              <w:bottom w:val="nil"/>
              <w:right w:val="nil"/>
            </w:tcBorders>
            <w:shd w:val="clear" w:color="auto" w:fill="FFFFFF"/>
            <w:noWrap/>
            <w:vAlign w:val="center"/>
            <w:hideMark/>
          </w:tcPr>
          <w:p w14:paraId="578ACB8A"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76710A">
              <w:rPr>
                <w:rFonts w:ascii="Calibri" w:hAnsi="Calibri" w:cs="Calibri"/>
                <w:i/>
                <w:color w:val="000000"/>
                <w:sz w:val="18"/>
                <w:szCs w:val="20"/>
              </w:rPr>
              <w:t xml:space="preserve">2,601,061 </w:t>
            </w:r>
            <w:r>
              <w:rPr>
                <w:rFonts w:ascii="Calibri" w:hAnsi="Calibri" w:cs="Calibri"/>
                <w:i/>
                <w:color w:val="000000"/>
                <w:sz w:val="18"/>
                <w:szCs w:val="20"/>
              </w:rPr>
              <w:t xml:space="preserve"> </w:t>
            </w:r>
          </w:p>
        </w:tc>
        <w:tc>
          <w:tcPr>
            <w:tcW w:w="1745" w:type="dxa"/>
            <w:tcBorders>
              <w:top w:val="nil"/>
              <w:left w:val="nil"/>
              <w:bottom w:val="nil"/>
              <w:right w:val="nil"/>
            </w:tcBorders>
            <w:shd w:val="clear" w:color="auto" w:fill="FFFFFF"/>
            <w:noWrap/>
            <w:vAlign w:val="center"/>
            <w:hideMark/>
          </w:tcPr>
          <w:p w14:paraId="02AF4374"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882F3D">
              <w:rPr>
                <w:rFonts w:ascii="Calibri" w:hAnsi="Calibri" w:cs="Calibri"/>
                <w:i/>
                <w:color w:val="000000"/>
                <w:sz w:val="18"/>
                <w:szCs w:val="20"/>
              </w:rPr>
              <w:t>555,099</w:t>
            </w:r>
          </w:p>
        </w:tc>
        <w:tc>
          <w:tcPr>
            <w:tcW w:w="1800" w:type="dxa"/>
            <w:tcBorders>
              <w:top w:val="nil"/>
              <w:left w:val="nil"/>
              <w:bottom w:val="nil"/>
              <w:right w:val="nil"/>
            </w:tcBorders>
            <w:shd w:val="clear" w:color="auto" w:fill="FFFFFF"/>
            <w:vAlign w:val="center"/>
            <w:hideMark/>
          </w:tcPr>
          <w:p w14:paraId="18BB7636"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882F3D">
              <w:rPr>
                <w:rFonts w:ascii="Calibri" w:hAnsi="Calibri" w:cs="Calibri"/>
                <w:i/>
                <w:color w:val="000000"/>
                <w:sz w:val="18"/>
                <w:szCs w:val="20"/>
              </w:rPr>
              <w:t>2,943,005</w:t>
            </w:r>
          </w:p>
        </w:tc>
        <w:tc>
          <w:tcPr>
            <w:tcW w:w="1800" w:type="dxa"/>
            <w:tcBorders>
              <w:top w:val="nil"/>
              <w:left w:val="nil"/>
              <w:bottom w:val="nil"/>
              <w:right w:val="single" w:sz="24" w:space="0" w:color="95B3D7"/>
            </w:tcBorders>
            <w:shd w:val="clear" w:color="auto" w:fill="FFFFFF"/>
            <w:noWrap/>
            <w:vAlign w:val="center"/>
            <w:hideMark/>
          </w:tcPr>
          <w:p w14:paraId="6AB2AA84"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882F3D">
              <w:rPr>
                <w:rFonts w:ascii="Calibri" w:hAnsi="Calibri" w:cs="Calibri"/>
                <w:i/>
                <w:color w:val="000000"/>
                <w:sz w:val="18"/>
                <w:szCs w:val="20"/>
              </w:rPr>
              <w:t>638,911</w:t>
            </w:r>
          </w:p>
        </w:tc>
      </w:tr>
      <w:tr w:rsidR="00BC2D86" w14:paraId="3B1C0318"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56865CF0" w14:textId="77777777" w:rsidR="00BC2D86" w:rsidRDefault="00BC2D86" w:rsidP="00495067">
            <w:pPr>
              <w:rPr>
                <w:rFonts w:ascii="Calibri" w:hAnsi="Calibri" w:cs="Calibri"/>
                <w:b/>
                <w:bCs/>
                <w:color w:val="000000"/>
                <w:sz w:val="20"/>
                <w:szCs w:val="20"/>
              </w:rPr>
            </w:pPr>
            <w:r>
              <w:rPr>
                <w:rFonts w:ascii="Calibri" w:hAnsi="Calibri" w:cs="Calibri"/>
                <w:b/>
                <w:bCs/>
                <w:color w:val="000000"/>
                <w:sz w:val="20"/>
                <w:szCs w:val="20"/>
              </w:rPr>
              <w:t>Humbje/Fitim</w:t>
            </w:r>
          </w:p>
        </w:tc>
        <w:tc>
          <w:tcPr>
            <w:tcW w:w="1751" w:type="dxa"/>
            <w:tcBorders>
              <w:top w:val="nil"/>
              <w:left w:val="nil"/>
              <w:bottom w:val="nil"/>
              <w:right w:val="nil"/>
            </w:tcBorders>
            <w:shd w:val="clear" w:color="auto" w:fill="FFFFFF"/>
            <w:noWrap/>
            <w:vAlign w:val="center"/>
            <w:hideMark/>
          </w:tcPr>
          <w:p w14:paraId="7BA8395A"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76710A">
              <w:rPr>
                <w:rFonts w:ascii="Calibri" w:hAnsi="Calibri" w:cs="Calibri"/>
                <w:b/>
                <w:i/>
                <w:color w:val="C00000"/>
                <w:sz w:val="20"/>
                <w:szCs w:val="20"/>
              </w:rPr>
              <w:t>220,173</w:t>
            </w:r>
          </w:p>
        </w:tc>
        <w:tc>
          <w:tcPr>
            <w:tcW w:w="1745" w:type="dxa"/>
            <w:tcBorders>
              <w:top w:val="nil"/>
              <w:left w:val="nil"/>
              <w:bottom w:val="nil"/>
              <w:right w:val="nil"/>
            </w:tcBorders>
            <w:shd w:val="clear" w:color="auto" w:fill="FFFFFF"/>
            <w:noWrap/>
            <w:vAlign w:val="center"/>
            <w:hideMark/>
          </w:tcPr>
          <w:p w14:paraId="7FAD2D8C"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882F3D">
              <w:rPr>
                <w:rFonts w:ascii="Calibri" w:hAnsi="Calibri" w:cs="Calibri"/>
                <w:b/>
                <w:i/>
                <w:color w:val="C00000"/>
                <w:sz w:val="20"/>
                <w:szCs w:val="20"/>
              </w:rPr>
              <w:t xml:space="preserve">86,995 </w:t>
            </w:r>
            <w:r>
              <w:rPr>
                <w:rFonts w:ascii="Calibri" w:hAnsi="Calibri" w:cs="Calibri"/>
                <w:b/>
                <w:i/>
                <w:color w:val="C00000"/>
                <w:sz w:val="20"/>
                <w:szCs w:val="20"/>
              </w:rPr>
              <w:t xml:space="preserve"> </w:t>
            </w:r>
          </w:p>
        </w:tc>
        <w:tc>
          <w:tcPr>
            <w:tcW w:w="1800" w:type="dxa"/>
            <w:tcBorders>
              <w:top w:val="nil"/>
              <w:left w:val="nil"/>
              <w:bottom w:val="nil"/>
              <w:right w:val="nil"/>
            </w:tcBorders>
            <w:shd w:val="clear" w:color="auto" w:fill="FFFFFF"/>
            <w:vAlign w:val="center"/>
            <w:hideMark/>
          </w:tcPr>
          <w:p w14:paraId="31B95DCE"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882F3D">
              <w:rPr>
                <w:rFonts w:ascii="Calibri" w:hAnsi="Calibri" w:cs="Calibri"/>
                <w:b/>
                <w:i/>
                <w:color w:val="C00000"/>
                <w:sz w:val="20"/>
                <w:szCs w:val="20"/>
              </w:rPr>
              <w:t>(11,802)</w:t>
            </w:r>
          </w:p>
        </w:tc>
        <w:tc>
          <w:tcPr>
            <w:tcW w:w="1800" w:type="dxa"/>
            <w:tcBorders>
              <w:top w:val="nil"/>
              <w:left w:val="nil"/>
              <w:bottom w:val="nil"/>
              <w:right w:val="single" w:sz="24" w:space="0" w:color="95B3D7"/>
            </w:tcBorders>
            <w:shd w:val="clear" w:color="auto" w:fill="FFFFFF"/>
            <w:noWrap/>
            <w:vAlign w:val="center"/>
            <w:hideMark/>
          </w:tcPr>
          <w:p w14:paraId="2F506AC0"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882F3D">
              <w:rPr>
                <w:rFonts w:ascii="Calibri" w:hAnsi="Calibri" w:cs="Calibri"/>
                <w:b/>
                <w:i/>
                <w:color w:val="C00000"/>
                <w:sz w:val="20"/>
                <w:szCs w:val="20"/>
              </w:rPr>
              <w:t>(15,168)</w:t>
            </w:r>
          </w:p>
        </w:tc>
      </w:tr>
      <w:tr w:rsidR="00BC2D86" w14:paraId="66528120"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3CAF842A" w14:textId="77777777" w:rsidR="00BC2D86" w:rsidRDefault="00BC2D86" w:rsidP="00495067">
            <w:pPr>
              <w:rPr>
                <w:rFonts w:ascii="Calibri" w:hAnsi="Calibri" w:cs="Calibri"/>
                <w:i/>
                <w:color w:val="000000"/>
                <w:sz w:val="18"/>
                <w:szCs w:val="20"/>
              </w:rPr>
            </w:pPr>
            <w:r>
              <w:rPr>
                <w:rFonts w:ascii="Calibri" w:hAnsi="Calibri" w:cs="Calibri"/>
                <w:i/>
                <w:color w:val="000000"/>
                <w:sz w:val="18"/>
                <w:szCs w:val="20"/>
              </w:rPr>
              <w:t>Aktivet Afatshkurtra</w:t>
            </w:r>
          </w:p>
        </w:tc>
        <w:tc>
          <w:tcPr>
            <w:tcW w:w="1751" w:type="dxa"/>
            <w:tcBorders>
              <w:top w:val="nil"/>
              <w:left w:val="nil"/>
              <w:bottom w:val="nil"/>
              <w:right w:val="nil"/>
            </w:tcBorders>
            <w:shd w:val="clear" w:color="auto" w:fill="FFFFFF"/>
            <w:noWrap/>
            <w:vAlign w:val="center"/>
            <w:hideMark/>
          </w:tcPr>
          <w:p w14:paraId="346E0DEF"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76710A">
              <w:rPr>
                <w:rFonts w:ascii="Calibri" w:hAnsi="Calibri" w:cs="Calibri"/>
                <w:i/>
                <w:color w:val="000000"/>
                <w:sz w:val="18"/>
                <w:szCs w:val="20"/>
              </w:rPr>
              <w:t>3,672,016</w:t>
            </w:r>
          </w:p>
        </w:tc>
        <w:tc>
          <w:tcPr>
            <w:tcW w:w="1745" w:type="dxa"/>
            <w:tcBorders>
              <w:top w:val="nil"/>
              <w:left w:val="nil"/>
              <w:bottom w:val="nil"/>
              <w:right w:val="nil"/>
            </w:tcBorders>
            <w:shd w:val="clear" w:color="auto" w:fill="FFFFFF"/>
            <w:noWrap/>
            <w:vAlign w:val="center"/>
            <w:hideMark/>
          </w:tcPr>
          <w:p w14:paraId="7D195905"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882F3D">
              <w:rPr>
                <w:rFonts w:ascii="Calibri" w:hAnsi="Calibri" w:cs="Calibri"/>
                <w:i/>
                <w:color w:val="000000"/>
                <w:sz w:val="18"/>
                <w:szCs w:val="20"/>
              </w:rPr>
              <w:t>3,647,539</w:t>
            </w:r>
          </w:p>
        </w:tc>
        <w:tc>
          <w:tcPr>
            <w:tcW w:w="1800" w:type="dxa"/>
            <w:tcBorders>
              <w:top w:val="nil"/>
              <w:left w:val="nil"/>
              <w:bottom w:val="nil"/>
              <w:right w:val="nil"/>
            </w:tcBorders>
            <w:shd w:val="clear" w:color="auto" w:fill="FFFFFF"/>
            <w:vAlign w:val="center"/>
            <w:hideMark/>
          </w:tcPr>
          <w:p w14:paraId="507914CB"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882F3D">
              <w:rPr>
                <w:rFonts w:ascii="Calibri" w:hAnsi="Calibri" w:cs="Calibri"/>
                <w:i/>
                <w:color w:val="000000"/>
                <w:sz w:val="18"/>
                <w:szCs w:val="20"/>
              </w:rPr>
              <w:t>2,363,711</w:t>
            </w:r>
          </w:p>
        </w:tc>
        <w:tc>
          <w:tcPr>
            <w:tcW w:w="1800" w:type="dxa"/>
            <w:tcBorders>
              <w:top w:val="nil"/>
              <w:left w:val="nil"/>
              <w:bottom w:val="nil"/>
              <w:right w:val="single" w:sz="24" w:space="0" w:color="95B3D7"/>
            </w:tcBorders>
            <w:shd w:val="clear" w:color="auto" w:fill="FFFFFF"/>
            <w:noWrap/>
            <w:vAlign w:val="center"/>
            <w:hideMark/>
          </w:tcPr>
          <w:p w14:paraId="501F92E0"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882F3D">
              <w:rPr>
                <w:rFonts w:ascii="Calibri" w:hAnsi="Calibri" w:cs="Calibri"/>
                <w:i/>
                <w:color w:val="000000"/>
                <w:sz w:val="18"/>
                <w:szCs w:val="20"/>
              </w:rPr>
              <w:t>2,146,382</w:t>
            </w:r>
          </w:p>
        </w:tc>
      </w:tr>
      <w:tr w:rsidR="00BC2D86" w14:paraId="549942EA"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06309C18" w14:textId="77777777" w:rsidR="00BC2D86" w:rsidRDefault="00BC2D86" w:rsidP="00495067">
            <w:pPr>
              <w:rPr>
                <w:rFonts w:ascii="Calibri" w:hAnsi="Calibri" w:cs="Calibri"/>
                <w:i/>
                <w:color w:val="000000"/>
                <w:sz w:val="18"/>
                <w:szCs w:val="20"/>
              </w:rPr>
            </w:pPr>
            <w:r>
              <w:rPr>
                <w:rFonts w:ascii="Calibri" w:hAnsi="Calibri" w:cs="Calibri"/>
                <w:i/>
                <w:color w:val="000000"/>
                <w:sz w:val="18"/>
                <w:szCs w:val="20"/>
              </w:rPr>
              <w:t>Aktivet Afatgjata</w:t>
            </w:r>
          </w:p>
        </w:tc>
        <w:tc>
          <w:tcPr>
            <w:tcW w:w="1751" w:type="dxa"/>
            <w:tcBorders>
              <w:top w:val="nil"/>
              <w:left w:val="nil"/>
              <w:bottom w:val="nil"/>
              <w:right w:val="nil"/>
            </w:tcBorders>
            <w:shd w:val="clear" w:color="auto" w:fill="FFFFFF"/>
            <w:noWrap/>
            <w:vAlign w:val="center"/>
            <w:hideMark/>
          </w:tcPr>
          <w:p w14:paraId="11E0F4AD"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76710A">
              <w:rPr>
                <w:rFonts w:ascii="Calibri" w:hAnsi="Calibri" w:cs="Calibri"/>
                <w:i/>
                <w:color w:val="000000"/>
                <w:sz w:val="18"/>
                <w:szCs w:val="20"/>
              </w:rPr>
              <w:t>11,759,665</w:t>
            </w:r>
          </w:p>
        </w:tc>
        <w:tc>
          <w:tcPr>
            <w:tcW w:w="1745" w:type="dxa"/>
            <w:tcBorders>
              <w:top w:val="nil"/>
              <w:left w:val="nil"/>
              <w:bottom w:val="nil"/>
              <w:right w:val="nil"/>
            </w:tcBorders>
            <w:shd w:val="clear" w:color="auto" w:fill="FFFFFF"/>
            <w:noWrap/>
            <w:vAlign w:val="center"/>
            <w:hideMark/>
          </w:tcPr>
          <w:p w14:paraId="7E174DE9"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882F3D">
              <w:rPr>
                <w:rFonts w:ascii="Calibri" w:hAnsi="Calibri" w:cs="Calibri"/>
                <w:i/>
                <w:color w:val="000000"/>
                <w:sz w:val="18"/>
                <w:szCs w:val="20"/>
              </w:rPr>
              <w:t>11,667,387</w:t>
            </w:r>
          </w:p>
        </w:tc>
        <w:tc>
          <w:tcPr>
            <w:tcW w:w="1800" w:type="dxa"/>
            <w:tcBorders>
              <w:top w:val="nil"/>
              <w:left w:val="nil"/>
              <w:bottom w:val="nil"/>
              <w:right w:val="nil"/>
            </w:tcBorders>
            <w:shd w:val="clear" w:color="auto" w:fill="FFFFFF"/>
            <w:vAlign w:val="center"/>
            <w:hideMark/>
          </w:tcPr>
          <w:p w14:paraId="5F14E545"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882F3D">
              <w:rPr>
                <w:rFonts w:ascii="Calibri" w:hAnsi="Calibri" w:cs="Calibri"/>
                <w:i/>
                <w:color w:val="000000"/>
                <w:sz w:val="18"/>
                <w:szCs w:val="20"/>
              </w:rPr>
              <w:t xml:space="preserve">12,711,275 </w:t>
            </w:r>
            <w:r>
              <w:rPr>
                <w:rFonts w:ascii="Calibri" w:hAnsi="Calibri" w:cs="Calibri"/>
                <w:i/>
                <w:color w:val="000000"/>
                <w:sz w:val="18"/>
                <w:szCs w:val="20"/>
              </w:rPr>
              <w:t xml:space="preserve"> </w:t>
            </w:r>
          </w:p>
        </w:tc>
        <w:tc>
          <w:tcPr>
            <w:tcW w:w="1800" w:type="dxa"/>
            <w:tcBorders>
              <w:top w:val="nil"/>
              <w:left w:val="nil"/>
              <w:bottom w:val="nil"/>
              <w:right w:val="single" w:sz="24" w:space="0" w:color="95B3D7"/>
            </w:tcBorders>
            <w:shd w:val="clear" w:color="auto" w:fill="FFFFFF"/>
            <w:noWrap/>
            <w:vAlign w:val="center"/>
            <w:hideMark/>
          </w:tcPr>
          <w:p w14:paraId="3FAC6B32"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882F3D">
              <w:rPr>
                <w:rFonts w:ascii="Calibri" w:hAnsi="Calibri" w:cs="Calibri"/>
                <w:i/>
                <w:color w:val="000000"/>
                <w:sz w:val="18"/>
                <w:szCs w:val="20"/>
              </w:rPr>
              <w:t xml:space="preserve">12,585,454 </w:t>
            </w:r>
            <w:r>
              <w:rPr>
                <w:rFonts w:ascii="Calibri" w:hAnsi="Calibri" w:cs="Calibri"/>
                <w:i/>
                <w:color w:val="000000"/>
                <w:sz w:val="18"/>
                <w:szCs w:val="20"/>
              </w:rPr>
              <w:t xml:space="preserve"> </w:t>
            </w:r>
          </w:p>
        </w:tc>
      </w:tr>
      <w:tr w:rsidR="00BC2D86" w14:paraId="2B28F9F2"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16A8FE7A" w14:textId="77777777" w:rsidR="00BC2D86" w:rsidRDefault="00BC2D86" w:rsidP="00495067">
            <w:pPr>
              <w:rPr>
                <w:rFonts w:ascii="Calibri" w:hAnsi="Calibri" w:cs="Calibri"/>
                <w:b/>
                <w:bCs/>
                <w:color w:val="000000"/>
                <w:sz w:val="20"/>
                <w:szCs w:val="20"/>
              </w:rPr>
            </w:pPr>
            <w:r>
              <w:rPr>
                <w:rFonts w:ascii="Calibri" w:hAnsi="Calibri" w:cs="Calibri"/>
                <w:b/>
                <w:bCs/>
                <w:color w:val="000000"/>
                <w:sz w:val="20"/>
                <w:szCs w:val="20"/>
              </w:rPr>
              <w:t>Total Aktive</w:t>
            </w:r>
          </w:p>
        </w:tc>
        <w:tc>
          <w:tcPr>
            <w:tcW w:w="1751" w:type="dxa"/>
            <w:tcBorders>
              <w:top w:val="nil"/>
              <w:left w:val="nil"/>
              <w:bottom w:val="nil"/>
              <w:right w:val="nil"/>
            </w:tcBorders>
            <w:shd w:val="clear" w:color="auto" w:fill="FFFFFF"/>
            <w:noWrap/>
            <w:vAlign w:val="center"/>
            <w:hideMark/>
          </w:tcPr>
          <w:p w14:paraId="6C373E46"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76710A">
              <w:rPr>
                <w:rFonts w:ascii="Calibri" w:hAnsi="Calibri" w:cs="Calibri"/>
                <w:b/>
                <w:i/>
                <w:color w:val="C00000"/>
                <w:sz w:val="20"/>
                <w:szCs w:val="20"/>
              </w:rPr>
              <w:t>15,431,681</w:t>
            </w:r>
          </w:p>
        </w:tc>
        <w:tc>
          <w:tcPr>
            <w:tcW w:w="1745" w:type="dxa"/>
            <w:tcBorders>
              <w:top w:val="nil"/>
              <w:left w:val="nil"/>
              <w:bottom w:val="nil"/>
              <w:right w:val="nil"/>
            </w:tcBorders>
            <w:shd w:val="clear" w:color="auto" w:fill="FFFFFF"/>
            <w:noWrap/>
            <w:vAlign w:val="center"/>
            <w:hideMark/>
          </w:tcPr>
          <w:p w14:paraId="1E5CE6DD"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882F3D">
              <w:rPr>
                <w:rFonts w:ascii="Calibri" w:hAnsi="Calibri" w:cs="Calibri"/>
                <w:b/>
                <w:i/>
                <w:color w:val="C00000"/>
                <w:sz w:val="20"/>
                <w:szCs w:val="20"/>
              </w:rPr>
              <w:t xml:space="preserve">15,314,926 </w:t>
            </w:r>
            <w:r>
              <w:rPr>
                <w:rFonts w:ascii="Calibri" w:hAnsi="Calibri" w:cs="Calibri"/>
                <w:b/>
                <w:i/>
                <w:color w:val="C00000"/>
                <w:sz w:val="20"/>
                <w:szCs w:val="20"/>
              </w:rPr>
              <w:t xml:space="preserve"> </w:t>
            </w:r>
          </w:p>
        </w:tc>
        <w:tc>
          <w:tcPr>
            <w:tcW w:w="1800" w:type="dxa"/>
            <w:tcBorders>
              <w:top w:val="nil"/>
              <w:left w:val="nil"/>
              <w:bottom w:val="nil"/>
              <w:right w:val="nil"/>
            </w:tcBorders>
            <w:shd w:val="clear" w:color="auto" w:fill="FFFFFF"/>
            <w:vAlign w:val="center"/>
            <w:hideMark/>
          </w:tcPr>
          <w:p w14:paraId="6D116142"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882F3D">
              <w:rPr>
                <w:rFonts w:ascii="Calibri" w:hAnsi="Calibri" w:cs="Calibri"/>
                <w:b/>
                <w:i/>
                <w:color w:val="C00000"/>
                <w:sz w:val="20"/>
                <w:szCs w:val="20"/>
              </w:rPr>
              <w:t>15,074,986</w:t>
            </w:r>
          </w:p>
        </w:tc>
        <w:tc>
          <w:tcPr>
            <w:tcW w:w="1800" w:type="dxa"/>
            <w:tcBorders>
              <w:top w:val="nil"/>
              <w:left w:val="nil"/>
              <w:bottom w:val="nil"/>
              <w:right w:val="single" w:sz="24" w:space="0" w:color="95B3D7"/>
            </w:tcBorders>
            <w:shd w:val="clear" w:color="auto" w:fill="FFFFFF"/>
            <w:noWrap/>
            <w:vAlign w:val="center"/>
            <w:hideMark/>
          </w:tcPr>
          <w:p w14:paraId="4ECD0AED"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882F3D">
              <w:rPr>
                <w:rFonts w:ascii="Calibri" w:hAnsi="Calibri" w:cs="Calibri"/>
                <w:b/>
                <w:i/>
                <w:color w:val="C00000"/>
                <w:sz w:val="20"/>
                <w:szCs w:val="20"/>
              </w:rPr>
              <w:t>14,731,836</w:t>
            </w:r>
          </w:p>
        </w:tc>
      </w:tr>
      <w:tr w:rsidR="00BC2D86" w14:paraId="73FAFA53"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5E097634" w14:textId="77777777" w:rsidR="00BC2D86" w:rsidRDefault="00BC2D86" w:rsidP="00495067">
            <w:pPr>
              <w:rPr>
                <w:rFonts w:ascii="Calibri" w:hAnsi="Calibri" w:cs="Calibri"/>
                <w:i/>
                <w:color w:val="000000"/>
                <w:sz w:val="18"/>
                <w:szCs w:val="20"/>
              </w:rPr>
            </w:pPr>
            <w:r>
              <w:rPr>
                <w:rFonts w:ascii="Calibri" w:hAnsi="Calibri" w:cs="Calibri"/>
                <w:i/>
                <w:color w:val="000000"/>
                <w:sz w:val="18"/>
                <w:szCs w:val="20"/>
              </w:rPr>
              <w:t>Detyrimet Afatshkurtra</w:t>
            </w:r>
          </w:p>
        </w:tc>
        <w:tc>
          <w:tcPr>
            <w:tcW w:w="1751" w:type="dxa"/>
            <w:tcBorders>
              <w:top w:val="nil"/>
              <w:left w:val="nil"/>
              <w:bottom w:val="nil"/>
              <w:right w:val="nil"/>
            </w:tcBorders>
            <w:shd w:val="clear" w:color="auto" w:fill="FFFFFF"/>
            <w:noWrap/>
            <w:vAlign w:val="center"/>
            <w:hideMark/>
          </w:tcPr>
          <w:p w14:paraId="2C08990F"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76710A">
              <w:rPr>
                <w:rFonts w:ascii="Calibri" w:hAnsi="Calibri" w:cs="Calibri"/>
                <w:i/>
                <w:color w:val="000000"/>
                <w:sz w:val="18"/>
                <w:szCs w:val="20"/>
              </w:rPr>
              <w:t>1,011,150</w:t>
            </w:r>
          </w:p>
        </w:tc>
        <w:tc>
          <w:tcPr>
            <w:tcW w:w="1745" w:type="dxa"/>
            <w:tcBorders>
              <w:top w:val="nil"/>
              <w:left w:val="nil"/>
              <w:bottom w:val="nil"/>
              <w:right w:val="nil"/>
            </w:tcBorders>
            <w:shd w:val="clear" w:color="auto" w:fill="FFFFFF"/>
            <w:noWrap/>
            <w:vAlign w:val="center"/>
            <w:hideMark/>
          </w:tcPr>
          <w:p w14:paraId="60E4AB11"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882F3D">
              <w:rPr>
                <w:rFonts w:ascii="Calibri" w:hAnsi="Calibri" w:cs="Calibri"/>
                <w:i/>
                <w:color w:val="000000"/>
                <w:sz w:val="18"/>
                <w:szCs w:val="20"/>
              </w:rPr>
              <w:t xml:space="preserve">813,200 </w:t>
            </w:r>
            <w:r>
              <w:rPr>
                <w:rFonts w:ascii="Calibri" w:hAnsi="Calibri" w:cs="Calibri"/>
                <w:i/>
                <w:color w:val="000000"/>
                <w:sz w:val="18"/>
                <w:szCs w:val="20"/>
              </w:rPr>
              <w:t xml:space="preserve"> </w:t>
            </w:r>
          </w:p>
        </w:tc>
        <w:tc>
          <w:tcPr>
            <w:tcW w:w="1800" w:type="dxa"/>
            <w:tcBorders>
              <w:top w:val="nil"/>
              <w:left w:val="nil"/>
              <w:bottom w:val="nil"/>
              <w:right w:val="nil"/>
            </w:tcBorders>
            <w:shd w:val="clear" w:color="auto" w:fill="FFFFFF"/>
            <w:vAlign w:val="center"/>
            <w:hideMark/>
          </w:tcPr>
          <w:p w14:paraId="3F83841E"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882F3D">
              <w:rPr>
                <w:rFonts w:ascii="Calibri" w:hAnsi="Calibri" w:cs="Calibri"/>
                <w:i/>
                <w:color w:val="000000"/>
                <w:sz w:val="18"/>
                <w:szCs w:val="20"/>
              </w:rPr>
              <w:t>1,096,014</w:t>
            </w:r>
          </w:p>
        </w:tc>
        <w:tc>
          <w:tcPr>
            <w:tcW w:w="1800" w:type="dxa"/>
            <w:tcBorders>
              <w:top w:val="nil"/>
              <w:left w:val="nil"/>
              <w:bottom w:val="nil"/>
              <w:right w:val="single" w:sz="24" w:space="0" w:color="95B3D7"/>
            </w:tcBorders>
            <w:shd w:val="clear" w:color="auto" w:fill="FFFFFF"/>
            <w:noWrap/>
            <w:vAlign w:val="center"/>
            <w:hideMark/>
          </w:tcPr>
          <w:p w14:paraId="33703DAE" w14:textId="77777777" w:rsidR="00BC2D86" w:rsidRDefault="00BC2D86" w:rsidP="00495067">
            <w:pPr>
              <w:jc w:val="right"/>
              <w:rPr>
                <w:rFonts w:ascii="Calibri" w:hAnsi="Calibri" w:cs="Calibri"/>
                <w:i/>
                <w:color w:val="000000"/>
                <w:sz w:val="18"/>
                <w:szCs w:val="20"/>
              </w:rPr>
            </w:pPr>
            <w:r w:rsidRPr="00882F3D">
              <w:rPr>
                <w:rFonts w:ascii="Calibri" w:hAnsi="Calibri" w:cs="Calibri"/>
                <w:i/>
                <w:color w:val="000000"/>
                <w:sz w:val="18"/>
                <w:szCs w:val="20"/>
              </w:rPr>
              <w:t>768,032</w:t>
            </w:r>
          </w:p>
        </w:tc>
      </w:tr>
      <w:tr w:rsidR="00BC2D86" w14:paraId="71525691"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7E62323E" w14:textId="77777777" w:rsidR="00BC2D86" w:rsidRDefault="00BC2D86" w:rsidP="00495067">
            <w:pPr>
              <w:rPr>
                <w:rFonts w:ascii="Calibri" w:hAnsi="Calibri" w:cs="Calibri"/>
                <w:i/>
                <w:color w:val="000000"/>
                <w:sz w:val="18"/>
                <w:szCs w:val="20"/>
              </w:rPr>
            </w:pPr>
            <w:r>
              <w:rPr>
                <w:rFonts w:ascii="Calibri" w:hAnsi="Calibri" w:cs="Calibri"/>
                <w:i/>
                <w:color w:val="000000"/>
                <w:sz w:val="18"/>
                <w:szCs w:val="20"/>
              </w:rPr>
              <w:t>Detyrimet Afatgjata</w:t>
            </w:r>
          </w:p>
        </w:tc>
        <w:tc>
          <w:tcPr>
            <w:tcW w:w="1751" w:type="dxa"/>
            <w:tcBorders>
              <w:top w:val="nil"/>
              <w:left w:val="nil"/>
              <w:bottom w:val="nil"/>
              <w:right w:val="nil"/>
            </w:tcBorders>
            <w:shd w:val="clear" w:color="auto" w:fill="FFFFFF"/>
            <w:noWrap/>
            <w:vAlign w:val="center"/>
            <w:hideMark/>
          </w:tcPr>
          <w:p w14:paraId="182E6A8A"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76710A">
              <w:rPr>
                <w:rFonts w:ascii="Calibri" w:hAnsi="Calibri" w:cs="Calibri"/>
                <w:i/>
                <w:color w:val="000000"/>
                <w:sz w:val="18"/>
                <w:szCs w:val="20"/>
              </w:rPr>
              <w:t>3,920,558</w:t>
            </w:r>
          </w:p>
        </w:tc>
        <w:tc>
          <w:tcPr>
            <w:tcW w:w="1745" w:type="dxa"/>
            <w:tcBorders>
              <w:top w:val="nil"/>
              <w:left w:val="nil"/>
              <w:bottom w:val="nil"/>
              <w:right w:val="nil"/>
            </w:tcBorders>
            <w:shd w:val="clear" w:color="auto" w:fill="FFFFFF"/>
            <w:noWrap/>
            <w:vAlign w:val="center"/>
            <w:hideMark/>
          </w:tcPr>
          <w:p w14:paraId="47B9E6E8"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882F3D">
              <w:rPr>
                <w:rFonts w:ascii="Calibri" w:hAnsi="Calibri" w:cs="Calibri"/>
                <w:i/>
                <w:color w:val="000000"/>
                <w:sz w:val="18"/>
                <w:szCs w:val="20"/>
              </w:rPr>
              <w:t>3,915,225</w:t>
            </w:r>
          </w:p>
        </w:tc>
        <w:tc>
          <w:tcPr>
            <w:tcW w:w="1800" w:type="dxa"/>
            <w:tcBorders>
              <w:top w:val="nil"/>
              <w:left w:val="nil"/>
              <w:bottom w:val="nil"/>
              <w:right w:val="nil"/>
            </w:tcBorders>
            <w:shd w:val="clear" w:color="auto" w:fill="FFFFFF"/>
            <w:vAlign w:val="center"/>
            <w:hideMark/>
          </w:tcPr>
          <w:p w14:paraId="41DC23A7"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882F3D">
              <w:rPr>
                <w:rFonts w:ascii="Calibri" w:hAnsi="Calibri" w:cs="Calibri"/>
                <w:i/>
                <w:color w:val="000000"/>
                <w:sz w:val="18"/>
                <w:szCs w:val="20"/>
              </w:rPr>
              <w:t xml:space="preserve">3,500,014 </w:t>
            </w:r>
            <w:r>
              <w:rPr>
                <w:rFonts w:ascii="Calibri" w:hAnsi="Calibri" w:cs="Calibri"/>
                <w:i/>
                <w:color w:val="000000"/>
                <w:sz w:val="18"/>
                <w:szCs w:val="20"/>
              </w:rPr>
              <w:t xml:space="preserve"> </w:t>
            </w:r>
          </w:p>
        </w:tc>
        <w:tc>
          <w:tcPr>
            <w:tcW w:w="1800" w:type="dxa"/>
            <w:tcBorders>
              <w:top w:val="nil"/>
              <w:left w:val="nil"/>
              <w:bottom w:val="nil"/>
              <w:right w:val="single" w:sz="24" w:space="0" w:color="95B3D7"/>
            </w:tcBorders>
            <w:shd w:val="clear" w:color="auto" w:fill="FFFFFF"/>
            <w:noWrap/>
            <w:vAlign w:val="center"/>
            <w:hideMark/>
          </w:tcPr>
          <w:p w14:paraId="3550A18C"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882F3D">
              <w:rPr>
                <w:rFonts w:ascii="Calibri" w:hAnsi="Calibri" w:cs="Calibri"/>
                <w:i/>
                <w:color w:val="000000"/>
                <w:sz w:val="18"/>
                <w:szCs w:val="20"/>
              </w:rPr>
              <w:t xml:space="preserve">3,500,014 </w:t>
            </w:r>
            <w:r>
              <w:rPr>
                <w:rFonts w:ascii="Calibri" w:hAnsi="Calibri" w:cs="Calibri"/>
                <w:i/>
                <w:color w:val="000000"/>
                <w:sz w:val="18"/>
                <w:szCs w:val="20"/>
              </w:rPr>
              <w:t xml:space="preserve"> </w:t>
            </w:r>
          </w:p>
        </w:tc>
      </w:tr>
      <w:tr w:rsidR="00BC2D86" w14:paraId="7F752413"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7ECFE94A" w14:textId="77777777" w:rsidR="00BC2D86" w:rsidRDefault="00BC2D86" w:rsidP="00495067">
            <w:pPr>
              <w:rPr>
                <w:rFonts w:ascii="Calibri" w:hAnsi="Calibri" w:cs="Calibri"/>
                <w:b/>
                <w:bCs/>
                <w:color w:val="000000"/>
                <w:sz w:val="20"/>
                <w:szCs w:val="20"/>
              </w:rPr>
            </w:pPr>
            <w:r>
              <w:rPr>
                <w:rFonts w:ascii="Calibri" w:hAnsi="Calibri" w:cs="Calibri"/>
                <w:b/>
                <w:bCs/>
                <w:color w:val="000000"/>
                <w:sz w:val="20"/>
                <w:szCs w:val="20"/>
              </w:rPr>
              <w:t>Total Detyrime</w:t>
            </w:r>
          </w:p>
        </w:tc>
        <w:tc>
          <w:tcPr>
            <w:tcW w:w="1751" w:type="dxa"/>
            <w:tcBorders>
              <w:top w:val="nil"/>
              <w:left w:val="nil"/>
              <w:bottom w:val="nil"/>
              <w:right w:val="nil"/>
            </w:tcBorders>
            <w:shd w:val="clear" w:color="auto" w:fill="FFFFFF"/>
            <w:noWrap/>
            <w:vAlign w:val="center"/>
            <w:hideMark/>
          </w:tcPr>
          <w:p w14:paraId="0935BC63"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76710A">
              <w:rPr>
                <w:rFonts w:ascii="Calibri" w:hAnsi="Calibri" w:cs="Calibri"/>
                <w:b/>
                <w:i/>
                <w:color w:val="C00000"/>
                <w:sz w:val="20"/>
                <w:szCs w:val="20"/>
              </w:rPr>
              <w:t>4,931,708</w:t>
            </w:r>
          </w:p>
        </w:tc>
        <w:tc>
          <w:tcPr>
            <w:tcW w:w="1745" w:type="dxa"/>
            <w:tcBorders>
              <w:top w:val="nil"/>
              <w:left w:val="nil"/>
              <w:bottom w:val="nil"/>
              <w:right w:val="nil"/>
            </w:tcBorders>
            <w:shd w:val="clear" w:color="auto" w:fill="FFFFFF"/>
            <w:noWrap/>
            <w:vAlign w:val="center"/>
            <w:hideMark/>
          </w:tcPr>
          <w:p w14:paraId="6D88E938"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882F3D">
              <w:rPr>
                <w:rFonts w:ascii="Calibri" w:hAnsi="Calibri" w:cs="Calibri"/>
                <w:b/>
                <w:i/>
                <w:color w:val="C00000"/>
                <w:sz w:val="20"/>
                <w:szCs w:val="20"/>
              </w:rPr>
              <w:t>4,728,425</w:t>
            </w:r>
          </w:p>
        </w:tc>
        <w:tc>
          <w:tcPr>
            <w:tcW w:w="1800" w:type="dxa"/>
            <w:tcBorders>
              <w:top w:val="nil"/>
              <w:left w:val="nil"/>
              <w:bottom w:val="nil"/>
              <w:right w:val="nil"/>
            </w:tcBorders>
            <w:shd w:val="clear" w:color="auto" w:fill="FFFFFF"/>
            <w:vAlign w:val="center"/>
            <w:hideMark/>
          </w:tcPr>
          <w:p w14:paraId="3867FF95"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882F3D">
              <w:rPr>
                <w:rFonts w:ascii="Calibri" w:hAnsi="Calibri" w:cs="Calibri"/>
                <w:b/>
                <w:i/>
                <w:color w:val="C00000"/>
                <w:sz w:val="20"/>
                <w:szCs w:val="20"/>
              </w:rPr>
              <w:t>4,596,028</w:t>
            </w:r>
          </w:p>
        </w:tc>
        <w:tc>
          <w:tcPr>
            <w:tcW w:w="1800" w:type="dxa"/>
            <w:tcBorders>
              <w:top w:val="nil"/>
              <w:left w:val="nil"/>
              <w:bottom w:val="nil"/>
              <w:right w:val="single" w:sz="24" w:space="0" w:color="95B3D7"/>
            </w:tcBorders>
            <w:shd w:val="clear" w:color="auto" w:fill="FFFFFF"/>
            <w:noWrap/>
            <w:vAlign w:val="center"/>
            <w:hideMark/>
          </w:tcPr>
          <w:p w14:paraId="08C4C2E3"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882F3D">
              <w:rPr>
                <w:rFonts w:ascii="Calibri" w:hAnsi="Calibri" w:cs="Calibri"/>
                <w:b/>
                <w:i/>
                <w:color w:val="C00000"/>
                <w:sz w:val="20"/>
                <w:szCs w:val="20"/>
              </w:rPr>
              <w:t xml:space="preserve">4,268,046 </w:t>
            </w:r>
            <w:r>
              <w:rPr>
                <w:rFonts w:ascii="Calibri" w:hAnsi="Calibri" w:cs="Calibri"/>
                <w:b/>
                <w:i/>
                <w:color w:val="C00000"/>
                <w:sz w:val="20"/>
                <w:szCs w:val="20"/>
              </w:rPr>
              <w:t xml:space="preserve"> </w:t>
            </w:r>
          </w:p>
        </w:tc>
      </w:tr>
      <w:tr w:rsidR="00BC2D86" w14:paraId="69B29372" w14:textId="77777777" w:rsidTr="00495067">
        <w:trPr>
          <w:trHeight w:val="240"/>
          <w:jc w:val="center"/>
        </w:trPr>
        <w:tc>
          <w:tcPr>
            <w:tcW w:w="1920" w:type="dxa"/>
            <w:tcBorders>
              <w:top w:val="nil"/>
              <w:left w:val="single" w:sz="24" w:space="0" w:color="95B3D7"/>
              <w:bottom w:val="single" w:sz="24" w:space="0" w:color="95B3D7"/>
              <w:right w:val="nil"/>
            </w:tcBorders>
            <w:shd w:val="clear" w:color="auto" w:fill="FFFFFF"/>
            <w:noWrap/>
            <w:vAlign w:val="center"/>
            <w:hideMark/>
          </w:tcPr>
          <w:p w14:paraId="4BF5F426" w14:textId="77777777" w:rsidR="00BC2D86" w:rsidRDefault="00BC2D86" w:rsidP="00495067">
            <w:pPr>
              <w:rPr>
                <w:rFonts w:ascii="Calibri" w:hAnsi="Calibri" w:cs="Calibri"/>
                <w:b/>
                <w:bCs/>
                <w:color w:val="000000"/>
                <w:sz w:val="20"/>
                <w:szCs w:val="20"/>
              </w:rPr>
            </w:pPr>
            <w:r>
              <w:rPr>
                <w:rFonts w:ascii="Calibri" w:hAnsi="Calibri" w:cs="Calibri"/>
                <w:b/>
                <w:bCs/>
                <w:color w:val="000000"/>
                <w:sz w:val="20"/>
                <w:szCs w:val="20"/>
              </w:rPr>
              <w:t>Kapital</w:t>
            </w:r>
          </w:p>
        </w:tc>
        <w:tc>
          <w:tcPr>
            <w:tcW w:w="1751" w:type="dxa"/>
            <w:tcBorders>
              <w:top w:val="nil"/>
              <w:left w:val="nil"/>
              <w:bottom w:val="single" w:sz="24" w:space="0" w:color="95B3D7"/>
              <w:right w:val="nil"/>
            </w:tcBorders>
            <w:shd w:val="clear" w:color="auto" w:fill="FFFFFF"/>
            <w:noWrap/>
            <w:vAlign w:val="center"/>
            <w:hideMark/>
          </w:tcPr>
          <w:p w14:paraId="35A42A66"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76710A">
              <w:rPr>
                <w:rFonts w:ascii="Calibri" w:hAnsi="Calibri" w:cs="Calibri"/>
                <w:b/>
                <w:i/>
                <w:color w:val="C00000"/>
                <w:sz w:val="20"/>
                <w:szCs w:val="20"/>
              </w:rPr>
              <w:t xml:space="preserve">10,499,973 </w:t>
            </w:r>
            <w:r>
              <w:rPr>
                <w:rFonts w:ascii="Calibri" w:hAnsi="Calibri" w:cs="Calibri"/>
                <w:b/>
                <w:i/>
                <w:color w:val="C00000"/>
                <w:sz w:val="20"/>
                <w:szCs w:val="20"/>
              </w:rPr>
              <w:t xml:space="preserve"> </w:t>
            </w:r>
          </w:p>
        </w:tc>
        <w:tc>
          <w:tcPr>
            <w:tcW w:w="1745" w:type="dxa"/>
            <w:tcBorders>
              <w:top w:val="nil"/>
              <w:left w:val="nil"/>
              <w:bottom w:val="single" w:sz="24" w:space="0" w:color="95B3D7"/>
              <w:right w:val="nil"/>
            </w:tcBorders>
            <w:shd w:val="clear" w:color="auto" w:fill="FFFFFF"/>
            <w:noWrap/>
            <w:vAlign w:val="center"/>
            <w:hideMark/>
          </w:tcPr>
          <w:p w14:paraId="75FB67AA"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882F3D">
              <w:rPr>
                <w:rFonts w:ascii="Calibri" w:hAnsi="Calibri" w:cs="Calibri"/>
                <w:b/>
                <w:i/>
                <w:color w:val="C00000"/>
                <w:sz w:val="20"/>
                <w:szCs w:val="20"/>
              </w:rPr>
              <w:t xml:space="preserve">10,586,501 </w:t>
            </w:r>
            <w:r>
              <w:rPr>
                <w:rFonts w:ascii="Calibri" w:hAnsi="Calibri" w:cs="Calibri"/>
                <w:b/>
                <w:i/>
                <w:color w:val="C00000"/>
                <w:sz w:val="20"/>
                <w:szCs w:val="20"/>
              </w:rPr>
              <w:t xml:space="preserve"> </w:t>
            </w:r>
          </w:p>
        </w:tc>
        <w:tc>
          <w:tcPr>
            <w:tcW w:w="1800" w:type="dxa"/>
            <w:tcBorders>
              <w:top w:val="nil"/>
              <w:left w:val="nil"/>
              <w:bottom w:val="single" w:sz="24" w:space="0" w:color="95B3D7"/>
              <w:right w:val="nil"/>
            </w:tcBorders>
            <w:shd w:val="clear" w:color="auto" w:fill="FFFFFF"/>
            <w:vAlign w:val="center"/>
            <w:hideMark/>
          </w:tcPr>
          <w:p w14:paraId="48C4D214"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882F3D">
              <w:rPr>
                <w:rFonts w:ascii="Calibri" w:hAnsi="Calibri" w:cs="Calibri"/>
                <w:b/>
                <w:i/>
                <w:color w:val="C00000"/>
                <w:sz w:val="20"/>
                <w:szCs w:val="20"/>
              </w:rPr>
              <w:t>10,478,958</w:t>
            </w:r>
          </w:p>
        </w:tc>
        <w:tc>
          <w:tcPr>
            <w:tcW w:w="1800" w:type="dxa"/>
            <w:tcBorders>
              <w:top w:val="nil"/>
              <w:left w:val="nil"/>
              <w:bottom w:val="single" w:sz="24" w:space="0" w:color="95B3D7"/>
              <w:right w:val="single" w:sz="24" w:space="0" w:color="95B3D7"/>
            </w:tcBorders>
            <w:shd w:val="clear" w:color="auto" w:fill="FFFFFF"/>
            <w:noWrap/>
            <w:vAlign w:val="center"/>
            <w:hideMark/>
          </w:tcPr>
          <w:p w14:paraId="41BC23B4"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882F3D">
              <w:rPr>
                <w:rFonts w:ascii="Calibri" w:hAnsi="Calibri" w:cs="Calibri"/>
                <w:b/>
                <w:i/>
                <w:color w:val="C00000"/>
                <w:sz w:val="20"/>
                <w:szCs w:val="20"/>
              </w:rPr>
              <w:t>10,463,790</w:t>
            </w:r>
          </w:p>
        </w:tc>
      </w:tr>
    </w:tbl>
    <w:p w14:paraId="02CF5B34" w14:textId="77777777" w:rsidR="00BC2D86" w:rsidRDefault="00BC2D86" w:rsidP="00BC2D86">
      <w:pPr>
        <w:spacing w:before="240" w:line="360" w:lineRule="auto"/>
        <w:ind w:firstLine="360"/>
        <w:contextualSpacing/>
        <w:jc w:val="both"/>
        <w:rPr>
          <w:rFonts w:ascii="Calibri" w:hAnsi="Calibri"/>
          <w:i/>
          <w:sz w:val="20"/>
          <w:szCs w:val="20"/>
          <w:lang w:val="sq-AL"/>
        </w:rPr>
      </w:pPr>
      <w:r>
        <w:rPr>
          <w:rFonts w:ascii="Calibri" w:hAnsi="Calibri"/>
          <w:i/>
          <w:sz w:val="22"/>
          <w:highlight w:val="yellow"/>
          <w:lang w:val="sq-AL"/>
        </w:rPr>
        <w:fldChar w:fldCharType="end"/>
      </w:r>
      <w:r>
        <w:rPr>
          <w:rFonts w:ascii="Calibri" w:hAnsi="Calibri"/>
          <w:i/>
          <w:sz w:val="20"/>
          <w:szCs w:val="20"/>
          <w:lang w:val="sq-AL"/>
        </w:rPr>
        <w:t>Burimi: Autoriteti Portual Durrës (APD) Sh.a.</w:t>
      </w:r>
    </w:p>
    <w:p w14:paraId="67EA84BF" w14:textId="77777777" w:rsidR="00BC2D86" w:rsidRDefault="00BC2D86" w:rsidP="00BC2D86">
      <w:pPr>
        <w:spacing w:before="240" w:line="360" w:lineRule="auto"/>
        <w:ind w:firstLine="360"/>
        <w:contextualSpacing/>
        <w:jc w:val="both"/>
        <w:rPr>
          <w:rFonts w:ascii="Calibri" w:hAnsi="Calibri"/>
          <w:i/>
          <w:sz w:val="20"/>
          <w:szCs w:val="20"/>
          <w:lang w:val="sq-AL"/>
        </w:rPr>
      </w:pPr>
    </w:p>
    <w:p w14:paraId="2AF38FB2" w14:textId="77777777" w:rsidR="00BC2D86" w:rsidRDefault="00BC2D86" w:rsidP="00056DE5">
      <w:pPr>
        <w:keepNext/>
        <w:numPr>
          <w:ilvl w:val="0"/>
          <w:numId w:val="27"/>
        </w:numPr>
        <w:spacing w:before="120" w:line="276" w:lineRule="auto"/>
        <w:jc w:val="both"/>
        <w:rPr>
          <w:rFonts w:ascii="Calibri" w:hAnsi="Calibri"/>
          <w:i/>
          <w:lang w:val="sq-AL"/>
        </w:rPr>
      </w:pPr>
      <w:r>
        <w:rPr>
          <w:rFonts w:ascii="Calibri" w:hAnsi="Calibri"/>
          <w:i/>
          <w:lang w:val="sq-AL"/>
        </w:rPr>
        <w:t>Performanca financiare e Albpetrol Sh.a.</w:t>
      </w:r>
    </w:p>
    <w:p w14:paraId="5CDC7741" w14:textId="77777777" w:rsidR="00BC2D86" w:rsidRDefault="00BC2D86" w:rsidP="00BC2D86">
      <w:pPr>
        <w:spacing w:line="276" w:lineRule="auto"/>
        <w:jc w:val="both"/>
        <w:rPr>
          <w:rFonts w:asciiTheme="minorHAnsi" w:hAnsiTheme="minorHAnsi"/>
          <w:bCs/>
          <w:lang w:val="sq-AL" w:eastAsia="sq-AL"/>
        </w:rPr>
      </w:pPr>
      <w:r w:rsidRPr="006F5438">
        <w:rPr>
          <w:rFonts w:asciiTheme="minorHAnsi" w:hAnsiTheme="minorHAnsi"/>
          <w:bCs/>
          <w:lang w:val="sq-AL" w:eastAsia="sq-AL"/>
        </w:rPr>
        <w:t xml:space="preserve">Gjatë </w:t>
      </w:r>
      <w:r>
        <w:rPr>
          <w:rFonts w:asciiTheme="minorHAnsi" w:hAnsiTheme="minorHAnsi"/>
          <w:bCs/>
          <w:lang w:val="sq-AL" w:eastAsia="sq-AL"/>
        </w:rPr>
        <w:t>T1</w:t>
      </w:r>
      <w:r w:rsidRPr="006F5438">
        <w:rPr>
          <w:rFonts w:asciiTheme="minorHAnsi" w:hAnsiTheme="minorHAnsi"/>
          <w:bCs/>
          <w:lang w:val="sq-AL" w:eastAsia="sq-AL"/>
        </w:rPr>
        <w:t xml:space="preserve"> 2023, të ardhurat nga Albpetrol Sh.a arritën në 1,267  milionë </w:t>
      </w:r>
      <w:r>
        <w:rPr>
          <w:rFonts w:asciiTheme="minorHAnsi" w:hAnsiTheme="minorHAnsi"/>
          <w:bCs/>
          <w:lang w:val="sq-AL" w:eastAsia="sq-AL"/>
        </w:rPr>
        <w:t>LEK</w:t>
      </w:r>
      <w:r w:rsidRPr="006F5438">
        <w:rPr>
          <w:rFonts w:asciiTheme="minorHAnsi" w:hAnsiTheme="minorHAnsi"/>
          <w:bCs/>
          <w:lang w:val="sq-AL" w:eastAsia="sq-AL"/>
        </w:rPr>
        <w:t xml:space="preserve">, ndërsa shpenzimet e përgjithshme në 1,333 milionë </w:t>
      </w:r>
      <w:r>
        <w:rPr>
          <w:rFonts w:asciiTheme="minorHAnsi" w:hAnsiTheme="minorHAnsi"/>
          <w:bCs/>
          <w:lang w:val="sq-AL" w:eastAsia="sq-AL"/>
        </w:rPr>
        <w:t>LEK</w:t>
      </w:r>
      <w:r w:rsidRPr="006F5438">
        <w:rPr>
          <w:rFonts w:asciiTheme="minorHAnsi" w:hAnsiTheme="minorHAnsi"/>
          <w:bCs/>
          <w:lang w:val="sq-AL" w:eastAsia="sq-AL"/>
        </w:rPr>
        <w:t xml:space="preserve">, duke rezultuar me një humbje neto për periudhën në rreth 67 milionë </w:t>
      </w:r>
      <w:r>
        <w:rPr>
          <w:rFonts w:asciiTheme="minorHAnsi" w:hAnsiTheme="minorHAnsi"/>
          <w:bCs/>
          <w:lang w:val="sq-AL" w:eastAsia="sq-AL"/>
        </w:rPr>
        <w:t>LEK</w:t>
      </w:r>
      <w:r w:rsidRPr="006F5438">
        <w:rPr>
          <w:rFonts w:asciiTheme="minorHAnsi" w:hAnsiTheme="minorHAnsi"/>
          <w:bCs/>
          <w:lang w:val="sq-AL" w:eastAsia="sq-AL"/>
        </w:rPr>
        <w:t xml:space="preserve">. </w:t>
      </w:r>
      <w:r>
        <w:rPr>
          <w:rFonts w:asciiTheme="minorHAnsi" w:hAnsiTheme="minorHAnsi"/>
          <w:bCs/>
          <w:lang w:val="sq-AL" w:eastAsia="sq-AL"/>
        </w:rPr>
        <w:t>Ndërkohë që, n</w:t>
      </w:r>
      <w:r w:rsidRPr="006F5438">
        <w:rPr>
          <w:rFonts w:asciiTheme="minorHAnsi" w:hAnsiTheme="minorHAnsi"/>
          <w:bCs/>
          <w:lang w:val="sq-AL" w:eastAsia="sq-AL"/>
        </w:rPr>
        <w:t xml:space="preserve">ë fund të vitit 2022, të ardhurat e Albpetrol Sh.a rezultonin në vlerën rreth 7,071 milionë </w:t>
      </w:r>
      <w:r>
        <w:rPr>
          <w:rFonts w:asciiTheme="minorHAnsi" w:hAnsiTheme="minorHAnsi"/>
          <w:bCs/>
          <w:lang w:val="sq-AL" w:eastAsia="sq-AL"/>
        </w:rPr>
        <w:t>LEK</w:t>
      </w:r>
      <w:r w:rsidRPr="006F5438">
        <w:rPr>
          <w:rFonts w:asciiTheme="minorHAnsi" w:hAnsiTheme="minorHAnsi"/>
          <w:bCs/>
          <w:lang w:val="sq-AL" w:eastAsia="sq-AL"/>
        </w:rPr>
        <w:t xml:space="preserve"> ndërsa shpenzim</w:t>
      </w:r>
      <w:r>
        <w:rPr>
          <w:rFonts w:asciiTheme="minorHAnsi" w:hAnsiTheme="minorHAnsi"/>
          <w:bCs/>
          <w:lang w:val="sq-AL" w:eastAsia="sq-AL"/>
        </w:rPr>
        <w:t xml:space="preserve">et në rreth 7,055 milionë LEK, </w:t>
      </w:r>
      <w:r w:rsidRPr="006F5438">
        <w:rPr>
          <w:rFonts w:asciiTheme="minorHAnsi" w:hAnsiTheme="minorHAnsi"/>
          <w:bCs/>
          <w:lang w:val="sq-AL" w:eastAsia="sq-AL"/>
        </w:rPr>
        <w:t xml:space="preserve">duke regjistruar një fitim neto për vitin 2022 në një vlerë prej rreth 16 milion </w:t>
      </w:r>
      <w:r>
        <w:rPr>
          <w:rFonts w:asciiTheme="minorHAnsi" w:hAnsiTheme="minorHAnsi"/>
          <w:bCs/>
          <w:lang w:val="sq-AL" w:eastAsia="sq-AL"/>
        </w:rPr>
        <w:t>LEK</w:t>
      </w:r>
      <w:r w:rsidRPr="006F5438">
        <w:rPr>
          <w:rFonts w:asciiTheme="minorHAnsi" w:hAnsiTheme="minorHAnsi"/>
          <w:bCs/>
          <w:lang w:val="sq-AL" w:eastAsia="sq-AL"/>
        </w:rPr>
        <w:t>.</w:t>
      </w:r>
    </w:p>
    <w:p w14:paraId="10D7DF6B" w14:textId="77777777" w:rsidR="00BC2D86" w:rsidRDefault="00BC2D86" w:rsidP="00BC2D86">
      <w:pPr>
        <w:spacing w:line="276" w:lineRule="auto"/>
        <w:jc w:val="both"/>
        <w:rPr>
          <w:rFonts w:asciiTheme="minorHAnsi" w:hAnsiTheme="minorHAnsi"/>
          <w:bCs/>
          <w:lang w:val="sq-AL" w:eastAsia="sq-AL"/>
        </w:rPr>
      </w:pPr>
    </w:p>
    <w:p w14:paraId="44A2C770" w14:textId="77777777" w:rsidR="00BC2D86" w:rsidRDefault="00BC2D86" w:rsidP="00BC2D86">
      <w:pPr>
        <w:spacing w:line="276" w:lineRule="auto"/>
        <w:jc w:val="both"/>
        <w:rPr>
          <w:rFonts w:asciiTheme="minorHAnsi" w:hAnsiTheme="minorHAnsi"/>
          <w:bCs/>
          <w:lang w:val="sq-AL" w:eastAsia="sq-AL"/>
        </w:rPr>
      </w:pPr>
    </w:p>
    <w:p w14:paraId="33C9FD0A" w14:textId="23B95829" w:rsidR="00BC2D86" w:rsidRDefault="00BC2D86" w:rsidP="00BC2D86">
      <w:pPr>
        <w:spacing w:before="120" w:line="276" w:lineRule="auto"/>
        <w:jc w:val="both"/>
        <w:rPr>
          <w:rFonts w:ascii="Calibri" w:hAnsi="Calibri" w:cs="Calibri"/>
          <w:b/>
          <w:i/>
          <w:iCs/>
          <w:color w:val="17406D"/>
          <w:sz w:val="22"/>
          <w:szCs w:val="22"/>
          <w:lang w:val="sq-AL"/>
        </w:rPr>
      </w:pPr>
      <w:r w:rsidRPr="008E5E18">
        <w:rPr>
          <w:rFonts w:asciiTheme="minorHAnsi" w:hAnsiTheme="minorHAnsi"/>
          <w:bCs/>
          <w:i/>
          <w:noProof/>
          <w:sz w:val="22"/>
          <w:lang w:val="sq-AL"/>
        </w:rPr>
        <w:lastRenderedPageBreak/>
        <w:t xml:space="preserve">Tabela </w:t>
      </w:r>
      <w:r w:rsidRPr="00343167">
        <w:rPr>
          <w:rFonts w:asciiTheme="minorHAnsi" w:hAnsiTheme="minorHAnsi"/>
          <w:bCs/>
          <w:i/>
          <w:noProof/>
          <w:sz w:val="22"/>
        </w:rPr>
        <w:fldChar w:fldCharType="begin"/>
      </w:r>
      <w:r w:rsidRPr="008E5E18">
        <w:rPr>
          <w:rFonts w:asciiTheme="minorHAnsi" w:hAnsiTheme="minorHAnsi"/>
          <w:bCs/>
          <w:i/>
          <w:noProof/>
          <w:sz w:val="22"/>
          <w:lang w:val="sq-AL"/>
        </w:rPr>
        <w:instrText xml:space="preserve"> SEQ Tabela \* ARABIC </w:instrText>
      </w:r>
      <w:r w:rsidRPr="00343167">
        <w:rPr>
          <w:rFonts w:asciiTheme="minorHAnsi" w:hAnsiTheme="minorHAnsi"/>
          <w:bCs/>
          <w:i/>
          <w:noProof/>
          <w:sz w:val="22"/>
        </w:rPr>
        <w:fldChar w:fldCharType="separate"/>
      </w:r>
      <w:r w:rsidR="00C153A9">
        <w:rPr>
          <w:rFonts w:asciiTheme="minorHAnsi" w:hAnsiTheme="minorHAnsi"/>
          <w:bCs/>
          <w:i/>
          <w:noProof/>
          <w:sz w:val="22"/>
          <w:lang w:val="sq-AL"/>
        </w:rPr>
        <w:t>18</w:t>
      </w:r>
      <w:r w:rsidRPr="00343167">
        <w:rPr>
          <w:rFonts w:asciiTheme="minorHAnsi" w:hAnsiTheme="minorHAnsi"/>
          <w:bCs/>
          <w:i/>
          <w:noProof/>
          <w:sz w:val="22"/>
        </w:rPr>
        <w:fldChar w:fldCharType="end"/>
      </w:r>
      <w:r w:rsidRPr="008E5E18">
        <w:rPr>
          <w:rFonts w:asciiTheme="minorHAnsi" w:hAnsiTheme="minorHAnsi"/>
          <w:bCs/>
          <w:i/>
          <w:noProof/>
          <w:sz w:val="22"/>
          <w:lang w:val="sq-AL"/>
        </w:rPr>
        <w:t>:</w:t>
      </w:r>
      <w:r w:rsidRPr="008E5E18">
        <w:rPr>
          <w:rFonts w:asciiTheme="minorHAnsi" w:hAnsiTheme="minorHAnsi"/>
          <w:b/>
          <w:bCs/>
          <w:i/>
          <w:noProof/>
          <w:sz w:val="22"/>
          <w:lang w:val="sq-AL"/>
        </w:rPr>
        <w:t xml:space="preserve"> </w:t>
      </w:r>
      <w:r w:rsidRPr="00B926B8">
        <w:rPr>
          <w:rFonts w:ascii="Calibri" w:hAnsi="Calibri" w:cs="Calibri"/>
          <w:i/>
          <w:iCs/>
          <w:sz w:val="22"/>
          <w:szCs w:val="22"/>
          <w:lang w:val="sq-AL"/>
        </w:rPr>
        <w:t>Të dhënat financiare për Alb</w:t>
      </w:r>
      <w:r>
        <w:rPr>
          <w:rFonts w:ascii="Calibri" w:hAnsi="Calibri" w:cs="Calibri"/>
          <w:i/>
          <w:iCs/>
          <w:sz w:val="22"/>
          <w:szCs w:val="22"/>
          <w:lang w:val="sq-AL"/>
        </w:rPr>
        <w:t>petrol</w:t>
      </w:r>
      <w:r w:rsidRPr="00B926B8">
        <w:rPr>
          <w:rFonts w:ascii="Calibri" w:hAnsi="Calibri" w:cs="Calibri"/>
          <w:i/>
          <w:iCs/>
          <w:sz w:val="22"/>
          <w:szCs w:val="22"/>
          <w:lang w:val="sq-AL"/>
        </w:rPr>
        <w:t xml:space="preserve"> </w:t>
      </w:r>
      <w:r>
        <w:rPr>
          <w:rFonts w:ascii="Calibri" w:hAnsi="Calibri" w:cs="Calibri"/>
          <w:i/>
          <w:iCs/>
          <w:sz w:val="22"/>
          <w:szCs w:val="22"/>
          <w:lang w:val="sq-AL"/>
        </w:rPr>
        <w:t>Sh.a</w:t>
      </w:r>
      <w:r w:rsidRPr="00B926B8">
        <w:rPr>
          <w:rFonts w:ascii="Calibri" w:hAnsi="Calibri" w:cs="Calibri"/>
          <w:i/>
          <w:iCs/>
          <w:sz w:val="22"/>
          <w:szCs w:val="22"/>
          <w:lang w:val="sq-AL"/>
        </w:rPr>
        <w:t xml:space="preserve"> (202</w:t>
      </w:r>
      <w:r>
        <w:rPr>
          <w:rFonts w:ascii="Calibri" w:hAnsi="Calibri" w:cs="Calibri"/>
          <w:i/>
          <w:iCs/>
          <w:sz w:val="22"/>
          <w:szCs w:val="22"/>
          <w:lang w:val="sq-AL"/>
        </w:rPr>
        <w:t>1</w:t>
      </w:r>
      <w:r w:rsidRPr="00B926B8">
        <w:rPr>
          <w:rFonts w:ascii="Calibri" w:hAnsi="Calibri" w:cs="Calibri"/>
          <w:i/>
          <w:iCs/>
          <w:sz w:val="22"/>
          <w:szCs w:val="22"/>
          <w:lang w:val="sq-AL"/>
        </w:rPr>
        <w:t>-</w:t>
      </w:r>
      <w:r>
        <w:rPr>
          <w:rFonts w:ascii="Calibri" w:hAnsi="Calibri" w:cs="Calibri"/>
          <w:i/>
          <w:iCs/>
          <w:sz w:val="22"/>
          <w:szCs w:val="22"/>
          <w:lang w:val="sq-AL"/>
        </w:rPr>
        <w:t>T1</w:t>
      </w:r>
      <w:r w:rsidRPr="00B926B8">
        <w:rPr>
          <w:rFonts w:ascii="Calibri" w:hAnsi="Calibri" w:cs="Calibri"/>
          <w:i/>
          <w:iCs/>
          <w:sz w:val="22"/>
          <w:szCs w:val="22"/>
          <w:lang w:val="sq-AL"/>
        </w:rPr>
        <w:t xml:space="preserve"> 202</w:t>
      </w:r>
      <w:r>
        <w:rPr>
          <w:rFonts w:ascii="Calibri" w:hAnsi="Calibri" w:cs="Calibri"/>
          <w:i/>
          <w:iCs/>
          <w:sz w:val="22"/>
          <w:szCs w:val="22"/>
          <w:lang w:val="sq-AL"/>
        </w:rPr>
        <w:t>3</w:t>
      </w:r>
      <w:r w:rsidRPr="00B926B8">
        <w:rPr>
          <w:rFonts w:ascii="Calibri" w:hAnsi="Calibri" w:cs="Calibri"/>
          <w:i/>
          <w:iCs/>
          <w:sz w:val="22"/>
          <w:szCs w:val="22"/>
          <w:lang w:val="sq-AL"/>
        </w:rPr>
        <w:t xml:space="preserve">) (në mijë </w:t>
      </w:r>
      <w:r>
        <w:rPr>
          <w:rFonts w:ascii="Calibri" w:hAnsi="Calibri" w:cs="Calibri"/>
          <w:i/>
          <w:iCs/>
          <w:sz w:val="22"/>
          <w:szCs w:val="22"/>
          <w:lang w:val="sq-AL"/>
        </w:rPr>
        <w:t>LEK</w:t>
      </w:r>
      <w:r w:rsidRPr="00B926B8">
        <w:rPr>
          <w:rFonts w:ascii="Calibri" w:hAnsi="Calibri" w:cs="Calibri"/>
          <w:i/>
          <w:iCs/>
          <w:sz w:val="22"/>
          <w:szCs w:val="22"/>
          <w:lang w:val="sq-AL"/>
        </w:rPr>
        <w:t>)</w:t>
      </w:r>
      <w:r>
        <w:fldChar w:fldCharType="begin"/>
      </w:r>
      <w:r>
        <w:rPr>
          <w:rFonts w:ascii="Calibri" w:hAnsi="Calibri"/>
          <w:i/>
          <w:iCs/>
          <w:color w:val="17406D"/>
          <w:sz w:val="22"/>
          <w:szCs w:val="22"/>
          <w:highlight w:val="yellow"/>
          <w:lang w:val="sq-AL"/>
        </w:rPr>
        <w:instrText xml:space="preserve"> LINK Excel.Sheet.12 "C:\\Users\\ilvis.ballvora\\Desktop\\Sectori Energjetike\\1.3 Te dhenat sektori i energjise. xlsx.xlsx" "DATA Extras 3!R108C7:R119C12" \a \f 4 \h  \* MERGEFORMAT </w:instrText>
      </w:r>
      <w:r>
        <w:fldChar w:fldCharType="separate"/>
      </w:r>
    </w:p>
    <w:tbl>
      <w:tblPr>
        <w:tblW w:w="9016"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1920"/>
        <w:gridCol w:w="1751"/>
        <w:gridCol w:w="1745"/>
        <w:gridCol w:w="1800"/>
        <w:gridCol w:w="1800"/>
      </w:tblGrid>
      <w:tr w:rsidR="00BC2D86" w14:paraId="4C734A67" w14:textId="77777777" w:rsidTr="00495067">
        <w:trPr>
          <w:trHeight w:val="240"/>
          <w:jc w:val="center"/>
        </w:trPr>
        <w:tc>
          <w:tcPr>
            <w:tcW w:w="1920" w:type="dxa"/>
            <w:tcBorders>
              <w:top w:val="single" w:sz="24" w:space="0" w:color="95B3D7"/>
              <w:left w:val="single" w:sz="24" w:space="0" w:color="95B3D7"/>
              <w:bottom w:val="nil"/>
              <w:right w:val="nil"/>
            </w:tcBorders>
            <w:shd w:val="clear" w:color="auto" w:fill="B3DDF2"/>
            <w:noWrap/>
            <w:vAlign w:val="center"/>
            <w:hideMark/>
          </w:tcPr>
          <w:p w14:paraId="66FD2AF1" w14:textId="77777777" w:rsidR="00BC2D86" w:rsidRDefault="00BC2D86" w:rsidP="00495067">
            <w:pPr>
              <w:rPr>
                <w:rFonts w:ascii="Calibri" w:hAnsi="Calibri" w:cs="Calibri"/>
                <w:color w:val="000000"/>
                <w:sz w:val="20"/>
                <w:szCs w:val="20"/>
                <w:lang w:val="sq-AL"/>
              </w:rPr>
            </w:pPr>
            <w:r>
              <w:rPr>
                <w:rFonts w:ascii="Calibri" w:hAnsi="Calibri" w:cs="Calibri"/>
                <w:b/>
                <w:color w:val="C00000"/>
                <w:sz w:val="22"/>
                <w:szCs w:val="22"/>
                <w:lang w:val="sq-AL"/>
              </w:rPr>
              <w:t>Zërat/Periudha</w:t>
            </w:r>
          </w:p>
        </w:tc>
        <w:tc>
          <w:tcPr>
            <w:tcW w:w="1751" w:type="dxa"/>
            <w:tcBorders>
              <w:top w:val="single" w:sz="24" w:space="0" w:color="95B3D7"/>
              <w:left w:val="nil"/>
              <w:bottom w:val="nil"/>
              <w:right w:val="nil"/>
            </w:tcBorders>
            <w:shd w:val="clear" w:color="auto" w:fill="B3DDF2"/>
            <w:noWrap/>
            <w:vAlign w:val="center"/>
            <w:hideMark/>
          </w:tcPr>
          <w:p w14:paraId="1965563D" w14:textId="77777777" w:rsidR="00BC2D86" w:rsidRDefault="00BC2D86" w:rsidP="00495067">
            <w:pPr>
              <w:jc w:val="right"/>
              <w:rPr>
                <w:rFonts w:ascii="Calibri" w:hAnsi="Calibri" w:cs="Calibri"/>
                <w:b/>
                <w:bCs/>
                <w:color w:val="000000"/>
                <w:sz w:val="20"/>
                <w:szCs w:val="20"/>
              </w:rPr>
            </w:pPr>
            <w:r>
              <w:rPr>
                <w:rFonts w:ascii="Calibri" w:hAnsi="Calibri" w:cs="Calibri"/>
                <w:b/>
                <w:bCs/>
                <w:color w:val="C00000"/>
                <w:sz w:val="22"/>
                <w:szCs w:val="22"/>
              </w:rPr>
              <w:t xml:space="preserve">                     2021</w:t>
            </w:r>
          </w:p>
        </w:tc>
        <w:tc>
          <w:tcPr>
            <w:tcW w:w="1745" w:type="dxa"/>
            <w:tcBorders>
              <w:top w:val="single" w:sz="24" w:space="0" w:color="95B3D7"/>
              <w:left w:val="nil"/>
              <w:bottom w:val="nil"/>
              <w:right w:val="nil"/>
            </w:tcBorders>
            <w:shd w:val="clear" w:color="auto" w:fill="B3DDF2"/>
            <w:noWrap/>
            <w:vAlign w:val="center"/>
            <w:hideMark/>
          </w:tcPr>
          <w:p w14:paraId="5FAA3135" w14:textId="77777777" w:rsidR="00BC2D86" w:rsidRDefault="00BC2D86" w:rsidP="00495067">
            <w:pPr>
              <w:jc w:val="right"/>
              <w:rPr>
                <w:rFonts w:ascii="Calibri" w:hAnsi="Calibri" w:cs="Calibri"/>
                <w:b/>
                <w:bCs/>
                <w:color w:val="000000"/>
                <w:sz w:val="20"/>
                <w:szCs w:val="20"/>
              </w:rPr>
            </w:pPr>
            <w:r>
              <w:rPr>
                <w:rFonts w:ascii="Calibri" w:hAnsi="Calibri" w:cs="Calibri"/>
                <w:b/>
                <w:bCs/>
                <w:color w:val="C00000"/>
                <w:sz w:val="22"/>
                <w:szCs w:val="22"/>
              </w:rPr>
              <w:t xml:space="preserve">              T1 2022</w:t>
            </w:r>
          </w:p>
        </w:tc>
        <w:tc>
          <w:tcPr>
            <w:tcW w:w="1800" w:type="dxa"/>
            <w:tcBorders>
              <w:top w:val="single" w:sz="24" w:space="0" w:color="95B3D7"/>
              <w:left w:val="nil"/>
              <w:bottom w:val="nil"/>
              <w:right w:val="nil"/>
            </w:tcBorders>
            <w:shd w:val="clear" w:color="auto" w:fill="B3DDF2"/>
            <w:vAlign w:val="center"/>
            <w:hideMark/>
          </w:tcPr>
          <w:p w14:paraId="1F2EB04C" w14:textId="77777777" w:rsidR="00BC2D86" w:rsidRDefault="00BC2D86" w:rsidP="00495067">
            <w:pPr>
              <w:jc w:val="right"/>
              <w:rPr>
                <w:rFonts w:ascii="Calibri" w:hAnsi="Calibri" w:cs="Calibri"/>
                <w:b/>
                <w:bCs/>
                <w:color w:val="C00000"/>
                <w:sz w:val="22"/>
                <w:szCs w:val="22"/>
              </w:rPr>
            </w:pPr>
            <w:r>
              <w:rPr>
                <w:rFonts w:ascii="Calibri" w:hAnsi="Calibri" w:cs="Calibri"/>
                <w:b/>
                <w:bCs/>
                <w:color w:val="C00000"/>
                <w:sz w:val="22"/>
                <w:szCs w:val="22"/>
              </w:rPr>
              <w:t xml:space="preserve">                      2022</w:t>
            </w:r>
          </w:p>
        </w:tc>
        <w:tc>
          <w:tcPr>
            <w:tcW w:w="1800" w:type="dxa"/>
            <w:tcBorders>
              <w:top w:val="single" w:sz="24" w:space="0" w:color="95B3D7"/>
              <w:left w:val="nil"/>
              <w:bottom w:val="nil"/>
              <w:right w:val="single" w:sz="24" w:space="0" w:color="95B3D7"/>
            </w:tcBorders>
            <w:shd w:val="clear" w:color="auto" w:fill="B3DDF2"/>
            <w:noWrap/>
            <w:vAlign w:val="center"/>
            <w:hideMark/>
          </w:tcPr>
          <w:p w14:paraId="5D2E189E" w14:textId="77777777" w:rsidR="00BC2D86" w:rsidRDefault="00BC2D86" w:rsidP="00495067">
            <w:pPr>
              <w:jc w:val="right"/>
              <w:rPr>
                <w:rFonts w:ascii="Calibri" w:hAnsi="Calibri" w:cs="Calibri"/>
                <w:b/>
                <w:bCs/>
                <w:color w:val="000000"/>
                <w:sz w:val="20"/>
                <w:szCs w:val="20"/>
              </w:rPr>
            </w:pPr>
            <w:r>
              <w:rPr>
                <w:rFonts w:ascii="Calibri" w:hAnsi="Calibri" w:cs="Calibri"/>
                <w:b/>
                <w:bCs/>
                <w:color w:val="C00000"/>
                <w:sz w:val="22"/>
                <w:szCs w:val="22"/>
              </w:rPr>
              <w:t xml:space="preserve">               T1 2023</w:t>
            </w:r>
          </w:p>
        </w:tc>
      </w:tr>
      <w:tr w:rsidR="00BC2D86" w14:paraId="688B08D6" w14:textId="77777777" w:rsidTr="00495067">
        <w:trPr>
          <w:trHeight w:val="240"/>
          <w:jc w:val="center"/>
        </w:trPr>
        <w:tc>
          <w:tcPr>
            <w:tcW w:w="1920" w:type="dxa"/>
            <w:tcBorders>
              <w:top w:val="nil"/>
              <w:left w:val="single" w:sz="24" w:space="0" w:color="95B3D7"/>
              <w:bottom w:val="nil"/>
              <w:right w:val="nil"/>
            </w:tcBorders>
            <w:shd w:val="clear" w:color="auto" w:fill="FFFFFF"/>
            <w:noWrap/>
            <w:vAlign w:val="center"/>
            <w:hideMark/>
          </w:tcPr>
          <w:p w14:paraId="7DFA258F" w14:textId="77777777" w:rsidR="00BC2D86" w:rsidRDefault="00BC2D86" w:rsidP="00495067">
            <w:pPr>
              <w:rPr>
                <w:rFonts w:ascii="Calibri" w:hAnsi="Calibri" w:cs="Calibri"/>
                <w:i/>
                <w:color w:val="000000"/>
                <w:sz w:val="18"/>
                <w:szCs w:val="20"/>
              </w:rPr>
            </w:pPr>
            <w:r>
              <w:rPr>
                <w:rFonts w:ascii="Calibri" w:hAnsi="Calibri" w:cs="Calibri"/>
                <w:i/>
                <w:color w:val="000000"/>
                <w:sz w:val="18"/>
                <w:szCs w:val="20"/>
              </w:rPr>
              <w:t>Të ardhurat</w:t>
            </w:r>
          </w:p>
        </w:tc>
        <w:tc>
          <w:tcPr>
            <w:tcW w:w="1751" w:type="dxa"/>
            <w:tcBorders>
              <w:top w:val="nil"/>
              <w:left w:val="nil"/>
              <w:bottom w:val="nil"/>
              <w:right w:val="nil"/>
            </w:tcBorders>
            <w:shd w:val="clear" w:color="auto" w:fill="FFFFFF"/>
            <w:noWrap/>
            <w:vAlign w:val="center"/>
            <w:hideMark/>
          </w:tcPr>
          <w:p w14:paraId="007FDE7B"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7C4783">
              <w:rPr>
                <w:rFonts w:ascii="Calibri" w:hAnsi="Calibri" w:cs="Calibri"/>
                <w:i/>
                <w:color w:val="000000"/>
                <w:sz w:val="18"/>
                <w:szCs w:val="20"/>
              </w:rPr>
              <w:t xml:space="preserve">5,681,088 </w:t>
            </w:r>
            <w:r>
              <w:rPr>
                <w:rFonts w:ascii="Calibri" w:hAnsi="Calibri" w:cs="Calibri"/>
                <w:i/>
                <w:color w:val="000000"/>
                <w:sz w:val="18"/>
                <w:szCs w:val="20"/>
              </w:rPr>
              <w:t xml:space="preserve"> </w:t>
            </w:r>
          </w:p>
        </w:tc>
        <w:tc>
          <w:tcPr>
            <w:tcW w:w="1745" w:type="dxa"/>
            <w:tcBorders>
              <w:top w:val="nil"/>
              <w:left w:val="nil"/>
              <w:bottom w:val="nil"/>
              <w:right w:val="nil"/>
            </w:tcBorders>
            <w:shd w:val="clear" w:color="auto" w:fill="FFFFFF"/>
            <w:noWrap/>
            <w:vAlign w:val="center"/>
            <w:hideMark/>
          </w:tcPr>
          <w:p w14:paraId="4486CE27"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F62B6B">
              <w:rPr>
                <w:rFonts w:ascii="Calibri" w:hAnsi="Calibri" w:cs="Calibri"/>
                <w:i/>
                <w:color w:val="000000"/>
                <w:sz w:val="18"/>
                <w:szCs w:val="20"/>
              </w:rPr>
              <w:t xml:space="preserve">977,684 </w:t>
            </w:r>
            <w:r>
              <w:rPr>
                <w:rFonts w:ascii="Calibri" w:hAnsi="Calibri" w:cs="Calibri"/>
                <w:i/>
                <w:color w:val="000000"/>
                <w:sz w:val="18"/>
                <w:szCs w:val="20"/>
              </w:rPr>
              <w:t xml:space="preserve"> </w:t>
            </w:r>
          </w:p>
        </w:tc>
        <w:tc>
          <w:tcPr>
            <w:tcW w:w="1800" w:type="dxa"/>
            <w:tcBorders>
              <w:top w:val="nil"/>
              <w:left w:val="nil"/>
              <w:bottom w:val="nil"/>
              <w:right w:val="nil"/>
            </w:tcBorders>
            <w:shd w:val="clear" w:color="auto" w:fill="FFFFFF"/>
            <w:vAlign w:val="center"/>
            <w:hideMark/>
          </w:tcPr>
          <w:p w14:paraId="029F943A" w14:textId="77777777" w:rsidR="00BC2D86" w:rsidRDefault="00BC2D86" w:rsidP="00495067">
            <w:pPr>
              <w:jc w:val="right"/>
              <w:rPr>
                <w:rFonts w:ascii="Calibri" w:hAnsi="Calibri" w:cs="Calibri"/>
                <w:i/>
                <w:color w:val="000000"/>
                <w:sz w:val="18"/>
                <w:szCs w:val="20"/>
              </w:rPr>
            </w:pPr>
            <w:r w:rsidRPr="00F62B6B">
              <w:rPr>
                <w:rFonts w:ascii="Calibri" w:hAnsi="Calibri" w:cs="Calibri"/>
                <w:i/>
                <w:color w:val="000000"/>
                <w:sz w:val="18"/>
                <w:szCs w:val="20"/>
              </w:rPr>
              <w:t>7,071,327</w:t>
            </w:r>
          </w:p>
        </w:tc>
        <w:tc>
          <w:tcPr>
            <w:tcW w:w="1800" w:type="dxa"/>
            <w:tcBorders>
              <w:top w:val="nil"/>
              <w:left w:val="nil"/>
              <w:bottom w:val="nil"/>
              <w:right w:val="single" w:sz="24" w:space="0" w:color="95B3D7"/>
            </w:tcBorders>
            <w:shd w:val="clear" w:color="auto" w:fill="FFFFFF"/>
            <w:noWrap/>
            <w:vAlign w:val="center"/>
            <w:hideMark/>
          </w:tcPr>
          <w:p w14:paraId="3F061CC8"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F62B6B">
              <w:rPr>
                <w:rFonts w:ascii="Calibri" w:hAnsi="Calibri" w:cs="Calibri"/>
                <w:i/>
                <w:color w:val="000000"/>
                <w:sz w:val="18"/>
                <w:szCs w:val="20"/>
              </w:rPr>
              <w:t>1,266,572</w:t>
            </w:r>
          </w:p>
        </w:tc>
      </w:tr>
      <w:tr w:rsidR="00BC2D86" w14:paraId="67F9E43D"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38DEE4F7" w14:textId="77777777" w:rsidR="00BC2D86" w:rsidRDefault="00BC2D86" w:rsidP="00495067">
            <w:pPr>
              <w:rPr>
                <w:rFonts w:ascii="Calibri" w:hAnsi="Calibri" w:cs="Calibri"/>
                <w:i/>
                <w:color w:val="000000"/>
                <w:sz w:val="18"/>
                <w:szCs w:val="20"/>
              </w:rPr>
            </w:pPr>
            <w:r>
              <w:rPr>
                <w:rFonts w:ascii="Calibri" w:hAnsi="Calibri" w:cs="Calibri"/>
                <w:i/>
                <w:color w:val="000000"/>
                <w:sz w:val="18"/>
                <w:szCs w:val="20"/>
              </w:rPr>
              <w:t>Shpenzimet</w:t>
            </w:r>
          </w:p>
        </w:tc>
        <w:tc>
          <w:tcPr>
            <w:tcW w:w="1751" w:type="dxa"/>
            <w:tcBorders>
              <w:top w:val="nil"/>
              <w:left w:val="nil"/>
              <w:bottom w:val="nil"/>
              <w:right w:val="nil"/>
            </w:tcBorders>
            <w:shd w:val="clear" w:color="auto" w:fill="FFFFFF"/>
            <w:noWrap/>
            <w:vAlign w:val="center"/>
            <w:hideMark/>
          </w:tcPr>
          <w:p w14:paraId="5A02AECC"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7C4783">
              <w:rPr>
                <w:rFonts w:ascii="Calibri" w:hAnsi="Calibri" w:cs="Calibri"/>
                <w:i/>
                <w:color w:val="000000"/>
                <w:sz w:val="18"/>
                <w:szCs w:val="20"/>
              </w:rPr>
              <w:t xml:space="preserve">5,670,231 </w:t>
            </w:r>
            <w:r>
              <w:rPr>
                <w:rFonts w:ascii="Calibri" w:hAnsi="Calibri" w:cs="Calibri"/>
                <w:i/>
                <w:color w:val="000000"/>
                <w:sz w:val="18"/>
                <w:szCs w:val="20"/>
              </w:rPr>
              <w:t xml:space="preserve"> </w:t>
            </w:r>
          </w:p>
        </w:tc>
        <w:tc>
          <w:tcPr>
            <w:tcW w:w="1745" w:type="dxa"/>
            <w:tcBorders>
              <w:top w:val="nil"/>
              <w:left w:val="nil"/>
              <w:bottom w:val="nil"/>
              <w:right w:val="nil"/>
            </w:tcBorders>
            <w:shd w:val="clear" w:color="auto" w:fill="FFFFFF"/>
            <w:noWrap/>
            <w:vAlign w:val="center"/>
            <w:hideMark/>
          </w:tcPr>
          <w:p w14:paraId="33F8A47F"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F62B6B">
              <w:rPr>
                <w:rFonts w:ascii="Calibri" w:hAnsi="Calibri" w:cs="Calibri"/>
                <w:i/>
                <w:color w:val="000000"/>
                <w:sz w:val="18"/>
                <w:szCs w:val="20"/>
              </w:rPr>
              <w:t>772,163</w:t>
            </w:r>
          </w:p>
        </w:tc>
        <w:tc>
          <w:tcPr>
            <w:tcW w:w="1800" w:type="dxa"/>
            <w:tcBorders>
              <w:top w:val="nil"/>
              <w:left w:val="nil"/>
              <w:bottom w:val="nil"/>
              <w:right w:val="nil"/>
            </w:tcBorders>
            <w:shd w:val="clear" w:color="auto" w:fill="FFFFFF"/>
            <w:vAlign w:val="center"/>
            <w:hideMark/>
          </w:tcPr>
          <w:p w14:paraId="64CB748D"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F62B6B">
              <w:rPr>
                <w:rFonts w:ascii="Calibri" w:hAnsi="Calibri" w:cs="Calibri"/>
                <w:i/>
                <w:color w:val="000000"/>
                <w:sz w:val="18"/>
                <w:szCs w:val="20"/>
              </w:rPr>
              <w:t>7,055,136</w:t>
            </w:r>
          </w:p>
        </w:tc>
        <w:tc>
          <w:tcPr>
            <w:tcW w:w="1800" w:type="dxa"/>
            <w:tcBorders>
              <w:top w:val="nil"/>
              <w:left w:val="nil"/>
              <w:bottom w:val="nil"/>
              <w:right w:val="single" w:sz="24" w:space="0" w:color="95B3D7"/>
            </w:tcBorders>
            <w:shd w:val="clear" w:color="auto" w:fill="FFFFFF"/>
            <w:noWrap/>
            <w:vAlign w:val="center"/>
            <w:hideMark/>
          </w:tcPr>
          <w:p w14:paraId="6C432BF2"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F62B6B">
              <w:rPr>
                <w:rFonts w:ascii="Calibri" w:hAnsi="Calibri" w:cs="Calibri"/>
                <w:i/>
                <w:color w:val="000000"/>
                <w:sz w:val="18"/>
                <w:szCs w:val="20"/>
              </w:rPr>
              <w:t>1,333,414</w:t>
            </w:r>
          </w:p>
        </w:tc>
      </w:tr>
      <w:tr w:rsidR="00BC2D86" w14:paraId="7E3B6899"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78B5E5C7" w14:textId="77777777" w:rsidR="00BC2D86" w:rsidRDefault="00BC2D86" w:rsidP="00495067">
            <w:pPr>
              <w:rPr>
                <w:rFonts w:ascii="Calibri" w:hAnsi="Calibri" w:cs="Calibri"/>
                <w:b/>
                <w:bCs/>
                <w:color w:val="000000"/>
                <w:sz w:val="20"/>
                <w:szCs w:val="20"/>
              </w:rPr>
            </w:pPr>
            <w:r>
              <w:rPr>
                <w:rFonts w:ascii="Calibri" w:hAnsi="Calibri" w:cs="Calibri"/>
                <w:b/>
                <w:bCs/>
                <w:color w:val="000000"/>
                <w:sz w:val="20"/>
                <w:szCs w:val="20"/>
              </w:rPr>
              <w:t>Humbje/Fitim</w:t>
            </w:r>
          </w:p>
        </w:tc>
        <w:tc>
          <w:tcPr>
            <w:tcW w:w="1751" w:type="dxa"/>
            <w:tcBorders>
              <w:top w:val="nil"/>
              <w:left w:val="nil"/>
              <w:bottom w:val="nil"/>
              <w:right w:val="nil"/>
            </w:tcBorders>
            <w:shd w:val="clear" w:color="auto" w:fill="FFFFFF"/>
            <w:noWrap/>
            <w:vAlign w:val="center"/>
            <w:hideMark/>
          </w:tcPr>
          <w:p w14:paraId="753CF987"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7C4783">
              <w:rPr>
                <w:rFonts w:ascii="Calibri" w:hAnsi="Calibri" w:cs="Calibri"/>
                <w:b/>
                <w:i/>
                <w:color w:val="C00000"/>
                <w:sz w:val="20"/>
                <w:szCs w:val="20"/>
              </w:rPr>
              <w:t>10,857</w:t>
            </w:r>
          </w:p>
        </w:tc>
        <w:tc>
          <w:tcPr>
            <w:tcW w:w="1745" w:type="dxa"/>
            <w:tcBorders>
              <w:top w:val="nil"/>
              <w:left w:val="nil"/>
              <w:bottom w:val="nil"/>
              <w:right w:val="nil"/>
            </w:tcBorders>
            <w:shd w:val="clear" w:color="auto" w:fill="FFFFFF"/>
            <w:noWrap/>
            <w:vAlign w:val="center"/>
            <w:hideMark/>
          </w:tcPr>
          <w:p w14:paraId="3F3DA229"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F62B6B">
              <w:rPr>
                <w:rFonts w:ascii="Calibri" w:hAnsi="Calibri" w:cs="Calibri"/>
                <w:b/>
                <w:i/>
                <w:color w:val="C00000"/>
                <w:sz w:val="20"/>
                <w:szCs w:val="20"/>
              </w:rPr>
              <w:t>205,521</w:t>
            </w:r>
          </w:p>
        </w:tc>
        <w:tc>
          <w:tcPr>
            <w:tcW w:w="1800" w:type="dxa"/>
            <w:tcBorders>
              <w:top w:val="nil"/>
              <w:left w:val="nil"/>
              <w:bottom w:val="nil"/>
              <w:right w:val="nil"/>
            </w:tcBorders>
            <w:shd w:val="clear" w:color="auto" w:fill="FFFFFF"/>
            <w:vAlign w:val="center"/>
            <w:hideMark/>
          </w:tcPr>
          <w:p w14:paraId="3A82CAF3"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F62B6B">
              <w:rPr>
                <w:rFonts w:ascii="Calibri" w:hAnsi="Calibri" w:cs="Calibri"/>
                <w:b/>
                <w:i/>
                <w:color w:val="C00000"/>
                <w:sz w:val="20"/>
                <w:szCs w:val="20"/>
              </w:rPr>
              <w:t>16,191</w:t>
            </w:r>
          </w:p>
        </w:tc>
        <w:tc>
          <w:tcPr>
            <w:tcW w:w="1800" w:type="dxa"/>
            <w:tcBorders>
              <w:top w:val="nil"/>
              <w:left w:val="nil"/>
              <w:bottom w:val="nil"/>
              <w:right w:val="single" w:sz="24" w:space="0" w:color="95B3D7"/>
            </w:tcBorders>
            <w:shd w:val="clear" w:color="auto" w:fill="FFFFFF"/>
            <w:noWrap/>
            <w:vAlign w:val="center"/>
            <w:hideMark/>
          </w:tcPr>
          <w:p w14:paraId="46B08DC4"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F62B6B">
              <w:rPr>
                <w:rFonts w:ascii="Calibri" w:hAnsi="Calibri" w:cs="Calibri"/>
                <w:b/>
                <w:i/>
                <w:color w:val="C00000"/>
                <w:sz w:val="20"/>
                <w:szCs w:val="20"/>
              </w:rPr>
              <w:t>(66,842)</w:t>
            </w:r>
          </w:p>
        </w:tc>
      </w:tr>
      <w:tr w:rsidR="00BC2D86" w14:paraId="3BCA87DC"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4828B1F6" w14:textId="77777777" w:rsidR="00BC2D86" w:rsidRDefault="00BC2D86" w:rsidP="00495067">
            <w:pPr>
              <w:rPr>
                <w:rFonts w:ascii="Calibri" w:hAnsi="Calibri" w:cs="Calibri"/>
                <w:i/>
                <w:color w:val="000000"/>
                <w:sz w:val="18"/>
                <w:szCs w:val="20"/>
              </w:rPr>
            </w:pPr>
            <w:r>
              <w:rPr>
                <w:rFonts w:ascii="Calibri" w:hAnsi="Calibri" w:cs="Calibri"/>
                <w:i/>
                <w:color w:val="000000"/>
                <w:sz w:val="18"/>
                <w:szCs w:val="20"/>
              </w:rPr>
              <w:t>Aktivet Afatshkurtra</w:t>
            </w:r>
          </w:p>
        </w:tc>
        <w:tc>
          <w:tcPr>
            <w:tcW w:w="1751" w:type="dxa"/>
            <w:tcBorders>
              <w:top w:val="nil"/>
              <w:left w:val="nil"/>
              <w:bottom w:val="nil"/>
              <w:right w:val="nil"/>
            </w:tcBorders>
            <w:shd w:val="clear" w:color="auto" w:fill="FFFFFF"/>
            <w:noWrap/>
            <w:vAlign w:val="center"/>
            <w:hideMark/>
          </w:tcPr>
          <w:p w14:paraId="5C401849"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7C4783">
              <w:rPr>
                <w:rFonts w:ascii="Calibri" w:hAnsi="Calibri" w:cs="Calibri"/>
                <w:i/>
                <w:color w:val="000000"/>
                <w:sz w:val="18"/>
                <w:szCs w:val="20"/>
              </w:rPr>
              <w:t xml:space="preserve">20,938,964 </w:t>
            </w:r>
            <w:r>
              <w:rPr>
                <w:rFonts w:ascii="Calibri" w:hAnsi="Calibri" w:cs="Calibri"/>
                <w:i/>
                <w:color w:val="000000"/>
                <w:sz w:val="18"/>
                <w:szCs w:val="20"/>
              </w:rPr>
              <w:t xml:space="preserve"> </w:t>
            </w:r>
          </w:p>
        </w:tc>
        <w:tc>
          <w:tcPr>
            <w:tcW w:w="1745" w:type="dxa"/>
            <w:tcBorders>
              <w:top w:val="nil"/>
              <w:left w:val="nil"/>
              <w:bottom w:val="nil"/>
              <w:right w:val="nil"/>
            </w:tcBorders>
            <w:shd w:val="clear" w:color="auto" w:fill="FFFFFF"/>
            <w:noWrap/>
            <w:vAlign w:val="center"/>
            <w:hideMark/>
          </w:tcPr>
          <w:p w14:paraId="21F09445"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p>
        </w:tc>
        <w:tc>
          <w:tcPr>
            <w:tcW w:w="1800" w:type="dxa"/>
            <w:tcBorders>
              <w:top w:val="nil"/>
              <w:left w:val="nil"/>
              <w:bottom w:val="nil"/>
              <w:right w:val="nil"/>
            </w:tcBorders>
            <w:shd w:val="clear" w:color="auto" w:fill="FFFFFF"/>
            <w:vAlign w:val="center"/>
            <w:hideMark/>
          </w:tcPr>
          <w:p w14:paraId="2574D630"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F62B6B">
              <w:rPr>
                <w:rFonts w:ascii="Calibri" w:hAnsi="Calibri" w:cs="Calibri"/>
                <w:i/>
                <w:color w:val="000000"/>
                <w:sz w:val="18"/>
                <w:szCs w:val="20"/>
              </w:rPr>
              <w:t xml:space="preserve">20,710,435 </w:t>
            </w:r>
            <w:r>
              <w:rPr>
                <w:rFonts w:ascii="Calibri" w:hAnsi="Calibri" w:cs="Calibri"/>
                <w:i/>
                <w:color w:val="000000"/>
                <w:sz w:val="18"/>
                <w:szCs w:val="20"/>
              </w:rPr>
              <w:t xml:space="preserve"> </w:t>
            </w:r>
          </w:p>
        </w:tc>
        <w:tc>
          <w:tcPr>
            <w:tcW w:w="1800" w:type="dxa"/>
            <w:tcBorders>
              <w:top w:val="nil"/>
              <w:left w:val="nil"/>
              <w:bottom w:val="nil"/>
              <w:right w:val="single" w:sz="24" w:space="0" w:color="95B3D7"/>
            </w:tcBorders>
            <w:shd w:val="clear" w:color="auto" w:fill="FFFFFF"/>
            <w:noWrap/>
            <w:vAlign w:val="center"/>
            <w:hideMark/>
          </w:tcPr>
          <w:p w14:paraId="0E49AEFB"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p>
        </w:tc>
      </w:tr>
      <w:tr w:rsidR="00BC2D86" w14:paraId="631C8138"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63CAD0FF" w14:textId="77777777" w:rsidR="00BC2D86" w:rsidRDefault="00BC2D86" w:rsidP="00495067">
            <w:pPr>
              <w:rPr>
                <w:rFonts w:ascii="Calibri" w:hAnsi="Calibri" w:cs="Calibri"/>
                <w:i/>
                <w:color w:val="000000"/>
                <w:sz w:val="18"/>
                <w:szCs w:val="20"/>
              </w:rPr>
            </w:pPr>
            <w:r>
              <w:rPr>
                <w:rFonts w:ascii="Calibri" w:hAnsi="Calibri" w:cs="Calibri"/>
                <w:i/>
                <w:color w:val="000000"/>
                <w:sz w:val="18"/>
                <w:szCs w:val="20"/>
              </w:rPr>
              <w:t>Aktivet Afatgjata</w:t>
            </w:r>
          </w:p>
        </w:tc>
        <w:tc>
          <w:tcPr>
            <w:tcW w:w="1751" w:type="dxa"/>
            <w:tcBorders>
              <w:top w:val="nil"/>
              <w:left w:val="nil"/>
              <w:bottom w:val="nil"/>
              <w:right w:val="nil"/>
            </w:tcBorders>
            <w:shd w:val="clear" w:color="auto" w:fill="FFFFFF"/>
            <w:noWrap/>
            <w:vAlign w:val="center"/>
            <w:hideMark/>
          </w:tcPr>
          <w:p w14:paraId="76C0AAD0"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7C4783">
              <w:rPr>
                <w:rFonts w:ascii="Calibri" w:hAnsi="Calibri" w:cs="Calibri"/>
                <w:i/>
                <w:color w:val="000000"/>
                <w:sz w:val="18"/>
                <w:szCs w:val="20"/>
              </w:rPr>
              <w:t xml:space="preserve">31,183,356 </w:t>
            </w:r>
            <w:r>
              <w:rPr>
                <w:rFonts w:ascii="Calibri" w:hAnsi="Calibri" w:cs="Calibri"/>
                <w:i/>
                <w:color w:val="000000"/>
                <w:sz w:val="18"/>
                <w:szCs w:val="20"/>
              </w:rPr>
              <w:t xml:space="preserve"> </w:t>
            </w:r>
          </w:p>
        </w:tc>
        <w:tc>
          <w:tcPr>
            <w:tcW w:w="1745" w:type="dxa"/>
            <w:tcBorders>
              <w:top w:val="nil"/>
              <w:left w:val="nil"/>
              <w:bottom w:val="nil"/>
              <w:right w:val="nil"/>
            </w:tcBorders>
            <w:shd w:val="clear" w:color="auto" w:fill="FFFFFF"/>
            <w:noWrap/>
            <w:vAlign w:val="center"/>
            <w:hideMark/>
          </w:tcPr>
          <w:p w14:paraId="5865E825"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p>
        </w:tc>
        <w:tc>
          <w:tcPr>
            <w:tcW w:w="1800" w:type="dxa"/>
            <w:tcBorders>
              <w:top w:val="nil"/>
              <w:left w:val="nil"/>
              <w:bottom w:val="nil"/>
              <w:right w:val="nil"/>
            </w:tcBorders>
            <w:shd w:val="clear" w:color="auto" w:fill="FFFFFF"/>
            <w:vAlign w:val="center"/>
            <w:hideMark/>
          </w:tcPr>
          <w:p w14:paraId="5887B393"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F62B6B">
              <w:rPr>
                <w:rFonts w:ascii="Calibri" w:hAnsi="Calibri" w:cs="Calibri"/>
                <w:i/>
                <w:color w:val="000000"/>
                <w:sz w:val="18"/>
                <w:szCs w:val="20"/>
              </w:rPr>
              <w:t xml:space="preserve">30,982,944 </w:t>
            </w:r>
            <w:r>
              <w:rPr>
                <w:rFonts w:ascii="Calibri" w:hAnsi="Calibri" w:cs="Calibri"/>
                <w:i/>
                <w:color w:val="000000"/>
                <w:sz w:val="18"/>
                <w:szCs w:val="20"/>
              </w:rPr>
              <w:t xml:space="preserve"> </w:t>
            </w:r>
          </w:p>
        </w:tc>
        <w:tc>
          <w:tcPr>
            <w:tcW w:w="1800" w:type="dxa"/>
            <w:tcBorders>
              <w:top w:val="nil"/>
              <w:left w:val="nil"/>
              <w:bottom w:val="nil"/>
              <w:right w:val="single" w:sz="24" w:space="0" w:color="95B3D7"/>
            </w:tcBorders>
            <w:shd w:val="clear" w:color="auto" w:fill="FFFFFF"/>
            <w:noWrap/>
            <w:vAlign w:val="center"/>
            <w:hideMark/>
          </w:tcPr>
          <w:p w14:paraId="6900E9F6"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 </w:t>
            </w:r>
          </w:p>
        </w:tc>
      </w:tr>
      <w:tr w:rsidR="00BC2D86" w14:paraId="0A16E5BA"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57962F0A" w14:textId="77777777" w:rsidR="00BC2D86" w:rsidRDefault="00BC2D86" w:rsidP="00495067">
            <w:pPr>
              <w:rPr>
                <w:rFonts w:ascii="Calibri" w:hAnsi="Calibri" w:cs="Calibri"/>
                <w:b/>
                <w:bCs/>
                <w:color w:val="000000"/>
                <w:sz w:val="20"/>
                <w:szCs w:val="20"/>
              </w:rPr>
            </w:pPr>
            <w:r>
              <w:rPr>
                <w:rFonts w:ascii="Calibri" w:hAnsi="Calibri" w:cs="Calibri"/>
                <w:b/>
                <w:bCs/>
                <w:color w:val="000000"/>
                <w:sz w:val="20"/>
                <w:szCs w:val="20"/>
              </w:rPr>
              <w:t>Total Aktive</w:t>
            </w:r>
          </w:p>
        </w:tc>
        <w:tc>
          <w:tcPr>
            <w:tcW w:w="1751" w:type="dxa"/>
            <w:tcBorders>
              <w:top w:val="nil"/>
              <w:left w:val="nil"/>
              <w:bottom w:val="nil"/>
              <w:right w:val="nil"/>
            </w:tcBorders>
            <w:shd w:val="clear" w:color="auto" w:fill="FFFFFF"/>
            <w:noWrap/>
            <w:vAlign w:val="center"/>
            <w:hideMark/>
          </w:tcPr>
          <w:p w14:paraId="3797697A"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7C4783">
              <w:rPr>
                <w:rFonts w:ascii="Calibri" w:hAnsi="Calibri" w:cs="Calibri"/>
                <w:b/>
                <w:i/>
                <w:color w:val="C00000"/>
                <w:sz w:val="20"/>
                <w:szCs w:val="20"/>
              </w:rPr>
              <w:t xml:space="preserve">52,122,320 </w:t>
            </w:r>
            <w:r>
              <w:rPr>
                <w:rFonts w:ascii="Calibri" w:hAnsi="Calibri" w:cs="Calibri"/>
                <w:b/>
                <w:i/>
                <w:color w:val="C00000"/>
                <w:sz w:val="20"/>
                <w:szCs w:val="20"/>
              </w:rPr>
              <w:t xml:space="preserve"> </w:t>
            </w:r>
          </w:p>
        </w:tc>
        <w:tc>
          <w:tcPr>
            <w:tcW w:w="1745" w:type="dxa"/>
            <w:tcBorders>
              <w:top w:val="nil"/>
              <w:left w:val="nil"/>
              <w:bottom w:val="nil"/>
              <w:right w:val="nil"/>
            </w:tcBorders>
            <w:shd w:val="clear" w:color="auto" w:fill="FFFFFF"/>
            <w:noWrap/>
            <w:vAlign w:val="center"/>
            <w:hideMark/>
          </w:tcPr>
          <w:p w14:paraId="46B634CD"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p>
        </w:tc>
        <w:tc>
          <w:tcPr>
            <w:tcW w:w="1800" w:type="dxa"/>
            <w:tcBorders>
              <w:top w:val="nil"/>
              <w:left w:val="nil"/>
              <w:bottom w:val="nil"/>
              <w:right w:val="nil"/>
            </w:tcBorders>
            <w:shd w:val="clear" w:color="auto" w:fill="FFFFFF"/>
            <w:vAlign w:val="center"/>
            <w:hideMark/>
          </w:tcPr>
          <w:p w14:paraId="57148140"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F62B6B">
              <w:rPr>
                <w:rFonts w:ascii="Calibri" w:hAnsi="Calibri" w:cs="Calibri"/>
                <w:b/>
                <w:i/>
                <w:color w:val="C00000"/>
                <w:sz w:val="20"/>
                <w:szCs w:val="20"/>
              </w:rPr>
              <w:t xml:space="preserve">51,693,379 </w:t>
            </w:r>
            <w:r>
              <w:rPr>
                <w:rFonts w:ascii="Calibri" w:hAnsi="Calibri" w:cs="Calibri"/>
                <w:b/>
                <w:i/>
                <w:color w:val="C00000"/>
                <w:sz w:val="20"/>
                <w:szCs w:val="20"/>
              </w:rPr>
              <w:t xml:space="preserve"> </w:t>
            </w:r>
          </w:p>
        </w:tc>
        <w:tc>
          <w:tcPr>
            <w:tcW w:w="1800" w:type="dxa"/>
            <w:tcBorders>
              <w:top w:val="nil"/>
              <w:left w:val="nil"/>
              <w:bottom w:val="nil"/>
              <w:right w:val="single" w:sz="24" w:space="0" w:color="95B3D7"/>
            </w:tcBorders>
            <w:shd w:val="clear" w:color="auto" w:fill="FFFFFF"/>
            <w:noWrap/>
            <w:vAlign w:val="center"/>
            <w:hideMark/>
          </w:tcPr>
          <w:p w14:paraId="48AF59DA"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p>
        </w:tc>
      </w:tr>
      <w:tr w:rsidR="00BC2D86" w14:paraId="2C87BB39"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2B77C8C5" w14:textId="77777777" w:rsidR="00BC2D86" w:rsidRDefault="00BC2D86" w:rsidP="00495067">
            <w:pPr>
              <w:rPr>
                <w:rFonts w:ascii="Calibri" w:hAnsi="Calibri" w:cs="Calibri"/>
                <w:i/>
                <w:color w:val="000000"/>
                <w:sz w:val="18"/>
                <w:szCs w:val="20"/>
              </w:rPr>
            </w:pPr>
            <w:r>
              <w:rPr>
                <w:rFonts w:ascii="Calibri" w:hAnsi="Calibri" w:cs="Calibri"/>
                <w:i/>
                <w:color w:val="000000"/>
                <w:sz w:val="18"/>
                <w:szCs w:val="20"/>
              </w:rPr>
              <w:t>Detyrimet Afatshkurtra</w:t>
            </w:r>
          </w:p>
        </w:tc>
        <w:tc>
          <w:tcPr>
            <w:tcW w:w="1751" w:type="dxa"/>
            <w:tcBorders>
              <w:top w:val="nil"/>
              <w:left w:val="nil"/>
              <w:bottom w:val="nil"/>
              <w:right w:val="nil"/>
            </w:tcBorders>
            <w:shd w:val="clear" w:color="auto" w:fill="FFFFFF"/>
            <w:noWrap/>
            <w:vAlign w:val="center"/>
            <w:hideMark/>
          </w:tcPr>
          <w:p w14:paraId="2D5DE9E3"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F62B6B">
              <w:rPr>
                <w:rFonts w:ascii="Calibri" w:hAnsi="Calibri" w:cs="Calibri"/>
                <w:i/>
                <w:color w:val="000000"/>
                <w:sz w:val="18"/>
                <w:szCs w:val="20"/>
              </w:rPr>
              <w:t>14,001,695</w:t>
            </w:r>
          </w:p>
        </w:tc>
        <w:tc>
          <w:tcPr>
            <w:tcW w:w="1745" w:type="dxa"/>
            <w:tcBorders>
              <w:top w:val="nil"/>
              <w:left w:val="nil"/>
              <w:bottom w:val="nil"/>
              <w:right w:val="nil"/>
            </w:tcBorders>
            <w:shd w:val="clear" w:color="auto" w:fill="FFFFFF"/>
            <w:noWrap/>
            <w:vAlign w:val="center"/>
            <w:hideMark/>
          </w:tcPr>
          <w:p w14:paraId="06E26569"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 </w:t>
            </w:r>
          </w:p>
        </w:tc>
        <w:tc>
          <w:tcPr>
            <w:tcW w:w="1800" w:type="dxa"/>
            <w:tcBorders>
              <w:top w:val="nil"/>
              <w:left w:val="nil"/>
              <w:bottom w:val="nil"/>
              <w:right w:val="nil"/>
            </w:tcBorders>
            <w:shd w:val="clear" w:color="auto" w:fill="FFFFFF"/>
            <w:vAlign w:val="center"/>
            <w:hideMark/>
          </w:tcPr>
          <w:p w14:paraId="36592C9C"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F62B6B">
              <w:rPr>
                <w:rFonts w:ascii="Calibri" w:hAnsi="Calibri" w:cs="Calibri"/>
                <w:i/>
                <w:color w:val="000000"/>
                <w:sz w:val="18"/>
                <w:szCs w:val="20"/>
              </w:rPr>
              <w:t>15,587,098</w:t>
            </w:r>
          </w:p>
        </w:tc>
        <w:tc>
          <w:tcPr>
            <w:tcW w:w="1800" w:type="dxa"/>
            <w:tcBorders>
              <w:top w:val="nil"/>
              <w:left w:val="nil"/>
              <w:bottom w:val="nil"/>
              <w:right w:val="single" w:sz="24" w:space="0" w:color="95B3D7"/>
            </w:tcBorders>
            <w:shd w:val="clear" w:color="auto" w:fill="FFFFFF"/>
            <w:noWrap/>
            <w:vAlign w:val="center"/>
            <w:hideMark/>
          </w:tcPr>
          <w:p w14:paraId="161130BF"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p>
        </w:tc>
      </w:tr>
      <w:tr w:rsidR="00BC2D86" w14:paraId="25472018"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6E263725" w14:textId="77777777" w:rsidR="00BC2D86" w:rsidRDefault="00BC2D86" w:rsidP="00495067">
            <w:pPr>
              <w:rPr>
                <w:rFonts w:ascii="Calibri" w:hAnsi="Calibri" w:cs="Calibri"/>
                <w:i/>
                <w:color w:val="000000"/>
                <w:sz w:val="18"/>
                <w:szCs w:val="20"/>
              </w:rPr>
            </w:pPr>
            <w:r>
              <w:rPr>
                <w:rFonts w:ascii="Calibri" w:hAnsi="Calibri" w:cs="Calibri"/>
                <w:i/>
                <w:color w:val="000000"/>
                <w:sz w:val="18"/>
                <w:szCs w:val="20"/>
              </w:rPr>
              <w:t>Detyrimet Afatgjata</w:t>
            </w:r>
          </w:p>
        </w:tc>
        <w:tc>
          <w:tcPr>
            <w:tcW w:w="1751" w:type="dxa"/>
            <w:tcBorders>
              <w:top w:val="nil"/>
              <w:left w:val="nil"/>
              <w:bottom w:val="nil"/>
              <w:right w:val="nil"/>
            </w:tcBorders>
            <w:shd w:val="clear" w:color="auto" w:fill="FFFFFF"/>
            <w:noWrap/>
            <w:vAlign w:val="center"/>
            <w:hideMark/>
          </w:tcPr>
          <w:p w14:paraId="4B1E848C"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F62B6B">
              <w:rPr>
                <w:rFonts w:ascii="Calibri" w:hAnsi="Calibri" w:cs="Calibri"/>
                <w:i/>
                <w:color w:val="000000"/>
                <w:sz w:val="18"/>
                <w:szCs w:val="20"/>
              </w:rPr>
              <w:t xml:space="preserve">625,655 </w:t>
            </w:r>
            <w:r>
              <w:rPr>
                <w:rFonts w:ascii="Calibri" w:hAnsi="Calibri" w:cs="Calibri"/>
                <w:i/>
                <w:color w:val="000000"/>
                <w:sz w:val="18"/>
                <w:szCs w:val="20"/>
              </w:rPr>
              <w:t xml:space="preserve"> </w:t>
            </w:r>
          </w:p>
        </w:tc>
        <w:tc>
          <w:tcPr>
            <w:tcW w:w="1745" w:type="dxa"/>
            <w:tcBorders>
              <w:top w:val="nil"/>
              <w:left w:val="nil"/>
              <w:bottom w:val="nil"/>
              <w:right w:val="nil"/>
            </w:tcBorders>
            <w:shd w:val="clear" w:color="auto" w:fill="FFFFFF"/>
            <w:noWrap/>
            <w:vAlign w:val="center"/>
            <w:hideMark/>
          </w:tcPr>
          <w:p w14:paraId="6CCFBD4F"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 </w:t>
            </w:r>
          </w:p>
        </w:tc>
        <w:tc>
          <w:tcPr>
            <w:tcW w:w="1800" w:type="dxa"/>
            <w:tcBorders>
              <w:top w:val="nil"/>
              <w:left w:val="nil"/>
              <w:bottom w:val="nil"/>
              <w:right w:val="nil"/>
            </w:tcBorders>
            <w:shd w:val="clear" w:color="auto" w:fill="FFFFFF"/>
            <w:vAlign w:val="center"/>
            <w:hideMark/>
          </w:tcPr>
          <w:p w14:paraId="789E605B"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r w:rsidRPr="00F62B6B">
              <w:rPr>
                <w:rFonts w:ascii="Calibri" w:hAnsi="Calibri" w:cs="Calibri"/>
                <w:i/>
                <w:color w:val="000000"/>
                <w:sz w:val="18"/>
                <w:szCs w:val="20"/>
              </w:rPr>
              <w:t xml:space="preserve">807,530 </w:t>
            </w:r>
            <w:r>
              <w:rPr>
                <w:rFonts w:ascii="Calibri" w:hAnsi="Calibri" w:cs="Calibri"/>
                <w:i/>
                <w:color w:val="000000"/>
                <w:sz w:val="18"/>
                <w:szCs w:val="20"/>
              </w:rPr>
              <w:t xml:space="preserve"> </w:t>
            </w:r>
          </w:p>
        </w:tc>
        <w:tc>
          <w:tcPr>
            <w:tcW w:w="1800" w:type="dxa"/>
            <w:tcBorders>
              <w:top w:val="nil"/>
              <w:left w:val="nil"/>
              <w:bottom w:val="nil"/>
              <w:right w:val="single" w:sz="24" w:space="0" w:color="95B3D7"/>
            </w:tcBorders>
            <w:shd w:val="clear" w:color="auto" w:fill="FFFFFF"/>
            <w:noWrap/>
            <w:vAlign w:val="center"/>
            <w:hideMark/>
          </w:tcPr>
          <w:p w14:paraId="6EE3692F" w14:textId="77777777" w:rsidR="00BC2D86" w:rsidRDefault="00BC2D86" w:rsidP="00495067">
            <w:pPr>
              <w:jc w:val="right"/>
              <w:rPr>
                <w:rFonts w:ascii="Calibri" w:hAnsi="Calibri" w:cs="Calibri"/>
                <w:i/>
                <w:color w:val="000000"/>
                <w:sz w:val="18"/>
                <w:szCs w:val="20"/>
              </w:rPr>
            </w:pPr>
            <w:r>
              <w:rPr>
                <w:rFonts w:ascii="Calibri" w:hAnsi="Calibri" w:cs="Calibri"/>
                <w:i/>
                <w:color w:val="000000"/>
                <w:sz w:val="18"/>
                <w:szCs w:val="20"/>
              </w:rPr>
              <w:t xml:space="preserve">           -</w:t>
            </w:r>
          </w:p>
        </w:tc>
      </w:tr>
      <w:tr w:rsidR="00BC2D86" w14:paraId="3EC790CC"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34A7017A" w14:textId="77777777" w:rsidR="00BC2D86" w:rsidRDefault="00BC2D86" w:rsidP="00495067">
            <w:pPr>
              <w:rPr>
                <w:rFonts w:ascii="Calibri" w:hAnsi="Calibri" w:cs="Calibri"/>
                <w:b/>
                <w:bCs/>
                <w:color w:val="000000"/>
                <w:sz w:val="20"/>
                <w:szCs w:val="20"/>
              </w:rPr>
            </w:pPr>
            <w:r>
              <w:rPr>
                <w:rFonts w:ascii="Calibri" w:hAnsi="Calibri" w:cs="Calibri"/>
                <w:b/>
                <w:bCs/>
                <w:color w:val="000000"/>
                <w:sz w:val="20"/>
                <w:szCs w:val="20"/>
              </w:rPr>
              <w:t>Total Detyrime</w:t>
            </w:r>
          </w:p>
        </w:tc>
        <w:tc>
          <w:tcPr>
            <w:tcW w:w="1751" w:type="dxa"/>
            <w:tcBorders>
              <w:top w:val="nil"/>
              <w:left w:val="nil"/>
              <w:bottom w:val="nil"/>
              <w:right w:val="nil"/>
            </w:tcBorders>
            <w:shd w:val="clear" w:color="auto" w:fill="FFFFFF"/>
            <w:noWrap/>
            <w:vAlign w:val="center"/>
            <w:hideMark/>
          </w:tcPr>
          <w:p w14:paraId="05F0671C"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F62B6B">
              <w:rPr>
                <w:rFonts w:ascii="Calibri" w:hAnsi="Calibri" w:cs="Calibri"/>
                <w:b/>
                <w:i/>
                <w:color w:val="C00000"/>
                <w:sz w:val="20"/>
                <w:szCs w:val="20"/>
              </w:rPr>
              <w:t xml:space="preserve">14,627,350 </w:t>
            </w:r>
            <w:r>
              <w:rPr>
                <w:rFonts w:ascii="Calibri" w:hAnsi="Calibri" w:cs="Calibri"/>
                <w:b/>
                <w:i/>
                <w:color w:val="C00000"/>
                <w:sz w:val="20"/>
                <w:szCs w:val="20"/>
              </w:rPr>
              <w:t xml:space="preserve"> </w:t>
            </w:r>
          </w:p>
        </w:tc>
        <w:tc>
          <w:tcPr>
            <w:tcW w:w="1745" w:type="dxa"/>
            <w:tcBorders>
              <w:top w:val="nil"/>
              <w:left w:val="nil"/>
              <w:bottom w:val="nil"/>
              <w:right w:val="nil"/>
            </w:tcBorders>
            <w:shd w:val="clear" w:color="auto" w:fill="FFFFFF"/>
            <w:noWrap/>
            <w:vAlign w:val="center"/>
            <w:hideMark/>
          </w:tcPr>
          <w:p w14:paraId="72B06314"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p>
        </w:tc>
        <w:tc>
          <w:tcPr>
            <w:tcW w:w="1800" w:type="dxa"/>
            <w:tcBorders>
              <w:top w:val="nil"/>
              <w:left w:val="nil"/>
              <w:bottom w:val="nil"/>
              <w:right w:val="nil"/>
            </w:tcBorders>
            <w:shd w:val="clear" w:color="auto" w:fill="FFFFFF"/>
            <w:vAlign w:val="center"/>
            <w:hideMark/>
          </w:tcPr>
          <w:p w14:paraId="73D5E229"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F62B6B">
              <w:rPr>
                <w:rFonts w:ascii="Calibri" w:hAnsi="Calibri" w:cs="Calibri"/>
                <w:b/>
                <w:i/>
                <w:color w:val="C00000"/>
                <w:sz w:val="20"/>
                <w:szCs w:val="20"/>
              </w:rPr>
              <w:t>16,394,628</w:t>
            </w:r>
          </w:p>
        </w:tc>
        <w:tc>
          <w:tcPr>
            <w:tcW w:w="1800" w:type="dxa"/>
            <w:tcBorders>
              <w:top w:val="nil"/>
              <w:left w:val="nil"/>
              <w:bottom w:val="nil"/>
              <w:right w:val="single" w:sz="24" w:space="0" w:color="95B3D7"/>
            </w:tcBorders>
            <w:shd w:val="clear" w:color="auto" w:fill="FFFFFF"/>
            <w:noWrap/>
            <w:vAlign w:val="center"/>
            <w:hideMark/>
          </w:tcPr>
          <w:p w14:paraId="6F522E4F"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p>
        </w:tc>
      </w:tr>
      <w:tr w:rsidR="00BC2D86" w14:paraId="6EB22FA1" w14:textId="77777777" w:rsidTr="00495067">
        <w:trPr>
          <w:trHeight w:val="240"/>
          <w:jc w:val="center"/>
        </w:trPr>
        <w:tc>
          <w:tcPr>
            <w:tcW w:w="1920" w:type="dxa"/>
            <w:tcBorders>
              <w:top w:val="nil"/>
              <w:left w:val="single" w:sz="24" w:space="0" w:color="95B3D7"/>
              <w:bottom w:val="single" w:sz="24" w:space="0" w:color="95B3D7"/>
              <w:right w:val="nil"/>
            </w:tcBorders>
            <w:shd w:val="clear" w:color="auto" w:fill="FFFFFF"/>
            <w:noWrap/>
            <w:vAlign w:val="center"/>
            <w:hideMark/>
          </w:tcPr>
          <w:p w14:paraId="090AC4F2" w14:textId="77777777" w:rsidR="00BC2D86" w:rsidRDefault="00BC2D86" w:rsidP="00495067">
            <w:pPr>
              <w:rPr>
                <w:rFonts w:ascii="Calibri" w:hAnsi="Calibri" w:cs="Calibri"/>
                <w:b/>
                <w:bCs/>
                <w:color w:val="000000"/>
                <w:sz w:val="20"/>
                <w:szCs w:val="20"/>
              </w:rPr>
            </w:pPr>
            <w:r>
              <w:rPr>
                <w:rFonts w:ascii="Calibri" w:hAnsi="Calibri" w:cs="Calibri"/>
                <w:b/>
                <w:bCs/>
                <w:color w:val="000000"/>
                <w:sz w:val="20"/>
                <w:szCs w:val="20"/>
              </w:rPr>
              <w:t>Kapital</w:t>
            </w:r>
          </w:p>
        </w:tc>
        <w:tc>
          <w:tcPr>
            <w:tcW w:w="1751" w:type="dxa"/>
            <w:tcBorders>
              <w:top w:val="nil"/>
              <w:left w:val="nil"/>
              <w:bottom w:val="single" w:sz="24" w:space="0" w:color="95B3D7"/>
              <w:right w:val="nil"/>
            </w:tcBorders>
            <w:shd w:val="clear" w:color="auto" w:fill="FFFFFF"/>
            <w:noWrap/>
            <w:vAlign w:val="center"/>
            <w:hideMark/>
          </w:tcPr>
          <w:p w14:paraId="7D321B6D"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F62B6B">
              <w:rPr>
                <w:rFonts w:ascii="Calibri" w:hAnsi="Calibri" w:cs="Calibri"/>
                <w:b/>
                <w:i/>
                <w:color w:val="C00000"/>
                <w:sz w:val="20"/>
                <w:szCs w:val="20"/>
              </w:rPr>
              <w:t>37,494,970</w:t>
            </w:r>
          </w:p>
        </w:tc>
        <w:tc>
          <w:tcPr>
            <w:tcW w:w="1745" w:type="dxa"/>
            <w:tcBorders>
              <w:top w:val="nil"/>
              <w:left w:val="nil"/>
              <w:bottom w:val="single" w:sz="24" w:space="0" w:color="95B3D7"/>
              <w:right w:val="nil"/>
            </w:tcBorders>
            <w:shd w:val="clear" w:color="auto" w:fill="FFFFFF"/>
            <w:noWrap/>
            <w:vAlign w:val="center"/>
            <w:hideMark/>
          </w:tcPr>
          <w:p w14:paraId="0653288D"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 </w:t>
            </w:r>
          </w:p>
        </w:tc>
        <w:tc>
          <w:tcPr>
            <w:tcW w:w="1800" w:type="dxa"/>
            <w:tcBorders>
              <w:top w:val="nil"/>
              <w:left w:val="nil"/>
              <w:bottom w:val="single" w:sz="24" w:space="0" w:color="95B3D7"/>
              <w:right w:val="nil"/>
            </w:tcBorders>
            <w:shd w:val="clear" w:color="auto" w:fill="FFFFFF"/>
            <w:vAlign w:val="center"/>
            <w:hideMark/>
          </w:tcPr>
          <w:p w14:paraId="3F4757C1"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F62B6B">
              <w:rPr>
                <w:rFonts w:ascii="Calibri" w:hAnsi="Calibri" w:cs="Calibri"/>
                <w:b/>
                <w:i/>
                <w:color w:val="C00000"/>
                <w:sz w:val="20"/>
                <w:szCs w:val="20"/>
              </w:rPr>
              <w:t>35,298,751</w:t>
            </w:r>
          </w:p>
        </w:tc>
        <w:tc>
          <w:tcPr>
            <w:tcW w:w="1800" w:type="dxa"/>
            <w:tcBorders>
              <w:top w:val="nil"/>
              <w:left w:val="nil"/>
              <w:bottom w:val="single" w:sz="24" w:space="0" w:color="95B3D7"/>
              <w:right w:val="single" w:sz="24" w:space="0" w:color="95B3D7"/>
            </w:tcBorders>
            <w:shd w:val="clear" w:color="auto" w:fill="FFFFFF"/>
            <w:noWrap/>
            <w:vAlign w:val="center"/>
            <w:hideMark/>
          </w:tcPr>
          <w:p w14:paraId="2EFE593C" w14:textId="77777777" w:rsidR="00BC2D86" w:rsidRDefault="00BC2D86"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p>
        </w:tc>
      </w:tr>
    </w:tbl>
    <w:p w14:paraId="44DA35B7" w14:textId="77777777" w:rsidR="00BC2D86" w:rsidRPr="002C6CED" w:rsidRDefault="00BC2D86" w:rsidP="00BC2D86">
      <w:pPr>
        <w:spacing w:before="240" w:line="360" w:lineRule="auto"/>
        <w:ind w:firstLine="360"/>
        <w:contextualSpacing/>
        <w:jc w:val="both"/>
        <w:rPr>
          <w:rFonts w:ascii="Calibri" w:hAnsi="Calibri"/>
          <w:i/>
          <w:sz w:val="20"/>
          <w:szCs w:val="20"/>
          <w:lang w:val="sq-AL"/>
        </w:rPr>
      </w:pPr>
      <w:r>
        <w:fldChar w:fldCharType="end"/>
      </w:r>
      <w:r>
        <w:rPr>
          <w:rFonts w:ascii="Calibri" w:hAnsi="Calibri"/>
          <w:i/>
          <w:sz w:val="20"/>
          <w:szCs w:val="20"/>
          <w:lang w:val="sq-AL"/>
        </w:rPr>
        <w:t>Burimi: Albpetrol Sh.a.</w:t>
      </w:r>
    </w:p>
    <w:p w14:paraId="29467792" w14:textId="77777777" w:rsidR="00001086" w:rsidRDefault="00001086" w:rsidP="00001086">
      <w:pPr>
        <w:rPr>
          <w:lang w:val="sq-AL"/>
        </w:rPr>
      </w:pPr>
    </w:p>
    <w:p w14:paraId="0F65F535" w14:textId="77777777" w:rsidR="00562780" w:rsidRPr="00BF5960" w:rsidRDefault="00F30139" w:rsidP="00056DE5">
      <w:pPr>
        <w:pStyle w:val="Heading2"/>
        <w:numPr>
          <w:ilvl w:val="0"/>
          <w:numId w:val="17"/>
        </w:numPr>
        <w:ind w:left="810" w:hanging="810"/>
        <w:rPr>
          <w:sz w:val="26"/>
          <w:szCs w:val="26"/>
        </w:rPr>
      </w:pPr>
      <w:bookmarkStart w:id="113" w:name="_Toc107496997"/>
      <w:r w:rsidRPr="00BF5960">
        <w:rPr>
          <w:sz w:val="26"/>
          <w:szCs w:val="26"/>
        </w:rPr>
        <w:t xml:space="preserve">Ndërmarrjet shtetërore – </w:t>
      </w:r>
      <w:r w:rsidR="00562780" w:rsidRPr="00BF5960">
        <w:rPr>
          <w:sz w:val="26"/>
          <w:szCs w:val="26"/>
        </w:rPr>
        <w:t>Sektori</w:t>
      </w:r>
      <w:r w:rsidRPr="00BF5960">
        <w:rPr>
          <w:sz w:val="26"/>
          <w:szCs w:val="26"/>
        </w:rPr>
        <w:t xml:space="preserve"> </w:t>
      </w:r>
      <w:r w:rsidR="00562780" w:rsidRPr="00BF5960">
        <w:rPr>
          <w:sz w:val="26"/>
          <w:szCs w:val="26"/>
        </w:rPr>
        <w:t>Energjetik</w:t>
      </w:r>
      <w:bookmarkEnd w:id="106"/>
      <w:bookmarkEnd w:id="107"/>
      <w:bookmarkEnd w:id="108"/>
      <w:bookmarkEnd w:id="113"/>
    </w:p>
    <w:p w14:paraId="557CAB93" w14:textId="77777777" w:rsidR="00BC2D86" w:rsidRDefault="00BF5960" w:rsidP="00BC2D86">
      <w:pPr>
        <w:jc w:val="both"/>
        <w:rPr>
          <w:rFonts w:asciiTheme="minorHAnsi" w:hAnsiTheme="minorHAnsi"/>
          <w:bCs/>
          <w:lang w:val="sq-AL" w:eastAsia="sq-AL"/>
        </w:rPr>
      </w:pPr>
      <w:r>
        <w:rPr>
          <w:rFonts w:asciiTheme="minorHAnsi" w:hAnsiTheme="minorHAnsi"/>
          <w:bCs/>
          <w:lang w:val="sq-AL" w:eastAsia="sq-AL"/>
        </w:rPr>
        <w:t>Ky sektor strategjik ka qenë dhe mbetet nën monitorimin e Ministrisë së Financave dhe Ekonomisë, duke patur parasysh ndikimin e konsiderueshëm fiskal dhe impaktin e ndjeshëm të tij në ekonomi. Ky monitorim në zbatim të Ligjit Organik të Buxhetit “</w:t>
      </w:r>
      <w:r w:rsidRPr="00BF5960">
        <w:rPr>
          <w:rFonts w:asciiTheme="minorHAnsi" w:hAnsiTheme="minorHAnsi"/>
          <w:bCs/>
          <w:i/>
          <w:lang w:val="sq-AL" w:eastAsia="sq-AL"/>
        </w:rPr>
        <w:t>Për menaxhimin e sistemit buxhetor në Republikën e Shqipërisë”, të ndryshuar</w:t>
      </w:r>
      <w:r>
        <w:rPr>
          <w:rFonts w:asciiTheme="minorHAnsi" w:hAnsiTheme="minorHAnsi"/>
          <w:bCs/>
          <w:lang w:val="sq-AL" w:eastAsia="sq-AL"/>
        </w:rPr>
        <w:t xml:space="preserve">” i cili është kryer periodikisht mbi bazë tremujore, ka konsistuar në analizimin e treguesve të performancës financiare të secilës prej tre kompanive KESH </w:t>
      </w:r>
      <w:r w:rsidR="00B703A6">
        <w:rPr>
          <w:rFonts w:asciiTheme="minorHAnsi" w:hAnsiTheme="minorHAnsi"/>
          <w:bCs/>
          <w:lang w:val="sq-AL" w:eastAsia="sq-AL"/>
        </w:rPr>
        <w:t>Sh.a</w:t>
      </w:r>
      <w:r>
        <w:rPr>
          <w:rFonts w:asciiTheme="minorHAnsi" w:hAnsiTheme="minorHAnsi"/>
          <w:bCs/>
          <w:lang w:val="sq-AL" w:eastAsia="sq-AL"/>
        </w:rPr>
        <w:t xml:space="preserve">, OSHEE Group </w:t>
      </w:r>
      <w:r w:rsidR="00B703A6">
        <w:rPr>
          <w:rFonts w:asciiTheme="minorHAnsi" w:hAnsiTheme="minorHAnsi"/>
          <w:bCs/>
          <w:lang w:val="sq-AL" w:eastAsia="sq-AL"/>
        </w:rPr>
        <w:t>Sh.a</w:t>
      </w:r>
      <w:r>
        <w:rPr>
          <w:rFonts w:asciiTheme="minorHAnsi" w:hAnsiTheme="minorHAnsi"/>
          <w:bCs/>
          <w:lang w:val="sq-AL" w:eastAsia="sq-AL"/>
        </w:rPr>
        <w:t xml:space="preserve"> dhe OST </w:t>
      </w:r>
      <w:r w:rsidR="00B703A6">
        <w:rPr>
          <w:rFonts w:asciiTheme="minorHAnsi" w:hAnsiTheme="minorHAnsi"/>
          <w:bCs/>
          <w:lang w:val="sq-AL" w:eastAsia="sq-AL"/>
        </w:rPr>
        <w:t>Sh.a</w:t>
      </w:r>
      <w:r w:rsidR="00266524" w:rsidRPr="00F6793D">
        <w:rPr>
          <w:rFonts w:asciiTheme="minorHAnsi" w:hAnsiTheme="minorHAnsi"/>
          <w:bCs/>
          <w:lang w:val="sq-AL" w:eastAsia="sq-AL"/>
        </w:rPr>
        <w:t>.</w:t>
      </w:r>
      <w:r>
        <w:rPr>
          <w:rFonts w:asciiTheme="minorHAnsi" w:hAnsiTheme="minorHAnsi"/>
          <w:bCs/>
          <w:lang w:val="sq-AL" w:eastAsia="sq-AL"/>
        </w:rPr>
        <w:t xml:space="preserve"> </w:t>
      </w:r>
      <w:r w:rsidR="00BC2D86" w:rsidRPr="001F16EF">
        <w:rPr>
          <w:rFonts w:asciiTheme="minorHAnsi" w:hAnsiTheme="minorHAnsi"/>
          <w:bCs/>
          <w:lang w:val="sq-AL" w:eastAsia="sq-AL"/>
        </w:rPr>
        <w:t xml:space="preserve">Projektet e investimeve me financim të huaj për Sektorin e Energjisë për vitin 2023, u miratuan në nivelin 2.0 miliardë </w:t>
      </w:r>
      <w:r w:rsidR="00BC2D86">
        <w:rPr>
          <w:rFonts w:asciiTheme="minorHAnsi" w:hAnsiTheme="minorHAnsi"/>
          <w:bCs/>
          <w:lang w:val="sq-AL" w:eastAsia="sq-AL"/>
        </w:rPr>
        <w:t>LEK</w:t>
      </w:r>
      <w:r w:rsidR="00BC2D86" w:rsidRPr="001F16EF">
        <w:rPr>
          <w:rFonts w:asciiTheme="minorHAnsi" w:hAnsiTheme="minorHAnsi"/>
          <w:bCs/>
          <w:lang w:val="sq-AL" w:eastAsia="sq-AL"/>
        </w:rPr>
        <w:t xml:space="preserve"> sipas buxhetit fillestar.</w:t>
      </w:r>
      <w:r w:rsidR="00BC2D86">
        <w:rPr>
          <w:rFonts w:asciiTheme="minorHAnsi" w:hAnsiTheme="minorHAnsi"/>
          <w:bCs/>
          <w:lang w:val="sq-AL" w:eastAsia="sq-AL"/>
        </w:rPr>
        <w:t xml:space="preserve"> </w:t>
      </w:r>
      <w:bookmarkStart w:id="114" w:name="_Hlk138165178"/>
    </w:p>
    <w:p w14:paraId="2ACEFE85" w14:textId="77777777" w:rsidR="00BC2D86" w:rsidRDefault="00BC2D86" w:rsidP="00BC2D86">
      <w:pPr>
        <w:spacing w:before="120"/>
        <w:jc w:val="both"/>
        <w:rPr>
          <w:rFonts w:asciiTheme="minorHAnsi" w:hAnsiTheme="minorHAnsi"/>
          <w:bCs/>
          <w:lang w:val="sq-AL" w:eastAsia="sq-AL"/>
        </w:rPr>
      </w:pPr>
      <w:r w:rsidRPr="00470666">
        <w:rPr>
          <w:rFonts w:asciiTheme="minorHAnsi" w:hAnsiTheme="minorHAnsi"/>
          <w:bCs/>
          <w:lang w:val="sq-AL" w:eastAsia="sq-AL"/>
        </w:rPr>
        <w:t>Gjatë 4 mujorit 2023</w:t>
      </w:r>
      <w:bookmarkEnd w:id="114"/>
      <w:r w:rsidRPr="00470666">
        <w:rPr>
          <w:rFonts w:asciiTheme="minorHAnsi" w:hAnsiTheme="minorHAnsi"/>
          <w:bCs/>
          <w:lang w:val="sq-AL" w:eastAsia="sq-AL"/>
        </w:rPr>
        <w:t>, sektori është përballur me një përmirësim të ndjeshëm të performancës financiare të ti, si rezultat e përmirësimit meteorologjike në vend, duke rezultuar me një rritje të konsiderueshme në nivelin e fitimit operativ dhe pasurisë së kompanive që rrjedhimisht ndikon në përmirësimin e pozicionit financiar të sektorit. Konkretisht, niveli i basenit të Fierzës deri në muajin Prill 2023 ishte në kuotën 295.6m. Ky është niveli më i lartë për këtë periudhë që prej vitit 2018 dhe nivel shumë më i lartë sesa kuota mesatare prej 286.5m e 30 viteve të fundit, për të njëjtën periudhë</w:t>
      </w:r>
      <w:r w:rsidR="00BF5960">
        <w:rPr>
          <w:rFonts w:asciiTheme="minorHAnsi" w:hAnsiTheme="minorHAnsi"/>
          <w:bCs/>
          <w:lang w:val="sq-AL" w:eastAsia="sq-AL"/>
        </w:rPr>
        <w:t>.</w:t>
      </w:r>
      <w:r w:rsidR="00EC7D1A">
        <w:rPr>
          <w:rFonts w:asciiTheme="minorHAnsi" w:hAnsiTheme="minorHAnsi"/>
          <w:bCs/>
          <w:lang w:val="sq-AL" w:eastAsia="sq-AL"/>
        </w:rPr>
        <w:t xml:space="preserve"> </w:t>
      </w:r>
    </w:p>
    <w:p w14:paraId="6206FF2B" w14:textId="77777777" w:rsidR="00BF5960" w:rsidRDefault="00EC7D1A" w:rsidP="00BC2D86">
      <w:pPr>
        <w:spacing w:before="120"/>
        <w:jc w:val="both"/>
        <w:rPr>
          <w:rFonts w:asciiTheme="minorHAnsi" w:hAnsiTheme="minorHAnsi"/>
          <w:bCs/>
          <w:lang w:val="sq-AL" w:eastAsia="sq-AL"/>
        </w:rPr>
      </w:pPr>
      <w:r>
        <w:rPr>
          <w:rFonts w:asciiTheme="minorHAnsi" w:hAnsiTheme="minorHAnsi"/>
          <w:bCs/>
          <w:lang w:val="sq-AL" w:eastAsia="sq-AL"/>
        </w:rPr>
        <w:t>K</w:t>
      </w:r>
      <w:r w:rsidR="00BF5960">
        <w:rPr>
          <w:rFonts w:asciiTheme="minorHAnsi" w:hAnsiTheme="minorHAnsi"/>
          <w:bCs/>
          <w:lang w:val="sq-AL" w:eastAsia="sq-AL"/>
        </w:rPr>
        <w:t xml:space="preserve">rahasuar me </w:t>
      </w:r>
      <w:r>
        <w:rPr>
          <w:rFonts w:asciiTheme="minorHAnsi" w:hAnsiTheme="minorHAnsi"/>
          <w:bCs/>
          <w:lang w:val="sq-AL" w:eastAsia="sq-AL"/>
        </w:rPr>
        <w:t>4M 202</w:t>
      </w:r>
      <w:r w:rsidR="00BC2D86">
        <w:rPr>
          <w:rFonts w:asciiTheme="minorHAnsi" w:hAnsiTheme="minorHAnsi"/>
          <w:bCs/>
          <w:lang w:val="sq-AL" w:eastAsia="sq-AL"/>
        </w:rPr>
        <w:t>2</w:t>
      </w:r>
      <w:r w:rsidR="00BF5960">
        <w:rPr>
          <w:rFonts w:asciiTheme="minorHAnsi" w:hAnsiTheme="minorHAnsi"/>
          <w:bCs/>
          <w:lang w:val="sq-AL" w:eastAsia="sq-AL"/>
        </w:rPr>
        <w:t xml:space="preserve"> vërehet se: </w:t>
      </w:r>
    </w:p>
    <w:p w14:paraId="41780012" w14:textId="77777777" w:rsidR="00BC2D86" w:rsidRPr="00BC2D86" w:rsidRDefault="00BC2D86" w:rsidP="00056DE5">
      <w:pPr>
        <w:pStyle w:val="ListParagraph"/>
        <w:numPr>
          <w:ilvl w:val="0"/>
          <w:numId w:val="26"/>
        </w:numPr>
        <w:jc w:val="both"/>
        <w:rPr>
          <w:rFonts w:asciiTheme="minorHAnsi" w:hAnsiTheme="minorHAnsi"/>
          <w:bCs/>
          <w:i/>
          <w:lang w:val="sq-AL" w:eastAsia="sq-AL"/>
        </w:rPr>
      </w:pPr>
      <w:r w:rsidRPr="00BC2D86">
        <w:rPr>
          <w:rFonts w:asciiTheme="minorHAnsi" w:hAnsiTheme="minorHAnsi"/>
          <w:bCs/>
          <w:i/>
          <w:lang w:val="sq-AL" w:eastAsia="sq-AL"/>
        </w:rPr>
        <w:t>Niveli i përgjithshëm i prodhimit vendas është rritur me rreth 28.6 përqind krahasuar me të njejtën periudhë të një viti më parë.</w:t>
      </w:r>
    </w:p>
    <w:p w14:paraId="33A77826" w14:textId="7208FF75" w:rsidR="00BC2D86" w:rsidRPr="00BC2D86" w:rsidRDefault="00BC2D86" w:rsidP="00056DE5">
      <w:pPr>
        <w:pStyle w:val="ListParagraph"/>
        <w:numPr>
          <w:ilvl w:val="0"/>
          <w:numId w:val="26"/>
        </w:numPr>
        <w:jc w:val="both"/>
        <w:rPr>
          <w:rFonts w:asciiTheme="minorHAnsi" w:hAnsiTheme="minorHAnsi"/>
          <w:bCs/>
          <w:i/>
          <w:lang w:val="sq-AL" w:eastAsia="sq-AL"/>
        </w:rPr>
      </w:pPr>
      <w:r w:rsidRPr="00BC2D86">
        <w:rPr>
          <w:rFonts w:asciiTheme="minorHAnsi" w:hAnsiTheme="minorHAnsi"/>
          <w:bCs/>
          <w:i/>
          <w:lang w:val="sq-AL" w:eastAsia="sq-AL"/>
        </w:rPr>
        <w:t>Prodhimi neto vendas është vetëm 3.49 T</w:t>
      </w:r>
      <w:r w:rsidR="004B3FF3">
        <w:rPr>
          <w:rFonts w:asciiTheme="minorHAnsi" w:hAnsiTheme="minorHAnsi"/>
          <w:bCs/>
          <w:i/>
          <w:lang w:val="sq-AL" w:eastAsia="sq-AL"/>
        </w:rPr>
        <w:t>Ë</w:t>
      </w:r>
      <w:r w:rsidRPr="00BC2D86">
        <w:rPr>
          <w:rFonts w:asciiTheme="minorHAnsi" w:hAnsiTheme="minorHAnsi"/>
          <w:bCs/>
          <w:i/>
          <w:lang w:val="sq-AL" w:eastAsia="sq-AL"/>
        </w:rPr>
        <w:t>h krahasur me të njejtën periudhë të vitit të kaluar ku prodhimi neto vendas ka qënë rreth 2.71 T</w:t>
      </w:r>
      <w:r w:rsidR="004B3FF3">
        <w:rPr>
          <w:rFonts w:asciiTheme="minorHAnsi" w:hAnsiTheme="minorHAnsi"/>
          <w:bCs/>
          <w:i/>
          <w:lang w:val="sq-AL" w:eastAsia="sq-AL"/>
        </w:rPr>
        <w:t>Ë</w:t>
      </w:r>
      <w:r w:rsidRPr="00BC2D86">
        <w:rPr>
          <w:rFonts w:asciiTheme="minorHAnsi" w:hAnsiTheme="minorHAnsi"/>
          <w:bCs/>
          <w:i/>
          <w:lang w:val="sq-AL" w:eastAsia="sq-AL"/>
        </w:rPr>
        <w:t xml:space="preserve">h. </w:t>
      </w:r>
    </w:p>
    <w:p w14:paraId="3AB919D4" w14:textId="0533BA9C" w:rsidR="00BC2D86" w:rsidRPr="00BC2D86" w:rsidRDefault="00BC2D86" w:rsidP="00056DE5">
      <w:pPr>
        <w:pStyle w:val="ListParagraph"/>
        <w:numPr>
          <w:ilvl w:val="0"/>
          <w:numId w:val="26"/>
        </w:numPr>
        <w:jc w:val="both"/>
        <w:rPr>
          <w:rFonts w:asciiTheme="minorHAnsi" w:hAnsiTheme="minorHAnsi"/>
          <w:bCs/>
          <w:i/>
          <w:lang w:val="sq-AL" w:eastAsia="sq-AL"/>
        </w:rPr>
      </w:pPr>
      <w:r w:rsidRPr="00BC2D86">
        <w:rPr>
          <w:rFonts w:asciiTheme="minorHAnsi" w:hAnsiTheme="minorHAnsi"/>
          <w:bCs/>
          <w:i/>
          <w:lang w:val="sq-AL" w:eastAsia="sq-AL"/>
        </w:rPr>
        <w:t>KESH Sh.a realizoi një nivel prodhimi neto publik prej rreth 1.93 T</w:t>
      </w:r>
      <w:r w:rsidR="004B3FF3">
        <w:rPr>
          <w:rFonts w:asciiTheme="minorHAnsi" w:hAnsiTheme="minorHAnsi"/>
          <w:bCs/>
          <w:i/>
          <w:lang w:val="sq-AL" w:eastAsia="sq-AL"/>
        </w:rPr>
        <w:t>Ë</w:t>
      </w:r>
      <w:r w:rsidRPr="00BC2D86">
        <w:rPr>
          <w:rFonts w:asciiTheme="minorHAnsi" w:hAnsiTheme="minorHAnsi"/>
          <w:bCs/>
          <w:i/>
          <w:lang w:val="sq-AL" w:eastAsia="sq-AL"/>
        </w:rPr>
        <w:t>h, krahasuar me 1.25 T</w:t>
      </w:r>
      <w:r w:rsidR="004B3FF3">
        <w:rPr>
          <w:rFonts w:asciiTheme="minorHAnsi" w:hAnsiTheme="minorHAnsi"/>
          <w:bCs/>
          <w:i/>
          <w:lang w:val="sq-AL" w:eastAsia="sq-AL"/>
        </w:rPr>
        <w:t>Ë</w:t>
      </w:r>
      <w:r w:rsidRPr="00BC2D86">
        <w:rPr>
          <w:rFonts w:asciiTheme="minorHAnsi" w:hAnsiTheme="minorHAnsi"/>
          <w:bCs/>
          <w:i/>
          <w:lang w:val="sq-AL" w:eastAsia="sq-AL"/>
        </w:rPr>
        <w:t xml:space="preserve">h realizuar </w:t>
      </w:r>
      <w:bookmarkStart w:id="115" w:name="_Hlk119331615"/>
      <w:r w:rsidRPr="00BC2D86">
        <w:rPr>
          <w:rFonts w:asciiTheme="minorHAnsi" w:hAnsiTheme="minorHAnsi"/>
          <w:bCs/>
          <w:i/>
          <w:lang w:val="sq-AL" w:eastAsia="sq-AL"/>
        </w:rPr>
        <w:t>në të njejtën periudhë të vitit të kaluar</w:t>
      </w:r>
      <w:bookmarkEnd w:id="115"/>
      <w:r w:rsidRPr="00BC2D86">
        <w:rPr>
          <w:rFonts w:asciiTheme="minorHAnsi" w:hAnsiTheme="minorHAnsi"/>
          <w:bCs/>
          <w:i/>
          <w:lang w:val="sq-AL" w:eastAsia="sq-AL"/>
        </w:rPr>
        <w:t xml:space="preserve">, një rritje kjo rreth 54.7%. </w:t>
      </w:r>
    </w:p>
    <w:p w14:paraId="6A20B38D" w14:textId="77777777" w:rsidR="00BC2D86" w:rsidRPr="00BC2D86" w:rsidRDefault="00BC2D86" w:rsidP="00056DE5">
      <w:pPr>
        <w:pStyle w:val="ListParagraph"/>
        <w:numPr>
          <w:ilvl w:val="0"/>
          <w:numId w:val="26"/>
        </w:numPr>
        <w:jc w:val="both"/>
        <w:rPr>
          <w:rFonts w:asciiTheme="minorHAnsi" w:hAnsiTheme="minorHAnsi"/>
          <w:bCs/>
          <w:i/>
          <w:lang w:val="sq-AL" w:eastAsia="sq-AL"/>
        </w:rPr>
      </w:pPr>
      <w:r w:rsidRPr="00BC2D86">
        <w:rPr>
          <w:rFonts w:asciiTheme="minorHAnsi" w:hAnsiTheme="minorHAnsi"/>
          <w:bCs/>
          <w:i/>
          <w:lang w:val="sq-AL" w:eastAsia="sq-AL"/>
        </w:rPr>
        <w:t xml:space="preserve">Ky tregues dëshmon që deri në 4M e vitit 2023, situata hidrike është në kushte shumë të favorshme. Si rrjedhojë, shoqëria KESH Sh.a ka arritur një përmirësim të situatës financiare. </w:t>
      </w:r>
    </w:p>
    <w:p w14:paraId="03952AC0" w14:textId="77777777" w:rsidR="00BC2D86" w:rsidRPr="00BC2D86" w:rsidRDefault="00BC2D86" w:rsidP="00056DE5">
      <w:pPr>
        <w:pStyle w:val="ListParagraph"/>
        <w:numPr>
          <w:ilvl w:val="0"/>
          <w:numId w:val="26"/>
        </w:numPr>
        <w:jc w:val="both"/>
        <w:rPr>
          <w:rFonts w:asciiTheme="minorHAnsi" w:hAnsiTheme="minorHAnsi"/>
          <w:bCs/>
          <w:i/>
          <w:lang w:val="sq-AL" w:eastAsia="sq-AL"/>
        </w:rPr>
      </w:pPr>
      <w:r w:rsidRPr="00BC2D86">
        <w:rPr>
          <w:rFonts w:asciiTheme="minorHAnsi" w:hAnsiTheme="minorHAnsi"/>
          <w:bCs/>
          <w:i/>
          <w:lang w:val="sq-AL" w:eastAsia="sq-AL"/>
        </w:rPr>
        <w:t xml:space="preserve">Sa i përket humbjeve në sistemin e shpërndarjes së energjisë elektrike ato rezultuan në nivelin 21.31 përqind për 4M 2023, duke shënuar një rënie të mëtejshme të nivelit të humbjeve krahasuar me të njëjtën periudhë të një viti më parë, ku humbjet figuruan në 22.81 përqind. </w:t>
      </w:r>
    </w:p>
    <w:p w14:paraId="0C95CB44" w14:textId="77777777" w:rsidR="00BC2D86" w:rsidRPr="00BC2D86" w:rsidRDefault="00BC2D86" w:rsidP="00056DE5">
      <w:pPr>
        <w:pStyle w:val="ListParagraph"/>
        <w:numPr>
          <w:ilvl w:val="0"/>
          <w:numId w:val="26"/>
        </w:numPr>
        <w:jc w:val="both"/>
        <w:rPr>
          <w:rFonts w:asciiTheme="minorHAnsi" w:hAnsiTheme="minorHAnsi"/>
          <w:bCs/>
          <w:i/>
          <w:lang w:val="sq-AL" w:eastAsia="sq-AL"/>
        </w:rPr>
      </w:pPr>
      <w:r w:rsidRPr="00BC2D86">
        <w:rPr>
          <w:rFonts w:asciiTheme="minorHAnsi" w:hAnsiTheme="minorHAnsi"/>
          <w:bCs/>
          <w:i/>
          <w:lang w:val="sq-AL" w:eastAsia="sq-AL"/>
        </w:rPr>
        <w:t>Niveli i arkëtimeve të OSHEE Group Sh.a. për 4M 2023 arriti vlerën prej 95 përqind, një shifër mjaft e mirë dhe në rritje krahasuar me vlerën prej 91.9 përqind e të njëjtës periudhë të një viti më parë, gjë që dëshmon stabilitetin e shoqërisë në këtë drejtim.</w:t>
      </w:r>
    </w:p>
    <w:p w14:paraId="69A39610" w14:textId="4084A3D7" w:rsidR="00BC2D86" w:rsidRDefault="00BC2D86" w:rsidP="00BF5960">
      <w:pPr>
        <w:spacing w:before="120" w:after="120" w:line="276" w:lineRule="auto"/>
        <w:jc w:val="both"/>
        <w:rPr>
          <w:rFonts w:asciiTheme="minorHAnsi" w:hAnsiTheme="minorHAnsi"/>
          <w:bCs/>
          <w:lang w:val="sq-AL" w:eastAsia="sq-AL"/>
        </w:rPr>
      </w:pPr>
    </w:p>
    <w:p w14:paraId="3B8E3E4E" w14:textId="77777777" w:rsidR="008879EF" w:rsidRDefault="008879EF" w:rsidP="00BF5960">
      <w:pPr>
        <w:spacing w:before="120" w:after="120" w:line="276" w:lineRule="auto"/>
        <w:jc w:val="both"/>
        <w:rPr>
          <w:rFonts w:asciiTheme="minorHAnsi" w:hAnsiTheme="minorHAnsi"/>
          <w:bCs/>
          <w:lang w:val="sq-AL" w:eastAsia="sq-AL"/>
        </w:rPr>
      </w:pPr>
    </w:p>
    <w:p w14:paraId="43C0E404" w14:textId="77777777" w:rsidR="00BC2D86" w:rsidRPr="00621686" w:rsidRDefault="00BC2D86" w:rsidP="00BC2D86">
      <w:pPr>
        <w:spacing w:before="120"/>
        <w:jc w:val="both"/>
        <w:rPr>
          <w:rFonts w:asciiTheme="minorHAnsi" w:hAnsiTheme="minorHAnsi"/>
          <w:bCs/>
          <w:highlight w:val="yellow"/>
          <w:lang w:val="sq-AL" w:eastAsia="sq-AL"/>
        </w:rPr>
      </w:pPr>
      <w:r w:rsidRPr="001D4537">
        <w:rPr>
          <w:rFonts w:asciiTheme="minorHAnsi" w:hAnsiTheme="minorHAnsi"/>
          <w:bCs/>
          <w:lang w:val="sq-AL" w:eastAsia="sq-AL"/>
        </w:rPr>
        <w:lastRenderedPageBreak/>
        <w:t xml:space="preserve">Për vitin 2023, faktorë të tillë si </w:t>
      </w:r>
      <w:bookmarkStart w:id="116" w:name="_Hlk138168683"/>
      <w:r w:rsidRPr="001D4537">
        <w:rPr>
          <w:rFonts w:asciiTheme="minorHAnsi" w:hAnsiTheme="minorHAnsi"/>
          <w:bCs/>
          <w:lang w:val="sq-AL" w:eastAsia="sq-AL"/>
        </w:rPr>
        <w:t>efektet e krizës globale energjetike</w:t>
      </w:r>
      <w:bookmarkEnd w:id="116"/>
      <w:r w:rsidRPr="001D4537">
        <w:rPr>
          <w:rFonts w:asciiTheme="minorHAnsi" w:hAnsiTheme="minorHAnsi"/>
          <w:bCs/>
          <w:lang w:val="sq-AL" w:eastAsia="sq-AL"/>
        </w:rPr>
        <w:t>, vazdimësia e luftës në Ukrainë, luhatjet e çmimeve të energjisë, karburanteve dhe inputeve, kanë shkaktuar luhatje të mëdha në tregun global financiar dhe si pasojë kanë ndikuar gjithashtu në përformancën e sektorit. Si rrjedhojë, nëpërmjet VKM nr.650 datë 10.10.2022 “</w:t>
      </w:r>
      <w:r w:rsidRPr="001D4537">
        <w:rPr>
          <w:rFonts w:asciiTheme="minorHAnsi" w:hAnsiTheme="minorHAnsi"/>
          <w:bCs/>
          <w:i/>
          <w:lang w:val="sq-AL" w:eastAsia="sq-AL"/>
        </w:rPr>
        <w:t>Disa shtesa dhe ndryshime në Vendimin nr.584, datë 8.10.2021</w:t>
      </w:r>
      <w:r w:rsidRPr="001D4537">
        <w:rPr>
          <w:rFonts w:asciiTheme="minorHAnsi" w:hAnsiTheme="minorHAnsi"/>
          <w:bCs/>
          <w:lang w:val="sq-AL" w:eastAsia="sq-AL"/>
        </w:rPr>
        <w:t xml:space="preserve"> “</w:t>
      </w:r>
      <w:r w:rsidRPr="001D4537">
        <w:rPr>
          <w:rFonts w:asciiTheme="minorHAnsi" w:hAnsiTheme="minorHAnsi"/>
          <w:bCs/>
          <w:i/>
          <w:lang w:val="sq-AL" w:eastAsia="sq-AL"/>
        </w:rPr>
        <w:t>Për Shpalljen e gjendjes së emergjencës në furnizimin me energji elektrike</w:t>
      </w:r>
      <w:r w:rsidRPr="001D4537">
        <w:rPr>
          <w:rFonts w:asciiTheme="minorHAnsi" w:hAnsiTheme="minorHAnsi"/>
          <w:bCs/>
          <w:lang w:val="sq-AL" w:eastAsia="sq-AL"/>
        </w:rPr>
        <w:t>” të ndryshuar, Këshillli i Ministrave vendosi ndryshimin e kohëzgjatjes së gjendjes së emergjencës së furnizimit me energji elektrike deri më 30 Qershor 2023. Kjo, me qëllim vazhdimin e mbështetjes nga buxheti i shtetit së këtij sektori gjatë kësaj përiudhe, duke asistuar kështu KESH Sh.a. në blerjen e energjisë elektrike në tregun e lirë për të plotësuar mangësitë në prodhim dhe përballimin e rritjes të paparashikuar eksponenciale të çmimit të energjisë në Tregun e Lirë (kriza globale e energjisë).</w:t>
      </w:r>
    </w:p>
    <w:p w14:paraId="59F83F20" w14:textId="77777777" w:rsidR="00BC2D86" w:rsidRPr="0047763D" w:rsidRDefault="00BC2D86" w:rsidP="00BC2D86">
      <w:pPr>
        <w:spacing w:before="120"/>
        <w:jc w:val="both"/>
        <w:rPr>
          <w:rFonts w:asciiTheme="minorHAnsi" w:hAnsiTheme="minorHAnsi"/>
          <w:bCs/>
          <w:lang w:val="sq-AL" w:eastAsia="sq-AL"/>
        </w:rPr>
      </w:pPr>
      <w:r w:rsidRPr="0060062D">
        <w:rPr>
          <w:rFonts w:asciiTheme="minorHAnsi" w:hAnsiTheme="minorHAnsi"/>
          <w:bCs/>
          <w:lang w:val="sq-AL" w:eastAsia="sq-AL"/>
        </w:rPr>
        <w:t xml:space="preserve">Në terma të riskut fiskal, impakti i sektorit si kosto apo të ardhura të munguara në financat publike, për vitin 2023 vlerësohet në rreth 473 milion LEK për T1 2023, nga rreth  33 miliardë </w:t>
      </w:r>
      <w:r>
        <w:rPr>
          <w:rFonts w:asciiTheme="minorHAnsi" w:hAnsiTheme="minorHAnsi"/>
          <w:bCs/>
          <w:lang w:val="sq-AL" w:eastAsia="sq-AL"/>
        </w:rPr>
        <w:t>LEK</w:t>
      </w:r>
      <w:r w:rsidRPr="0060062D">
        <w:rPr>
          <w:rFonts w:asciiTheme="minorHAnsi" w:hAnsiTheme="minorHAnsi"/>
          <w:bCs/>
          <w:lang w:val="sq-AL" w:eastAsia="sq-AL"/>
        </w:rPr>
        <w:t xml:space="preserve"> për vitin 2022, duke treguar një përmirësim të gjendjes së detyrimeve.</w:t>
      </w:r>
    </w:p>
    <w:p w14:paraId="239A8804" w14:textId="77777777" w:rsidR="00266524" w:rsidRDefault="00BC2D86" w:rsidP="00BC2D86">
      <w:pPr>
        <w:spacing w:before="120"/>
        <w:jc w:val="both"/>
        <w:rPr>
          <w:rFonts w:asciiTheme="minorHAnsi" w:hAnsiTheme="minorHAnsi"/>
          <w:bCs/>
          <w:lang w:val="sq-AL" w:eastAsia="sq-AL"/>
        </w:rPr>
      </w:pPr>
      <w:r w:rsidRPr="00EC7D1A">
        <w:rPr>
          <w:rFonts w:asciiTheme="minorHAnsi" w:hAnsiTheme="minorHAnsi"/>
          <w:bCs/>
          <w:lang w:val="sq-AL" w:eastAsia="sq-AL"/>
        </w:rPr>
        <w:t>Në kuadër të reformës në sektorin e energjisë, Ministria e Financave dhe Ekonomisë dhe Ministria e Infrastrukturës dhe Energjisë, bashkëfirmosën Urdhërin e Përbashkët nr.379/2021 datë 30.09.2021 “</w:t>
      </w:r>
      <w:r w:rsidRPr="00EC7D1A">
        <w:rPr>
          <w:rFonts w:asciiTheme="minorHAnsi" w:hAnsiTheme="minorHAnsi"/>
          <w:bCs/>
          <w:i/>
          <w:lang w:val="sq-AL" w:eastAsia="sq-AL"/>
        </w:rPr>
        <w:t>Mbi zbatimin e planit të masave për reduktimin e detyrimeve të prapambetura në sektorin e energjisë elektrike</w:t>
      </w:r>
      <w:r w:rsidRPr="00EC7D1A">
        <w:rPr>
          <w:rFonts w:asciiTheme="minorHAnsi" w:hAnsiTheme="minorHAnsi"/>
          <w:bCs/>
          <w:lang w:val="sq-AL" w:eastAsia="sq-AL"/>
        </w:rPr>
        <w:t>”, nëpërmjet së cilit, ndërmarrjet e sektorit energjitik raportojnë në mënyrë periodike mujore, mbi shlyerjen e detyrimeve të prapambetura të ndërsjella ndërmjet sektorit të energjisë dhe entiteve të tjera publike. Përgjatë vitit 202</w:t>
      </w:r>
      <w:r>
        <w:rPr>
          <w:rFonts w:asciiTheme="minorHAnsi" w:hAnsiTheme="minorHAnsi"/>
          <w:bCs/>
          <w:lang w:val="sq-AL" w:eastAsia="sq-AL"/>
        </w:rPr>
        <w:t>3</w:t>
      </w:r>
      <w:r w:rsidRPr="00EC7D1A">
        <w:rPr>
          <w:rFonts w:asciiTheme="minorHAnsi" w:hAnsiTheme="minorHAnsi"/>
          <w:bCs/>
          <w:lang w:val="sq-AL" w:eastAsia="sq-AL"/>
        </w:rPr>
        <w:t>, në përputhje me udhëzimin e sipërcituar, MFE ka monitoruar periodikisht mbi bazë mujore detyrimet e ndërsjella të raportuara nga ndërmarrjet e sektorit të energjisë dhe entiteve të tjera publike</w:t>
      </w:r>
      <w:r w:rsidRPr="00823FBB">
        <w:rPr>
          <w:rFonts w:asciiTheme="minorHAnsi" w:hAnsiTheme="minorHAnsi"/>
          <w:bCs/>
          <w:lang w:val="sq-AL" w:eastAsia="sq-AL"/>
        </w:rPr>
        <w:t>. Në nivel 5M vërehet një trend rritës i detyrimeve të ndërsjella. Nga ana e ndërmarrjeve raportohet se, mos shlyerja e detyrimeve të ndërsjella në kohë ka ardhur si pasojë e situatës jo të mirë financiare të tyre, rrjedhojë kjo edhe e paqëndrueshmërisë ekonomike të tregjeve globale. Mëposhtë jepet një tablo e detyrimeve të ndërsjella, të regjistruara deri në Maj 2023</w:t>
      </w:r>
      <w:r>
        <w:rPr>
          <w:rFonts w:asciiTheme="minorHAnsi" w:hAnsiTheme="minorHAnsi"/>
          <w:bCs/>
          <w:lang w:val="sq-AL" w:eastAsia="sq-AL"/>
        </w:rPr>
        <w:t>:</w:t>
      </w:r>
    </w:p>
    <w:p w14:paraId="7A60CFAD" w14:textId="77777777" w:rsidR="00BC2D86" w:rsidRPr="00BC2D86" w:rsidRDefault="00BC2D86" w:rsidP="00BF5960">
      <w:pPr>
        <w:pStyle w:val="Caption"/>
        <w:spacing w:after="0"/>
        <w:rPr>
          <w:rFonts w:asciiTheme="minorHAnsi" w:hAnsiTheme="minorHAnsi"/>
          <w:b w:val="0"/>
          <w:bCs w:val="0"/>
          <w:i/>
          <w:noProof/>
          <w:color w:val="auto"/>
          <w:sz w:val="12"/>
          <w:szCs w:val="24"/>
        </w:rPr>
      </w:pPr>
      <w:bookmarkStart w:id="117" w:name="_Toc107496756"/>
    </w:p>
    <w:p w14:paraId="6F0C11F6" w14:textId="58027FDF" w:rsidR="00BF5960" w:rsidRPr="00BF5960" w:rsidRDefault="00343167" w:rsidP="00BF5960">
      <w:pPr>
        <w:pStyle w:val="Caption"/>
        <w:spacing w:after="0"/>
        <w:rPr>
          <w:rFonts w:asciiTheme="minorHAnsi" w:hAnsiTheme="minorHAnsi"/>
          <w:b w:val="0"/>
          <w:bCs w:val="0"/>
          <w:i/>
          <w:color w:val="auto"/>
          <w:sz w:val="22"/>
          <w:szCs w:val="24"/>
          <w:lang w:val="sq-AL"/>
        </w:rPr>
      </w:pPr>
      <w:r w:rsidRPr="00343167">
        <w:rPr>
          <w:rFonts w:asciiTheme="minorHAnsi" w:hAnsiTheme="minorHAnsi"/>
          <w:b w:val="0"/>
          <w:bCs w:val="0"/>
          <w:i/>
          <w:noProof/>
          <w:color w:val="auto"/>
          <w:sz w:val="22"/>
          <w:szCs w:val="24"/>
        </w:rPr>
        <w:t xml:space="preserve">Tabela </w:t>
      </w:r>
      <w:r w:rsidRPr="00343167">
        <w:rPr>
          <w:rFonts w:asciiTheme="minorHAnsi" w:hAnsiTheme="minorHAnsi"/>
          <w:b w:val="0"/>
          <w:bCs w:val="0"/>
          <w:i/>
          <w:noProof/>
          <w:color w:val="auto"/>
          <w:sz w:val="22"/>
          <w:szCs w:val="24"/>
        </w:rPr>
        <w:fldChar w:fldCharType="begin"/>
      </w:r>
      <w:r w:rsidRPr="00343167">
        <w:rPr>
          <w:rFonts w:asciiTheme="minorHAnsi" w:hAnsiTheme="minorHAnsi"/>
          <w:b w:val="0"/>
          <w:bCs w:val="0"/>
          <w:i/>
          <w:noProof/>
          <w:color w:val="auto"/>
          <w:sz w:val="22"/>
          <w:szCs w:val="24"/>
        </w:rPr>
        <w:instrText xml:space="preserve"> SEQ Tabela \* ARABIC </w:instrText>
      </w:r>
      <w:r w:rsidRPr="00343167">
        <w:rPr>
          <w:rFonts w:asciiTheme="minorHAnsi" w:hAnsiTheme="minorHAnsi"/>
          <w:b w:val="0"/>
          <w:bCs w:val="0"/>
          <w:i/>
          <w:noProof/>
          <w:color w:val="auto"/>
          <w:sz w:val="22"/>
          <w:szCs w:val="24"/>
        </w:rPr>
        <w:fldChar w:fldCharType="separate"/>
      </w:r>
      <w:r w:rsidR="00C153A9">
        <w:rPr>
          <w:rFonts w:asciiTheme="minorHAnsi" w:hAnsiTheme="minorHAnsi"/>
          <w:b w:val="0"/>
          <w:bCs w:val="0"/>
          <w:i/>
          <w:noProof/>
          <w:color w:val="auto"/>
          <w:sz w:val="22"/>
          <w:szCs w:val="24"/>
        </w:rPr>
        <w:t>19</w:t>
      </w:r>
      <w:r w:rsidRPr="00343167">
        <w:rPr>
          <w:rFonts w:asciiTheme="minorHAnsi" w:hAnsiTheme="minorHAnsi"/>
          <w:b w:val="0"/>
          <w:bCs w:val="0"/>
          <w:i/>
          <w:noProof/>
          <w:color w:val="auto"/>
          <w:sz w:val="22"/>
          <w:szCs w:val="24"/>
        </w:rPr>
        <w:fldChar w:fldCharType="end"/>
      </w:r>
      <w:r w:rsidRPr="00343167">
        <w:rPr>
          <w:rFonts w:asciiTheme="minorHAnsi" w:hAnsiTheme="minorHAnsi"/>
          <w:b w:val="0"/>
          <w:bCs w:val="0"/>
          <w:i/>
          <w:noProof/>
          <w:color w:val="auto"/>
          <w:sz w:val="22"/>
          <w:szCs w:val="24"/>
        </w:rPr>
        <w:t xml:space="preserve">: </w:t>
      </w:r>
      <w:r w:rsidR="00BF5960" w:rsidRPr="00343167">
        <w:rPr>
          <w:rFonts w:asciiTheme="minorHAnsi" w:hAnsiTheme="minorHAnsi"/>
          <w:b w:val="0"/>
          <w:bCs w:val="0"/>
          <w:i/>
          <w:color w:val="auto"/>
          <w:sz w:val="22"/>
          <w:szCs w:val="24"/>
          <w:lang w:val="sq-AL"/>
        </w:rPr>
        <w:t>Detyrimet e ndërsjella midis ndërmarjeve të sektorit energjitik, ML/IB,MFE dhe DPT:</w:t>
      </w:r>
      <w:bookmarkEnd w:id="117"/>
    </w:p>
    <w:tbl>
      <w:tblPr>
        <w:tblStyle w:val="TableGrid2"/>
        <w:tblW w:w="7569" w:type="dxa"/>
        <w:jc w:val="center"/>
        <w:tblLook w:val="04A0" w:firstRow="1" w:lastRow="0" w:firstColumn="1" w:lastColumn="0" w:noHBand="0" w:noVBand="1"/>
      </w:tblPr>
      <w:tblGrid>
        <w:gridCol w:w="2779"/>
        <w:gridCol w:w="808"/>
        <w:gridCol w:w="692"/>
        <w:gridCol w:w="781"/>
        <w:gridCol w:w="698"/>
        <w:gridCol w:w="607"/>
        <w:gridCol w:w="1204"/>
      </w:tblGrid>
      <w:tr w:rsidR="00BC2D86" w:rsidRPr="00BC2D86" w14:paraId="19268FB0" w14:textId="77777777" w:rsidTr="00BC2D86">
        <w:trPr>
          <w:trHeight w:val="467"/>
          <w:jc w:val="center"/>
        </w:trPr>
        <w:tc>
          <w:tcPr>
            <w:tcW w:w="2779" w:type="dxa"/>
            <w:shd w:val="clear" w:color="auto" w:fill="B3DDF2"/>
            <w:vAlign w:val="center"/>
            <w:hideMark/>
          </w:tcPr>
          <w:p w14:paraId="3D19FCC8" w14:textId="77777777" w:rsidR="00BC2D86" w:rsidRPr="00BC2D86" w:rsidRDefault="00BC2D86" w:rsidP="00BC2D86">
            <w:pPr>
              <w:jc w:val="center"/>
              <w:rPr>
                <w:rFonts w:asciiTheme="minorHAnsi" w:hAnsiTheme="minorHAnsi"/>
                <w:b/>
                <w:bCs/>
                <w:color w:val="FFFFFF" w:themeColor="background1"/>
                <w:sz w:val="18"/>
                <w:szCs w:val="20"/>
                <w:lang w:val="sq-AL"/>
              </w:rPr>
            </w:pPr>
            <w:bookmarkStart w:id="118" w:name="_Toc104980345"/>
            <w:bookmarkStart w:id="119" w:name="_Toc104907136"/>
            <w:r w:rsidRPr="00BC2D86">
              <w:rPr>
                <w:rFonts w:asciiTheme="minorHAnsi" w:eastAsia="Calibri" w:hAnsiTheme="minorHAnsi"/>
                <w:b/>
                <w:color w:val="C00000"/>
                <w:sz w:val="18"/>
                <w:szCs w:val="20"/>
                <w:lang w:val="sq-AL"/>
              </w:rPr>
              <w:t>Deri në 31 Maj 2023</w:t>
            </w:r>
            <w:r>
              <w:rPr>
                <w:rFonts w:asciiTheme="minorHAnsi" w:eastAsia="Calibri" w:hAnsiTheme="minorHAnsi"/>
                <w:b/>
                <w:color w:val="C00000"/>
                <w:sz w:val="18"/>
                <w:szCs w:val="20"/>
                <w:lang w:val="sq-AL"/>
              </w:rPr>
              <w:t xml:space="preserve"> </w:t>
            </w:r>
            <w:r w:rsidRPr="00BC2D86">
              <w:rPr>
                <w:rFonts w:asciiTheme="minorHAnsi" w:eastAsia="Calibri" w:hAnsiTheme="minorHAnsi"/>
                <w:b/>
                <w:color w:val="C00000"/>
                <w:sz w:val="18"/>
                <w:szCs w:val="20"/>
                <w:lang w:val="sq-AL"/>
              </w:rPr>
              <w:t>(në mld LEK)</w:t>
            </w:r>
          </w:p>
        </w:tc>
        <w:tc>
          <w:tcPr>
            <w:tcW w:w="808" w:type="dxa"/>
            <w:shd w:val="clear" w:color="auto" w:fill="B3DDF2"/>
            <w:vAlign w:val="center"/>
            <w:hideMark/>
          </w:tcPr>
          <w:p w14:paraId="29036C95" w14:textId="77777777" w:rsidR="00BC2D86" w:rsidRPr="00BC2D86" w:rsidRDefault="00BC2D86" w:rsidP="00BC2D86">
            <w:pPr>
              <w:jc w:val="center"/>
              <w:rPr>
                <w:rFonts w:asciiTheme="minorHAnsi" w:hAnsiTheme="minorHAnsi"/>
                <w:b/>
                <w:bCs/>
                <w:sz w:val="18"/>
                <w:szCs w:val="20"/>
              </w:rPr>
            </w:pPr>
            <w:r w:rsidRPr="00BC2D86">
              <w:rPr>
                <w:rFonts w:asciiTheme="minorHAnsi" w:hAnsiTheme="minorHAnsi"/>
                <w:b/>
                <w:bCs/>
                <w:sz w:val="18"/>
                <w:szCs w:val="20"/>
              </w:rPr>
              <w:t>KESH</w:t>
            </w:r>
          </w:p>
        </w:tc>
        <w:tc>
          <w:tcPr>
            <w:tcW w:w="692" w:type="dxa"/>
            <w:shd w:val="clear" w:color="auto" w:fill="B3DDF2"/>
            <w:vAlign w:val="center"/>
            <w:hideMark/>
          </w:tcPr>
          <w:p w14:paraId="03696780" w14:textId="77777777" w:rsidR="00BC2D86" w:rsidRPr="00BC2D86" w:rsidRDefault="00BC2D86" w:rsidP="00BC2D86">
            <w:pPr>
              <w:jc w:val="center"/>
              <w:rPr>
                <w:rFonts w:asciiTheme="minorHAnsi" w:hAnsiTheme="minorHAnsi"/>
                <w:b/>
                <w:bCs/>
                <w:sz w:val="18"/>
                <w:szCs w:val="20"/>
              </w:rPr>
            </w:pPr>
            <w:r w:rsidRPr="00BC2D86">
              <w:rPr>
                <w:rFonts w:asciiTheme="minorHAnsi" w:hAnsiTheme="minorHAnsi"/>
                <w:b/>
                <w:bCs/>
                <w:sz w:val="18"/>
                <w:szCs w:val="20"/>
              </w:rPr>
              <w:t>OST</w:t>
            </w:r>
          </w:p>
        </w:tc>
        <w:tc>
          <w:tcPr>
            <w:tcW w:w="781" w:type="dxa"/>
            <w:shd w:val="clear" w:color="auto" w:fill="B3DDF2"/>
            <w:vAlign w:val="center"/>
            <w:hideMark/>
          </w:tcPr>
          <w:p w14:paraId="7DB44508" w14:textId="77777777" w:rsidR="00BC2D86" w:rsidRPr="00BC2D86" w:rsidRDefault="00BC2D86" w:rsidP="00BC2D86">
            <w:pPr>
              <w:jc w:val="center"/>
              <w:rPr>
                <w:rFonts w:asciiTheme="minorHAnsi" w:hAnsiTheme="minorHAnsi"/>
                <w:b/>
                <w:bCs/>
                <w:sz w:val="18"/>
                <w:szCs w:val="20"/>
              </w:rPr>
            </w:pPr>
            <w:r w:rsidRPr="00BC2D86">
              <w:rPr>
                <w:rFonts w:asciiTheme="minorHAnsi" w:hAnsiTheme="minorHAnsi"/>
                <w:b/>
                <w:bCs/>
                <w:sz w:val="18"/>
                <w:szCs w:val="20"/>
              </w:rPr>
              <w:t>OSHEE</w:t>
            </w:r>
          </w:p>
        </w:tc>
        <w:tc>
          <w:tcPr>
            <w:tcW w:w="698" w:type="dxa"/>
            <w:shd w:val="clear" w:color="auto" w:fill="B3DDF2"/>
            <w:vAlign w:val="center"/>
            <w:hideMark/>
          </w:tcPr>
          <w:p w14:paraId="07C93234" w14:textId="77777777" w:rsidR="00BC2D86" w:rsidRPr="00BC2D86" w:rsidRDefault="00BC2D86" w:rsidP="00BC2D86">
            <w:pPr>
              <w:jc w:val="center"/>
              <w:rPr>
                <w:rFonts w:asciiTheme="minorHAnsi" w:hAnsiTheme="minorHAnsi"/>
                <w:b/>
                <w:bCs/>
                <w:sz w:val="18"/>
                <w:szCs w:val="20"/>
              </w:rPr>
            </w:pPr>
            <w:r w:rsidRPr="00BC2D86">
              <w:rPr>
                <w:rFonts w:asciiTheme="minorHAnsi" w:hAnsiTheme="minorHAnsi"/>
                <w:b/>
                <w:bCs/>
                <w:sz w:val="18"/>
                <w:szCs w:val="20"/>
              </w:rPr>
              <w:t>MFE</w:t>
            </w:r>
          </w:p>
        </w:tc>
        <w:tc>
          <w:tcPr>
            <w:tcW w:w="607" w:type="dxa"/>
            <w:shd w:val="clear" w:color="auto" w:fill="B3DDF2"/>
            <w:vAlign w:val="center"/>
            <w:hideMark/>
          </w:tcPr>
          <w:p w14:paraId="4C97B6C1" w14:textId="77777777" w:rsidR="00BC2D86" w:rsidRPr="00BC2D86" w:rsidRDefault="00BC2D86" w:rsidP="00BC2D86">
            <w:pPr>
              <w:jc w:val="center"/>
              <w:rPr>
                <w:rFonts w:asciiTheme="minorHAnsi" w:hAnsiTheme="minorHAnsi"/>
                <w:b/>
                <w:bCs/>
                <w:sz w:val="18"/>
                <w:szCs w:val="20"/>
              </w:rPr>
            </w:pPr>
            <w:r w:rsidRPr="00BC2D86">
              <w:rPr>
                <w:rFonts w:asciiTheme="minorHAnsi" w:hAnsiTheme="minorHAnsi"/>
                <w:b/>
                <w:bCs/>
                <w:sz w:val="18"/>
                <w:szCs w:val="20"/>
              </w:rPr>
              <w:t>DPT</w:t>
            </w:r>
          </w:p>
        </w:tc>
        <w:tc>
          <w:tcPr>
            <w:tcW w:w="1204" w:type="dxa"/>
            <w:shd w:val="clear" w:color="auto" w:fill="B3DDF2"/>
            <w:vAlign w:val="center"/>
            <w:hideMark/>
          </w:tcPr>
          <w:p w14:paraId="734AD6FD" w14:textId="77777777" w:rsidR="00BC2D86" w:rsidRPr="00BC2D86" w:rsidRDefault="00BC2D86" w:rsidP="00BC2D86">
            <w:pPr>
              <w:jc w:val="center"/>
              <w:rPr>
                <w:rFonts w:asciiTheme="minorHAnsi" w:hAnsiTheme="minorHAnsi"/>
                <w:b/>
                <w:bCs/>
                <w:sz w:val="18"/>
                <w:szCs w:val="20"/>
              </w:rPr>
            </w:pPr>
            <w:r w:rsidRPr="00BC2D86">
              <w:rPr>
                <w:rFonts w:asciiTheme="minorHAnsi" w:hAnsiTheme="minorHAnsi"/>
                <w:b/>
                <w:bCs/>
                <w:color w:val="C00000"/>
                <w:sz w:val="18"/>
                <w:szCs w:val="20"/>
              </w:rPr>
              <w:t>Total</w:t>
            </w:r>
          </w:p>
        </w:tc>
      </w:tr>
      <w:tr w:rsidR="00BC2D86" w:rsidRPr="00BC2D86" w14:paraId="170B017F" w14:textId="77777777" w:rsidTr="00BC2D86">
        <w:trPr>
          <w:trHeight w:val="251"/>
          <w:jc w:val="center"/>
        </w:trPr>
        <w:tc>
          <w:tcPr>
            <w:tcW w:w="2779" w:type="dxa"/>
            <w:vAlign w:val="center"/>
            <w:hideMark/>
          </w:tcPr>
          <w:p w14:paraId="77631C70" w14:textId="77777777" w:rsidR="00BC2D86" w:rsidRPr="00BC2D86" w:rsidRDefault="00BC2D86" w:rsidP="00BC2D86">
            <w:pPr>
              <w:jc w:val="center"/>
              <w:rPr>
                <w:rFonts w:asciiTheme="minorHAnsi" w:hAnsiTheme="minorHAnsi"/>
                <w:b/>
                <w:bCs/>
                <w:color w:val="000000"/>
                <w:sz w:val="18"/>
                <w:szCs w:val="20"/>
              </w:rPr>
            </w:pPr>
            <w:r w:rsidRPr="00BC2D86">
              <w:rPr>
                <w:rFonts w:asciiTheme="minorHAnsi" w:hAnsiTheme="minorHAnsi"/>
                <w:b/>
                <w:bCs/>
                <w:color w:val="000000"/>
                <w:sz w:val="18"/>
                <w:szCs w:val="20"/>
              </w:rPr>
              <w:t>KESH ndaj:</w:t>
            </w:r>
          </w:p>
        </w:tc>
        <w:tc>
          <w:tcPr>
            <w:tcW w:w="808" w:type="dxa"/>
            <w:shd w:val="clear" w:color="auto" w:fill="auto"/>
            <w:vAlign w:val="center"/>
            <w:hideMark/>
          </w:tcPr>
          <w:p w14:paraId="3046FC29" w14:textId="77777777" w:rsidR="00BC2D86" w:rsidRPr="00BC2D86" w:rsidRDefault="00BC2D86" w:rsidP="00BC2D86">
            <w:pPr>
              <w:rPr>
                <w:rFonts w:asciiTheme="minorHAnsi" w:hAnsiTheme="minorHAnsi" w:cstheme="minorHAnsi"/>
                <w:color w:val="000000"/>
              </w:rPr>
            </w:pPr>
            <w:r w:rsidRPr="00BC2D86">
              <w:rPr>
                <w:rFonts w:asciiTheme="minorHAnsi" w:hAnsiTheme="minorHAnsi" w:cstheme="minorHAnsi"/>
                <w:color w:val="000000"/>
              </w:rPr>
              <w:t> </w:t>
            </w:r>
          </w:p>
        </w:tc>
        <w:tc>
          <w:tcPr>
            <w:tcW w:w="692" w:type="dxa"/>
            <w:shd w:val="clear" w:color="auto" w:fill="auto"/>
            <w:vAlign w:val="center"/>
            <w:hideMark/>
          </w:tcPr>
          <w:p w14:paraId="2E4473F5" w14:textId="77777777" w:rsidR="00BC2D86" w:rsidRPr="00BC2D86" w:rsidRDefault="00BC2D86" w:rsidP="00BC2D86">
            <w:pPr>
              <w:jc w:val="center"/>
              <w:rPr>
                <w:rFonts w:asciiTheme="minorHAnsi" w:hAnsiTheme="minorHAnsi" w:cstheme="minorHAnsi"/>
                <w:color w:val="000000"/>
                <w:sz w:val="18"/>
                <w:szCs w:val="18"/>
              </w:rPr>
            </w:pPr>
            <w:r w:rsidRPr="00BC2D86">
              <w:rPr>
                <w:rFonts w:asciiTheme="minorHAnsi" w:hAnsiTheme="minorHAnsi" w:cstheme="minorHAnsi"/>
                <w:color w:val="000000"/>
                <w:sz w:val="18"/>
                <w:szCs w:val="18"/>
              </w:rPr>
              <w:t>0*</w:t>
            </w:r>
          </w:p>
        </w:tc>
        <w:tc>
          <w:tcPr>
            <w:tcW w:w="781" w:type="dxa"/>
            <w:shd w:val="clear" w:color="auto" w:fill="auto"/>
            <w:vAlign w:val="center"/>
            <w:hideMark/>
          </w:tcPr>
          <w:p w14:paraId="13214749" w14:textId="77777777" w:rsidR="00BC2D86" w:rsidRPr="00BC2D86" w:rsidRDefault="00BC2D86" w:rsidP="00BC2D86">
            <w:pPr>
              <w:rPr>
                <w:rFonts w:asciiTheme="minorHAnsi" w:hAnsiTheme="minorHAnsi" w:cstheme="minorHAnsi"/>
                <w:color w:val="000000"/>
              </w:rPr>
            </w:pPr>
            <w:r w:rsidRPr="00BC2D86">
              <w:rPr>
                <w:rFonts w:asciiTheme="minorHAnsi" w:hAnsiTheme="minorHAnsi" w:cstheme="minorHAnsi"/>
                <w:color w:val="000000"/>
              </w:rPr>
              <w:t> </w:t>
            </w:r>
          </w:p>
        </w:tc>
        <w:tc>
          <w:tcPr>
            <w:tcW w:w="698" w:type="dxa"/>
            <w:shd w:val="clear" w:color="auto" w:fill="auto"/>
            <w:vAlign w:val="center"/>
            <w:hideMark/>
          </w:tcPr>
          <w:p w14:paraId="7EB887B8" w14:textId="77777777" w:rsidR="00BC2D86" w:rsidRPr="00BC2D86" w:rsidRDefault="00BC2D86" w:rsidP="00BC2D86">
            <w:pPr>
              <w:jc w:val="center"/>
              <w:rPr>
                <w:rFonts w:asciiTheme="minorHAnsi" w:hAnsiTheme="minorHAnsi" w:cstheme="minorHAnsi"/>
                <w:color w:val="000000"/>
                <w:sz w:val="18"/>
                <w:szCs w:val="18"/>
              </w:rPr>
            </w:pPr>
            <w:r w:rsidRPr="00BC2D86">
              <w:rPr>
                <w:rFonts w:asciiTheme="minorHAnsi" w:hAnsiTheme="minorHAnsi" w:cstheme="minorHAnsi"/>
                <w:color w:val="000000"/>
                <w:sz w:val="18"/>
                <w:szCs w:val="18"/>
              </w:rPr>
              <w:t>34.50</w:t>
            </w:r>
          </w:p>
        </w:tc>
        <w:tc>
          <w:tcPr>
            <w:tcW w:w="607" w:type="dxa"/>
            <w:shd w:val="clear" w:color="auto" w:fill="auto"/>
            <w:vAlign w:val="center"/>
            <w:hideMark/>
          </w:tcPr>
          <w:p w14:paraId="083B93A2" w14:textId="77777777" w:rsidR="00BC2D86" w:rsidRPr="00BC2D86" w:rsidRDefault="00BC2D86" w:rsidP="00BC2D86">
            <w:pPr>
              <w:jc w:val="center"/>
              <w:rPr>
                <w:rFonts w:asciiTheme="minorHAnsi" w:hAnsiTheme="minorHAnsi" w:cstheme="minorHAnsi"/>
                <w:color w:val="000000"/>
                <w:sz w:val="18"/>
                <w:szCs w:val="18"/>
              </w:rPr>
            </w:pPr>
            <w:r w:rsidRPr="00BC2D86">
              <w:rPr>
                <w:rFonts w:asciiTheme="minorHAnsi" w:hAnsiTheme="minorHAnsi" w:cstheme="minorHAnsi"/>
                <w:color w:val="000000"/>
                <w:sz w:val="18"/>
                <w:szCs w:val="18"/>
              </w:rPr>
              <w:t> </w:t>
            </w:r>
          </w:p>
        </w:tc>
        <w:tc>
          <w:tcPr>
            <w:tcW w:w="1204" w:type="dxa"/>
            <w:shd w:val="clear" w:color="auto" w:fill="B3DDF2"/>
            <w:vAlign w:val="center"/>
            <w:hideMark/>
          </w:tcPr>
          <w:p w14:paraId="709B7601" w14:textId="77777777" w:rsidR="00BC2D86" w:rsidRPr="00BC2D86" w:rsidRDefault="00BC2D86" w:rsidP="00BC2D86">
            <w:pPr>
              <w:jc w:val="center"/>
              <w:rPr>
                <w:rFonts w:asciiTheme="minorHAnsi" w:hAnsiTheme="minorHAnsi" w:cstheme="minorHAnsi"/>
                <w:b/>
                <w:bCs/>
                <w:color w:val="C00000"/>
                <w:sz w:val="18"/>
                <w:szCs w:val="18"/>
              </w:rPr>
            </w:pPr>
            <w:r w:rsidRPr="00BC2D86">
              <w:rPr>
                <w:rFonts w:asciiTheme="minorHAnsi" w:hAnsiTheme="minorHAnsi" w:cstheme="minorHAnsi"/>
                <w:b/>
                <w:bCs/>
                <w:color w:val="C00000"/>
                <w:sz w:val="18"/>
                <w:szCs w:val="18"/>
              </w:rPr>
              <w:t>34.50</w:t>
            </w:r>
          </w:p>
        </w:tc>
      </w:tr>
      <w:tr w:rsidR="00BC2D86" w:rsidRPr="00BC2D86" w14:paraId="0C7A87C1" w14:textId="77777777" w:rsidTr="00BC2D86">
        <w:trPr>
          <w:trHeight w:val="260"/>
          <w:jc w:val="center"/>
        </w:trPr>
        <w:tc>
          <w:tcPr>
            <w:tcW w:w="2779" w:type="dxa"/>
            <w:vAlign w:val="center"/>
            <w:hideMark/>
          </w:tcPr>
          <w:p w14:paraId="1C4525CD" w14:textId="77777777" w:rsidR="00BC2D86" w:rsidRPr="00BC2D86" w:rsidRDefault="00BC2D86" w:rsidP="00BC2D86">
            <w:pPr>
              <w:jc w:val="center"/>
              <w:rPr>
                <w:rFonts w:asciiTheme="minorHAnsi" w:hAnsiTheme="minorHAnsi"/>
                <w:b/>
                <w:bCs/>
                <w:color w:val="000000"/>
                <w:sz w:val="18"/>
                <w:szCs w:val="20"/>
              </w:rPr>
            </w:pPr>
            <w:r w:rsidRPr="00BC2D86">
              <w:rPr>
                <w:rFonts w:asciiTheme="minorHAnsi" w:hAnsiTheme="minorHAnsi"/>
                <w:b/>
                <w:bCs/>
                <w:color w:val="000000"/>
                <w:sz w:val="18"/>
                <w:szCs w:val="20"/>
              </w:rPr>
              <w:t>OST ndaj:</w:t>
            </w:r>
          </w:p>
        </w:tc>
        <w:tc>
          <w:tcPr>
            <w:tcW w:w="808" w:type="dxa"/>
            <w:shd w:val="clear" w:color="auto" w:fill="auto"/>
            <w:vAlign w:val="center"/>
            <w:hideMark/>
          </w:tcPr>
          <w:p w14:paraId="23C7F9F3" w14:textId="77777777" w:rsidR="00BC2D86" w:rsidRPr="00BC2D86" w:rsidRDefault="00BC2D86" w:rsidP="00BC2D86">
            <w:pPr>
              <w:jc w:val="center"/>
              <w:rPr>
                <w:rFonts w:asciiTheme="minorHAnsi" w:hAnsiTheme="minorHAnsi" w:cstheme="minorHAnsi"/>
                <w:color w:val="000000"/>
                <w:sz w:val="18"/>
                <w:szCs w:val="18"/>
              </w:rPr>
            </w:pPr>
            <w:r w:rsidRPr="00BC2D86">
              <w:rPr>
                <w:rFonts w:asciiTheme="minorHAnsi" w:hAnsiTheme="minorHAnsi" w:cstheme="minorHAnsi"/>
                <w:color w:val="000000"/>
                <w:sz w:val="18"/>
                <w:szCs w:val="18"/>
              </w:rPr>
              <w:t>10.721*</w:t>
            </w:r>
          </w:p>
        </w:tc>
        <w:tc>
          <w:tcPr>
            <w:tcW w:w="692" w:type="dxa"/>
            <w:shd w:val="clear" w:color="auto" w:fill="auto"/>
            <w:vAlign w:val="center"/>
            <w:hideMark/>
          </w:tcPr>
          <w:p w14:paraId="49CC95E6" w14:textId="77777777" w:rsidR="00BC2D86" w:rsidRPr="00BC2D86" w:rsidRDefault="00BC2D86" w:rsidP="00BC2D86">
            <w:pPr>
              <w:rPr>
                <w:rFonts w:asciiTheme="minorHAnsi" w:hAnsiTheme="minorHAnsi" w:cstheme="minorHAnsi"/>
                <w:color w:val="000000"/>
              </w:rPr>
            </w:pPr>
            <w:r w:rsidRPr="00BC2D86">
              <w:rPr>
                <w:rFonts w:asciiTheme="minorHAnsi" w:hAnsiTheme="minorHAnsi" w:cstheme="minorHAnsi"/>
                <w:color w:val="000000"/>
              </w:rPr>
              <w:t> </w:t>
            </w:r>
          </w:p>
        </w:tc>
        <w:tc>
          <w:tcPr>
            <w:tcW w:w="781" w:type="dxa"/>
            <w:shd w:val="clear" w:color="auto" w:fill="auto"/>
            <w:vAlign w:val="center"/>
            <w:hideMark/>
          </w:tcPr>
          <w:p w14:paraId="489F825A" w14:textId="77777777" w:rsidR="00BC2D86" w:rsidRPr="00BC2D86" w:rsidRDefault="00BC2D86" w:rsidP="00BC2D86">
            <w:pPr>
              <w:jc w:val="center"/>
              <w:rPr>
                <w:rFonts w:asciiTheme="minorHAnsi" w:hAnsiTheme="minorHAnsi" w:cstheme="minorHAnsi"/>
                <w:color w:val="000000"/>
                <w:sz w:val="18"/>
                <w:szCs w:val="18"/>
              </w:rPr>
            </w:pPr>
            <w:r w:rsidRPr="00BC2D86">
              <w:rPr>
                <w:rFonts w:asciiTheme="minorHAnsi" w:hAnsiTheme="minorHAnsi" w:cstheme="minorHAnsi"/>
                <w:color w:val="000000"/>
                <w:sz w:val="18"/>
                <w:szCs w:val="18"/>
              </w:rPr>
              <w:t>0.89</w:t>
            </w:r>
          </w:p>
        </w:tc>
        <w:tc>
          <w:tcPr>
            <w:tcW w:w="698" w:type="dxa"/>
            <w:shd w:val="clear" w:color="auto" w:fill="auto"/>
            <w:vAlign w:val="center"/>
            <w:hideMark/>
          </w:tcPr>
          <w:p w14:paraId="2A58A2D2" w14:textId="77777777" w:rsidR="00BC2D86" w:rsidRPr="00BC2D86" w:rsidRDefault="00BC2D86" w:rsidP="00BC2D86">
            <w:pPr>
              <w:jc w:val="center"/>
              <w:rPr>
                <w:rFonts w:asciiTheme="minorHAnsi" w:hAnsiTheme="minorHAnsi" w:cstheme="minorHAnsi"/>
                <w:color w:val="000000"/>
                <w:sz w:val="18"/>
                <w:szCs w:val="18"/>
              </w:rPr>
            </w:pPr>
            <w:r w:rsidRPr="00BC2D86">
              <w:rPr>
                <w:rFonts w:asciiTheme="minorHAnsi" w:hAnsiTheme="minorHAnsi" w:cstheme="minorHAnsi"/>
                <w:color w:val="000000"/>
                <w:sz w:val="18"/>
                <w:szCs w:val="18"/>
              </w:rPr>
              <w:t>8.23</w:t>
            </w:r>
          </w:p>
        </w:tc>
        <w:tc>
          <w:tcPr>
            <w:tcW w:w="607" w:type="dxa"/>
            <w:shd w:val="clear" w:color="auto" w:fill="auto"/>
            <w:vAlign w:val="center"/>
            <w:hideMark/>
          </w:tcPr>
          <w:p w14:paraId="256B09E3" w14:textId="77777777" w:rsidR="00BC2D86" w:rsidRPr="00BC2D86" w:rsidRDefault="00BC2D86" w:rsidP="00BC2D86">
            <w:pPr>
              <w:rPr>
                <w:rFonts w:asciiTheme="minorHAnsi" w:hAnsiTheme="minorHAnsi" w:cstheme="minorHAnsi"/>
                <w:color w:val="000000"/>
              </w:rPr>
            </w:pPr>
            <w:r w:rsidRPr="00BC2D86">
              <w:rPr>
                <w:rFonts w:asciiTheme="minorHAnsi" w:hAnsiTheme="minorHAnsi" w:cstheme="minorHAnsi"/>
                <w:color w:val="000000"/>
              </w:rPr>
              <w:t> </w:t>
            </w:r>
          </w:p>
        </w:tc>
        <w:tc>
          <w:tcPr>
            <w:tcW w:w="1204" w:type="dxa"/>
            <w:shd w:val="clear" w:color="auto" w:fill="B3DDF2"/>
            <w:vAlign w:val="center"/>
            <w:hideMark/>
          </w:tcPr>
          <w:p w14:paraId="16671AC4" w14:textId="77777777" w:rsidR="00BC2D86" w:rsidRPr="00BC2D86" w:rsidRDefault="00BC2D86" w:rsidP="00BC2D86">
            <w:pPr>
              <w:jc w:val="center"/>
              <w:rPr>
                <w:rFonts w:asciiTheme="minorHAnsi" w:hAnsiTheme="minorHAnsi" w:cstheme="minorHAnsi"/>
                <w:b/>
                <w:bCs/>
                <w:color w:val="C00000"/>
                <w:sz w:val="18"/>
                <w:szCs w:val="18"/>
              </w:rPr>
            </w:pPr>
            <w:r w:rsidRPr="00BC2D86">
              <w:rPr>
                <w:rFonts w:asciiTheme="minorHAnsi" w:hAnsiTheme="minorHAnsi" w:cstheme="minorHAnsi"/>
                <w:b/>
                <w:bCs/>
                <w:color w:val="C00000"/>
                <w:sz w:val="18"/>
                <w:szCs w:val="18"/>
              </w:rPr>
              <w:t>19.84</w:t>
            </w:r>
          </w:p>
        </w:tc>
      </w:tr>
      <w:tr w:rsidR="00BC2D86" w:rsidRPr="00BC2D86" w14:paraId="4069D391" w14:textId="77777777" w:rsidTr="00BC2D86">
        <w:trPr>
          <w:trHeight w:val="251"/>
          <w:jc w:val="center"/>
        </w:trPr>
        <w:tc>
          <w:tcPr>
            <w:tcW w:w="2779" w:type="dxa"/>
            <w:vAlign w:val="center"/>
            <w:hideMark/>
          </w:tcPr>
          <w:p w14:paraId="53B6B394" w14:textId="77777777" w:rsidR="00BC2D86" w:rsidRPr="00BC2D86" w:rsidRDefault="00BC2D86" w:rsidP="00BC2D86">
            <w:pPr>
              <w:jc w:val="center"/>
              <w:rPr>
                <w:rFonts w:asciiTheme="minorHAnsi" w:hAnsiTheme="minorHAnsi"/>
                <w:b/>
                <w:bCs/>
                <w:color w:val="000000"/>
                <w:sz w:val="18"/>
                <w:szCs w:val="20"/>
              </w:rPr>
            </w:pPr>
            <w:r w:rsidRPr="00BC2D86">
              <w:rPr>
                <w:rFonts w:asciiTheme="minorHAnsi" w:hAnsiTheme="minorHAnsi"/>
                <w:b/>
                <w:bCs/>
                <w:color w:val="000000"/>
                <w:sz w:val="18"/>
                <w:szCs w:val="20"/>
              </w:rPr>
              <w:t>OSHEE ndaj:</w:t>
            </w:r>
          </w:p>
        </w:tc>
        <w:tc>
          <w:tcPr>
            <w:tcW w:w="808" w:type="dxa"/>
            <w:shd w:val="clear" w:color="auto" w:fill="auto"/>
            <w:vAlign w:val="center"/>
            <w:hideMark/>
          </w:tcPr>
          <w:p w14:paraId="23142503" w14:textId="77777777" w:rsidR="00BC2D86" w:rsidRPr="00BC2D86" w:rsidRDefault="00BC2D86" w:rsidP="00BC2D86">
            <w:pPr>
              <w:jc w:val="center"/>
              <w:rPr>
                <w:rFonts w:asciiTheme="minorHAnsi" w:hAnsiTheme="minorHAnsi" w:cstheme="minorHAnsi"/>
                <w:color w:val="000000"/>
                <w:sz w:val="18"/>
                <w:szCs w:val="18"/>
              </w:rPr>
            </w:pPr>
            <w:r w:rsidRPr="00BC2D86">
              <w:rPr>
                <w:rFonts w:asciiTheme="minorHAnsi" w:hAnsiTheme="minorHAnsi" w:cstheme="minorHAnsi"/>
                <w:color w:val="000000"/>
                <w:sz w:val="18"/>
                <w:szCs w:val="18"/>
              </w:rPr>
              <w:t>52.6**</w:t>
            </w:r>
          </w:p>
        </w:tc>
        <w:tc>
          <w:tcPr>
            <w:tcW w:w="692" w:type="dxa"/>
            <w:shd w:val="clear" w:color="auto" w:fill="auto"/>
            <w:vAlign w:val="center"/>
            <w:hideMark/>
          </w:tcPr>
          <w:p w14:paraId="56DC9B50" w14:textId="77777777" w:rsidR="00BC2D86" w:rsidRPr="00BC2D86" w:rsidRDefault="00BC2D86" w:rsidP="00BC2D86">
            <w:pPr>
              <w:jc w:val="center"/>
              <w:rPr>
                <w:rFonts w:asciiTheme="minorHAnsi" w:hAnsiTheme="minorHAnsi" w:cstheme="minorHAnsi"/>
                <w:color w:val="000000"/>
                <w:sz w:val="18"/>
                <w:szCs w:val="18"/>
              </w:rPr>
            </w:pPr>
            <w:r w:rsidRPr="00BC2D86">
              <w:rPr>
                <w:rFonts w:asciiTheme="minorHAnsi" w:hAnsiTheme="minorHAnsi" w:cstheme="minorHAnsi"/>
                <w:color w:val="000000"/>
                <w:sz w:val="18"/>
                <w:szCs w:val="18"/>
              </w:rPr>
              <w:t>9.9**</w:t>
            </w:r>
          </w:p>
        </w:tc>
        <w:tc>
          <w:tcPr>
            <w:tcW w:w="781" w:type="dxa"/>
            <w:shd w:val="clear" w:color="auto" w:fill="auto"/>
            <w:vAlign w:val="center"/>
            <w:hideMark/>
          </w:tcPr>
          <w:p w14:paraId="683F20E1" w14:textId="77777777" w:rsidR="00BC2D86" w:rsidRPr="00BC2D86" w:rsidRDefault="00BC2D86" w:rsidP="00BC2D86">
            <w:pPr>
              <w:rPr>
                <w:rFonts w:asciiTheme="minorHAnsi" w:hAnsiTheme="minorHAnsi" w:cstheme="minorHAnsi"/>
                <w:color w:val="000000"/>
              </w:rPr>
            </w:pPr>
            <w:r w:rsidRPr="00BC2D86">
              <w:rPr>
                <w:rFonts w:asciiTheme="minorHAnsi" w:hAnsiTheme="minorHAnsi" w:cstheme="minorHAnsi"/>
                <w:color w:val="000000"/>
              </w:rPr>
              <w:t> </w:t>
            </w:r>
          </w:p>
        </w:tc>
        <w:tc>
          <w:tcPr>
            <w:tcW w:w="698" w:type="dxa"/>
            <w:shd w:val="clear" w:color="auto" w:fill="auto"/>
            <w:vAlign w:val="center"/>
            <w:hideMark/>
          </w:tcPr>
          <w:p w14:paraId="58DD4941" w14:textId="77777777" w:rsidR="00BC2D86" w:rsidRPr="00BC2D86" w:rsidRDefault="00BC2D86" w:rsidP="00BC2D86">
            <w:pPr>
              <w:jc w:val="center"/>
              <w:rPr>
                <w:rFonts w:asciiTheme="minorHAnsi" w:hAnsiTheme="minorHAnsi" w:cstheme="minorHAnsi"/>
                <w:color w:val="000000"/>
                <w:sz w:val="18"/>
                <w:szCs w:val="18"/>
              </w:rPr>
            </w:pPr>
            <w:r w:rsidRPr="00BC2D86">
              <w:rPr>
                <w:rFonts w:asciiTheme="minorHAnsi" w:hAnsiTheme="minorHAnsi" w:cstheme="minorHAnsi"/>
                <w:color w:val="000000"/>
                <w:sz w:val="18"/>
                <w:szCs w:val="18"/>
              </w:rPr>
              <w:t>2.70</w:t>
            </w:r>
          </w:p>
        </w:tc>
        <w:tc>
          <w:tcPr>
            <w:tcW w:w="607" w:type="dxa"/>
            <w:shd w:val="clear" w:color="auto" w:fill="auto"/>
            <w:vAlign w:val="center"/>
            <w:hideMark/>
          </w:tcPr>
          <w:p w14:paraId="3C502392" w14:textId="77777777" w:rsidR="00BC2D86" w:rsidRPr="00BC2D86" w:rsidRDefault="00BC2D86" w:rsidP="00BC2D86">
            <w:pPr>
              <w:jc w:val="center"/>
              <w:rPr>
                <w:rFonts w:asciiTheme="minorHAnsi" w:hAnsiTheme="minorHAnsi" w:cstheme="minorHAnsi"/>
                <w:color w:val="000000"/>
                <w:sz w:val="18"/>
                <w:szCs w:val="18"/>
              </w:rPr>
            </w:pPr>
            <w:r w:rsidRPr="00BC2D86">
              <w:rPr>
                <w:rFonts w:asciiTheme="minorHAnsi" w:hAnsiTheme="minorHAnsi" w:cstheme="minorHAnsi"/>
                <w:color w:val="000000"/>
                <w:sz w:val="18"/>
                <w:szCs w:val="18"/>
              </w:rPr>
              <w:t>4.66</w:t>
            </w:r>
          </w:p>
        </w:tc>
        <w:tc>
          <w:tcPr>
            <w:tcW w:w="1204" w:type="dxa"/>
            <w:shd w:val="clear" w:color="auto" w:fill="B3DDF2"/>
            <w:vAlign w:val="center"/>
            <w:hideMark/>
          </w:tcPr>
          <w:p w14:paraId="69717386" w14:textId="77777777" w:rsidR="00BC2D86" w:rsidRPr="00BC2D86" w:rsidRDefault="00BC2D86" w:rsidP="00BC2D86">
            <w:pPr>
              <w:jc w:val="center"/>
              <w:rPr>
                <w:rFonts w:asciiTheme="minorHAnsi" w:hAnsiTheme="minorHAnsi" w:cstheme="minorHAnsi"/>
                <w:b/>
                <w:bCs/>
                <w:color w:val="C00000"/>
                <w:sz w:val="18"/>
                <w:szCs w:val="18"/>
              </w:rPr>
            </w:pPr>
            <w:r w:rsidRPr="00BC2D86">
              <w:rPr>
                <w:rFonts w:asciiTheme="minorHAnsi" w:hAnsiTheme="minorHAnsi" w:cstheme="minorHAnsi"/>
                <w:b/>
                <w:bCs/>
                <w:color w:val="C00000"/>
                <w:sz w:val="18"/>
                <w:szCs w:val="18"/>
              </w:rPr>
              <w:t>69.86</w:t>
            </w:r>
          </w:p>
        </w:tc>
      </w:tr>
      <w:tr w:rsidR="00BC2D86" w:rsidRPr="00BC2D86" w14:paraId="016F1A14" w14:textId="77777777" w:rsidTr="00BC2D86">
        <w:trPr>
          <w:trHeight w:val="179"/>
          <w:jc w:val="center"/>
        </w:trPr>
        <w:tc>
          <w:tcPr>
            <w:tcW w:w="2779" w:type="dxa"/>
            <w:vAlign w:val="center"/>
            <w:hideMark/>
          </w:tcPr>
          <w:p w14:paraId="36E62D21" w14:textId="77777777" w:rsidR="00BC2D86" w:rsidRPr="00BC2D86" w:rsidRDefault="00BC2D86" w:rsidP="00BC2D86">
            <w:pPr>
              <w:jc w:val="center"/>
              <w:rPr>
                <w:rFonts w:asciiTheme="minorHAnsi" w:hAnsiTheme="minorHAnsi"/>
                <w:b/>
                <w:bCs/>
                <w:color w:val="000000"/>
                <w:sz w:val="18"/>
                <w:szCs w:val="20"/>
              </w:rPr>
            </w:pPr>
            <w:r w:rsidRPr="00BC2D86">
              <w:rPr>
                <w:rFonts w:asciiTheme="minorHAnsi" w:hAnsiTheme="minorHAnsi"/>
                <w:b/>
                <w:bCs/>
                <w:color w:val="000000"/>
                <w:sz w:val="18"/>
                <w:szCs w:val="20"/>
              </w:rPr>
              <w:t>Ndermarrjet UK ndaj:</w:t>
            </w:r>
          </w:p>
        </w:tc>
        <w:tc>
          <w:tcPr>
            <w:tcW w:w="808" w:type="dxa"/>
            <w:shd w:val="clear" w:color="auto" w:fill="auto"/>
            <w:vAlign w:val="center"/>
            <w:hideMark/>
          </w:tcPr>
          <w:p w14:paraId="375E2175" w14:textId="77777777" w:rsidR="00BC2D86" w:rsidRPr="00BC2D86" w:rsidRDefault="00BC2D86" w:rsidP="00BC2D86">
            <w:pPr>
              <w:rPr>
                <w:rFonts w:asciiTheme="minorHAnsi" w:hAnsiTheme="minorHAnsi" w:cstheme="minorHAnsi"/>
                <w:color w:val="000000"/>
              </w:rPr>
            </w:pPr>
            <w:r w:rsidRPr="00BC2D86">
              <w:rPr>
                <w:rFonts w:asciiTheme="minorHAnsi" w:hAnsiTheme="minorHAnsi" w:cstheme="minorHAnsi"/>
                <w:color w:val="000000"/>
              </w:rPr>
              <w:t> </w:t>
            </w:r>
          </w:p>
        </w:tc>
        <w:tc>
          <w:tcPr>
            <w:tcW w:w="692" w:type="dxa"/>
            <w:shd w:val="clear" w:color="auto" w:fill="auto"/>
            <w:vAlign w:val="center"/>
            <w:hideMark/>
          </w:tcPr>
          <w:p w14:paraId="31365082" w14:textId="77777777" w:rsidR="00BC2D86" w:rsidRPr="00BC2D86" w:rsidRDefault="00BC2D86" w:rsidP="00BC2D86">
            <w:pPr>
              <w:rPr>
                <w:rFonts w:asciiTheme="minorHAnsi" w:hAnsiTheme="minorHAnsi" w:cstheme="minorHAnsi"/>
                <w:color w:val="000000"/>
              </w:rPr>
            </w:pPr>
            <w:r w:rsidRPr="00BC2D86">
              <w:rPr>
                <w:rFonts w:asciiTheme="minorHAnsi" w:hAnsiTheme="minorHAnsi" w:cstheme="minorHAnsi"/>
                <w:color w:val="000000"/>
              </w:rPr>
              <w:t> </w:t>
            </w:r>
          </w:p>
        </w:tc>
        <w:tc>
          <w:tcPr>
            <w:tcW w:w="781" w:type="dxa"/>
            <w:shd w:val="clear" w:color="auto" w:fill="auto"/>
            <w:vAlign w:val="center"/>
            <w:hideMark/>
          </w:tcPr>
          <w:p w14:paraId="0BBB5E40" w14:textId="77777777" w:rsidR="00BC2D86" w:rsidRPr="00BC2D86" w:rsidRDefault="00BC2D86" w:rsidP="00BC2D86">
            <w:pPr>
              <w:jc w:val="center"/>
              <w:rPr>
                <w:rFonts w:asciiTheme="minorHAnsi" w:hAnsiTheme="minorHAnsi" w:cstheme="minorHAnsi"/>
                <w:color w:val="000000"/>
                <w:sz w:val="18"/>
                <w:szCs w:val="18"/>
              </w:rPr>
            </w:pPr>
            <w:r w:rsidRPr="00BC2D86">
              <w:rPr>
                <w:rFonts w:asciiTheme="minorHAnsi" w:hAnsiTheme="minorHAnsi" w:cstheme="minorHAnsi"/>
                <w:color w:val="000000"/>
                <w:sz w:val="18"/>
                <w:szCs w:val="18"/>
              </w:rPr>
              <w:t>27.80</w:t>
            </w:r>
          </w:p>
        </w:tc>
        <w:tc>
          <w:tcPr>
            <w:tcW w:w="698" w:type="dxa"/>
            <w:shd w:val="clear" w:color="auto" w:fill="auto"/>
            <w:vAlign w:val="center"/>
            <w:hideMark/>
          </w:tcPr>
          <w:p w14:paraId="2E1B7A9E" w14:textId="77777777" w:rsidR="00BC2D86" w:rsidRPr="00BC2D86" w:rsidRDefault="00BC2D86" w:rsidP="00BC2D86">
            <w:pPr>
              <w:jc w:val="center"/>
              <w:rPr>
                <w:rFonts w:asciiTheme="minorHAnsi" w:hAnsiTheme="minorHAnsi" w:cstheme="minorHAnsi"/>
                <w:color w:val="000000"/>
                <w:sz w:val="18"/>
                <w:szCs w:val="18"/>
              </w:rPr>
            </w:pPr>
            <w:r w:rsidRPr="00BC2D86">
              <w:rPr>
                <w:rFonts w:asciiTheme="minorHAnsi" w:hAnsiTheme="minorHAnsi" w:cstheme="minorHAnsi"/>
                <w:color w:val="000000"/>
                <w:sz w:val="18"/>
                <w:szCs w:val="18"/>
              </w:rPr>
              <w:t>10.22</w:t>
            </w:r>
          </w:p>
        </w:tc>
        <w:tc>
          <w:tcPr>
            <w:tcW w:w="607" w:type="dxa"/>
            <w:shd w:val="clear" w:color="auto" w:fill="auto"/>
            <w:vAlign w:val="center"/>
            <w:hideMark/>
          </w:tcPr>
          <w:p w14:paraId="6F3BD02B" w14:textId="77777777" w:rsidR="00BC2D86" w:rsidRPr="00BC2D86" w:rsidRDefault="00BC2D86" w:rsidP="00BC2D86">
            <w:pPr>
              <w:rPr>
                <w:rFonts w:asciiTheme="minorHAnsi" w:hAnsiTheme="minorHAnsi" w:cstheme="minorHAnsi"/>
                <w:color w:val="000000"/>
                <w:sz w:val="22"/>
                <w:szCs w:val="22"/>
              </w:rPr>
            </w:pPr>
            <w:r w:rsidRPr="00BC2D86">
              <w:rPr>
                <w:rFonts w:asciiTheme="minorHAnsi" w:hAnsiTheme="minorHAnsi" w:cstheme="minorHAnsi"/>
                <w:color w:val="000000"/>
                <w:sz w:val="22"/>
                <w:szCs w:val="22"/>
              </w:rPr>
              <w:t> </w:t>
            </w:r>
          </w:p>
        </w:tc>
        <w:tc>
          <w:tcPr>
            <w:tcW w:w="1204" w:type="dxa"/>
            <w:shd w:val="clear" w:color="auto" w:fill="B3DDF2"/>
            <w:vAlign w:val="center"/>
            <w:hideMark/>
          </w:tcPr>
          <w:p w14:paraId="64ADFA7B" w14:textId="77777777" w:rsidR="00BC2D86" w:rsidRPr="00BC2D86" w:rsidRDefault="00BC2D86" w:rsidP="00BC2D86">
            <w:pPr>
              <w:jc w:val="center"/>
              <w:rPr>
                <w:rFonts w:asciiTheme="minorHAnsi" w:hAnsiTheme="minorHAnsi" w:cstheme="minorHAnsi"/>
                <w:b/>
                <w:bCs/>
                <w:color w:val="C00000"/>
                <w:sz w:val="18"/>
                <w:szCs w:val="18"/>
              </w:rPr>
            </w:pPr>
            <w:r w:rsidRPr="00BC2D86">
              <w:rPr>
                <w:rFonts w:asciiTheme="minorHAnsi" w:hAnsiTheme="minorHAnsi" w:cstheme="minorHAnsi"/>
                <w:b/>
                <w:bCs/>
                <w:color w:val="C00000"/>
                <w:sz w:val="18"/>
                <w:szCs w:val="18"/>
              </w:rPr>
              <w:t>38.02</w:t>
            </w:r>
          </w:p>
        </w:tc>
      </w:tr>
      <w:tr w:rsidR="00BC2D86" w:rsidRPr="00BC2D86" w14:paraId="47FB3C41" w14:textId="77777777" w:rsidTr="00BC2D86">
        <w:trPr>
          <w:trHeight w:val="215"/>
          <w:jc w:val="center"/>
        </w:trPr>
        <w:tc>
          <w:tcPr>
            <w:tcW w:w="2779" w:type="dxa"/>
            <w:vAlign w:val="center"/>
            <w:hideMark/>
          </w:tcPr>
          <w:p w14:paraId="1E481921" w14:textId="77777777" w:rsidR="00BC2D86" w:rsidRPr="00BC2D86" w:rsidRDefault="00BC2D86" w:rsidP="00BC2D86">
            <w:pPr>
              <w:jc w:val="center"/>
              <w:rPr>
                <w:rFonts w:asciiTheme="minorHAnsi" w:hAnsiTheme="minorHAnsi"/>
                <w:b/>
                <w:bCs/>
                <w:color w:val="000000"/>
                <w:sz w:val="18"/>
                <w:szCs w:val="20"/>
              </w:rPr>
            </w:pPr>
            <w:r w:rsidRPr="00BC2D86">
              <w:rPr>
                <w:rFonts w:asciiTheme="minorHAnsi" w:hAnsiTheme="minorHAnsi"/>
                <w:b/>
                <w:bCs/>
                <w:color w:val="000000"/>
                <w:sz w:val="18"/>
                <w:szCs w:val="20"/>
              </w:rPr>
              <w:t>ML/IB</w:t>
            </w:r>
          </w:p>
        </w:tc>
        <w:tc>
          <w:tcPr>
            <w:tcW w:w="808" w:type="dxa"/>
            <w:shd w:val="clear" w:color="auto" w:fill="auto"/>
            <w:vAlign w:val="center"/>
            <w:hideMark/>
          </w:tcPr>
          <w:p w14:paraId="4EF8D2BE" w14:textId="77777777" w:rsidR="00BC2D86" w:rsidRPr="00BC2D86" w:rsidRDefault="00BC2D86" w:rsidP="00BC2D86">
            <w:pPr>
              <w:rPr>
                <w:rFonts w:asciiTheme="minorHAnsi" w:hAnsiTheme="minorHAnsi" w:cstheme="minorHAnsi"/>
                <w:color w:val="000000"/>
              </w:rPr>
            </w:pPr>
            <w:r w:rsidRPr="00BC2D86">
              <w:rPr>
                <w:rFonts w:asciiTheme="minorHAnsi" w:hAnsiTheme="minorHAnsi" w:cstheme="minorHAnsi"/>
                <w:color w:val="000000"/>
              </w:rPr>
              <w:t> </w:t>
            </w:r>
          </w:p>
        </w:tc>
        <w:tc>
          <w:tcPr>
            <w:tcW w:w="692" w:type="dxa"/>
            <w:shd w:val="clear" w:color="auto" w:fill="auto"/>
            <w:vAlign w:val="center"/>
            <w:hideMark/>
          </w:tcPr>
          <w:p w14:paraId="3AB99A81" w14:textId="77777777" w:rsidR="00BC2D86" w:rsidRPr="00BC2D86" w:rsidRDefault="00BC2D86" w:rsidP="00BC2D86">
            <w:pPr>
              <w:rPr>
                <w:rFonts w:asciiTheme="minorHAnsi" w:hAnsiTheme="minorHAnsi" w:cstheme="minorHAnsi"/>
                <w:color w:val="000000"/>
              </w:rPr>
            </w:pPr>
            <w:r w:rsidRPr="00BC2D86">
              <w:rPr>
                <w:rFonts w:asciiTheme="minorHAnsi" w:hAnsiTheme="minorHAnsi" w:cstheme="minorHAnsi"/>
                <w:color w:val="000000"/>
              </w:rPr>
              <w:t> </w:t>
            </w:r>
          </w:p>
        </w:tc>
        <w:tc>
          <w:tcPr>
            <w:tcW w:w="781" w:type="dxa"/>
            <w:shd w:val="clear" w:color="auto" w:fill="auto"/>
            <w:vAlign w:val="center"/>
            <w:hideMark/>
          </w:tcPr>
          <w:p w14:paraId="7D690FFD" w14:textId="77777777" w:rsidR="00BC2D86" w:rsidRPr="00BC2D86" w:rsidRDefault="00BC2D86" w:rsidP="00BC2D86">
            <w:pPr>
              <w:jc w:val="center"/>
              <w:rPr>
                <w:rFonts w:asciiTheme="minorHAnsi" w:hAnsiTheme="minorHAnsi" w:cstheme="minorHAnsi"/>
                <w:color w:val="000000"/>
                <w:sz w:val="18"/>
                <w:szCs w:val="18"/>
              </w:rPr>
            </w:pPr>
            <w:r w:rsidRPr="00BC2D86">
              <w:rPr>
                <w:rFonts w:asciiTheme="minorHAnsi" w:hAnsiTheme="minorHAnsi" w:cstheme="minorHAnsi"/>
                <w:color w:val="000000"/>
                <w:sz w:val="18"/>
                <w:szCs w:val="18"/>
              </w:rPr>
              <w:t>5.63</w:t>
            </w:r>
          </w:p>
        </w:tc>
        <w:tc>
          <w:tcPr>
            <w:tcW w:w="698" w:type="dxa"/>
            <w:shd w:val="clear" w:color="auto" w:fill="auto"/>
            <w:vAlign w:val="center"/>
            <w:hideMark/>
          </w:tcPr>
          <w:p w14:paraId="429767E7" w14:textId="77777777" w:rsidR="00BC2D86" w:rsidRPr="00BC2D86" w:rsidRDefault="00BC2D86" w:rsidP="00BC2D86">
            <w:pPr>
              <w:rPr>
                <w:rFonts w:asciiTheme="minorHAnsi" w:hAnsiTheme="minorHAnsi" w:cstheme="minorHAnsi"/>
                <w:color w:val="000000"/>
              </w:rPr>
            </w:pPr>
            <w:r w:rsidRPr="00BC2D86">
              <w:rPr>
                <w:rFonts w:asciiTheme="minorHAnsi" w:hAnsiTheme="minorHAnsi" w:cstheme="minorHAnsi"/>
                <w:color w:val="000000"/>
              </w:rPr>
              <w:t> </w:t>
            </w:r>
          </w:p>
        </w:tc>
        <w:tc>
          <w:tcPr>
            <w:tcW w:w="607" w:type="dxa"/>
            <w:shd w:val="clear" w:color="auto" w:fill="auto"/>
            <w:vAlign w:val="center"/>
            <w:hideMark/>
          </w:tcPr>
          <w:p w14:paraId="4579E0A9" w14:textId="77777777" w:rsidR="00BC2D86" w:rsidRPr="00BC2D86" w:rsidRDefault="00BC2D86" w:rsidP="00BC2D86">
            <w:pPr>
              <w:rPr>
                <w:rFonts w:asciiTheme="minorHAnsi" w:hAnsiTheme="minorHAnsi" w:cstheme="minorHAnsi"/>
                <w:color w:val="000000"/>
              </w:rPr>
            </w:pPr>
            <w:r w:rsidRPr="00BC2D86">
              <w:rPr>
                <w:rFonts w:asciiTheme="minorHAnsi" w:hAnsiTheme="minorHAnsi" w:cstheme="minorHAnsi"/>
                <w:color w:val="000000"/>
              </w:rPr>
              <w:t> </w:t>
            </w:r>
          </w:p>
        </w:tc>
        <w:tc>
          <w:tcPr>
            <w:tcW w:w="1204" w:type="dxa"/>
            <w:shd w:val="clear" w:color="auto" w:fill="B3DDF2"/>
            <w:vAlign w:val="center"/>
            <w:hideMark/>
          </w:tcPr>
          <w:p w14:paraId="6FAC81C4" w14:textId="77777777" w:rsidR="00BC2D86" w:rsidRPr="00BC2D86" w:rsidRDefault="00BC2D86" w:rsidP="00BC2D86">
            <w:pPr>
              <w:jc w:val="center"/>
              <w:rPr>
                <w:rFonts w:asciiTheme="minorHAnsi" w:hAnsiTheme="minorHAnsi" w:cstheme="minorHAnsi"/>
                <w:b/>
                <w:bCs/>
                <w:color w:val="C00000"/>
                <w:sz w:val="18"/>
                <w:szCs w:val="18"/>
              </w:rPr>
            </w:pPr>
            <w:r w:rsidRPr="00BC2D86">
              <w:rPr>
                <w:rFonts w:asciiTheme="minorHAnsi" w:hAnsiTheme="minorHAnsi" w:cstheme="minorHAnsi"/>
                <w:b/>
                <w:bCs/>
                <w:color w:val="C00000"/>
                <w:sz w:val="18"/>
                <w:szCs w:val="18"/>
              </w:rPr>
              <w:t>5.63</w:t>
            </w:r>
          </w:p>
        </w:tc>
      </w:tr>
      <w:tr w:rsidR="00BC2D86" w:rsidRPr="00BC2D86" w14:paraId="4ECAACEB" w14:textId="77777777" w:rsidTr="00BC2D86">
        <w:trPr>
          <w:trHeight w:val="268"/>
          <w:jc w:val="center"/>
        </w:trPr>
        <w:tc>
          <w:tcPr>
            <w:tcW w:w="2779" w:type="dxa"/>
            <w:shd w:val="clear" w:color="auto" w:fill="B3DDF2"/>
            <w:vAlign w:val="center"/>
            <w:hideMark/>
          </w:tcPr>
          <w:p w14:paraId="0C4373CA" w14:textId="77777777" w:rsidR="00BC2D86" w:rsidRPr="00BC2D86" w:rsidRDefault="00BC2D86" w:rsidP="00BC2D86">
            <w:pPr>
              <w:jc w:val="center"/>
              <w:rPr>
                <w:rFonts w:asciiTheme="minorHAnsi" w:hAnsiTheme="minorHAnsi"/>
                <w:b/>
                <w:bCs/>
                <w:color w:val="C00000"/>
                <w:sz w:val="18"/>
                <w:szCs w:val="20"/>
              </w:rPr>
            </w:pPr>
            <w:r w:rsidRPr="00BC2D86">
              <w:rPr>
                <w:rFonts w:asciiTheme="minorHAnsi" w:hAnsiTheme="minorHAnsi"/>
                <w:b/>
                <w:bCs/>
                <w:color w:val="C00000"/>
                <w:sz w:val="18"/>
                <w:szCs w:val="20"/>
              </w:rPr>
              <w:t>Total</w:t>
            </w:r>
          </w:p>
        </w:tc>
        <w:tc>
          <w:tcPr>
            <w:tcW w:w="808" w:type="dxa"/>
            <w:shd w:val="clear" w:color="auto" w:fill="B3DDF2"/>
            <w:vAlign w:val="center"/>
            <w:hideMark/>
          </w:tcPr>
          <w:p w14:paraId="12BDCE9F" w14:textId="77777777" w:rsidR="00BC2D86" w:rsidRPr="00BC2D86" w:rsidRDefault="00BC2D86" w:rsidP="00BC2D86">
            <w:pPr>
              <w:jc w:val="center"/>
              <w:rPr>
                <w:rFonts w:asciiTheme="minorHAnsi" w:hAnsiTheme="minorHAnsi" w:cstheme="minorHAnsi"/>
                <w:b/>
                <w:bCs/>
                <w:color w:val="C00000"/>
                <w:sz w:val="18"/>
                <w:szCs w:val="18"/>
              </w:rPr>
            </w:pPr>
            <w:r w:rsidRPr="00BC2D86">
              <w:rPr>
                <w:rFonts w:asciiTheme="minorHAnsi" w:hAnsiTheme="minorHAnsi" w:cstheme="minorHAnsi"/>
                <w:b/>
                <w:bCs/>
                <w:color w:val="C00000"/>
                <w:sz w:val="18"/>
                <w:szCs w:val="18"/>
              </w:rPr>
              <w:t>63.32</w:t>
            </w:r>
          </w:p>
        </w:tc>
        <w:tc>
          <w:tcPr>
            <w:tcW w:w="692" w:type="dxa"/>
            <w:shd w:val="clear" w:color="auto" w:fill="B3DDF2"/>
            <w:vAlign w:val="center"/>
            <w:hideMark/>
          </w:tcPr>
          <w:p w14:paraId="16AC731F" w14:textId="77777777" w:rsidR="00BC2D86" w:rsidRPr="00BC2D86" w:rsidRDefault="00BC2D86" w:rsidP="00BC2D86">
            <w:pPr>
              <w:jc w:val="center"/>
              <w:rPr>
                <w:rFonts w:asciiTheme="minorHAnsi" w:hAnsiTheme="minorHAnsi" w:cstheme="minorHAnsi"/>
                <w:b/>
                <w:bCs/>
                <w:color w:val="C00000"/>
                <w:sz w:val="18"/>
                <w:szCs w:val="18"/>
              </w:rPr>
            </w:pPr>
            <w:r w:rsidRPr="00BC2D86">
              <w:rPr>
                <w:rFonts w:asciiTheme="minorHAnsi" w:hAnsiTheme="minorHAnsi" w:cstheme="minorHAnsi"/>
                <w:b/>
                <w:bCs/>
                <w:color w:val="C00000"/>
                <w:sz w:val="18"/>
                <w:szCs w:val="18"/>
              </w:rPr>
              <w:t>9.90</w:t>
            </w:r>
          </w:p>
        </w:tc>
        <w:tc>
          <w:tcPr>
            <w:tcW w:w="781" w:type="dxa"/>
            <w:shd w:val="clear" w:color="auto" w:fill="B3DDF2"/>
            <w:vAlign w:val="center"/>
            <w:hideMark/>
          </w:tcPr>
          <w:p w14:paraId="70C91911" w14:textId="77777777" w:rsidR="00BC2D86" w:rsidRPr="00BC2D86" w:rsidRDefault="00BC2D86" w:rsidP="00BC2D86">
            <w:pPr>
              <w:jc w:val="center"/>
              <w:rPr>
                <w:rFonts w:asciiTheme="minorHAnsi" w:hAnsiTheme="minorHAnsi" w:cstheme="minorHAnsi"/>
                <w:b/>
                <w:bCs/>
                <w:color w:val="C00000"/>
                <w:sz w:val="18"/>
                <w:szCs w:val="18"/>
              </w:rPr>
            </w:pPr>
            <w:r w:rsidRPr="00BC2D86">
              <w:rPr>
                <w:rFonts w:asciiTheme="minorHAnsi" w:hAnsiTheme="minorHAnsi" w:cstheme="minorHAnsi"/>
                <w:b/>
                <w:bCs/>
                <w:color w:val="C00000"/>
                <w:sz w:val="18"/>
                <w:szCs w:val="18"/>
              </w:rPr>
              <w:t>34.32</w:t>
            </w:r>
          </w:p>
        </w:tc>
        <w:tc>
          <w:tcPr>
            <w:tcW w:w="698" w:type="dxa"/>
            <w:shd w:val="clear" w:color="auto" w:fill="B3DDF2"/>
            <w:vAlign w:val="center"/>
            <w:hideMark/>
          </w:tcPr>
          <w:p w14:paraId="6DD392D7" w14:textId="77777777" w:rsidR="00BC2D86" w:rsidRPr="00BC2D86" w:rsidRDefault="00BC2D86" w:rsidP="00BC2D86">
            <w:pPr>
              <w:jc w:val="center"/>
              <w:rPr>
                <w:rFonts w:asciiTheme="minorHAnsi" w:hAnsiTheme="minorHAnsi" w:cstheme="minorHAnsi"/>
                <w:b/>
                <w:bCs/>
                <w:color w:val="C00000"/>
                <w:sz w:val="18"/>
                <w:szCs w:val="18"/>
              </w:rPr>
            </w:pPr>
            <w:r w:rsidRPr="00BC2D86">
              <w:rPr>
                <w:rFonts w:asciiTheme="minorHAnsi" w:hAnsiTheme="minorHAnsi" w:cstheme="minorHAnsi"/>
                <w:b/>
                <w:bCs/>
                <w:color w:val="C00000"/>
                <w:sz w:val="18"/>
                <w:szCs w:val="18"/>
              </w:rPr>
              <w:t>55.65</w:t>
            </w:r>
          </w:p>
        </w:tc>
        <w:tc>
          <w:tcPr>
            <w:tcW w:w="607" w:type="dxa"/>
            <w:shd w:val="clear" w:color="auto" w:fill="B3DDF2"/>
            <w:vAlign w:val="center"/>
            <w:hideMark/>
          </w:tcPr>
          <w:p w14:paraId="68B53112" w14:textId="77777777" w:rsidR="00BC2D86" w:rsidRPr="00BC2D86" w:rsidRDefault="00BC2D86" w:rsidP="00BC2D86">
            <w:pPr>
              <w:jc w:val="center"/>
              <w:rPr>
                <w:rFonts w:asciiTheme="minorHAnsi" w:hAnsiTheme="minorHAnsi" w:cstheme="minorHAnsi"/>
                <w:b/>
                <w:bCs/>
                <w:color w:val="C00000"/>
                <w:sz w:val="18"/>
                <w:szCs w:val="18"/>
              </w:rPr>
            </w:pPr>
            <w:r w:rsidRPr="00BC2D86">
              <w:rPr>
                <w:rFonts w:asciiTheme="minorHAnsi" w:hAnsiTheme="minorHAnsi" w:cstheme="minorHAnsi"/>
                <w:b/>
                <w:bCs/>
                <w:color w:val="C00000"/>
                <w:sz w:val="18"/>
                <w:szCs w:val="18"/>
              </w:rPr>
              <w:t>4.66</w:t>
            </w:r>
          </w:p>
        </w:tc>
        <w:tc>
          <w:tcPr>
            <w:tcW w:w="1204" w:type="dxa"/>
            <w:shd w:val="clear" w:color="auto" w:fill="B3DDF2"/>
            <w:vAlign w:val="center"/>
            <w:hideMark/>
          </w:tcPr>
          <w:p w14:paraId="0A288032" w14:textId="77777777" w:rsidR="00BC2D86" w:rsidRPr="00BC2D86" w:rsidRDefault="00BC2D86" w:rsidP="00BC2D86">
            <w:pPr>
              <w:jc w:val="center"/>
              <w:rPr>
                <w:rFonts w:asciiTheme="minorHAnsi" w:hAnsiTheme="minorHAnsi" w:cstheme="minorHAnsi"/>
                <w:b/>
                <w:bCs/>
                <w:color w:val="C00000"/>
                <w:sz w:val="18"/>
                <w:szCs w:val="18"/>
              </w:rPr>
            </w:pPr>
            <w:r w:rsidRPr="00BC2D86">
              <w:rPr>
                <w:rFonts w:asciiTheme="minorHAnsi" w:hAnsiTheme="minorHAnsi" w:cstheme="minorHAnsi"/>
                <w:b/>
                <w:bCs/>
                <w:color w:val="C00000"/>
                <w:sz w:val="18"/>
                <w:szCs w:val="18"/>
              </w:rPr>
              <w:t>167.85</w:t>
            </w:r>
          </w:p>
        </w:tc>
      </w:tr>
    </w:tbl>
    <w:p w14:paraId="50589A66" w14:textId="77777777" w:rsidR="00BF5960" w:rsidRDefault="00BF5960" w:rsidP="00BC2D86">
      <w:pPr>
        <w:ind w:firstLine="720"/>
        <w:rPr>
          <w:rFonts w:ascii="Calibri" w:eastAsia="SimSun" w:hAnsi="Calibri"/>
          <w:i/>
          <w:sz w:val="20"/>
          <w:szCs w:val="20"/>
          <w:lang w:val="sq-AL"/>
        </w:rPr>
      </w:pPr>
      <w:r>
        <w:rPr>
          <w:rFonts w:ascii="Calibri" w:eastAsia="SimSun" w:hAnsi="Calibri"/>
          <w:i/>
          <w:sz w:val="20"/>
          <w:szCs w:val="20"/>
          <w:lang w:val="sq-AL"/>
        </w:rPr>
        <w:t>Burimi: KESH, OST, OSHEE Group, AKUM</w:t>
      </w:r>
      <w:bookmarkStart w:id="120" w:name="_Toc104980346"/>
      <w:bookmarkStart w:id="121" w:name="_Toc104907137"/>
      <w:bookmarkEnd w:id="118"/>
      <w:bookmarkEnd w:id="119"/>
      <w:r>
        <w:rPr>
          <w:rFonts w:ascii="Calibri" w:eastAsia="SimSun" w:hAnsi="Calibri"/>
          <w:i/>
          <w:sz w:val="20"/>
          <w:szCs w:val="20"/>
          <w:lang w:val="sq-AL"/>
        </w:rPr>
        <w:t>, 2022</w:t>
      </w:r>
    </w:p>
    <w:p w14:paraId="72280B86" w14:textId="77777777" w:rsidR="00BF5960" w:rsidRDefault="00BF5960" w:rsidP="00BC2D86">
      <w:pPr>
        <w:ind w:firstLine="720"/>
        <w:rPr>
          <w:rFonts w:ascii="Calibri" w:eastAsia="SimSun" w:hAnsi="Calibri"/>
          <w:sz w:val="16"/>
          <w:szCs w:val="16"/>
          <w:lang w:val="sq-AL"/>
        </w:rPr>
      </w:pPr>
      <w:r>
        <w:rPr>
          <w:rFonts w:ascii="Calibri" w:eastAsia="SimSun" w:hAnsi="Calibri"/>
          <w:sz w:val="16"/>
          <w:szCs w:val="16"/>
          <w:lang w:val="sq-AL"/>
        </w:rPr>
        <w:t>*Vlera e detyrimeve të ndërsjellta varion nga 6.9-7.36 mld LEK, per shkak të mosrakordimit mes kompanive.</w:t>
      </w:r>
      <w:bookmarkEnd w:id="120"/>
      <w:bookmarkEnd w:id="121"/>
    </w:p>
    <w:p w14:paraId="054F1708" w14:textId="77777777" w:rsidR="00BF5960" w:rsidRDefault="00BF5960" w:rsidP="00BC2D86">
      <w:pPr>
        <w:ind w:firstLine="720"/>
        <w:rPr>
          <w:rFonts w:ascii="Calibri" w:eastAsia="SimSun" w:hAnsi="Calibri"/>
          <w:sz w:val="16"/>
          <w:szCs w:val="16"/>
          <w:lang w:val="sq-AL"/>
        </w:rPr>
      </w:pPr>
      <w:r>
        <w:rPr>
          <w:rFonts w:ascii="Calibri" w:eastAsia="SimSun" w:hAnsi="Calibri"/>
          <w:sz w:val="16"/>
          <w:szCs w:val="16"/>
          <w:lang w:val="sq-AL"/>
        </w:rPr>
        <w:t>**Vlera e detyrimeve të ndërsjellta varion nga 0-0.621 mld LEK, per shkak të mosrakordimit mes kompanive.</w:t>
      </w:r>
    </w:p>
    <w:p w14:paraId="4633516B" w14:textId="77777777" w:rsidR="00BC2D86" w:rsidRPr="00BC2D86" w:rsidRDefault="00BC2D86" w:rsidP="0093018B">
      <w:pPr>
        <w:spacing w:before="120" w:line="276" w:lineRule="auto"/>
        <w:jc w:val="both"/>
        <w:rPr>
          <w:rFonts w:asciiTheme="minorHAnsi" w:hAnsiTheme="minorHAnsi"/>
          <w:bCs/>
          <w:sz w:val="4"/>
          <w:lang w:val="sq-AL" w:eastAsia="sq-AL"/>
        </w:rPr>
      </w:pPr>
    </w:p>
    <w:p w14:paraId="39C74299" w14:textId="77777777" w:rsidR="0093018B" w:rsidRDefault="0093018B" w:rsidP="0093018B">
      <w:pPr>
        <w:spacing w:before="120" w:line="276" w:lineRule="auto"/>
        <w:jc w:val="both"/>
        <w:rPr>
          <w:rFonts w:asciiTheme="minorHAnsi" w:hAnsiTheme="minorHAnsi"/>
          <w:bCs/>
          <w:lang w:val="sq-AL" w:eastAsia="sq-AL"/>
        </w:rPr>
      </w:pPr>
      <w:r w:rsidRPr="00B32DBF">
        <w:rPr>
          <w:rFonts w:asciiTheme="minorHAnsi" w:hAnsiTheme="minorHAnsi"/>
          <w:bCs/>
          <w:lang w:val="sq-AL" w:eastAsia="sq-AL"/>
        </w:rPr>
        <w:t xml:space="preserve">Lidhur me detyrimet e mësipërme, </w:t>
      </w:r>
      <w:r>
        <w:rPr>
          <w:rFonts w:asciiTheme="minorHAnsi" w:hAnsiTheme="minorHAnsi"/>
          <w:bCs/>
          <w:lang w:val="sq-AL" w:eastAsia="sq-AL"/>
        </w:rPr>
        <w:t xml:space="preserve">vërehet se: </w:t>
      </w:r>
    </w:p>
    <w:p w14:paraId="2C52C16C" w14:textId="77777777" w:rsidR="00BC2D86" w:rsidRPr="00BC2D86" w:rsidRDefault="00BC2D86" w:rsidP="00056DE5">
      <w:pPr>
        <w:pStyle w:val="ListParagraph"/>
        <w:numPr>
          <w:ilvl w:val="0"/>
          <w:numId w:val="26"/>
        </w:numPr>
        <w:ind w:left="360" w:hanging="270"/>
        <w:jc w:val="both"/>
        <w:rPr>
          <w:rFonts w:asciiTheme="minorHAnsi" w:hAnsiTheme="minorHAnsi"/>
          <w:bCs/>
          <w:i/>
          <w:lang w:val="sq-AL" w:eastAsia="sq-AL"/>
        </w:rPr>
      </w:pPr>
      <w:r w:rsidRPr="00BC2D86">
        <w:rPr>
          <w:rFonts w:asciiTheme="minorHAnsi" w:hAnsiTheme="minorHAnsi"/>
          <w:bCs/>
          <w:i/>
          <w:lang w:val="sq-AL" w:eastAsia="sq-AL"/>
        </w:rPr>
        <w:t>Totali i detyrimeve të ndërsjella që KESH Sh.a ka deri në fund të muajit Maj 2023 ndaj palëve të treta rezulton në një shumë totale progresive 34.50 miliardë LEK, një rritje kjo me 2.41% krahasuar me totalin e detyrimeve të ndërsjella që KESH Sh.a ka patur ndaj palëve të treta deri në fund të 2022 (33.69mld LEK).</w:t>
      </w:r>
    </w:p>
    <w:p w14:paraId="7DD31DE7" w14:textId="77777777" w:rsidR="00BC2D86" w:rsidRPr="00BC2D86" w:rsidRDefault="00BC2D86" w:rsidP="00056DE5">
      <w:pPr>
        <w:pStyle w:val="ListParagraph"/>
        <w:numPr>
          <w:ilvl w:val="0"/>
          <w:numId w:val="26"/>
        </w:numPr>
        <w:ind w:left="360" w:hanging="270"/>
        <w:jc w:val="both"/>
        <w:rPr>
          <w:rFonts w:asciiTheme="minorHAnsi" w:hAnsiTheme="minorHAnsi"/>
          <w:bCs/>
          <w:i/>
          <w:lang w:val="sq-AL" w:eastAsia="sq-AL"/>
        </w:rPr>
      </w:pPr>
      <w:r w:rsidRPr="00BC2D86">
        <w:rPr>
          <w:rFonts w:asciiTheme="minorHAnsi" w:hAnsiTheme="minorHAnsi"/>
          <w:bCs/>
          <w:i/>
          <w:lang w:val="sq-AL" w:eastAsia="sq-AL"/>
        </w:rPr>
        <w:t>Totali i detyrimeve të ndërsjella që OST Sh.a ka deri në fund të muajit Maj 2023 ndaj palëve të treta rezulton në një shumë totale progresive 19.84 miliardë LEK, një rritje kjo me 1.69% krahasuar me totalin e detyrimeve të ndërsjella që OST Sh.a ka patur ndaj palëve të treta deri në fund të 2022 (19.51 mld LEK).</w:t>
      </w:r>
    </w:p>
    <w:p w14:paraId="272F26AC" w14:textId="77777777" w:rsidR="00BC2D86" w:rsidRDefault="00BC2D86" w:rsidP="00BC2D86">
      <w:pPr>
        <w:pStyle w:val="ListParagraph"/>
        <w:ind w:left="360"/>
        <w:jc w:val="both"/>
        <w:rPr>
          <w:rFonts w:asciiTheme="minorHAnsi" w:hAnsiTheme="minorHAnsi"/>
          <w:bCs/>
          <w:i/>
          <w:lang w:val="sq-AL" w:eastAsia="sq-AL"/>
        </w:rPr>
      </w:pPr>
    </w:p>
    <w:p w14:paraId="56EB62C9" w14:textId="77777777" w:rsidR="00BC2D86" w:rsidRPr="00BC2D86" w:rsidRDefault="00BC2D86" w:rsidP="00056DE5">
      <w:pPr>
        <w:pStyle w:val="ListParagraph"/>
        <w:numPr>
          <w:ilvl w:val="0"/>
          <w:numId w:val="26"/>
        </w:numPr>
        <w:ind w:left="360" w:hanging="270"/>
        <w:jc w:val="both"/>
        <w:rPr>
          <w:rFonts w:asciiTheme="minorHAnsi" w:hAnsiTheme="minorHAnsi"/>
          <w:bCs/>
          <w:i/>
          <w:lang w:val="sq-AL" w:eastAsia="sq-AL"/>
        </w:rPr>
      </w:pPr>
      <w:r w:rsidRPr="00BC2D86">
        <w:rPr>
          <w:rFonts w:asciiTheme="minorHAnsi" w:hAnsiTheme="minorHAnsi"/>
          <w:bCs/>
          <w:i/>
          <w:lang w:val="sq-AL" w:eastAsia="sq-AL"/>
        </w:rPr>
        <w:lastRenderedPageBreak/>
        <w:t>Totali i detyrimeve të ndërsjella që OSHEE Group Sh.a ka deri në fund të muajit Maj 2023 ndaj palëve të treta rezulton në një shumë totale progresive 69.86 miliardë LEK, një rritje kjo me 1.98% krahasuar me totalin e detyrimeve të ndërsjella që OSHEE Group Sh.a ka patur ndaj palëve të treta deri në fund të vitit 2022 (68.51 miliardë LEK).</w:t>
      </w:r>
    </w:p>
    <w:p w14:paraId="1F398BBE" w14:textId="77777777" w:rsidR="00BC2D86" w:rsidRPr="00BC2D86" w:rsidRDefault="00BC2D86" w:rsidP="00056DE5">
      <w:pPr>
        <w:pStyle w:val="ListParagraph"/>
        <w:numPr>
          <w:ilvl w:val="0"/>
          <w:numId w:val="26"/>
        </w:numPr>
        <w:ind w:left="360" w:hanging="270"/>
        <w:jc w:val="both"/>
        <w:rPr>
          <w:rFonts w:asciiTheme="minorHAnsi" w:hAnsiTheme="minorHAnsi"/>
          <w:bCs/>
          <w:i/>
          <w:lang w:val="sq-AL" w:eastAsia="sq-AL"/>
        </w:rPr>
      </w:pPr>
      <w:r w:rsidRPr="00BC2D86">
        <w:rPr>
          <w:rFonts w:asciiTheme="minorHAnsi" w:hAnsiTheme="minorHAnsi"/>
          <w:bCs/>
          <w:i/>
          <w:lang w:val="sq-AL" w:eastAsia="sq-AL"/>
        </w:rPr>
        <w:t>Totali i detyrimeve të ndërsjella që Ndërmarrjet UK Sh.a kanë deri në fund të muajit Maj 2023 ndaj palëve të treta rezulton në një shumë totale progresive 38.02 miliardë LEK, një rritje kjo me 6.38% krahasuar me totalin e detyrimeve të ndërsjella që Ndërmarrjet UK Sh.a kanë patur ndaj palëve të treta deri në fund të vitit 2022 (35.74 miliardë LEK).</w:t>
      </w:r>
    </w:p>
    <w:p w14:paraId="7DB2BFE0" w14:textId="77777777" w:rsidR="00BC2D86" w:rsidRPr="00BC2D86" w:rsidRDefault="00BC2D86" w:rsidP="00056DE5">
      <w:pPr>
        <w:pStyle w:val="ListParagraph"/>
        <w:numPr>
          <w:ilvl w:val="0"/>
          <w:numId w:val="26"/>
        </w:numPr>
        <w:ind w:left="360" w:hanging="270"/>
        <w:jc w:val="both"/>
        <w:rPr>
          <w:rFonts w:asciiTheme="minorHAnsi" w:hAnsiTheme="minorHAnsi"/>
          <w:bCs/>
          <w:i/>
          <w:lang w:val="sq-AL" w:eastAsia="sq-AL"/>
        </w:rPr>
      </w:pPr>
      <w:r w:rsidRPr="00BC2D86">
        <w:rPr>
          <w:rFonts w:asciiTheme="minorHAnsi" w:hAnsiTheme="minorHAnsi"/>
          <w:bCs/>
          <w:i/>
          <w:lang w:val="sq-AL" w:eastAsia="sq-AL"/>
        </w:rPr>
        <w:t>Totali i detyrimeve të ndërsjella që Ministritë e Linjës/Institucionet Buxhetore kanë deri në fund të muajit Maj 2023 ndaj palëve të treta rezulton në një shumë totale progresive 5.63 miliardë LEK, duke rezultuar pothuasjse në të njëjtin nivel me detyrimet e ndërsjella deri në fund të</w:t>
      </w:r>
      <w:r>
        <w:rPr>
          <w:rFonts w:asciiTheme="minorHAnsi" w:hAnsiTheme="minorHAnsi"/>
          <w:bCs/>
          <w:i/>
          <w:lang w:val="sq-AL" w:eastAsia="sq-AL"/>
        </w:rPr>
        <w:t xml:space="preserve"> </w:t>
      </w:r>
      <w:r w:rsidRPr="00BC2D86">
        <w:rPr>
          <w:rFonts w:asciiTheme="minorHAnsi" w:hAnsiTheme="minorHAnsi"/>
          <w:bCs/>
          <w:i/>
          <w:lang w:val="sq-AL" w:eastAsia="sq-AL"/>
        </w:rPr>
        <w:t>2022.</w:t>
      </w:r>
    </w:p>
    <w:p w14:paraId="4D77FBFF" w14:textId="77777777" w:rsidR="0093018B" w:rsidRPr="00BC2D86" w:rsidRDefault="00BC2D86" w:rsidP="00056DE5">
      <w:pPr>
        <w:pStyle w:val="ListParagraph"/>
        <w:numPr>
          <w:ilvl w:val="0"/>
          <w:numId w:val="26"/>
        </w:numPr>
        <w:spacing w:after="120"/>
        <w:ind w:left="360" w:hanging="270"/>
        <w:jc w:val="both"/>
        <w:rPr>
          <w:rFonts w:asciiTheme="minorHAnsi" w:hAnsiTheme="minorHAnsi"/>
          <w:bCs/>
          <w:i/>
          <w:lang w:val="sq-AL" w:eastAsia="sq-AL"/>
        </w:rPr>
      </w:pPr>
      <w:r w:rsidRPr="00BC2D86">
        <w:rPr>
          <w:rFonts w:asciiTheme="minorHAnsi" w:hAnsiTheme="minorHAnsi"/>
          <w:bCs/>
          <w:i/>
          <w:lang w:val="sq-AL" w:eastAsia="sq-AL"/>
        </w:rPr>
        <w:t>Totali i detyrimeve të prapambetura të ndërsjella në fund të muajit Maj 2023, krahasur me vitin 2022, ka patur një trend rritës në nivel rreth 2.91%</w:t>
      </w:r>
      <w:r w:rsidR="0093018B" w:rsidRPr="00BC2D86">
        <w:rPr>
          <w:rFonts w:asciiTheme="minorHAnsi" w:hAnsiTheme="minorHAnsi"/>
          <w:bCs/>
          <w:i/>
          <w:lang w:val="sq-AL" w:eastAsia="sq-AL"/>
        </w:rPr>
        <w:t>.</w:t>
      </w:r>
    </w:p>
    <w:p w14:paraId="0F0B36CA" w14:textId="77777777" w:rsidR="0093018B" w:rsidRDefault="0093018B" w:rsidP="00BF5960">
      <w:pPr>
        <w:spacing w:line="276" w:lineRule="auto"/>
        <w:rPr>
          <w:rFonts w:ascii="Calibri" w:eastAsia="SimSun" w:hAnsi="Calibri"/>
          <w:sz w:val="16"/>
          <w:szCs w:val="16"/>
          <w:lang w:val="sq-AL"/>
        </w:rPr>
      </w:pPr>
    </w:p>
    <w:p w14:paraId="3C418BFF" w14:textId="77777777" w:rsidR="00426228" w:rsidRPr="005F1541" w:rsidRDefault="00426228" w:rsidP="00027D74">
      <w:pPr>
        <w:spacing w:before="120" w:after="120" w:line="276" w:lineRule="auto"/>
        <w:jc w:val="both"/>
        <w:rPr>
          <w:rFonts w:asciiTheme="minorHAnsi" w:hAnsiTheme="minorHAnsi"/>
          <w:b/>
          <w:bCs/>
          <w:i/>
          <w:color w:val="0070C0"/>
          <w:lang w:val="sq-AL" w:eastAsia="sq-AL"/>
        </w:rPr>
      </w:pPr>
      <w:bookmarkStart w:id="122" w:name="_Toc76470030"/>
      <w:r w:rsidRPr="005F1541">
        <w:rPr>
          <w:rFonts w:asciiTheme="minorHAnsi" w:hAnsiTheme="minorHAnsi"/>
          <w:b/>
          <w:bCs/>
          <w:i/>
          <w:color w:val="0070C0"/>
          <w:lang w:val="sq-AL" w:eastAsia="sq-AL"/>
        </w:rPr>
        <w:t>Të Dhëna Financiare për Sektorin Energjetik</w:t>
      </w:r>
      <w:bookmarkEnd w:id="122"/>
    </w:p>
    <w:p w14:paraId="39A47A59" w14:textId="792F3CB4" w:rsidR="00426228" w:rsidRDefault="00F07CB3" w:rsidP="00F07CB3">
      <w:pPr>
        <w:spacing w:before="120" w:after="120"/>
        <w:jc w:val="both"/>
        <w:rPr>
          <w:rFonts w:asciiTheme="minorHAnsi" w:hAnsiTheme="minorHAnsi"/>
          <w:bCs/>
          <w:lang w:val="sq-AL" w:eastAsia="sq-AL"/>
        </w:rPr>
      </w:pPr>
      <w:r w:rsidRPr="00F07CB3">
        <w:rPr>
          <w:rFonts w:asciiTheme="minorHAnsi" w:hAnsiTheme="minorHAnsi"/>
          <w:bCs/>
          <w:lang w:val="sq-AL" w:eastAsia="sq-AL"/>
        </w:rPr>
        <w:t>Në zbatim të Udhëzimit Plotësues nr.</w:t>
      </w:r>
      <w:r w:rsidR="00D106FA">
        <w:rPr>
          <w:rFonts w:asciiTheme="minorHAnsi" w:hAnsiTheme="minorHAnsi"/>
          <w:bCs/>
          <w:lang w:val="sq-AL" w:eastAsia="sq-AL"/>
        </w:rPr>
        <w:t>2</w:t>
      </w:r>
      <w:r w:rsidRPr="00F07CB3">
        <w:rPr>
          <w:rFonts w:asciiTheme="minorHAnsi" w:hAnsiTheme="minorHAnsi"/>
          <w:bCs/>
          <w:lang w:val="sq-AL" w:eastAsia="sq-AL"/>
        </w:rPr>
        <w:t>/202</w:t>
      </w:r>
      <w:r w:rsidR="00D106FA">
        <w:rPr>
          <w:rFonts w:asciiTheme="minorHAnsi" w:hAnsiTheme="minorHAnsi"/>
          <w:bCs/>
          <w:lang w:val="sq-AL" w:eastAsia="sq-AL"/>
        </w:rPr>
        <w:t>3</w:t>
      </w:r>
      <w:r w:rsidRPr="00F07CB3">
        <w:rPr>
          <w:rFonts w:asciiTheme="minorHAnsi" w:hAnsiTheme="minorHAnsi"/>
          <w:bCs/>
          <w:lang w:val="sq-AL" w:eastAsia="sq-AL"/>
        </w:rPr>
        <w:t xml:space="preserve"> “</w:t>
      </w:r>
      <w:r w:rsidRPr="00D106FA">
        <w:rPr>
          <w:rFonts w:asciiTheme="minorHAnsi" w:hAnsiTheme="minorHAnsi"/>
          <w:bCs/>
          <w:i/>
          <w:lang w:val="sq-AL" w:eastAsia="sq-AL"/>
        </w:rPr>
        <w:t>Për zbatimin e Buxhetit të vitit 202</w:t>
      </w:r>
      <w:r w:rsidR="00D106FA" w:rsidRPr="00D106FA">
        <w:rPr>
          <w:rFonts w:asciiTheme="minorHAnsi" w:hAnsiTheme="minorHAnsi"/>
          <w:bCs/>
          <w:i/>
          <w:lang w:val="sq-AL" w:eastAsia="sq-AL"/>
        </w:rPr>
        <w:t>3</w:t>
      </w:r>
      <w:r w:rsidRPr="00F07CB3">
        <w:rPr>
          <w:rFonts w:asciiTheme="minorHAnsi" w:hAnsiTheme="minorHAnsi"/>
          <w:bCs/>
          <w:lang w:val="sq-AL" w:eastAsia="sq-AL"/>
        </w:rPr>
        <w:t xml:space="preserve">”, Ministria e Financave dhe Ekonomisë, periodikisht mbi bazë tremujore, ka mbledhur, përpunuar dhe analizuar informacionin e nevojshëm në lidhje me treguesit e performancës financiare të tre kompanive të sektorit energjitik. Kjo, me qëllim identifikimin, vlerësimin, monitorimin dhe raportimin e risqeve fiskale që rezultojnë nga ndërmarrjet publike me kapital shtetëror në tërësi dhe nga sektori energjetik në veçanti, duke konsideruar rëndësinë strategjike të tij dhe problematikat sensitive që e karakterizojnë. Bazuar në të dhënat më të fundit </w:t>
      </w:r>
      <w:r w:rsidR="00495067" w:rsidRPr="00F07CB3">
        <w:rPr>
          <w:rFonts w:asciiTheme="minorHAnsi" w:hAnsiTheme="minorHAnsi"/>
          <w:bCs/>
          <w:lang w:val="sq-AL" w:eastAsia="sq-AL"/>
        </w:rPr>
        <w:t xml:space="preserve">për </w:t>
      </w:r>
      <w:r w:rsidR="00495067">
        <w:rPr>
          <w:rFonts w:asciiTheme="minorHAnsi" w:hAnsiTheme="minorHAnsi"/>
          <w:bCs/>
          <w:lang w:val="sq-AL" w:eastAsia="sq-AL"/>
        </w:rPr>
        <w:t>T1</w:t>
      </w:r>
      <w:r w:rsidR="00495067" w:rsidRPr="00F07CB3">
        <w:rPr>
          <w:rFonts w:asciiTheme="minorHAnsi" w:hAnsiTheme="minorHAnsi"/>
          <w:bCs/>
          <w:lang w:val="sq-AL" w:eastAsia="sq-AL"/>
        </w:rPr>
        <w:t xml:space="preserve"> 202</w:t>
      </w:r>
      <w:r w:rsidR="00495067">
        <w:rPr>
          <w:rFonts w:asciiTheme="minorHAnsi" w:hAnsiTheme="minorHAnsi"/>
          <w:bCs/>
          <w:lang w:val="sq-AL" w:eastAsia="sq-AL"/>
        </w:rPr>
        <w:t xml:space="preserve">3 </w:t>
      </w:r>
      <w:r w:rsidRPr="00F07CB3">
        <w:rPr>
          <w:rFonts w:asciiTheme="minorHAnsi" w:hAnsiTheme="minorHAnsi"/>
          <w:bCs/>
          <w:lang w:val="sq-AL" w:eastAsia="sq-AL"/>
        </w:rPr>
        <w:t xml:space="preserve">të raportuara pranë MFE, mëposhtë paraqitet performanca financiare e tre ndërmarrjeve të sektorit energjitik  (KESH </w:t>
      </w:r>
      <w:r w:rsidR="00B703A6">
        <w:rPr>
          <w:rFonts w:asciiTheme="minorHAnsi" w:hAnsiTheme="minorHAnsi"/>
          <w:bCs/>
          <w:lang w:val="sq-AL" w:eastAsia="sq-AL"/>
        </w:rPr>
        <w:t>sh.a</w:t>
      </w:r>
      <w:r w:rsidRPr="00F07CB3">
        <w:rPr>
          <w:rFonts w:asciiTheme="minorHAnsi" w:hAnsiTheme="minorHAnsi"/>
          <w:bCs/>
          <w:lang w:val="sq-AL" w:eastAsia="sq-AL"/>
        </w:rPr>
        <w:t xml:space="preserve">, OSHEE Group </w:t>
      </w:r>
      <w:r w:rsidR="00B703A6">
        <w:rPr>
          <w:rFonts w:asciiTheme="minorHAnsi" w:hAnsiTheme="minorHAnsi"/>
          <w:bCs/>
          <w:lang w:val="sq-AL" w:eastAsia="sq-AL"/>
        </w:rPr>
        <w:t>sh.a</w:t>
      </w:r>
      <w:r w:rsidRPr="00F07CB3">
        <w:rPr>
          <w:rFonts w:asciiTheme="minorHAnsi" w:hAnsiTheme="minorHAnsi"/>
          <w:bCs/>
          <w:lang w:val="sq-AL" w:eastAsia="sq-AL"/>
        </w:rPr>
        <w:t xml:space="preserve"> dhe OST </w:t>
      </w:r>
      <w:r w:rsidR="00B703A6">
        <w:rPr>
          <w:rFonts w:asciiTheme="minorHAnsi" w:hAnsiTheme="minorHAnsi"/>
          <w:bCs/>
          <w:lang w:val="sq-AL" w:eastAsia="sq-AL"/>
        </w:rPr>
        <w:t>sh.a</w:t>
      </w:r>
      <w:r w:rsidRPr="00F07CB3">
        <w:rPr>
          <w:rFonts w:asciiTheme="minorHAnsi" w:hAnsiTheme="minorHAnsi"/>
          <w:bCs/>
          <w:lang w:val="sq-AL" w:eastAsia="sq-AL"/>
        </w:rPr>
        <w:t>) mbi bazë krahasimore</w:t>
      </w:r>
      <w:r w:rsidR="0093018B">
        <w:rPr>
          <w:rFonts w:asciiTheme="minorHAnsi" w:hAnsiTheme="minorHAnsi"/>
          <w:bCs/>
          <w:lang w:val="sq-AL" w:eastAsia="sq-AL"/>
        </w:rPr>
        <w:t xml:space="preserve"> për të njëjtat periudha pararendëse</w:t>
      </w:r>
      <w:r>
        <w:rPr>
          <w:rFonts w:asciiTheme="minorHAnsi" w:hAnsiTheme="minorHAnsi"/>
          <w:bCs/>
          <w:lang w:val="sq-AL" w:eastAsia="sq-AL"/>
        </w:rPr>
        <w:t>:</w:t>
      </w:r>
      <w:r w:rsidR="00426228">
        <w:rPr>
          <w:rFonts w:asciiTheme="minorHAnsi" w:hAnsiTheme="minorHAnsi"/>
          <w:bCs/>
          <w:lang w:val="sq-AL" w:eastAsia="sq-AL"/>
        </w:rPr>
        <w:t xml:space="preserve">   </w:t>
      </w:r>
    </w:p>
    <w:p w14:paraId="75F67176" w14:textId="77777777" w:rsidR="00F07CB3" w:rsidRDefault="00F07CB3" w:rsidP="00056DE5">
      <w:pPr>
        <w:keepNext/>
        <w:numPr>
          <w:ilvl w:val="0"/>
          <w:numId w:val="27"/>
        </w:numPr>
        <w:spacing w:before="120" w:line="276" w:lineRule="auto"/>
        <w:jc w:val="both"/>
        <w:rPr>
          <w:rFonts w:ascii="Calibri" w:hAnsi="Calibri"/>
          <w:i/>
          <w:sz w:val="22"/>
          <w:lang w:val="sq-AL"/>
        </w:rPr>
      </w:pPr>
      <w:bookmarkStart w:id="123" w:name="_Toc104984085"/>
      <w:r>
        <w:rPr>
          <w:rFonts w:ascii="Calibri" w:hAnsi="Calibri"/>
          <w:i/>
          <w:sz w:val="22"/>
          <w:lang w:val="sq-AL"/>
        </w:rPr>
        <w:t>Performanca financiare e Sektorit Energjitik.</w:t>
      </w:r>
    </w:p>
    <w:p w14:paraId="0A6BA080" w14:textId="570D5CD9" w:rsidR="00F07CB3" w:rsidRPr="00343167" w:rsidRDefault="00343167" w:rsidP="00495067">
      <w:pPr>
        <w:keepNext/>
        <w:spacing w:line="276" w:lineRule="auto"/>
        <w:jc w:val="both"/>
        <w:rPr>
          <w:rFonts w:ascii="Calibri" w:hAnsi="Calibri" w:cs="Calibri"/>
          <w:i/>
          <w:iCs/>
          <w:color w:val="17406D"/>
          <w:sz w:val="22"/>
          <w:szCs w:val="22"/>
          <w:lang w:val="sq-AL"/>
        </w:rPr>
      </w:pPr>
      <w:bookmarkStart w:id="124" w:name="_Toc107496757"/>
      <w:bookmarkEnd w:id="123"/>
      <w:r w:rsidRPr="00343167">
        <w:rPr>
          <w:rFonts w:asciiTheme="minorHAnsi" w:hAnsiTheme="minorHAnsi"/>
          <w:bCs/>
          <w:i/>
          <w:noProof/>
          <w:sz w:val="22"/>
        </w:rPr>
        <w:t xml:space="preserve">Tabela </w:t>
      </w:r>
      <w:r w:rsidRPr="00343167">
        <w:rPr>
          <w:rFonts w:asciiTheme="minorHAnsi" w:hAnsiTheme="minorHAnsi"/>
          <w:bCs/>
          <w:i/>
          <w:noProof/>
          <w:sz w:val="22"/>
        </w:rPr>
        <w:fldChar w:fldCharType="begin"/>
      </w:r>
      <w:r w:rsidRPr="00343167">
        <w:rPr>
          <w:rFonts w:asciiTheme="minorHAnsi" w:hAnsiTheme="minorHAnsi"/>
          <w:bCs/>
          <w:i/>
          <w:noProof/>
          <w:sz w:val="22"/>
        </w:rPr>
        <w:instrText xml:space="preserve"> SEQ Tabela \* ARABIC </w:instrText>
      </w:r>
      <w:r w:rsidRPr="00343167">
        <w:rPr>
          <w:rFonts w:asciiTheme="minorHAnsi" w:hAnsiTheme="minorHAnsi"/>
          <w:bCs/>
          <w:i/>
          <w:noProof/>
          <w:sz w:val="22"/>
        </w:rPr>
        <w:fldChar w:fldCharType="separate"/>
      </w:r>
      <w:r w:rsidR="00C153A9">
        <w:rPr>
          <w:rFonts w:asciiTheme="minorHAnsi" w:hAnsiTheme="minorHAnsi"/>
          <w:bCs/>
          <w:i/>
          <w:noProof/>
          <w:sz w:val="22"/>
        </w:rPr>
        <w:t>20</w:t>
      </w:r>
      <w:r w:rsidRPr="00343167">
        <w:rPr>
          <w:rFonts w:asciiTheme="minorHAnsi" w:hAnsiTheme="minorHAnsi"/>
          <w:bCs/>
          <w:i/>
          <w:noProof/>
          <w:sz w:val="22"/>
        </w:rPr>
        <w:fldChar w:fldCharType="end"/>
      </w:r>
      <w:r w:rsidRPr="00343167">
        <w:rPr>
          <w:rFonts w:asciiTheme="minorHAnsi" w:hAnsiTheme="minorHAnsi"/>
          <w:bCs/>
          <w:i/>
          <w:noProof/>
          <w:sz w:val="22"/>
        </w:rPr>
        <w:t xml:space="preserve">: </w:t>
      </w:r>
      <w:r w:rsidR="00F07CB3" w:rsidRPr="00343167">
        <w:rPr>
          <w:rFonts w:asciiTheme="minorHAnsi" w:hAnsiTheme="minorHAnsi"/>
          <w:bCs/>
          <w:i/>
          <w:noProof/>
          <w:sz w:val="22"/>
        </w:rPr>
        <w:t>Të dhënat financiare 3 mujore për Sektorin Energjitik (në mijë LEK)</w:t>
      </w:r>
      <w:bookmarkEnd w:id="124"/>
    </w:p>
    <w:tbl>
      <w:tblPr>
        <w:tblW w:w="6920"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1613"/>
        <w:gridCol w:w="1788"/>
        <w:gridCol w:w="79"/>
        <w:gridCol w:w="1640"/>
        <w:gridCol w:w="1800"/>
      </w:tblGrid>
      <w:tr w:rsidR="00495067" w14:paraId="4BEEFAD0" w14:textId="77777777" w:rsidTr="00495067">
        <w:trPr>
          <w:trHeight w:val="363"/>
          <w:jc w:val="center"/>
        </w:trPr>
        <w:tc>
          <w:tcPr>
            <w:tcW w:w="1613" w:type="dxa"/>
            <w:tcBorders>
              <w:top w:val="single" w:sz="24" w:space="0" w:color="95B3D7"/>
              <w:left w:val="single" w:sz="24" w:space="0" w:color="95B3D7"/>
              <w:bottom w:val="nil"/>
              <w:right w:val="nil"/>
            </w:tcBorders>
            <w:shd w:val="clear" w:color="auto" w:fill="B3DDF2"/>
            <w:noWrap/>
            <w:vAlign w:val="center"/>
            <w:hideMark/>
          </w:tcPr>
          <w:p w14:paraId="29583409" w14:textId="77777777" w:rsidR="00495067" w:rsidRDefault="00495067" w:rsidP="00495067">
            <w:pPr>
              <w:rPr>
                <w:rFonts w:ascii="Calibri" w:hAnsi="Calibri" w:cs="Calibri"/>
                <w:color w:val="000000"/>
                <w:sz w:val="22"/>
                <w:szCs w:val="22"/>
                <w:lang w:val="sq-AL"/>
              </w:rPr>
            </w:pPr>
            <w:r>
              <w:rPr>
                <w:rFonts w:ascii="Calibri" w:hAnsi="Calibri" w:cs="Calibri"/>
                <w:b/>
                <w:color w:val="C00000"/>
                <w:sz w:val="22"/>
                <w:szCs w:val="22"/>
                <w:lang w:val="sq-AL"/>
              </w:rPr>
              <w:t>Zërat/Periudha</w:t>
            </w:r>
          </w:p>
        </w:tc>
        <w:tc>
          <w:tcPr>
            <w:tcW w:w="1867" w:type="dxa"/>
            <w:gridSpan w:val="2"/>
            <w:tcBorders>
              <w:top w:val="single" w:sz="24" w:space="0" w:color="95B3D7"/>
              <w:left w:val="nil"/>
              <w:bottom w:val="nil"/>
              <w:right w:val="nil"/>
            </w:tcBorders>
            <w:shd w:val="clear" w:color="auto" w:fill="B3DDF2"/>
            <w:noWrap/>
            <w:vAlign w:val="center"/>
            <w:hideMark/>
          </w:tcPr>
          <w:p w14:paraId="37D0FDDC" w14:textId="77777777" w:rsidR="00495067" w:rsidRDefault="00495067" w:rsidP="00495067">
            <w:pPr>
              <w:jc w:val="right"/>
              <w:rPr>
                <w:rFonts w:ascii="Calibri" w:hAnsi="Calibri" w:cs="Calibri"/>
                <w:b/>
                <w:bCs/>
                <w:color w:val="000000"/>
                <w:sz w:val="22"/>
                <w:szCs w:val="22"/>
              </w:rPr>
            </w:pPr>
            <w:r>
              <w:rPr>
                <w:rFonts w:ascii="Calibri" w:hAnsi="Calibri" w:cs="Calibri"/>
                <w:b/>
                <w:bCs/>
                <w:color w:val="C00000"/>
                <w:sz w:val="22"/>
                <w:szCs w:val="22"/>
              </w:rPr>
              <w:t>T1 2021</w:t>
            </w:r>
          </w:p>
        </w:tc>
        <w:tc>
          <w:tcPr>
            <w:tcW w:w="1640" w:type="dxa"/>
            <w:tcBorders>
              <w:top w:val="single" w:sz="24" w:space="0" w:color="95B3D7"/>
              <w:left w:val="nil"/>
              <w:bottom w:val="nil"/>
              <w:right w:val="nil"/>
            </w:tcBorders>
            <w:shd w:val="clear" w:color="auto" w:fill="B3DDF2"/>
            <w:noWrap/>
            <w:vAlign w:val="center"/>
            <w:hideMark/>
          </w:tcPr>
          <w:p w14:paraId="67A7AA6D" w14:textId="77777777" w:rsidR="00495067" w:rsidRDefault="00495067" w:rsidP="00495067">
            <w:pPr>
              <w:jc w:val="right"/>
              <w:rPr>
                <w:rFonts w:ascii="Calibri" w:hAnsi="Calibri" w:cs="Calibri"/>
                <w:b/>
                <w:bCs/>
                <w:color w:val="000000"/>
                <w:sz w:val="22"/>
                <w:szCs w:val="22"/>
              </w:rPr>
            </w:pPr>
            <w:r>
              <w:rPr>
                <w:rFonts w:ascii="Calibri" w:hAnsi="Calibri" w:cs="Calibri"/>
                <w:b/>
                <w:bCs/>
                <w:color w:val="C00000"/>
                <w:sz w:val="22"/>
                <w:szCs w:val="22"/>
              </w:rPr>
              <w:t>T1 2022</w:t>
            </w:r>
          </w:p>
        </w:tc>
        <w:tc>
          <w:tcPr>
            <w:tcW w:w="1800" w:type="dxa"/>
            <w:tcBorders>
              <w:top w:val="single" w:sz="24" w:space="0" w:color="95B3D7"/>
              <w:left w:val="nil"/>
              <w:bottom w:val="nil"/>
              <w:right w:val="single" w:sz="24" w:space="0" w:color="95B3D7"/>
            </w:tcBorders>
            <w:shd w:val="clear" w:color="auto" w:fill="B3DDF2"/>
            <w:noWrap/>
            <w:vAlign w:val="center"/>
            <w:hideMark/>
          </w:tcPr>
          <w:p w14:paraId="2641F8B5" w14:textId="77777777" w:rsidR="00495067" w:rsidRDefault="00495067" w:rsidP="00495067">
            <w:pPr>
              <w:jc w:val="right"/>
              <w:rPr>
                <w:rFonts w:ascii="Calibri" w:hAnsi="Calibri" w:cs="Calibri"/>
                <w:b/>
                <w:bCs/>
                <w:color w:val="000000"/>
                <w:sz w:val="22"/>
                <w:szCs w:val="22"/>
              </w:rPr>
            </w:pPr>
            <w:r>
              <w:rPr>
                <w:rFonts w:ascii="Calibri" w:hAnsi="Calibri" w:cs="Calibri"/>
                <w:b/>
                <w:bCs/>
                <w:color w:val="C00000"/>
                <w:sz w:val="22"/>
                <w:szCs w:val="22"/>
              </w:rPr>
              <w:t>T1 2023</w:t>
            </w:r>
          </w:p>
        </w:tc>
      </w:tr>
      <w:tr w:rsidR="00495067" w14:paraId="4E7B6B2A" w14:textId="77777777" w:rsidTr="00495067">
        <w:trPr>
          <w:trHeight w:val="169"/>
          <w:jc w:val="center"/>
        </w:trPr>
        <w:tc>
          <w:tcPr>
            <w:tcW w:w="1613" w:type="dxa"/>
            <w:tcBorders>
              <w:top w:val="nil"/>
              <w:left w:val="single" w:sz="24" w:space="0" w:color="95B3D7"/>
              <w:bottom w:val="nil"/>
              <w:right w:val="nil"/>
            </w:tcBorders>
            <w:shd w:val="clear" w:color="auto" w:fill="FFFFFF"/>
            <w:noWrap/>
            <w:vAlign w:val="center"/>
            <w:hideMark/>
          </w:tcPr>
          <w:p w14:paraId="2A18ED35" w14:textId="77777777" w:rsidR="00495067" w:rsidRDefault="00495067" w:rsidP="00495067">
            <w:pPr>
              <w:rPr>
                <w:rFonts w:ascii="Calibri" w:hAnsi="Calibri" w:cs="Calibri"/>
                <w:i/>
                <w:color w:val="000000"/>
                <w:sz w:val="18"/>
                <w:szCs w:val="18"/>
              </w:rPr>
            </w:pPr>
            <w:r>
              <w:rPr>
                <w:rFonts w:ascii="Calibri" w:hAnsi="Calibri" w:cs="Calibri"/>
                <w:i/>
                <w:color w:val="000000"/>
                <w:sz w:val="18"/>
                <w:szCs w:val="18"/>
              </w:rPr>
              <w:t>Të ardhurat</w:t>
            </w:r>
          </w:p>
        </w:tc>
        <w:tc>
          <w:tcPr>
            <w:tcW w:w="1788" w:type="dxa"/>
            <w:tcBorders>
              <w:top w:val="nil"/>
              <w:left w:val="nil"/>
              <w:bottom w:val="nil"/>
              <w:right w:val="nil"/>
            </w:tcBorders>
            <w:shd w:val="clear" w:color="auto" w:fill="FFFFFF"/>
            <w:noWrap/>
            <w:vAlign w:val="center"/>
            <w:hideMark/>
          </w:tcPr>
          <w:p w14:paraId="1950D675" w14:textId="77777777" w:rsidR="00495067" w:rsidRDefault="00495067" w:rsidP="00495067">
            <w:pPr>
              <w:jc w:val="right"/>
              <w:rPr>
                <w:rFonts w:ascii="Calibri" w:hAnsi="Calibri" w:cs="Calibri"/>
                <w:i/>
                <w:color w:val="000000"/>
                <w:sz w:val="18"/>
                <w:szCs w:val="18"/>
              </w:rPr>
            </w:pPr>
            <w:r>
              <w:rPr>
                <w:rFonts w:ascii="Calibri" w:hAnsi="Calibri" w:cs="Calibri"/>
                <w:i/>
                <w:color w:val="000000"/>
                <w:sz w:val="18"/>
                <w:szCs w:val="18"/>
              </w:rPr>
              <w:t xml:space="preserve">            </w:t>
            </w:r>
            <w:r w:rsidRPr="003D3668">
              <w:rPr>
                <w:rFonts w:ascii="Calibri" w:hAnsi="Calibri" w:cs="Calibri"/>
                <w:i/>
                <w:color w:val="000000"/>
                <w:sz w:val="18"/>
                <w:szCs w:val="18"/>
              </w:rPr>
              <w:t xml:space="preserve"> 23,864,065</w:t>
            </w:r>
          </w:p>
        </w:tc>
        <w:tc>
          <w:tcPr>
            <w:tcW w:w="1719" w:type="dxa"/>
            <w:gridSpan w:val="2"/>
            <w:tcBorders>
              <w:top w:val="nil"/>
              <w:left w:val="nil"/>
              <w:bottom w:val="nil"/>
              <w:right w:val="nil"/>
            </w:tcBorders>
            <w:noWrap/>
            <w:vAlign w:val="center"/>
            <w:hideMark/>
          </w:tcPr>
          <w:p w14:paraId="4D4015ED" w14:textId="77777777" w:rsidR="00495067" w:rsidRDefault="00495067" w:rsidP="00495067">
            <w:pPr>
              <w:jc w:val="right"/>
              <w:rPr>
                <w:rFonts w:ascii="Calibri" w:hAnsi="Calibri" w:cs="Calibri"/>
                <w:i/>
                <w:color w:val="000000"/>
                <w:sz w:val="18"/>
                <w:szCs w:val="18"/>
              </w:rPr>
            </w:pPr>
            <w:r w:rsidRPr="003D3668">
              <w:rPr>
                <w:rFonts w:ascii="Calibri" w:hAnsi="Calibri" w:cs="Calibri"/>
                <w:i/>
                <w:color w:val="000000"/>
                <w:sz w:val="18"/>
                <w:szCs w:val="18"/>
              </w:rPr>
              <w:t>32,210,088</w:t>
            </w:r>
          </w:p>
        </w:tc>
        <w:tc>
          <w:tcPr>
            <w:tcW w:w="1800" w:type="dxa"/>
            <w:tcBorders>
              <w:top w:val="nil"/>
              <w:left w:val="nil"/>
              <w:bottom w:val="nil"/>
              <w:right w:val="single" w:sz="24" w:space="0" w:color="95B3D7"/>
            </w:tcBorders>
            <w:shd w:val="clear" w:color="auto" w:fill="FFFFFF"/>
            <w:noWrap/>
            <w:vAlign w:val="center"/>
            <w:hideMark/>
          </w:tcPr>
          <w:p w14:paraId="2E96139E" w14:textId="77777777" w:rsidR="00495067" w:rsidRDefault="00495067" w:rsidP="00495067">
            <w:pPr>
              <w:jc w:val="right"/>
              <w:rPr>
                <w:rFonts w:ascii="Calibri" w:hAnsi="Calibri" w:cs="Calibri"/>
                <w:i/>
                <w:color w:val="000000"/>
                <w:sz w:val="18"/>
                <w:szCs w:val="18"/>
              </w:rPr>
            </w:pPr>
            <w:r>
              <w:rPr>
                <w:rFonts w:ascii="Calibri" w:hAnsi="Calibri" w:cs="Calibri"/>
                <w:i/>
                <w:color w:val="000000"/>
                <w:sz w:val="18"/>
                <w:szCs w:val="18"/>
              </w:rPr>
              <w:t xml:space="preserve">            </w:t>
            </w:r>
            <w:r w:rsidRPr="003D3668">
              <w:rPr>
                <w:rFonts w:ascii="Calibri" w:hAnsi="Calibri" w:cs="Calibri"/>
                <w:i/>
                <w:color w:val="000000"/>
                <w:sz w:val="18"/>
                <w:szCs w:val="18"/>
              </w:rPr>
              <w:t xml:space="preserve"> 32,188,420</w:t>
            </w:r>
          </w:p>
        </w:tc>
      </w:tr>
      <w:tr w:rsidR="00495067" w14:paraId="7CAB1876" w14:textId="77777777" w:rsidTr="00495067">
        <w:trPr>
          <w:trHeight w:val="161"/>
          <w:jc w:val="center"/>
        </w:trPr>
        <w:tc>
          <w:tcPr>
            <w:tcW w:w="1613" w:type="dxa"/>
            <w:tcBorders>
              <w:top w:val="nil"/>
              <w:left w:val="single" w:sz="24" w:space="0" w:color="95B3D7"/>
              <w:bottom w:val="nil"/>
              <w:right w:val="nil"/>
            </w:tcBorders>
            <w:shd w:val="clear" w:color="auto" w:fill="FFFFFF"/>
            <w:noWrap/>
            <w:vAlign w:val="center"/>
            <w:hideMark/>
          </w:tcPr>
          <w:p w14:paraId="6FCB1122" w14:textId="77777777" w:rsidR="00495067" w:rsidRDefault="00495067" w:rsidP="00495067">
            <w:pPr>
              <w:rPr>
                <w:rFonts w:ascii="Calibri" w:hAnsi="Calibri" w:cs="Calibri"/>
                <w:i/>
                <w:color w:val="000000"/>
                <w:sz w:val="18"/>
                <w:szCs w:val="18"/>
              </w:rPr>
            </w:pPr>
            <w:r>
              <w:rPr>
                <w:rFonts w:ascii="Calibri" w:hAnsi="Calibri" w:cs="Calibri"/>
                <w:i/>
                <w:color w:val="000000"/>
                <w:sz w:val="18"/>
                <w:szCs w:val="18"/>
              </w:rPr>
              <w:t>Shpenzimet</w:t>
            </w:r>
          </w:p>
        </w:tc>
        <w:tc>
          <w:tcPr>
            <w:tcW w:w="1788" w:type="dxa"/>
            <w:tcBorders>
              <w:top w:val="nil"/>
              <w:left w:val="nil"/>
              <w:bottom w:val="nil"/>
              <w:right w:val="nil"/>
            </w:tcBorders>
            <w:shd w:val="clear" w:color="auto" w:fill="FFFFFF"/>
            <w:noWrap/>
            <w:vAlign w:val="center"/>
            <w:hideMark/>
          </w:tcPr>
          <w:p w14:paraId="5C5D2E40" w14:textId="77777777" w:rsidR="00495067" w:rsidRDefault="00495067" w:rsidP="00495067">
            <w:pPr>
              <w:jc w:val="right"/>
              <w:rPr>
                <w:rFonts w:ascii="Calibri" w:hAnsi="Calibri" w:cs="Calibri"/>
                <w:i/>
                <w:color w:val="000000"/>
                <w:sz w:val="18"/>
                <w:szCs w:val="18"/>
              </w:rPr>
            </w:pPr>
            <w:r>
              <w:rPr>
                <w:rFonts w:ascii="Calibri" w:hAnsi="Calibri" w:cs="Calibri"/>
                <w:i/>
                <w:color w:val="000000"/>
                <w:sz w:val="18"/>
                <w:szCs w:val="18"/>
              </w:rPr>
              <w:t xml:space="preserve">            </w:t>
            </w:r>
            <w:r w:rsidRPr="003D3668">
              <w:rPr>
                <w:rFonts w:ascii="Calibri" w:hAnsi="Calibri" w:cs="Calibri"/>
                <w:i/>
                <w:color w:val="000000"/>
                <w:sz w:val="18"/>
                <w:szCs w:val="18"/>
              </w:rPr>
              <w:t xml:space="preserve"> 23,016,261</w:t>
            </w:r>
          </w:p>
        </w:tc>
        <w:tc>
          <w:tcPr>
            <w:tcW w:w="1719" w:type="dxa"/>
            <w:gridSpan w:val="2"/>
            <w:tcBorders>
              <w:top w:val="nil"/>
              <w:left w:val="nil"/>
              <w:bottom w:val="nil"/>
              <w:right w:val="nil"/>
            </w:tcBorders>
            <w:noWrap/>
            <w:vAlign w:val="center"/>
            <w:hideMark/>
          </w:tcPr>
          <w:p w14:paraId="7DC4327A" w14:textId="77777777" w:rsidR="00495067" w:rsidRDefault="00495067" w:rsidP="00495067">
            <w:pPr>
              <w:jc w:val="right"/>
              <w:rPr>
                <w:rFonts w:ascii="Calibri" w:hAnsi="Calibri" w:cs="Calibri"/>
                <w:i/>
                <w:color w:val="000000"/>
                <w:sz w:val="18"/>
                <w:szCs w:val="18"/>
              </w:rPr>
            </w:pPr>
            <w:r w:rsidRPr="003D3668">
              <w:rPr>
                <w:rFonts w:ascii="Calibri" w:hAnsi="Calibri" w:cs="Calibri"/>
                <w:i/>
                <w:color w:val="000000"/>
                <w:sz w:val="18"/>
                <w:szCs w:val="18"/>
              </w:rPr>
              <w:t>35,122,675</w:t>
            </w:r>
          </w:p>
        </w:tc>
        <w:tc>
          <w:tcPr>
            <w:tcW w:w="1800" w:type="dxa"/>
            <w:tcBorders>
              <w:top w:val="nil"/>
              <w:left w:val="nil"/>
              <w:bottom w:val="nil"/>
              <w:right w:val="single" w:sz="24" w:space="0" w:color="95B3D7"/>
            </w:tcBorders>
            <w:shd w:val="clear" w:color="auto" w:fill="FFFFFF"/>
            <w:noWrap/>
            <w:vAlign w:val="center"/>
            <w:hideMark/>
          </w:tcPr>
          <w:p w14:paraId="6AD15B5E" w14:textId="77777777" w:rsidR="00495067" w:rsidRDefault="00495067" w:rsidP="00495067">
            <w:pPr>
              <w:jc w:val="right"/>
              <w:rPr>
                <w:rFonts w:ascii="Calibri" w:hAnsi="Calibri" w:cs="Calibri"/>
                <w:i/>
                <w:color w:val="000000"/>
                <w:sz w:val="18"/>
                <w:szCs w:val="18"/>
              </w:rPr>
            </w:pPr>
            <w:r w:rsidRPr="003D3668">
              <w:rPr>
                <w:rFonts w:ascii="Calibri" w:hAnsi="Calibri" w:cs="Calibri"/>
                <w:i/>
                <w:color w:val="000000"/>
                <w:sz w:val="18"/>
                <w:szCs w:val="18"/>
              </w:rPr>
              <w:t>24,005,090</w:t>
            </w:r>
          </w:p>
        </w:tc>
      </w:tr>
      <w:tr w:rsidR="00495067" w14:paraId="199FD4FE" w14:textId="77777777" w:rsidTr="00495067">
        <w:trPr>
          <w:trHeight w:val="161"/>
          <w:jc w:val="center"/>
        </w:trPr>
        <w:tc>
          <w:tcPr>
            <w:tcW w:w="1613" w:type="dxa"/>
            <w:tcBorders>
              <w:top w:val="nil"/>
              <w:left w:val="single" w:sz="24" w:space="0" w:color="95B3D7"/>
              <w:bottom w:val="single" w:sz="24" w:space="0" w:color="95B3D7"/>
              <w:right w:val="nil"/>
            </w:tcBorders>
            <w:shd w:val="clear" w:color="auto" w:fill="FFFFFF"/>
            <w:noWrap/>
            <w:vAlign w:val="center"/>
            <w:hideMark/>
          </w:tcPr>
          <w:p w14:paraId="4AD655B0" w14:textId="77777777" w:rsidR="00495067" w:rsidRDefault="00495067" w:rsidP="00495067">
            <w:pPr>
              <w:rPr>
                <w:rFonts w:ascii="Calibri" w:hAnsi="Calibri" w:cs="Calibri"/>
                <w:b/>
                <w:bCs/>
                <w:color w:val="000000"/>
                <w:sz w:val="20"/>
                <w:szCs w:val="20"/>
              </w:rPr>
            </w:pPr>
            <w:r>
              <w:rPr>
                <w:rFonts w:ascii="Calibri" w:hAnsi="Calibri" w:cs="Calibri"/>
                <w:b/>
                <w:bCs/>
                <w:color w:val="000000"/>
                <w:sz w:val="20"/>
                <w:szCs w:val="20"/>
              </w:rPr>
              <w:t>Humbje/Fitim</w:t>
            </w:r>
          </w:p>
        </w:tc>
        <w:tc>
          <w:tcPr>
            <w:tcW w:w="1788" w:type="dxa"/>
            <w:tcBorders>
              <w:top w:val="nil"/>
              <w:left w:val="nil"/>
              <w:bottom w:val="single" w:sz="24" w:space="0" w:color="95B3D7"/>
              <w:right w:val="nil"/>
            </w:tcBorders>
            <w:shd w:val="clear" w:color="auto" w:fill="FFFFFF"/>
            <w:noWrap/>
            <w:vAlign w:val="center"/>
            <w:hideMark/>
          </w:tcPr>
          <w:p w14:paraId="1BA20D4B" w14:textId="77777777" w:rsidR="00495067" w:rsidRDefault="00495067"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3D3668">
              <w:rPr>
                <w:rFonts w:ascii="Calibri" w:hAnsi="Calibri" w:cs="Calibri"/>
                <w:b/>
                <w:i/>
                <w:color w:val="C00000"/>
                <w:sz w:val="20"/>
                <w:szCs w:val="20"/>
              </w:rPr>
              <w:t xml:space="preserve"> 847,804</w:t>
            </w:r>
          </w:p>
        </w:tc>
        <w:tc>
          <w:tcPr>
            <w:tcW w:w="1719" w:type="dxa"/>
            <w:gridSpan w:val="2"/>
            <w:tcBorders>
              <w:top w:val="nil"/>
              <w:left w:val="nil"/>
              <w:bottom w:val="single" w:sz="24" w:space="0" w:color="95B3D7"/>
              <w:right w:val="nil"/>
            </w:tcBorders>
            <w:noWrap/>
            <w:vAlign w:val="center"/>
            <w:hideMark/>
          </w:tcPr>
          <w:p w14:paraId="32E4AD3F" w14:textId="77777777" w:rsidR="00495067" w:rsidRDefault="00495067" w:rsidP="00495067">
            <w:pPr>
              <w:jc w:val="right"/>
              <w:rPr>
                <w:rFonts w:ascii="Calibri" w:hAnsi="Calibri" w:cs="Calibri"/>
                <w:b/>
                <w:i/>
                <w:color w:val="C00000"/>
                <w:sz w:val="20"/>
                <w:szCs w:val="20"/>
              </w:rPr>
            </w:pPr>
            <w:r w:rsidRPr="003D3668">
              <w:rPr>
                <w:rFonts w:ascii="Calibri" w:hAnsi="Calibri" w:cs="Calibri"/>
                <w:b/>
                <w:i/>
                <w:color w:val="C00000"/>
                <w:sz w:val="20"/>
                <w:szCs w:val="20"/>
              </w:rPr>
              <w:t>(2,912,587)</w:t>
            </w:r>
          </w:p>
        </w:tc>
        <w:tc>
          <w:tcPr>
            <w:tcW w:w="1800" w:type="dxa"/>
            <w:tcBorders>
              <w:top w:val="nil"/>
              <w:left w:val="nil"/>
              <w:bottom w:val="single" w:sz="24" w:space="0" w:color="95B3D7"/>
              <w:right w:val="single" w:sz="24" w:space="0" w:color="95B3D7"/>
            </w:tcBorders>
            <w:shd w:val="clear" w:color="auto" w:fill="FFFFFF"/>
            <w:noWrap/>
            <w:vAlign w:val="center"/>
            <w:hideMark/>
          </w:tcPr>
          <w:p w14:paraId="09D709CE" w14:textId="77777777" w:rsidR="00495067" w:rsidRDefault="00495067" w:rsidP="00495067">
            <w:pPr>
              <w:jc w:val="right"/>
              <w:rPr>
                <w:rFonts w:ascii="Calibri" w:hAnsi="Calibri" w:cs="Calibri"/>
                <w:b/>
                <w:i/>
                <w:color w:val="C00000"/>
                <w:sz w:val="20"/>
                <w:szCs w:val="20"/>
              </w:rPr>
            </w:pPr>
            <w:r w:rsidRPr="003D3668">
              <w:rPr>
                <w:rFonts w:ascii="Calibri" w:hAnsi="Calibri" w:cs="Calibri"/>
                <w:b/>
                <w:i/>
                <w:color w:val="C00000"/>
                <w:sz w:val="20"/>
                <w:szCs w:val="20"/>
              </w:rPr>
              <w:t>8,183,330</w:t>
            </w:r>
          </w:p>
        </w:tc>
      </w:tr>
    </w:tbl>
    <w:p w14:paraId="35826575" w14:textId="78757C61" w:rsidR="00F07CB3" w:rsidRDefault="00F07CB3" w:rsidP="0093018B">
      <w:pPr>
        <w:spacing w:line="276" w:lineRule="auto"/>
        <w:ind w:left="720" w:firstLine="720"/>
        <w:contextualSpacing/>
        <w:rPr>
          <w:rFonts w:ascii="Calibri" w:hAnsi="Calibri"/>
          <w:i/>
          <w:sz w:val="20"/>
          <w:szCs w:val="20"/>
          <w:lang w:val="sq-AL"/>
        </w:rPr>
      </w:pPr>
      <w:r>
        <w:rPr>
          <w:rFonts w:ascii="Calibri" w:hAnsi="Calibri"/>
          <w:i/>
          <w:sz w:val="20"/>
          <w:szCs w:val="20"/>
          <w:lang w:val="sq-AL"/>
        </w:rPr>
        <w:t>Burimi: OSHEE Group, OST</w:t>
      </w:r>
      <w:r w:rsidR="00495067">
        <w:rPr>
          <w:rFonts w:ascii="Calibri" w:hAnsi="Calibri"/>
          <w:i/>
          <w:sz w:val="20"/>
          <w:szCs w:val="20"/>
          <w:lang w:val="sq-AL"/>
        </w:rPr>
        <w:t xml:space="preserve"> sha</w:t>
      </w:r>
      <w:r>
        <w:rPr>
          <w:rFonts w:ascii="Calibri" w:hAnsi="Calibri"/>
          <w:i/>
          <w:sz w:val="20"/>
          <w:szCs w:val="20"/>
          <w:lang w:val="sq-AL"/>
        </w:rPr>
        <w:t xml:space="preserve">, KESH </w:t>
      </w:r>
      <w:r w:rsidR="00B703A6">
        <w:rPr>
          <w:rFonts w:ascii="Calibri" w:hAnsi="Calibri"/>
          <w:i/>
          <w:sz w:val="20"/>
          <w:szCs w:val="20"/>
          <w:lang w:val="sq-AL"/>
        </w:rPr>
        <w:t>sh</w:t>
      </w:r>
      <w:r w:rsidR="00495067">
        <w:rPr>
          <w:rFonts w:ascii="Calibri" w:hAnsi="Calibri"/>
          <w:i/>
          <w:sz w:val="20"/>
          <w:szCs w:val="20"/>
          <w:lang w:val="sq-AL"/>
        </w:rPr>
        <w:t>a</w:t>
      </w:r>
    </w:p>
    <w:p w14:paraId="667AF931" w14:textId="77777777" w:rsidR="00F07CB3" w:rsidRPr="00F07CB3" w:rsidRDefault="00F07CB3" w:rsidP="00F07CB3">
      <w:pPr>
        <w:spacing w:before="120" w:line="276" w:lineRule="auto"/>
        <w:contextualSpacing/>
        <w:jc w:val="both"/>
        <w:rPr>
          <w:rFonts w:ascii="Calibri" w:eastAsia="Calibri" w:hAnsi="Calibri" w:cs="Calibri"/>
          <w:bCs/>
          <w:i/>
          <w:sz w:val="8"/>
          <w:u w:val="single"/>
          <w:lang w:val="sq-AL" w:eastAsia="sq-AL"/>
        </w:rPr>
      </w:pPr>
    </w:p>
    <w:p w14:paraId="16B6B5C7" w14:textId="77777777" w:rsidR="00F07CB3" w:rsidRDefault="00F07CB3" w:rsidP="00056DE5">
      <w:pPr>
        <w:keepNext/>
        <w:numPr>
          <w:ilvl w:val="0"/>
          <w:numId w:val="27"/>
        </w:numPr>
        <w:spacing w:before="120" w:line="276" w:lineRule="auto"/>
        <w:jc w:val="both"/>
        <w:rPr>
          <w:rFonts w:ascii="Calibri" w:hAnsi="Calibri"/>
          <w:i/>
          <w:sz w:val="22"/>
          <w:lang w:val="sq-AL"/>
        </w:rPr>
      </w:pPr>
      <w:r>
        <w:rPr>
          <w:rFonts w:ascii="Calibri" w:hAnsi="Calibri"/>
          <w:i/>
          <w:sz w:val="22"/>
          <w:lang w:val="sq-AL"/>
        </w:rPr>
        <w:t xml:space="preserve">Performanca financiare e OSHEE Group </w:t>
      </w:r>
      <w:r w:rsidR="00B703A6">
        <w:rPr>
          <w:rFonts w:ascii="Calibri" w:hAnsi="Calibri"/>
          <w:i/>
          <w:sz w:val="22"/>
          <w:lang w:val="sq-AL"/>
        </w:rPr>
        <w:t>sh.a</w:t>
      </w:r>
      <w:r>
        <w:rPr>
          <w:rFonts w:ascii="Calibri" w:hAnsi="Calibri"/>
          <w:i/>
          <w:sz w:val="22"/>
          <w:lang w:val="sq-AL"/>
        </w:rPr>
        <w:t>.</w:t>
      </w:r>
    </w:p>
    <w:p w14:paraId="7CA483E0" w14:textId="1654A46E" w:rsidR="00495067" w:rsidRDefault="00343167" w:rsidP="00495067">
      <w:pPr>
        <w:keepNext/>
        <w:spacing w:line="276" w:lineRule="auto"/>
        <w:jc w:val="both"/>
        <w:rPr>
          <w:rFonts w:ascii="Calibri" w:hAnsi="Calibri"/>
          <w:sz w:val="22"/>
          <w:szCs w:val="22"/>
          <w:lang w:val="sq-AL"/>
        </w:rPr>
      </w:pPr>
      <w:bookmarkStart w:id="125" w:name="_Toc104984086"/>
      <w:bookmarkStart w:id="126" w:name="_Toc107496758"/>
      <w:r w:rsidRPr="00343167">
        <w:rPr>
          <w:rFonts w:asciiTheme="minorHAnsi" w:hAnsiTheme="minorHAnsi"/>
          <w:b/>
          <w:bCs/>
          <w:i/>
          <w:noProof/>
          <w:sz w:val="22"/>
        </w:rPr>
        <w:t>T</w:t>
      </w:r>
      <w:r w:rsidRPr="00343167">
        <w:rPr>
          <w:rFonts w:asciiTheme="minorHAnsi" w:hAnsiTheme="minorHAnsi"/>
          <w:bCs/>
          <w:i/>
          <w:noProof/>
          <w:sz w:val="22"/>
        </w:rPr>
        <w:t xml:space="preserve">abela </w:t>
      </w:r>
      <w:r w:rsidRPr="00343167">
        <w:rPr>
          <w:rFonts w:asciiTheme="minorHAnsi" w:hAnsiTheme="minorHAnsi"/>
          <w:bCs/>
          <w:i/>
          <w:noProof/>
          <w:sz w:val="22"/>
        </w:rPr>
        <w:fldChar w:fldCharType="begin"/>
      </w:r>
      <w:r w:rsidRPr="00343167">
        <w:rPr>
          <w:rFonts w:asciiTheme="minorHAnsi" w:hAnsiTheme="minorHAnsi"/>
          <w:bCs/>
          <w:i/>
          <w:noProof/>
          <w:sz w:val="22"/>
        </w:rPr>
        <w:instrText xml:space="preserve"> SEQ Tabela \* ARABIC </w:instrText>
      </w:r>
      <w:r w:rsidRPr="00343167">
        <w:rPr>
          <w:rFonts w:asciiTheme="minorHAnsi" w:hAnsiTheme="minorHAnsi"/>
          <w:bCs/>
          <w:i/>
          <w:noProof/>
          <w:sz w:val="22"/>
        </w:rPr>
        <w:fldChar w:fldCharType="separate"/>
      </w:r>
      <w:r w:rsidR="00C153A9">
        <w:rPr>
          <w:rFonts w:asciiTheme="minorHAnsi" w:hAnsiTheme="minorHAnsi"/>
          <w:bCs/>
          <w:i/>
          <w:noProof/>
          <w:sz w:val="22"/>
        </w:rPr>
        <w:t>21</w:t>
      </w:r>
      <w:r w:rsidRPr="00343167">
        <w:rPr>
          <w:rFonts w:asciiTheme="minorHAnsi" w:hAnsiTheme="minorHAnsi"/>
          <w:bCs/>
          <w:i/>
          <w:noProof/>
          <w:sz w:val="22"/>
        </w:rPr>
        <w:fldChar w:fldCharType="end"/>
      </w:r>
      <w:r w:rsidRPr="00343167">
        <w:rPr>
          <w:rFonts w:asciiTheme="minorHAnsi" w:hAnsiTheme="minorHAnsi"/>
          <w:bCs/>
          <w:i/>
          <w:noProof/>
          <w:sz w:val="22"/>
        </w:rPr>
        <w:t xml:space="preserve">: </w:t>
      </w:r>
      <w:r w:rsidR="00F07CB3" w:rsidRPr="00343167">
        <w:rPr>
          <w:rFonts w:asciiTheme="minorHAnsi" w:hAnsiTheme="minorHAnsi"/>
          <w:bCs/>
          <w:i/>
          <w:noProof/>
          <w:sz w:val="22"/>
        </w:rPr>
        <w:t xml:space="preserve">Të dhënat financiare 3 mujore për OSHEE Group </w:t>
      </w:r>
      <w:r w:rsidR="00B703A6" w:rsidRPr="00343167">
        <w:rPr>
          <w:rFonts w:asciiTheme="minorHAnsi" w:hAnsiTheme="minorHAnsi"/>
          <w:bCs/>
          <w:i/>
          <w:noProof/>
          <w:sz w:val="22"/>
        </w:rPr>
        <w:t>sh.a</w:t>
      </w:r>
      <w:r w:rsidR="00F07CB3" w:rsidRPr="00343167">
        <w:rPr>
          <w:rFonts w:asciiTheme="minorHAnsi" w:hAnsiTheme="minorHAnsi"/>
          <w:bCs/>
          <w:i/>
          <w:noProof/>
          <w:sz w:val="22"/>
        </w:rPr>
        <w:t xml:space="preserve"> (në mijë LEK)</w:t>
      </w:r>
      <w:bookmarkEnd w:id="125"/>
      <w:bookmarkEnd w:id="126"/>
      <w:r w:rsidR="00F07CB3" w:rsidRPr="00343167">
        <w:rPr>
          <w:rFonts w:asciiTheme="minorHAnsi" w:hAnsiTheme="minorHAnsi"/>
          <w:bCs/>
          <w:i/>
          <w:noProof/>
          <w:sz w:val="22"/>
        </w:rPr>
        <w:t xml:space="preserve">  </w:t>
      </w:r>
    </w:p>
    <w:tbl>
      <w:tblPr>
        <w:tblW w:w="7126"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1770"/>
        <w:gridCol w:w="1631"/>
        <w:gridCol w:w="1879"/>
        <w:gridCol w:w="1846"/>
      </w:tblGrid>
      <w:tr w:rsidR="00495067" w14:paraId="3EDD0E66" w14:textId="77777777" w:rsidTr="00495067">
        <w:trPr>
          <w:trHeight w:val="363"/>
          <w:jc w:val="center"/>
        </w:trPr>
        <w:tc>
          <w:tcPr>
            <w:tcW w:w="1770" w:type="dxa"/>
            <w:tcBorders>
              <w:top w:val="single" w:sz="24" w:space="0" w:color="95B3D7"/>
              <w:left w:val="single" w:sz="24" w:space="0" w:color="95B3D7"/>
              <w:bottom w:val="nil"/>
              <w:right w:val="nil"/>
            </w:tcBorders>
            <w:shd w:val="clear" w:color="auto" w:fill="B3DDF2"/>
            <w:noWrap/>
            <w:vAlign w:val="center"/>
            <w:hideMark/>
          </w:tcPr>
          <w:p w14:paraId="4E64274E" w14:textId="77777777" w:rsidR="00495067" w:rsidRDefault="00495067" w:rsidP="00495067">
            <w:pPr>
              <w:rPr>
                <w:rFonts w:ascii="Calibri" w:hAnsi="Calibri" w:cs="Calibri"/>
                <w:color w:val="000000"/>
                <w:sz w:val="22"/>
                <w:szCs w:val="22"/>
                <w:lang w:val="sq-AL"/>
              </w:rPr>
            </w:pPr>
            <w:bookmarkStart w:id="127" w:name="_Hlk138169101"/>
            <w:r>
              <w:rPr>
                <w:rFonts w:ascii="Calibri" w:hAnsi="Calibri" w:cs="Calibri"/>
                <w:b/>
                <w:color w:val="C00000"/>
                <w:sz w:val="22"/>
                <w:szCs w:val="22"/>
                <w:lang w:val="sq-AL"/>
              </w:rPr>
              <w:t>Zërat/Periudha</w:t>
            </w:r>
          </w:p>
        </w:tc>
        <w:tc>
          <w:tcPr>
            <w:tcW w:w="1631" w:type="dxa"/>
            <w:tcBorders>
              <w:top w:val="single" w:sz="24" w:space="0" w:color="95B3D7"/>
              <w:left w:val="nil"/>
              <w:bottom w:val="nil"/>
              <w:right w:val="nil"/>
            </w:tcBorders>
            <w:shd w:val="clear" w:color="auto" w:fill="B3DDF2"/>
            <w:noWrap/>
            <w:vAlign w:val="center"/>
            <w:hideMark/>
          </w:tcPr>
          <w:p w14:paraId="7344A9C8" w14:textId="77777777" w:rsidR="00495067" w:rsidRDefault="00495067" w:rsidP="00495067">
            <w:pPr>
              <w:jc w:val="right"/>
              <w:rPr>
                <w:rFonts w:ascii="Calibri" w:hAnsi="Calibri" w:cs="Calibri"/>
                <w:b/>
                <w:bCs/>
                <w:color w:val="000000"/>
                <w:sz w:val="22"/>
                <w:szCs w:val="22"/>
              </w:rPr>
            </w:pPr>
            <w:r>
              <w:rPr>
                <w:rFonts w:ascii="Calibri" w:hAnsi="Calibri" w:cs="Calibri"/>
                <w:b/>
                <w:bCs/>
                <w:color w:val="C00000"/>
                <w:sz w:val="22"/>
                <w:szCs w:val="22"/>
              </w:rPr>
              <w:t>T1 2021</w:t>
            </w:r>
          </w:p>
        </w:tc>
        <w:tc>
          <w:tcPr>
            <w:tcW w:w="1879" w:type="dxa"/>
            <w:tcBorders>
              <w:top w:val="single" w:sz="24" w:space="0" w:color="95B3D7"/>
              <w:left w:val="nil"/>
              <w:bottom w:val="nil"/>
              <w:right w:val="nil"/>
            </w:tcBorders>
            <w:shd w:val="clear" w:color="auto" w:fill="B3DDF2"/>
            <w:noWrap/>
            <w:vAlign w:val="center"/>
            <w:hideMark/>
          </w:tcPr>
          <w:p w14:paraId="2C3264AE" w14:textId="77777777" w:rsidR="00495067" w:rsidRDefault="00495067" w:rsidP="00495067">
            <w:pPr>
              <w:jc w:val="right"/>
              <w:rPr>
                <w:rFonts w:ascii="Calibri" w:hAnsi="Calibri" w:cs="Calibri"/>
                <w:b/>
                <w:bCs/>
                <w:color w:val="000000"/>
                <w:sz w:val="22"/>
                <w:szCs w:val="22"/>
              </w:rPr>
            </w:pPr>
            <w:r>
              <w:rPr>
                <w:rFonts w:ascii="Calibri" w:hAnsi="Calibri" w:cs="Calibri"/>
                <w:b/>
                <w:bCs/>
                <w:color w:val="C00000"/>
                <w:sz w:val="22"/>
                <w:szCs w:val="22"/>
              </w:rPr>
              <w:t>T1 2022</w:t>
            </w:r>
          </w:p>
        </w:tc>
        <w:tc>
          <w:tcPr>
            <w:tcW w:w="1846" w:type="dxa"/>
            <w:tcBorders>
              <w:top w:val="single" w:sz="24" w:space="0" w:color="95B3D7"/>
              <w:left w:val="nil"/>
              <w:bottom w:val="nil"/>
              <w:right w:val="single" w:sz="24" w:space="0" w:color="95B3D7"/>
            </w:tcBorders>
            <w:shd w:val="clear" w:color="auto" w:fill="B3DDF2"/>
            <w:noWrap/>
            <w:vAlign w:val="center"/>
            <w:hideMark/>
          </w:tcPr>
          <w:p w14:paraId="244D26FA" w14:textId="77777777" w:rsidR="00495067" w:rsidRDefault="00495067" w:rsidP="00495067">
            <w:pPr>
              <w:jc w:val="right"/>
              <w:rPr>
                <w:rFonts w:ascii="Calibri" w:hAnsi="Calibri" w:cs="Calibri"/>
                <w:b/>
                <w:bCs/>
                <w:color w:val="000000"/>
                <w:sz w:val="22"/>
                <w:szCs w:val="22"/>
              </w:rPr>
            </w:pPr>
            <w:r>
              <w:rPr>
                <w:rFonts w:ascii="Calibri" w:hAnsi="Calibri" w:cs="Calibri"/>
                <w:b/>
                <w:bCs/>
                <w:color w:val="C00000"/>
                <w:sz w:val="22"/>
                <w:szCs w:val="22"/>
              </w:rPr>
              <w:t>T1 2023</w:t>
            </w:r>
          </w:p>
        </w:tc>
      </w:tr>
      <w:tr w:rsidR="00495067" w14:paraId="53C4BCC3" w14:textId="77777777" w:rsidTr="00495067">
        <w:trPr>
          <w:trHeight w:val="169"/>
          <w:jc w:val="center"/>
        </w:trPr>
        <w:tc>
          <w:tcPr>
            <w:tcW w:w="1770" w:type="dxa"/>
            <w:tcBorders>
              <w:top w:val="nil"/>
              <w:left w:val="single" w:sz="24" w:space="0" w:color="95B3D7"/>
              <w:bottom w:val="nil"/>
              <w:right w:val="nil"/>
            </w:tcBorders>
            <w:shd w:val="clear" w:color="auto" w:fill="FFFFFF"/>
            <w:noWrap/>
            <w:vAlign w:val="center"/>
            <w:hideMark/>
          </w:tcPr>
          <w:p w14:paraId="417E4721" w14:textId="77777777" w:rsidR="00495067" w:rsidRDefault="00495067" w:rsidP="00495067">
            <w:pPr>
              <w:rPr>
                <w:rFonts w:ascii="Calibri" w:hAnsi="Calibri" w:cs="Calibri"/>
                <w:i/>
                <w:color w:val="000000"/>
                <w:sz w:val="18"/>
                <w:szCs w:val="18"/>
              </w:rPr>
            </w:pPr>
            <w:r>
              <w:rPr>
                <w:rFonts w:ascii="Calibri" w:hAnsi="Calibri" w:cs="Calibri"/>
                <w:i/>
                <w:color w:val="000000"/>
                <w:sz w:val="18"/>
                <w:szCs w:val="18"/>
              </w:rPr>
              <w:t>Të ardhurat</w:t>
            </w:r>
          </w:p>
        </w:tc>
        <w:tc>
          <w:tcPr>
            <w:tcW w:w="1631" w:type="dxa"/>
            <w:tcBorders>
              <w:top w:val="nil"/>
              <w:left w:val="nil"/>
              <w:bottom w:val="nil"/>
              <w:right w:val="nil"/>
            </w:tcBorders>
            <w:shd w:val="clear" w:color="auto" w:fill="FFFFFF"/>
            <w:noWrap/>
            <w:vAlign w:val="center"/>
            <w:hideMark/>
          </w:tcPr>
          <w:p w14:paraId="247BA24B" w14:textId="77777777" w:rsidR="00495067" w:rsidRDefault="00495067" w:rsidP="00495067">
            <w:pPr>
              <w:jc w:val="right"/>
              <w:rPr>
                <w:rFonts w:ascii="Calibri" w:hAnsi="Calibri" w:cs="Calibri"/>
                <w:i/>
                <w:color w:val="000000"/>
                <w:sz w:val="18"/>
                <w:szCs w:val="18"/>
              </w:rPr>
            </w:pPr>
            <w:r>
              <w:rPr>
                <w:rFonts w:ascii="Calibri" w:hAnsi="Calibri" w:cs="Calibri"/>
                <w:i/>
                <w:color w:val="000000"/>
                <w:sz w:val="18"/>
                <w:szCs w:val="18"/>
              </w:rPr>
              <w:t xml:space="preserve">           </w:t>
            </w:r>
            <w:r w:rsidRPr="003D3668">
              <w:rPr>
                <w:rFonts w:ascii="Calibri" w:hAnsi="Calibri" w:cs="Calibri"/>
                <w:i/>
                <w:color w:val="000000"/>
                <w:sz w:val="18"/>
                <w:szCs w:val="18"/>
              </w:rPr>
              <w:t xml:space="preserve"> 16,372,799 </w:t>
            </w:r>
            <w:r>
              <w:rPr>
                <w:rFonts w:ascii="Calibri" w:hAnsi="Calibri" w:cs="Calibri"/>
                <w:i/>
                <w:color w:val="000000"/>
                <w:sz w:val="18"/>
                <w:szCs w:val="18"/>
              </w:rPr>
              <w:t xml:space="preserve"> </w:t>
            </w:r>
          </w:p>
        </w:tc>
        <w:tc>
          <w:tcPr>
            <w:tcW w:w="1879" w:type="dxa"/>
            <w:tcBorders>
              <w:top w:val="nil"/>
              <w:left w:val="nil"/>
              <w:bottom w:val="nil"/>
              <w:right w:val="nil"/>
            </w:tcBorders>
            <w:noWrap/>
            <w:vAlign w:val="center"/>
            <w:hideMark/>
          </w:tcPr>
          <w:p w14:paraId="360DE0E7" w14:textId="77777777" w:rsidR="00495067" w:rsidRDefault="00495067" w:rsidP="00495067">
            <w:pPr>
              <w:jc w:val="right"/>
              <w:rPr>
                <w:rFonts w:ascii="Calibri" w:hAnsi="Calibri" w:cs="Calibri"/>
                <w:i/>
                <w:color w:val="000000"/>
                <w:sz w:val="18"/>
                <w:szCs w:val="18"/>
              </w:rPr>
            </w:pPr>
            <w:r>
              <w:rPr>
                <w:rFonts w:ascii="Calibri" w:hAnsi="Calibri" w:cs="Calibri"/>
                <w:i/>
                <w:color w:val="000000"/>
                <w:sz w:val="18"/>
                <w:szCs w:val="18"/>
              </w:rPr>
              <w:t xml:space="preserve">           </w:t>
            </w:r>
            <w:r w:rsidRPr="003D3668">
              <w:rPr>
                <w:rFonts w:ascii="Calibri" w:hAnsi="Calibri" w:cs="Calibri"/>
                <w:i/>
                <w:color w:val="000000"/>
                <w:sz w:val="18"/>
                <w:szCs w:val="18"/>
              </w:rPr>
              <w:t xml:space="preserve"> 20,188,305 </w:t>
            </w:r>
            <w:r>
              <w:rPr>
                <w:rFonts w:ascii="Calibri" w:hAnsi="Calibri" w:cs="Calibri"/>
                <w:i/>
                <w:color w:val="000000"/>
                <w:sz w:val="18"/>
                <w:szCs w:val="18"/>
              </w:rPr>
              <w:t xml:space="preserve"> </w:t>
            </w:r>
          </w:p>
        </w:tc>
        <w:tc>
          <w:tcPr>
            <w:tcW w:w="1846" w:type="dxa"/>
            <w:tcBorders>
              <w:top w:val="nil"/>
              <w:left w:val="nil"/>
              <w:bottom w:val="nil"/>
              <w:right w:val="single" w:sz="24" w:space="0" w:color="95B3D7"/>
            </w:tcBorders>
            <w:shd w:val="clear" w:color="auto" w:fill="FFFFFF"/>
            <w:noWrap/>
            <w:vAlign w:val="center"/>
            <w:hideMark/>
          </w:tcPr>
          <w:p w14:paraId="4D79C699" w14:textId="77777777" w:rsidR="00495067" w:rsidRDefault="00495067" w:rsidP="00495067">
            <w:pPr>
              <w:jc w:val="right"/>
              <w:rPr>
                <w:rFonts w:ascii="Calibri" w:hAnsi="Calibri" w:cs="Calibri"/>
                <w:i/>
                <w:color w:val="000000"/>
                <w:sz w:val="18"/>
                <w:szCs w:val="18"/>
              </w:rPr>
            </w:pPr>
            <w:r>
              <w:rPr>
                <w:rFonts w:ascii="Calibri" w:hAnsi="Calibri" w:cs="Calibri"/>
                <w:i/>
                <w:color w:val="000000"/>
                <w:sz w:val="18"/>
                <w:szCs w:val="18"/>
              </w:rPr>
              <w:t xml:space="preserve">            </w:t>
            </w:r>
            <w:r w:rsidRPr="003D3668">
              <w:rPr>
                <w:rFonts w:ascii="Calibri" w:hAnsi="Calibri" w:cs="Calibri"/>
                <w:i/>
                <w:color w:val="000000"/>
                <w:sz w:val="18"/>
                <w:szCs w:val="18"/>
              </w:rPr>
              <w:t xml:space="preserve"> 19,068,547 </w:t>
            </w:r>
            <w:r>
              <w:rPr>
                <w:rFonts w:ascii="Calibri" w:hAnsi="Calibri" w:cs="Calibri"/>
                <w:i/>
                <w:color w:val="000000"/>
                <w:sz w:val="18"/>
                <w:szCs w:val="18"/>
              </w:rPr>
              <w:t xml:space="preserve"> </w:t>
            </w:r>
          </w:p>
        </w:tc>
      </w:tr>
      <w:tr w:rsidR="00495067" w14:paraId="5240D6D2" w14:textId="77777777" w:rsidTr="00495067">
        <w:trPr>
          <w:trHeight w:val="161"/>
          <w:jc w:val="center"/>
        </w:trPr>
        <w:tc>
          <w:tcPr>
            <w:tcW w:w="1770" w:type="dxa"/>
            <w:tcBorders>
              <w:top w:val="nil"/>
              <w:left w:val="single" w:sz="24" w:space="0" w:color="95B3D7"/>
              <w:bottom w:val="nil"/>
              <w:right w:val="nil"/>
            </w:tcBorders>
            <w:shd w:val="clear" w:color="auto" w:fill="FFFFFF"/>
            <w:noWrap/>
            <w:vAlign w:val="center"/>
            <w:hideMark/>
          </w:tcPr>
          <w:p w14:paraId="3D8A753C" w14:textId="77777777" w:rsidR="00495067" w:rsidRDefault="00495067" w:rsidP="00495067">
            <w:pPr>
              <w:rPr>
                <w:rFonts w:ascii="Calibri" w:hAnsi="Calibri" w:cs="Calibri"/>
                <w:i/>
                <w:color w:val="000000"/>
                <w:sz w:val="18"/>
                <w:szCs w:val="18"/>
              </w:rPr>
            </w:pPr>
            <w:r>
              <w:rPr>
                <w:rFonts w:ascii="Calibri" w:hAnsi="Calibri" w:cs="Calibri"/>
                <w:i/>
                <w:color w:val="000000"/>
                <w:sz w:val="18"/>
                <w:szCs w:val="18"/>
              </w:rPr>
              <w:t>Shpenzimet</w:t>
            </w:r>
          </w:p>
        </w:tc>
        <w:tc>
          <w:tcPr>
            <w:tcW w:w="1631" w:type="dxa"/>
            <w:tcBorders>
              <w:top w:val="nil"/>
              <w:left w:val="nil"/>
              <w:bottom w:val="nil"/>
              <w:right w:val="nil"/>
            </w:tcBorders>
            <w:shd w:val="clear" w:color="auto" w:fill="FFFFFF"/>
            <w:noWrap/>
            <w:vAlign w:val="center"/>
            <w:hideMark/>
          </w:tcPr>
          <w:p w14:paraId="03C043F6" w14:textId="77777777" w:rsidR="00495067" w:rsidRDefault="00495067" w:rsidP="00495067">
            <w:pPr>
              <w:jc w:val="right"/>
              <w:rPr>
                <w:rFonts w:ascii="Calibri" w:hAnsi="Calibri" w:cs="Calibri"/>
                <w:i/>
                <w:color w:val="000000"/>
                <w:sz w:val="18"/>
                <w:szCs w:val="18"/>
              </w:rPr>
            </w:pPr>
            <w:r>
              <w:rPr>
                <w:rFonts w:ascii="Calibri" w:hAnsi="Calibri" w:cs="Calibri"/>
                <w:i/>
                <w:color w:val="000000"/>
                <w:sz w:val="18"/>
                <w:szCs w:val="18"/>
              </w:rPr>
              <w:t xml:space="preserve">            </w:t>
            </w:r>
            <w:r w:rsidRPr="003D3668">
              <w:rPr>
                <w:rFonts w:ascii="Calibri" w:hAnsi="Calibri" w:cs="Calibri"/>
                <w:i/>
                <w:color w:val="000000"/>
                <w:sz w:val="18"/>
                <w:szCs w:val="18"/>
              </w:rPr>
              <w:t xml:space="preserve"> 16,095,026 </w:t>
            </w:r>
            <w:r>
              <w:rPr>
                <w:rFonts w:ascii="Calibri" w:hAnsi="Calibri" w:cs="Calibri"/>
                <w:i/>
                <w:color w:val="000000"/>
                <w:sz w:val="18"/>
                <w:szCs w:val="18"/>
              </w:rPr>
              <w:t xml:space="preserve"> </w:t>
            </w:r>
          </w:p>
        </w:tc>
        <w:tc>
          <w:tcPr>
            <w:tcW w:w="1879" w:type="dxa"/>
            <w:tcBorders>
              <w:top w:val="nil"/>
              <w:left w:val="nil"/>
              <w:bottom w:val="nil"/>
              <w:right w:val="nil"/>
            </w:tcBorders>
            <w:noWrap/>
            <w:vAlign w:val="center"/>
            <w:hideMark/>
          </w:tcPr>
          <w:p w14:paraId="01FBDA96" w14:textId="77777777" w:rsidR="00495067" w:rsidRDefault="00495067" w:rsidP="00495067">
            <w:pPr>
              <w:jc w:val="right"/>
              <w:rPr>
                <w:rFonts w:ascii="Calibri" w:hAnsi="Calibri" w:cs="Calibri"/>
                <w:i/>
                <w:color w:val="000000"/>
                <w:sz w:val="18"/>
                <w:szCs w:val="18"/>
              </w:rPr>
            </w:pPr>
            <w:r w:rsidRPr="003D3668">
              <w:rPr>
                <w:rFonts w:ascii="Calibri" w:hAnsi="Calibri" w:cs="Calibri"/>
                <w:i/>
                <w:color w:val="000000"/>
                <w:sz w:val="18"/>
                <w:szCs w:val="18"/>
              </w:rPr>
              <w:t>20,543,688</w:t>
            </w:r>
          </w:p>
        </w:tc>
        <w:tc>
          <w:tcPr>
            <w:tcW w:w="1846" w:type="dxa"/>
            <w:tcBorders>
              <w:top w:val="nil"/>
              <w:left w:val="nil"/>
              <w:bottom w:val="nil"/>
              <w:right w:val="single" w:sz="24" w:space="0" w:color="95B3D7"/>
            </w:tcBorders>
            <w:shd w:val="clear" w:color="auto" w:fill="FFFFFF"/>
            <w:noWrap/>
            <w:vAlign w:val="center"/>
            <w:hideMark/>
          </w:tcPr>
          <w:p w14:paraId="35FD5208" w14:textId="77777777" w:rsidR="00495067" w:rsidRDefault="00495067" w:rsidP="00495067">
            <w:pPr>
              <w:jc w:val="right"/>
              <w:rPr>
                <w:rFonts w:ascii="Calibri" w:hAnsi="Calibri" w:cs="Calibri"/>
                <w:i/>
                <w:color w:val="000000"/>
                <w:sz w:val="18"/>
                <w:szCs w:val="18"/>
              </w:rPr>
            </w:pPr>
            <w:r>
              <w:rPr>
                <w:rFonts w:ascii="Calibri" w:hAnsi="Calibri" w:cs="Calibri"/>
                <w:i/>
                <w:color w:val="000000"/>
                <w:sz w:val="18"/>
                <w:szCs w:val="18"/>
              </w:rPr>
              <w:t xml:space="preserve">           </w:t>
            </w:r>
            <w:r w:rsidRPr="003D3668">
              <w:rPr>
                <w:rFonts w:ascii="Calibri" w:hAnsi="Calibri" w:cs="Calibri"/>
                <w:i/>
                <w:color w:val="000000"/>
                <w:sz w:val="18"/>
                <w:szCs w:val="18"/>
              </w:rPr>
              <w:t xml:space="preserve"> 18,211,777</w:t>
            </w:r>
          </w:p>
        </w:tc>
      </w:tr>
      <w:tr w:rsidR="00495067" w14:paraId="51319104" w14:textId="77777777" w:rsidTr="00495067">
        <w:trPr>
          <w:trHeight w:val="161"/>
          <w:jc w:val="center"/>
        </w:trPr>
        <w:tc>
          <w:tcPr>
            <w:tcW w:w="1770" w:type="dxa"/>
            <w:tcBorders>
              <w:top w:val="nil"/>
              <w:left w:val="single" w:sz="24" w:space="0" w:color="95B3D7"/>
              <w:bottom w:val="single" w:sz="24" w:space="0" w:color="95B3D7"/>
              <w:right w:val="nil"/>
            </w:tcBorders>
            <w:shd w:val="clear" w:color="auto" w:fill="FFFFFF"/>
            <w:noWrap/>
            <w:vAlign w:val="center"/>
            <w:hideMark/>
          </w:tcPr>
          <w:p w14:paraId="1C7E25EF" w14:textId="77777777" w:rsidR="00495067" w:rsidRDefault="00495067" w:rsidP="00495067">
            <w:pPr>
              <w:rPr>
                <w:rFonts w:ascii="Calibri" w:hAnsi="Calibri" w:cs="Calibri"/>
                <w:b/>
                <w:bCs/>
                <w:color w:val="000000"/>
                <w:sz w:val="20"/>
                <w:szCs w:val="20"/>
              </w:rPr>
            </w:pPr>
            <w:r>
              <w:rPr>
                <w:rFonts w:ascii="Calibri" w:hAnsi="Calibri" w:cs="Calibri"/>
                <w:b/>
                <w:bCs/>
                <w:color w:val="000000"/>
                <w:sz w:val="20"/>
                <w:szCs w:val="20"/>
              </w:rPr>
              <w:t>Humbje/Fitim</w:t>
            </w:r>
          </w:p>
        </w:tc>
        <w:tc>
          <w:tcPr>
            <w:tcW w:w="1631" w:type="dxa"/>
            <w:tcBorders>
              <w:top w:val="nil"/>
              <w:left w:val="nil"/>
              <w:bottom w:val="single" w:sz="24" w:space="0" w:color="95B3D7"/>
              <w:right w:val="nil"/>
            </w:tcBorders>
            <w:shd w:val="clear" w:color="auto" w:fill="FFFFFF"/>
            <w:noWrap/>
            <w:vAlign w:val="center"/>
            <w:hideMark/>
          </w:tcPr>
          <w:p w14:paraId="2E820E07" w14:textId="77777777" w:rsidR="00495067" w:rsidRDefault="00495067" w:rsidP="00495067">
            <w:pPr>
              <w:jc w:val="right"/>
              <w:rPr>
                <w:rFonts w:ascii="Calibri" w:hAnsi="Calibri" w:cs="Calibri"/>
                <w:b/>
                <w:i/>
                <w:color w:val="C00000"/>
                <w:sz w:val="20"/>
                <w:szCs w:val="20"/>
              </w:rPr>
            </w:pPr>
            <w:r w:rsidRPr="003D3668">
              <w:rPr>
                <w:rFonts w:ascii="Calibri" w:hAnsi="Calibri" w:cs="Calibri"/>
                <w:b/>
                <w:i/>
                <w:color w:val="C00000"/>
                <w:sz w:val="20"/>
                <w:szCs w:val="20"/>
              </w:rPr>
              <w:t>277,773</w:t>
            </w:r>
          </w:p>
        </w:tc>
        <w:tc>
          <w:tcPr>
            <w:tcW w:w="1879" w:type="dxa"/>
            <w:tcBorders>
              <w:top w:val="nil"/>
              <w:left w:val="nil"/>
              <w:bottom w:val="single" w:sz="24" w:space="0" w:color="95B3D7"/>
              <w:right w:val="nil"/>
            </w:tcBorders>
            <w:noWrap/>
            <w:vAlign w:val="center"/>
            <w:hideMark/>
          </w:tcPr>
          <w:p w14:paraId="4E60F1F7" w14:textId="77777777" w:rsidR="00495067" w:rsidRDefault="00495067"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3D3668">
              <w:rPr>
                <w:rFonts w:ascii="Calibri" w:hAnsi="Calibri" w:cs="Calibri"/>
                <w:b/>
                <w:i/>
                <w:color w:val="C00000"/>
                <w:sz w:val="20"/>
                <w:szCs w:val="20"/>
              </w:rPr>
              <w:t xml:space="preserve"> (355,383)</w:t>
            </w:r>
            <w:r>
              <w:rPr>
                <w:rFonts w:ascii="Calibri" w:hAnsi="Calibri" w:cs="Calibri"/>
                <w:b/>
                <w:i/>
                <w:color w:val="C00000"/>
                <w:sz w:val="20"/>
                <w:szCs w:val="20"/>
              </w:rPr>
              <w:t xml:space="preserve"> </w:t>
            </w:r>
          </w:p>
        </w:tc>
        <w:tc>
          <w:tcPr>
            <w:tcW w:w="1846" w:type="dxa"/>
            <w:tcBorders>
              <w:top w:val="nil"/>
              <w:left w:val="nil"/>
              <w:bottom w:val="single" w:sz="24" w:space="0" w:color="95B3D7"/>
              <w:right w:val="single" w:sz="24" w:space="0" w:color="95B3D7"/>
            </w:tcBorders>
            <w:shd w:val="clear" w:color="auto" w:fill="FFFFFF"/>
            <w:noWrap/>
            <w:vAlign w:val="center"/>
            <w:hideMark/>
          </w:tcPr>
          <w:p w14:paraId="782F7F3F" w14:textId="77777777" w:rsidR="00495067" w:rsidRDefault="00495067" w:rsidP="00495067">
            <w:pPr>
              <w:jc w:val="right"/>
              <w:rPr>
                <w:rFonts w:ascii="Calibri" w:hAnsi="Calibri" w:cs="Calibri"/>
                <w:b/>
                <w:i/>
                <w:color w:val="C00000"/>
                <w:sz w:val="20"/>
                <w:szCs w:val="20"/>
              </w:rPr>
            </w:pPr>
            <w:r>
              <w:rPr>
                <w:rFonts w:ascii="Calibri" w:hAnsi="Calibri" w:cs="Calibri"/>
                <w:b/>
                <w:i/>
                <w:color w:val="C00000"/>
                <w:sz w:val="20"/>
                <w:szCs w:val="20"/>
              </w:rPr>
              <w:t xml:space="preserve">                </w:t>
            </w:r>
            <w:r w:rsidRPr="003D3668">
              <w:rPr>
                <w:rFonts w:ascii="Calibri" w:hAnsi="Calibri" w:cs="Calibri"/>
                <w:b/>
                <w:i/>
                <w:color w:val="C00000"/>
                <w:sz w:val="20"/>
                <w:szCs w:val="20"/>
              </w:rPr>
              <w:t xml:space="preserve"> 856,771</w:t>
            </w:r>
          </w:p>
        </w:tc>
      </w:tr>
    </w:tbl>
    <w:bookmarkEnd w:id="127"/>
    <w:p w14:paraId="7B2C836F" w14:textId="01287185" w:rsidR="00F07CB3" w:rsidRDefault="00F07CB3" w:rsidP="00F07CB3">
      <w:pPr>
        <w:ind w:left="720" w:firstLine="720"/>
        <w:jc w:val="both"/>
        <w:rPr>
          <w:rFonts w:ascii="Calibri" w:hAnsi="Calibri"/>
          <w:i/>
          <w:sz w:val="20"/>
          <w:szCs w:val="20"/>
          <w:lang w:val="sq-AL"/>
        </w:rPr>
      </w:pPr>
      <w:r>
        <w:rPr>
          <w:rFonts w:ascii="Calibri" w:hAnsi="Calibri"/>
          <w:i/>
          <w:sz w:val="20"/>
          <w:szCs w:val="20"/>
          <w:lang w:val="sq-AL"/>
        </w:rPr>
        <w:t xml:space="preserve">Burimi: OSHEE Group </w:t>
      </w:r>
      <w:r w:rsidR="00B703A6">
        <w:rPr>
          <w:rFonts w:ascii="Calibri" w:hAnsi="Calibri"/>
          <w:i/>
          <w:sz w:val="20"/>
          <w:szCs w:val="20"/>
          <w:lang w:val="sq-AL"/>
        </w:rPr>
        <w:t>sh.a</w:t>
      </w:r>
      <w:r>
        <w:rPr>
          <w:rFonts w:ascii="Calibri" w:hAnsi="Calibri"/>
          <w:i/>
          <w:sz w:val="20"/>
          <w:szCs w:val="20"/>
          <w:lang w:val="sq-AL"/>
        </w:rPr>
        <w:t xml:space="preserve">.  </w:t>
      </w:r>
    </w:p>
    <w:p w14:paraId="0797B4A4" w14:textId="77777777" w:rsidR="00495067" w:rsidRDefault="00495067" w:rsidP="00F07CB3">
      <w:pPr>
        <w:ind w:left="720" w:firstLine="720"/>
        <w:jc w:val="both"/>
        <w:rPr>
          <w:rFonts w:ascii="Calibri" w:hAnsi="Calibri"/>
          <w:i/>
          <w:sz w:val="20"/>
          <w:szCs w:val="20"/>
          <w:lang w:val="sq-AL"/>
        </w:rPr>
      </w:pPr>
    </w:p>
    <w:p w14:paraId="75BB3A6C" w14:textId="1DC7BA23" w:rsidR="00F07CB3" w:rsidRPr="008879EF" w:rsidRDefault="00343167" w:rsidP="00F07CB3">
      <w:pPr>
        <w:keepNext/>
        <w:rPr>
          <w:rFonts w:asciiTheme="minorHAnsi" w:hAnsiTheme="minorHAnsi" w:cstheme="minorHAnsi"/>
          <w:i/>
          <w:iCs/>
          <w:sz w:val="20"/>
          <w:szCs w:val="22"/>
          <w:lang w:val="sq-AL"/>
        </w:rPr>
      </w:pPr>
      <w:bookmarkStart w:id="128" w:name="_Toc107498136"/>
      <w:r w:rsidRPr="008879EF">
        <w:rPr>
          <w:rFonts w:asciiTheme="minorHAnsi" w:hAnsiTheme="minorHAnsi"/>
          <w:bCs/>
          <w:i/>
          <w:noProof/>
          <w:sz w:val="20"/>
        </w:rPr>
        <w:t xml:space="preserve">Grafiku </w:t>
      </w:r>
      <w:r w:rsidRPr="008879EF">
        <w:rPr>
          <w:rFonts w:asciiTheme="minorHAnsi" w:hAnsiTheme="minorHAnsi"/>
          <w:bCs/>
          <w:i/>
          <w:noProof/>
          <w:sz w:val="20"/>
        </w:rPr>
        <w:fldChar w:fldCharType="begin"/>
      </w:r>
      <w:r w:rsidRPr="008879EF">
        <w:rPr>
          <w:rFonts w:asciiTheme="minorHAnsi" w:hAnsiTheme="minorHAnsi"/>
          <w:bCs/>
          <w:i/>
          <w:noProof/>
          <w:sz w:val="20"/>
        </w:rPr>
        <w:instrText xml:space="preserve"> SEQ Grafiku \* ARABIC </w:instrText>
      </w:r>
      <w:r w:rsidRPr="008879EF">
        <w:rPr>
          <w:rFonts w:asciiTheme="minorHAnsi" w:hAnsiTheme="minorHAnsi"/>
          <w:bCs/>
          <w:i/>
          <w:noProof/>
          <w:sz w:val="20"/>
        </w:rPr>
        <w:fldChar w:fldCharType="separate"/>
      </w:r>
      <w:r w:rsidR="00C153A9">
        <w:rPr>
          <w:rFonts w:asciiTheme="minorHAnsi" w:hAnsiTheme="minorHAnsi"/>
          <w:bCs/>
          <w:i/>
          <w:noProof/>
          <w:sz w:val="20"/>
        </w:rPr>
        <w:t>44</w:t>
      </w:r>
      <w:r w:rsidRPr="008879EF">
        <w:rPr>
          <w:rFonts w:asciiTheme="minorHAnsi" w:hAnsiTheme="minorHAnsi"/>
          <w:bCs/>
          <w:i/>
          <w:noProof/>
          <w:sz w:val="20"/>
        </w:rPr>
        <w:fldChar w:fldCharType="end"/>
      </w:r>
      <w:r w:rsidRPr="008879EF">
        <w:rPr>
          <w:rFonts w:asciiTheme="minorHAnsi" w:hAnsiTheme="minorHAnsi"/>
          <w:i/>
          <w:noProof/>
          <w:sz w:val="20"/>
        </w:rPr>
        <w:t xml:space="preserve">: </w:t>
      </w:r>
      <w:r w:rsidR="00F07CB3" w:rsidRPr="008879EF">
        <w:rPr>
          <w:rFonts w:asciiTheme="minorHAnsi" w:hAnsiTheme="minorHAnsi" w:cstheme="minorHAnsi"/>
          <w:i/>
          <w:iCs/>
          <w:sz w:val="20"/>
          <w:szCs w:val="22"/>
          <w:lang w:val="sq-AL"/>
        </w:rPr>
        <w:t xml:space="preserve">Ecuria e nivelit të arkëtimeve të OSHEE Group </w:t>
      </w:r>
      <w:r w:rsidR="00B703A6" w:rsidRPr="008879EF">
        <w:rPr>
          <w:rFonts w:asciiTheme="minorHAnsi" w:hAnsiTheme="minorHAnsi" w:cstheme="minorHAnsi"/>
          <w:i/>
          <w:iCs/>
          <w:sz w:val="20"/>
          <w:szCs w:val="22"/>
          <w:lang w:val="sq-AL"/>
        </w:rPr>
        <w:t>sh.a</w:t>
      </w:r>
      <w:r w:rsidR="00F07CB3" w:rsidRPr="008879EF">
        <w:rPr>
          <w:rFonts w:asciiTheme="minorHAnsi" w:hAnsiTheme="minorHAnsi" w:cstheme="minorHAnsi"/>
          <w:i/>
          <w:iCs/>
          <w:sz w:val="20"/>
          <w:szCs w:val="22"/>
          <w:lang w:val="sq-AL"/>
        </w:rPr>
        <w:t xml:space="preserve"> (në miliardë LEK)</w:t>
      </w:r>
      <w:bookmarkEnd w:id="128"/>
    </w:p>
    <w:p w14:paraId="66F057A2" w14:textId="2D5ED278" w:rsidR="00495067" w:rsidRDefault="00495067" w:rsidP="00495067">
      <w:pPr>
        <w:jc w:val="center"/>
        <w:rPr>
          <w:rFonts w:asciiTheme="minorHAnsi" w:eastAsia="SimSun" w:hAnsiTheme="minorHAnsi" w:cstheme="minorHAnsi"/>
          <w:i/>
          <w:sz w:val="20"/>
          <w:szCs w:val="20"/>
          <w:lang w:val="sq-AL"/>
        </w:rPr>
      </w:pPr>
      <w:r>
        <w:rPr>
          <w:noProof/>
          <w:shd w:val="clear" w:color="auto" w:fill="0066FF"/>
        </w:rPr>
        <w:drawing>
          <wp:inline distT="0" distB="0" distL="0" distR="0" wp14:anchorId="29BD1FA9" wp14:editId="4A2C5B7C">
            <wp:extent cx="6115050" cy="1088304"/>
            <wp:effectExtent l="0" t="0" r="0" b="1714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ABD403D" w14:textId="7C3A62E1" w:rsidR="00F07CB3" w:rsidRDefault="00193978" w:rsidP="00F07CB3">
      <w:pPr>
        <w:rPr>
          <w:rFonts w:asciiTheme="minorHAnsi" w:eastAsia="SimSun" w:hAnsiTheme="minorHAnsi" w:cstheme="minorHAnsi"/>
          <w:i/>
          <w:sz w:val="20"/>
          <w:szCs w:val="20"/>
          <w:lang w:val="sq-AL"/>
        </w:rPr>
      </w:pPr>
      <w:r>
        <w:rPr>
          <w:rFonts w:asciiTheme="minorHAnsi" w:eastAsia="SimSun" w:hAnsiTheme="minorHAnsi" w:cstheme="minorHAnsi"/>
          <w:i/>
          <w:sz w:val="20"/>
          <w:szCs w:val="20"/>
          <w:lang w:val="sq-AL"/>
        </w:rPr>
        <w:t>Burimi: Ministria e Financave dhe Ekonomisë (2023)</w:t>
      </w:r>
      <w:bookmarkStart w:id="129" w:name="_Toc104984066"/>
    </w:p>
    <w:p w14:paraId="39563981" w14:textId="3CF1A0AB" w:rsidR="00F07CB3" w:rsidRPr="008879EF" w:rsidRDefault="00343167" w:rsidP="00F07CB3">
      <w:pPr>
        <w:spacing w:before="120"/>
        <w:rPr>
          <w:rFonts w:asciiTheme="minorHAnsi" w:eastAsia="SimSun" w:hAnsiTheme="minorHAnsi" w:cstheme="minorHAnsi"/>
          <w:i/>
          <w:sz w:val="18"/>
          <w:szCs w:val="20"/>
          <w:lang w:val="sq-AL"/>
        </w:rPr>
      </w:pPr>
      <w:bookmarkStart w:id="130" w:name="_Toc107498137"/>
      <w:r w:rsidRPr="008879EF">
        <w:rPr>
          <w:rFonts w:asciiTheme="minorHAnsi" w:hAnsiTheme="minorHAnsi"/>
          <w:bCs/>
          <w:i/>
          <w:noProof/>
          <w:sz w:val="20"/>
        </w:rPr>
        <w:lastRenderedPageBreak/>
        <w:t xml:space="preserve">Grafiku </w:t>
      </w:r>
      <w:r w:rsidRPr="008879EF">
        <w:rPr>
          <w:rFonts w:asciiTheme="minorHAnsi" w:hAnsiTheme="minorHAnsi"/>
          <w:bCs/>
          <w:i/>
          <w:noProof/>
          <w:sz w:val="20"/>
        </w:rPr>
        <w:fldChar w:fldCharType="begin"/>
      </w:r>
      <w:r w:rsidRPr="008879EF">
        <w:rPr>
          <w:rFonts w:asciiTheme="minorHAnsi" w:hAnsiTheme="minorHAnsi"/>
          <w:bCs/>
          <w:i/>
          <w:noProof/>
          <w:sz w:val="20"/>
        </w:rPr>
        <w:instrText xml:space="preserve"> SEQ Grafiku \* ARABIC </w:instrText>
      </w:r>
      <w:r w:rsidRPr="008879EF">
        <w:rPr>
          <w:rFonts w:asciiTheme="minorHAnsi" w:hAnsiTheme="minorHAnsi"/>
          <w:bCs/>
          <w:i/>
          <w:noProof/>
          <w:sz w:val="20"/>
        </w:rPr>
        <w:fldChar w:fldCharType="separate"/>
      </w:r>
      <w:r w:rsidR="00C153A9">
        <w:rPr>
          <w:rFonts w:asciiTheme="minorHAnsi" w:hAnsiTheme="minorHAnsi"/>
          <w:bCs/>
          <w:i/>
          <w:noProof/>
          <w:sz w:val="20"/>
        </w:rPr>
        <w:t>45</w:t>
      </w:r>
      <w:r w:rsidRPr="008879EF">
        <w:rPr>
          <w:rFonts w:asciiTheme="minorHAnsi" w:hAnsiTheme="minorHAnsi"/>
          <w:bCs/>
          <w:i/>
          <w:noProof/>
          <w:sz w:val="20"/>
        </w:rPr>
        <w:fldChar w:fldCharType="end"/>
      </w:r>
      <w:r w:rsidRPr="008879EF">
        <w:rPr>
          <w:rFonts w:asciiTheme="minorHAnsi" w:hAnsiTheme="minorHAnsi"/>
          <w:i/>
          <w:noProof/>
          <w:sz w:val="20"/>
        </w:rPr>
        <w:t>:</w:t>
      </w:r>
      <w:r w:rsidR="00F07CB3" w:rsidRPr="008879EF">
        <w:rPr>
          <w:rFonts w:asciiTheme="minorHAnsi" w:hAnsiTheme="minorHAnsi" w:cstheme="minorHAnsi"/>
          <w:i/>
          <w:iCs/>
          <w:sz w:val="20"/>
          <w:szCs w:val="22"/>
          <w:lang w:val="sq-AL"/>
        </w:rPr>
        <w:t xml:space="preserve">Ecuria e nivelit të humbjeve në rrjet për OSHEE Group </w:t>
      </w:r>
      <w:r w:rsidR="00B703A6" w:rsidRPr="008879EF">
        <w:rPr>
          <w:rFonts w:asciiTheme="minorHAnsi" w:hAnsiTheme="minorHAnsi" w:cstheme="minorHAnsi"/>
          <w:i/>
          <w:iCs/>
          <w:sz w:val="20"/>
          <w:szCs w:val="22"/>
          <w:lang w:val="sq-AL"/>
        </w:rPr>
        <w:t>sh.a</w:t>
      </w:r>
      <w:r w:rsidR="00F07CB3" w:rsidRPr="008879EF">
        <w:rPr>
          <w:rFonts w:asciiTheme="minorHAnsi" w:hAnsiTheme="minorHAnsi" w:cstheme="minorHAnsi"/>
          <w:i/>
          <w:iCs/>
          <w:sz w:val="20"/>
          <w:szCs w:val="22"/>
          <w:lang w:val="sq-AL"/>
        </w:rPr>
        <w:t xml:space="preserve"> (në %)</w:t>
      </w:r>
      <w:bookmarkEnd w:id="129"/>
      <w:bookmarkEnd w:id="130"/>
    </w:p>
    <w:p w14:paraId="1BDD5A2F" w14:textId="15D97114" w:rsidR="00495067" w:rsidRDefault="00495067" w:rsidP="00495067">
      <w:pPr>
        <w:jc w:val="center"/>
        <w:rPr>
          <w:rFonts w:asciiTheme="minorHAnsi" w:eastAsia="SimSun" w:hAnsiTheme="minorHAnsi" w:cstheme="minorHAnsi"/>
          <w:i/>
          <w:sz w:val="20"/>
          <w:szCs w:val="20"/>
          <w:lang w:val="sq-AL"/>
        </w:rPr>
      </w:pPr>
      <w:r>
        <w:rPr>
          <w:noProof/>
        </w:rPr>
        <w:drawing>
          <wp:inline distT="0" distB="0" distL="0" distR="0" wp14:anchorId="51D3C1FD" wp14:editId="2C53D719">
            <wp:extent cx="6115050" cy="1164409"/>
            <wp:effectExtent l="0" t="0" r="0" b="17145"/>
            <wp:docPr id="299" name="Chart 299"/>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BE8DF6F" w14:textId="36CE1A8D" w:rsidR="00F07CB3" w:rsidRDefault="00193978" w:rsidP="00F07CB3">
      <w:pPr>
        <w:rPr>
          <w:rFonts w:asciiTheme="minorHAnsi" w:eastAsia="SimSun" w:hAnsiTheme="minorHAnsi" w:cstheme="minorHAnsi"/>
          <w:i/>
          <w:sz w:val="20"/>
          <w:szCs w:val="20"/>
          <w:lang w:val="sq-AL"/>
        </w:rPr>
      </w:pPr>
      <w:r>
        <w:rPr>
          <w:rFonts w:asciiTheme="minorHAnsi" w:eastAsia="SimSun" w:hAnsiTheme="minorHAnsi" w:cstheme="minorHAnsi"/>
          <w:i/>
          <w:sz w:val="20"/>
          <w:szCs w:val="20"/>
          <w:lang w:val="sq-AL"/>
        </w:rPr>
        <w:t>Burimi: Ministria e Financave dhe Ekonomisë (2023)</w:t>
      </w:r>
    </w:p>
    <w:p w14:paraId="6FD0696E" w14:textId="77777777" w:rsidR="005F1541" w:rsidRPr="005F1541" w:rsidRDefault="005F1541" w:rsidP="00F07CB3">
      <w:pPr>
        <w:rPr>
          <w:noProof/>
          <w:sz w:val="12"/>
          <w:lang w:val="it-IT"/>
        </w:rPr>
      </w:pPr>
    </w:p>
    <w:p w14:paraId="2969A570" w14:textId="77777777" w:rsidR="00F07CB3" w:rsidRDefault="00F07CB3" w:rsidP="00056DE5">
      <w:pPr>
        <w:keepNext/>
        <w:numPr>
          <w:ilvl w:val="0"/>
          <w:numId w:val="27"/>
        </w:numPr>
        <w:spacing w:before="120" w:line="276" w:lineRule="auto"/>
        <w:jc w:val="both"/>
        <w:rPr>
          <w:rFonts w:ascii="Calibri" w:hAnsi="Calibri"/>
          <w:i/>
          <w:sz w:val="22"/>
          <w:lang w:val="sq-AL"/>
        </w:rPr>
      </w:pPr>
      <w:r>
        <w:rPr>
          <w:rFonts w:ascii="Calibri" w:hAnsi="Calibri"/>
          <w:i/>
          <w:sz w:val="22"/>
          <w:lang w:val="sq-AL"/>
        </w:rPr>
        <w:t xml:space="preserve">Performanca financiare e KESH </w:t>
      </w:r>
      <w:r w:rsidR="00B703A6">
        <w:rPr>
          <w:rFonts w:ascii="Calibri" w:hAnsi="Calibri"/>
          <w:i/>
          <w:sz w:val="22"/>
          <w:lang w:val="sq-AL"/>
        </w:rPr>
        <w:t>sh.a</w:t>
      </w:r>
      <w:r>
        <w:rPr>
          <w:rFonts w:ascii="Calibri" w:hAnsi="Calibri"/>
          <w:i/>
          <w:sz w:val="22"/>
          <w:lang w:val="sq-AL"/>
        </w:rPr>
        <w:t>.</w:t>
      </w:r>
    </w:p>
    <w:p w14:paraId="69090A20" w14:textId="31A5295A" w:rsidR="00495067" w:rsidRDefault="00343167" w:rsidP="00495067">
      <w:pPr>
        <w:spacing w:line="276" w:lineRule="auto"/>
        <w:jc w:val="both"/>
        <w:rPr>
          <w:rFonts w:ascii="Calibri" w:hAnsi="Calibri"/>
          <w:sz w:val="22"/>
        </w:rPr>
      </w:pPr>
      <w:bookmarkStart w:id="131" w:name="_Toc104984087"/>
      <w:bookmarkStart w:id="132" w:name="_Toc107496759"/>
      <w:r w:rsidRPr="00343167">
        <w:rPr>
          <w:rFonts w:asciiTheme="minorHAnsi" w:hAnsiTheme="minorHAnsi"/>
          <w:bCs/>
          <w:i/>
          <w:noProof/>
          <w:sz w:val="22"/>
        </w:rPr>
        <w:t xml:space="preserve">Tabela </w:t>
      </w:r>
      <w:r w:rsidRPr="00343167">
        <w:rPr>
          <w:rFonts w:asciiTheme="minorHAnsi" w:hAnsiTheme="minorHAnsi"/>
          <w:bCs/>
          <w:i/>
          <w:noProof/>
          <w:sz w:val="22"/>
        </w:rPr>
        <w:fldChar w:fldCharType="begin"/>
      </w:r>
      <w:r w:rsidRPr="00343167">
        <w:rPr>
          <w:rFonts w:asciiTheme="minorHAnsi" w:hAnsiTheme="minorHAnsi"/>
          <w:bCs/>
          <w:i/>
          <w:noProof/>
          <w:sz w:val="22"/>
        </w:rPr>
        <w:instrText xml:space="preserve"> SEQ Tabela \* ARABIC </w:instrText>
      </w:r>
      <w:r w:rsidRPr="00343167">
        <w:rPr>
          <w:rFonts w:asciiTheme="minorHAnsi" w:hAnsiTheme="minorHAnsi"/>
          <w:bCs/>
          <w:i/>
          <w:noProof/>
          <w:sz w:val="22"/>
        </w:rPr>
        <w:fldChar w:fldCharType="separate"/>
      </w:r>
      <w:r w:rsidR="00C153A9">
        <w:rPr>
          <w:rFonts w:asciiTheme="minorHAnsi" w:hAnsiTheme="minorHAnsi"/>
          <w:bCs/>
          <w:i/>
          <w:noProof/>
          <w:sz w:val="22"/>
        </w:rPr>
        <w:t>22</w:t>
      </w:r>
      <w:r w:rsidRPr="00343167">
        <w:rPr>
          <w:rFonts w:asciiTheme="minorHAnsi" w:hAnsiTheme="minorHAnsi"/>
          <w:bCs/>
          <w:i/>
          <w:noProof/>
          <w:sz w:val="22"/>
        </w:rPr>
        <w:fldChar w:fldCharType="end"/>
      </w:r>
      <w:r w:rsidRPr="00343167">
        <w:rPr>
          <w:rFonts w:asciiTheme="minorHAnsi" w:hAnsiTheme="minorHAnsi"/>
          <w:bCs/>
          <w:i/>
          <w:noProof/>
          <w:sz w:val="22"/>
        </w:rPr>
        <w:t xml:space="preserve">: </w:t>
      </w:r>
      <w:r w:rsidR="00F07CB3" w:rsidRPr="00343167">
        <w:rPr>
          <w:rFonts w:asciiTheme="minorHAnsi" w:hAnsiTheme="minorHAnsi"/>
          <w:bCs/>
          <w:i/>
          <w:noProof/>
          <w:sz w:val="22"/>
        </w:rPr>
        <w:t xml:space="preserve">Të dhënat financiare 3 mujore për KESH </w:t>
      </w:r>
      <w:r w:rsidR="00B703A6" w:rsidRPr="00343167">
        <w:rPr>
          <w:rFonts w:asciiTheme="minorHAnsi" w:hAnsiTheme="minorHAnsi"/>
          <w:bCs/>
          <w:i/>
          <w:noProof/>
          <w:sz w:val="22"/>
        </w:rPr>
        <w:t>sh.a</w:t>
      </w:r>
      <w:r w:rsidR="00F07CB3" w:rsidRPr="00343167">
        <w:rPr>
          <w:rFonts w:asciiTheme="minorHAnsi" w:hAnsiTheme="minorHAnsi"/>
          <w:bCs/>
          <w:i/>
          <w:noProof/>
          <w:sz w:val="22"/>
        </w:rPr>
        <w:t xml:space="preserve"> (në mijë LEK)</w:t>
      </w:r>
      <w:bookmarkEnd w:id="131"/>
      <w:bookmarkEnd w:id="132"/>
    </w:p>
    <w:tbl>
      <w:tblPr>
        <w:tblW w:w="7131"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1927"/>
        <w:gridCol w:w="1784"/>
        <w:gridCol w:w="1710"/>
        <w:gridCol w:w="1710"/>
      </w:tblGrid>
      <w:tr w:rsidR="00495067" w:rsidRPr="00495067" w14:paraId="14E6573E" w14:textId="77777777" w:rsidTr="00495067">
        <w:trPr>
          <w:trHeight w:val="426"/>
          <w:jc w:val="center"/>
        </w:trPr>
        <w:tc>
          <w:tcPr>
            <w:tcW w:w="1927" w:type="dxa"/>
            <w:tcBorders>
              <w:top w:val="single" w:sz="24" w:space="0" w:color="95B3D7"/>
              <w:left w:val="single" w:sz="24" w:space="0" w:color="95B3D7"/>
              <w:bottom w:val="nil"/>
              <w:right w:val="nil"/>
            </w:tcBorders>
            <w:shd w:val="clear" w:color="auto" w:fill="B3DDF2"/>
            <w:noWrap/>
            <w:vAlign w:val="center"/>
            <w:hideMark/>
          </w:tcPr>
          <w:p w14:paraId="1AD64A64" w14:textId="77777777" w:rsidR="00495067" w:rsidRPr="00495067" w:rsidRDefault="00495067" w:rsidP="00495067">
            <w:pPr>
              <w:rPr>
                <w:rFonts w:ascii="Calibri" w:hAnsi="Calibri" w:cs="Calibri"/>
                <w:color w:val="000000"/>
                <w:sz w:val="18"/>
                <w:szCs w:val="22"/>
                <w:lang w:val="sq-AL"/>
              </w:rPr>
            </w:pPr>
            <w:r w:rsidRPr="00495067">
              <w:rPr>
                <w:rFonts w:ascii="Calibri" w:hAnsi="Calibri" w:cs="Calibri"/>
                <w:b/>
                <w:color w:val="C00000"/>
                <w:sz w:val="18"/>
                <w:szCs w:val="22"/>
                <w:lang w:val="sq-AL"/>
              </w:rPr>
              <w:t>Zërat/Periudha</w:t>
            </w:r>
          </w:p>
        </w:tc>
        <w:tc>
          <w:tcPr>
            <w:tcW w:w="1784" w:type="dxa"/>
            <w:tcBorders>
              <w:top w:val="single" w:sz="24" w:space="0" w:color="95B3D7"/>
              <w:left w:val="nil"/>
              <w:bottom w:val="nil"/>
              <w:right w:val="nil"/>
            </w:tcBorders>
            <w:shd w:val="clear" w:color="auto" w:fill="B3DDF2"/>
            <w:noWrap/>
            <w:vAlign w:val="center"/>
            <w:hideMark/>
          </w:tcPr>
          <w:p w14:paraId="29F08CDC" w14:textId="77777777" w:rsidR="00495067" w:rsidRPr="00495067" w:rsidRDefault="00495067" w:rsidP="00495067">
            <w:pPr>
              <w:jc w:val="right"/>
              <w:rPr>
                <w:rFonts w:ascii="Calibri" w:hAnsi="Calibri" w:cs="Calibri"/>
                <w:b/>
                <w:bCs/>
                <w:color w:val="000000"/>
                <w:sz w:val="18"/>
                <w:szCs w:val="22"/>
              </w:rPr>
            </w:pPr>
            <w:r w:rsidRPr="00495067">
              <w:rPr>
                <w:rFonts w:ascii="Calibri" w:hAnsi="Calibri" w:cs="Calibri"/>
                <w:b/>
                <w:bCs/>
                <w:color w:val="C00000"/>
                <w:sz w:val="18"/>
                <w:szCs w:val="22"/>
              </w:rPr>
              <w:t>T1 2021</w:t>
            </w:r>
          </w:p>
        </w:tc>
        <w:tc>
          <w:tcPr>
            <w:tcW w:w="1710" w:type="dxa"/>
            <w:tcBorders>
              <w:top w:val="single" w:sz="24" w:space="0" w:color="95B3D7"/>
              <w:left w:val="nil"/>
              <w:bottom w:val="nil"/>
              <w:right w:val="nil"/>
            </w:tcBorders>
            <w:shd w:val="clear" w:color="auto" w:fill="B3DDF2"/>
            <w:noWrap/>
            <w:vAlign w:val="center"/>
            <w:hideMark/>
          </w:tcPr>
          <w:p w14:paraId="0C58A60C" w14:textId="77777777" w:rsidR="00495067" w:rsidRPr="00495067" w:rsidRDefault="00495067" w:rsidP="00495067">
            <w:pPr>
              <w:jc w:val="right"/>
              <w:rPr>
                <w:rFonts w:ascii="Calibri" w:hAnsi="Calibri" w:cs="Calibri"/>
                <w:b/>
                <w:bCs/>
                <w:color w:val="000000"/>
                <w:sz w:val="18"/>
                <w:szCs w:val="22"/>
              </w:rPr>
            </w:pPr>
            <w:r w:rsidRPr="00495067">
              <w:rPr>
                <w:rFonts w:ascii="Calibri" w:hAnsi="Calibri" w:cs="Calibri"/>
                <w:b/>
                <w:bCs/>
                <w:color w:val="C00000"/>
                <w:sz w:val="18"/>
                <w:szCs w:val="22"/>
              </w:rPr>
              <w:t>T1 2022</w:t>
            </w:r>
          </w:p>
        </w:tc>
        <w:tc>
          <w:tcPr>
            <w:tcW w:w="1710" w:type="dxa"/>
            <w:tcBorders>
              <w:top w:val="single" w:sz="24" w:space="0" w:color="95B3D7"/>
              <w:left w:val="nil"/>
              <w:bottom w:val="nil"/>
              <w:right w:val="single" w:sz="24" w:space="0" w:color="95B3D7"/>
            </w:tcBorders>
            <w:shd w:val="clear" w:color="auto" w:fill="B3DDF2"/>
            <w:noWrap/>
            <w:vAlign w:val="center"/>
            <w:hideMark/>
          </w:tcPr>
          <w:p w14:paraId="3FE6D0D5" w14:textId="77777777" w:rsidR="00495067" w:rsidRPr="00495067" w:rsidRDefault="00495067" w:rsidP="00495067">
            <w:pPr>
              <w:jc w:val="right"/>
              <w:rPr>
                <w:rFonts w:ascii="Calibri" w:hAnsi="Calibri" w:cs="Calibri"/>
                <w:b/>
                <w:bCs/>
                <w:color w:val="000000"/>
                <w:sz w:val="18"/>
                <w:szCs w:val="22"/>
              </w:rPr>
            </w:pPr>
            <w:r w:rsidRPr="00495067">
              <w:rPr>
                <w:rFonts w:ascii="Calibri" w:hAnsi="Calibri" w:cs="Calibri"/>
                <w:b/>
                <w:bCs/>
                <w:color w:val="C00000"/>
                <w:sz w:val="18"/>
                <w:szCs w:val="22"/>
              </w:rPr>
              <w:t>T1 2023</w:t>
            </w:r>
          </w:p>
        </w:tc>
      </w:tr>
      <w:tr w:rsidR="00495067" w:rsidRPr="00495067" w14:paraId="24070853" w14:textId="77777777" w:rsidTr="00495067">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63ADB386" w14:textId="77777777" w:rsidR="00495067" w:rsidRPr="00495067" w:rsidRDefault="00495067" w:rsidP="00495067">
            <w:pPr>
              <w:rPr>
                <w:rFonts w:ascii="Calibri" w:hAnsi="Calibri" w:cs="Calibri"/>
                <w:i/>
                <w:color w:val="000000"/>
                <w:sz w:val="18"/>
                <w:szCs w:val="22"/>
              </w:rPr>
            </w:pPr>
            <w:r w:rsidRPr="00495067">
              <w:rPr>
                <w:rFonts w:ascii="Calibri" w:hAnsi="Calibri" w:cs="Calibri"/>
                <w:i/>
                <w:color w:val="000000"/>
                <w:sz w:val="18"/>
                <w:szCs w:val="22"/>
              </w:rPr>
              <w:t>Të ardhurat</w:t>
            </w:r>
          </w:p>
        </w:tc>
        <w:tc>
          <w:tcPr>
            <w:tcW w:w="1784" w:type="dxa"/>
            <w:tcBorders>
              <w:top w:val="nil"/>
              <w:left w:val="nil"/>
              <w:bottom w:val="nil"/>
              <w:right w:val="nil"/>
            </w:tcBorders>
            <w:shd w:val="clear" w:color="auto" w:fill="FFFFFF"/>
            <w:noWrap/>
            <w:vAlign w:val="center"/>
            <w:hideMark/>
          </w:tcPr>
          <w:p w14:paraId="19CCF8E5"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 xml:space="preserve">              5,585,454 </w:t>
            </w:r>
          </w:p>
        </w:tc>
        <w:tc>
          <w:tcPr>
            <w:tcW w:w="1710" w:type="dxa"/>
            <w:tcBorders>
              <w:top w:val="nil"/>
              <w:left w:val="nil"/>
              <w:bottom w:val="nil"/>
              <w:right w:val="nil"/>
            </w:tcBorders>
            <w:shd w:val="clear" w:color="auto" w:fill="FFFFFF"/>
            <w:noWrap/>
            <w:vAlign w:val="center"/>
            <w:hideMark/>
          </w:tcPr>
          <w:p w14:paraId="67751B2B"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 xml:space="preserve">              9,251,120 </w:t>
            </w:r>
          </w:p>
        </w:tc>
        <w:tc>
          <w:tcPr>
            <w:tcW w:w="1710" w:type="dxa"/>
            <w:tcBorders>
              <w:top w:val="nil"/>
              <w:left w:val="nil"/>
              <w:bottom w:val="nil"/>
              <w:right w:val="single" w:sz="24" w:space="0" w:color="95B3D7"/>
            </w:tcBorders>
            <w:shd w:val="clear" w:color="auto" w:fill="FFFFFF"/>
            <w:noWrap/>
            <w:vAlign w:val="center"/>
            <w:hideMark/>
          </w:tcPr>
          <w:p w14:paraId="12A02062"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 xml:space="preserve">               9,871,134</w:t>
            </w:r>
          </w:p>
        </w:tc>
      </w:tr>
      <w:tr w:rsidR="00495067" w:rsidRPr="00495067" w14:paraId="55AAC9F8" w14:textId="77777777" w:rsidTr="00495067">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3CD71EE3" w14:textId="77777777" w:rsidR="00495067" w:rsidRPr="00495067" w:rsidRDefault="00495067" w:rsidP="00495067">
            <w:pPr>
              <w:rPr>
                <w:rFonts w:ascii="Calibri" w:hAnsi="Calibri" w:cs="Calibri"/>
                <w:i/>
                <w:color w:val="000000"/>
                <w:sz w:val="18"/>
                <w:szCs w:val="22"/>
              </w:rPr>
            </w:pPr>
            <w:r w:rsidRPr="00495067">
              <w:rPr>
                <w:rFonts w:ascii="Calibri" w:hAnsi="Calibri" w:cs="Calibri"/>
                <w:i/>
                <w:color w:val="000000"/>
                <w:sz w:val="18"/>
                <w:szCs w:val="22"/>
              </w:rPr>
              <w:t>Shpenzimet</w:t>
            </w:r>
          </w:p>
        </w:tc>
        <w:tc>
          <w:tcPr>
            <w:tcW w:w="1784" w:type="dxa"/>
            <w:tcBorders>
              <w:top w:val="nil"/>
              <w:left w:val="nil"/>
              <w:bottom w:val="nil"/>
              <w:right w:val="nil"/>
            </w:tcBorders>
            <w:shd w:val="clear" w:color="auto" w:fill="FFFFFF"/>
            <w:noWrap/>
            <w:vAlign w:val="center"/>
            <w:hideMark/>
          </w:tcPr>
          <w:p w14:paraId="23C8AFED"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 xml:space="preserve">              5,118,573 </w:t>
            </w:r>
          </w:p>
        </w:tc>
        <w:tc>
          <w:tcPr>
            <w:tcW w:w="1710" w:type="dxa"/>
            <w:tcBorders>
              <w:top w:val="nil"/>
              <w:left w:val="nil"/>
              <w:bottom w:val="nil"/>
              <w:right w:val="nil"/>
            </w:tcBorders>
            <w:shd w:val="clear" w:color="auto" w:fill="FFFFFF"/>
            <w:noWrap/>
            <w:vAlign w:val="center"/>
            <w:hideMark/>
          </w:tcPr>
          <w:p w14:paraId="6511D92F"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 xml:space="preserve">            11,695,287 </w:t>
            </w:r>
          </w:p>
        </w:tc>
        <w:tc>
          <w:tcPr>
            <w:tcW w:w="1710" w:type="dxa"/>
            <w:tcBorders>
              <w:top w:val="nil"/>
              <w:left w:val="nil"/>
              <w:bottom w:val="nil"/>
              <w:right w:val="single" w:sz="24" w:space="0" w:color="95B3D7"/>
            </w:tcBorders>
            <w:shd w:val="clear" w:color="auto" w:fill="FFFFFF"/>
            <w:noWrap/>
            <w:vAlign w:val="center"/>
            <w:hideMark/>
          </w:tcPr>
          <w:p w14:paraId="78C5C1DA"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 xml:space="preserve">             3,382,074  </w:t>
            </w:r>
          </w:p>
        </w:tc>
      </w:tr>
      <w:tr w:rsidR="00495067" w:rsidRPr="00495067" w14:paraId="2359E079" w14:textId="77777777" w:rsidTr="00495067">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14132004" w14:textId="77777777" w:rsidR="00495067" w:rsidRPr="00495067" w:rsidRDefault="00495067" w:rsidP="00495067">
            <w:pPr>
              <w:rPr>
                <w:rFonts w:ascii="Calibri" w:hAnsi="Calibri" w:cs="Calibri"/>
                <w:b/>
                <w:bCs/>
                <w:color w:val="000000"/>
                <w:sz w:val="18"/>
                <w:szCs w:val="22"/>
              </w:rPr>
            </w:pPr>
            <w:r w:rsidRPr="00495067">
              <w:rPr>
                <w:rFonts w:ascii="Calibri" w:hAnsi="Calibri" w:cs="Calibri"/>
                <w:b/>
                <w:bCs/>
                <w:color w:val="000000"/>
                <w:sz w:val="18"/>
                <w:szCs w:val="22"/>
              </w:rPr>
              <w:t>Humbje/Fitim</w:t>
            </w:r>
          </w:p>
        </w:tc>
        <w:tc>
          <w:tcPr>
            <w:tcW w:w="1784" w:type="dxa"/>
            <w:tcBorders>
              <w:top w:val="nil"/>
              <w:left w:val="nil"/>
              <w:bottom w:val="nil"/>
              <w:right w:val="nil"/>
            </w:tcBorders>
            <w:shd w:val="clear" w:color="auto" w:fill="FFFFFF"/>
            <w:noWrap/>
            <w:vAlign w:val="center"/>
            <w:hideMark/>
          </w:tcPr>
          <w:p w14:paraId="3CBFE2AA"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 xml:space="preserve">                  466,881 </w:t>
            </w:r>
          </w:p>
        </w:tc>
        <w:tc>
          <w:tcPr>
            <w:tcW w:w="1710" w:type="dxa"/>
            <w:tcBorders>
              <w:top w:val="nil"/>
              <w:left w:val="nil"/>
              <w:bottom w:val="nil"/>
              <w:right w:val="nil"/>
            </w:tcBorders>
            <w:shd w:val="clear" w:color="auto" w:fill="FFFFFF"/>
            <w:noWrap/>
            <w:vAlign w:val="center"/>
            <w:hideMark/>
          </w:tcPr>
          <w:p w14:paraId="286769DA"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 xml:space="preserve">            (2,444,167)</w:t>
            </w:r>
          </w:p>
        </w:tc>
        <w:tc>
          <w:tcPr>
            <w:tcW w:w="1710" w:type="dxa"/>
            <w:tcBorders>
              <w:top w:val="nil"/>
              <w:left w:val="nil"/>
              <w:bottom w:val="nil"/>
              <w:right w:val="single" w:sz="24" w:space="0" w:color="95B3D7"/>
            </w:tcBorders>
            <w:shd w:val="clear" w:color="auto" w:fill="FFFFFF"/>
            <w:noWrap/>
            <w:vAlign w:val="center"/>
            <w:hideMark/>
          </w:tcPr>
          <w:p w14:paraId="22549EB9"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 xml:space="preserve">             6,489,060</w:t>
            </w:r>
          </w:p>
        </w:tc>
      </w:tr>
      <w:tr w:rsidR="00495067" w:rsidRPr="00495067" w14:paraId="39AE9BE1" w14:textId="77777777" w:rsidTr="00495067">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4A053D73" w14:textId="77777777" w:rsidR="00495067" w:rsidRPr="00495067" w:rsidRDefault="00495067" w:rsidP="00495067">
            <w:pPr>
              <w:rPr>
                <w:rFonts w:ascii="Calibri" w:hAnsi="Calibri" w:cs="Calibri"/>
                <w:i/>
                <w:color w:val="000000"/>
                <w:sz w:val="18"/>
                <w:szCs w:val="22"/>
              </w:rPr>
            </w:pPr>
            <w:r w:rsidRPr="00495067">
              <w:rPr>
                <w:rFonts w:ascii="Calibri" w:hAnsi="Calibri" w:cs="Calibri"/>
                <w:i/>
                <w:color w:val="000000"/>
                <w:sz w:val="18"/>
                <w:szCs w:val="22"/>
              </w:rPr>
              <w:t>Aktivet Afatshkurtra</w:t>
            </w:r>
          </w:p>
        </w:tc>
        <w:tc>
          <w:tcPr>
            <w:tcW w:w="1784" w:type="dxa"/>
            <w:tcBorders>
              <w:top w:val="nil"/>
              <w:left w:val="nil"/>
              <w:bottom w:val="nil"/>
              <w:right w:val="nil"/>
            </w:tcBorders>
            <w:shd w:val="clear" w:color="auto" w:fill="FFFFFF"/>
            <w:noWrap/>
            <w:vAlign w:val="center"/>
            <w:hideMark/>
          </w:tcPr>
          <w:p w14:paraId="46134728"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 xml:space="preserve">            83,517,089 </w:t>
            </w:r>
          </w:p>
        </w:tc>
        <w:tc>
          <w:tcPr>
            <w:tcW w:w="1710" w:type="dxa"/>
            <w:tcBorders>
              <w:top w:val="nil"/>
              <w:left w:val="nil"/>
              <w:bottom w:val="nil"/>
              <w:right w:val="nil"/>
            </w:tcBorders>
            <w:shd w:val="clear" w:color="auto" w:fill="FFFFFF"/>
            <w:noWrap/>
            <w:vAlign w:val="center"/>
            <w:hideMark/>
          </w:tcPr>
          <w:p w14:paraId="6C9DB653"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 xml:space="preserve">            80,613,342 </w:t>
            </w:r>
          </w:p>
        </w:tc>
        <w:tc>
          <w:tcPr>
            <w:tcW w:w="1710" w:type="dxa"/>
            <w:tcBorders>
              <w:top w:val="nil"/>
              <w:left w:val="nil"/>
              <w:bottom w:val="nil"/>
              <w:right w:val="single" w:sz="24" w:space="0" w:color="95B3D7"/>
            </w:tcBorders>
            <w:shd w:val="clear" w:color="auto" w:fill="FFFFFF"/>
            <w:noWrap/>
            <w:vAlign w:val="center"/>
            <w:hideMark/>
          </w:tcPr>
          <w:p w14:paraId="79688476"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86,547,993</w:t>
            </w:r>
          </w:p>
        </w:tc>
      </w:tr>
      <w:tr w:rsidR="00495067" w:rsidRPr="00495067" w14:paraId="28DAB8CD" w14:textId="77777777" w:rsidTr="00495067">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7A9EC7B3" w14:textId="77777777" w:rsidR="00495067" w:rsidRPr="00495067" w:rsidRDefault="00495067" w:rsidP="00495067">
            <w:pPr>
              <w:rPr>
                <w:rFonts w:ascii="Calibri" w:hAnsi="Calibri" w:cs="Calibri"/>
                <w:i/>
                <w:color w:val="000000"/>
                <w:sz w:val="18"/>
                <w:szCs w:val="22"/>
              </w:rPr>
            </w:pPr>
            <w:r w:rsidRPr="00495067">
              <w:rPr>
                <w:rFonts w:ascii="Calibri" w:hAnsi="Calibri" w:cs="Calibri"/>
                <w:i/>
                <w:color w:val="000000"/>
                <w:sz w:val="18"/>
                <w:szCs w:val="22"/>
              </w:rPr>
              <w:t>Aktivet Afatgjata</w:t>
            </w:r>
          </w:p>
        </w:tc>
        <w:tc>
          <w:tcPr>
            <w:tcW w:w="1784" w:type="dxa"/>
            <w:tcBorders>
              <w:top w:val="nil"/>
              <w:left w:val="nil"/>
              <w:bottom w:val="nil"/>
              <w:right w:val="nil"/>
            </w:tcBorders>
            <w:shd w:val="clear" w:color="auto" w:fill="FFFFFF"/>
            <w:noWrap/>
            <w:vAlign w:val="center"/>
            <w:hideMark/>
          </w:tcPr>
          <w:p w14:paraId="38600A60"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 xml:space="preserve">            91,549,285 </w:t>
            </w:r>
          </w:p>
        </w:tc>
        <w:tc>
          <w:tcPr>
            <w:tcW w:w="1710" w:type="dxa"/>
            <w:tcBorders>
              <w:top w:val="nil"/>
              <w:left w:val="nil"/>
              <w:bottom w:val="nil"/>
              <w:right w:val="nil"/>
            </w:tcBorders>
            <w:shd w:val="clear" w:color="auto" w:fill="FFFFFF"/>
            <w:noWrap/>
            <w:vAlign w:val="center"/>
            <w:hideMark/>
          </w:tcPr>
          <w:p w14:paraId="577AD187"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 xml:space="preserve">            91,820,953 </w:t>
            </w:r>
          </w:p>
        </w:tc>
        <w:tc>
          <w:tcPr>
            <w:tcW w:w="1710" w:type="dxa"/>
            <w:tcBorders>
              <w:top w:val="nil"/>
              <w:left w:val="nil"/>
              <w:bottom w:val="nil"/>
              <w:right w:val="single" w:sz="24" w:space="0" w:color="95B3D7"/>
            </w:tcBorders>
            <w:shd w:val="clear" w:color="auto" w:fill="FFFFFF"/>
            <w:noWrap/>
            <w:vAlign w:val="center"/>
            <w:hideMark/>
          </w:tcPr>
          <w:p w14:paraId="1DC4FAEB"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 xml:space="preserve">            88,776,476  </w:t>
            </w:r>
          </w:p>
        </w:tc>
      </w:tr>
      <w:tr w:rsidR="00495067" w:rsidRPr="00495067" w14:paraId="017808F5" w14:textId="77777777" w:rsidTr="00495067">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69F0697C" w14:textId="77777777" w:rsidR="00495067" w:rsidRPr="00495067" w:rsidRDefault="00495067" w:rsidP="00495067">
            <w:pPr>
              <w:rPr>
                <w:rFonts w:ascii="Calibri" w:hAnsi="Calibri" w:cs="Calibri"/>
                <w:b/>
                <w:bCs/>
                <w:color w:val="000000"/>
                <w:sz w:val="18"/>
                <w:szCs w:val="22"/>
              </w:rPr>
            </w:pPr>
            <w:r w:rsidRPr="00495067">
              <w:rPr>
                <w:rFonts w:ascii="Calibri" w:hAnsi="Calibri" w:cs="Calibri"/>
                <w:b/>
                <w:bCs/>
                <w:color w:val="000000"/>
                <w:sz w:val="18"/>
                <w:szCs w:val="22"/>
              </w:rPr>
              <w:t>Total Aktive</w:t>
            </w:r>
          </w:p>
        </w:tc>
        <w:tc>
          <w:tcPr>
            <w:tcW w:w="1784" w:type="dxa"/>
            <w:tcBorders>
              <w:top w:val="nil"/>
              <w:left w:val="nil"/>
              <w:bottom w:val="nil"/>
              <w:right w:val="nil"/>
            </w:tcBorders>
            <w:shd w:val="clear" w:color="auto" w:fill="FFFFFF"/>
            <w:noWrap/>
            <w:vAlign w:val="center"/>
            <w:hideMark/>
          </w:tcPr>
          <w:p w14:paraId="470BB228"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 xml:space="preserve">          175,066,373 </w:t>
            </w:r>
          </w:p>
        </w:tc>
        <w:tc>
          <w:tcPr>
            <w:tcW w:w="1710" w:type="dxa"/>
            <w:tcBorders>
              <w:top w:val="nil"/>
              <w:left w:val="nil"/>
              <w:bottom w:val="nil"/>
              <w:right w:val="nil"/>
            </w:tcBorders>
            <w:shd w:val="clear" w:color="auto" w:fill="FFFFFF"/>
            <w:noWrap/>
            <w:vAlign w:val="center"/>
            <w:hideMark/>
          </w:tcPr>
          <w:p w14:paraId="26BE88E4"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 xml:space="preserve">          172,434,296 </w:t>
            </w:r>
          </w:p>
        </w:tc>
        <w:tc>
          <w:tcPr>
            <w:tcW w:w="1710" w:type="dxa"/>
            <w:tcBorders>
              <w:top w:val="nil"/>
              <w:left w:val="nil"/>
              <w:bottom w:val="nil"/>
              <w:right w:val="single" w:sz="24" w:space="0" w:color="95B3D7"/>
            </w:tcBorders>
            <w:shd w:val="clear" w:color="auto" w:fill="FFFFFF"/>
            <w:noWrap/>
            <w:vAlign w:val="center"/>
            <w:hideMark/>
          </w:tcPr>
          <w:p w14:paraId="76965CEE"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 xml:space="preserve">          175,324,469 </w:t>
            </w:r>
          </w:p>
        </w:tc>
      </w:tr>
      <w:tr w:rsidR="00495067" w:rsidRPr="00495067" w14:paraId="10FBA7D3" w14:textId="77777777" w:rsidTr="00495067">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74FC4118" w14:textId="77777777" w:rsidR="00495067" w:rsidRPr="00495067" w:rsidRDefault="00495067" w:rsidP="00495067">
            <w:pPr>
              <w:rPr>
                <w:rFonts w:ascii="Calibri" w:hAnsi="Calibri" w:cs="Calibri"/>
                <w:i/>
                <w:color w:val="000000"/>
                <w:sz w:val="18"/>
                <w:szCs w:val="22"/>
              </w:rPr>
            </w:pPr>
            <w:r w:rsidRPr="00495067">
              <w:rPr>
                <w:rFonts w:ascii="Calibri" w:hAnsi="Calibri" w:cs="Calibri"/>
                <w:i/>
                <w:color w:val="000000"/>
                <w:sz w:val="18"/>
                <w:szCs w:val="22"/>
              </w:rPr>
              <w:t>Detyrimet Afatshkurtra</w:t>
            </w:r>
          </w:p>
        </w:tc>
        <w:tc>
          <w:tcPr>
            <w:tcW w:w="1784" w:type="dxa"/>
            <w:tcBorders>
              <w:top w:val="nil"/>
              <w:left w:val="nil"/>
              <w:bottom w:val="nil"/>
              <w:right w:val="nil"/>
            </w:tcBorders>
            <w:shd w:val="clear" w:color="auto" w:fill="FFFFFF"/>
            <w:noWrap/>
            <w:vAlign w:val="center"/>
            <w:hideMark/>
          </w:tcPr>
          <w:p w14:paraId="0C5A285D"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 xml:space="preserve">            68,070,490 </w:t>
            </w:r>
          </w:p>
        </w:tc>
        <w:tc>
          <w:tcPr>
            <w:tcW w:w="1710" w:type="dxa"/>
            <w:tcBorders>
              <w:top w:val="nil"/>
              <w:left w:val="nil"/>
              <w:bottom w:val="nil"/>
              <w:right w:val="nil"/>
            </w:tcBorders>
            <w:shd w:val="clear" w:color="auto" w:fill="FFFFFF"/>
            <w:noWrap/>
            <w:vAlign w:val="center"/>
            <w:hideMark/>
          </w:tcPr>
          <w:p w14:paraId="79CB335A"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 xml:space="preserve">            64,792,559 </w:t>
            </w:r>
          </w:p>
        </w:tc>
        <w:tc>
          <w:tcPr>
            <w:tcW w:w="1710" w:type="dxa"/>
            <w:tcBorders>
              <w:top w:val="nil"/>
              <w:left w:val="nil"/>
              <w:bottom w:val="nil"/>
              <w:right w:val="single" w:sz="24" w:space="0" w:color="95B3D7"/>
            </w:tcBorders>
            <w:shd w:val="clear" w:color="auto" w:fill="FFFFFF"/>
            <w:noWrap/>
            <w:vAlign w:val="center"/>
            <w:hideMark/>
          </w:tcPr>
          <w:p w14:paraId="037DED0C"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 xml:space="preserve">             65,642,581  </w:t>
            </w:r>
          </w:p>
        </w:tc>
      </w:tr>
      <w:tr w:rsidR="00495067" w:rsidRPr="00495067" w14:paraId="21DDE06A" w14:textId="77777777" w:rsidTr="00495067">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2162018D" w14:textId="77777777" w:rsidR="00495067" w:rsidRPr="00495067" w:rsidRDefault="00495067" w:rsidP="00495067">
            <w:pPr>
              <w:rPr>
                <w:rFonts w:ascii="Calibri" w:hAnsi="Calibri" w:cs="Calibri"/>
                <w:i/>
                <w:color w:val="000000"/>
                <w:sz w:val="18"/>
                <w:szCs w:val="22"/>
              </w:rPr>
            </w:pPr>
            <w:r w:rsidRPr="00495067">
              <w:rPr>
                <w:rFonts w:ascii="Calibri" w:hAnsi="Calibri" w:cs="Calibri"/>
                <w:i/>
                <w:color w:val="000000"/>
                <w:sz w:val="18"/>
                <w:szCs w:val="22"/>
              </w:rPr>
              <w:t>Detyrimet Afatgjata</w:t>
            </w:r>
          </w:p>
        </w:tc>
        <w:tc>
          <w:tcPr>
            <w:tcW w:w="1784" w:type="dxa"/>
            <w:tcBorders>
              <w:top w:val="nil"/>
              <w:left w:val="nil"/>
              <w:bottom w:val="nil"/>
              <w:right w:val="nil"/>
            </w:tcBorders>
            <w:shd w:val="clear" w:color="auto" w:fill="FFFFFF"/>
            <w:noWrap/>
            <w:vAlign w:val="center"/>
            <w:hideMark/>
          </w:tcPr>
          <w:p w14:paraId="47E24508"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 xml:space="preserve">            31,157,917 </w:t>
            </w:r>
          </w:p>
        </w:tc>
        <w:tc>
          <w:tcPr>
            <w:tcW w:w="1710" w:type="dxa"/>
            <w:tcBorders>
              <w:top w:val="nil"/>
              <w:left w:val="nil"/>
              <w:bottom w:val="nil"/>
              <w:right w:val="nil"/>
            </w:tcBorders>
            <w:shd w:val="clear" w:color="auto" w:fill="FFFFFF"/>
            <w:noWrap/>
            <w:vAlign w:val="center"/>
            <w:hideMark/>
          </w:tcPr>
          <w:p w14:paraId="4E7F1055"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 xml:space="preserve">            28,711,413 </w:t>
            </w:r>
          </w:p>
        </w:tc>
        <w:tc>
          <w:tcPr>
            <w:tcW w:w="1710" w:type="dxa"/>
            <w:tcBorders>
              <w:top w:val="nil"/>
              <w:left w:val="nil"/>
              <w:bottom w:val="nil"/>
              <w:right w:val="single" w:sz="24" w:space="0" w:color="95B3D7"/>
            </w:tcBorders>
            <w:shd w:val="clear" w:color="auto" w:fill="FFFFFF"/>
            <w:noWrap/>
            <w:vAlign w:val="center"/>
            <w:hideMark/>
          </w:tcPr>
          <w:p w14:paraId="7BA27134" w14:textId="77777777" w:rsidR="00495067" w:rsidRPr="00495067" w:rsidRDefault="00495067" w:rsidP="00495067">
            <w:pPr>
              <w:jc w:val="right"/>
              <w:rPr>
                <w:rFonts w:ascii="Calibri" w:hAnsi="Calibri" w:cs="Calibri"/>
                <w:i/>
                <w:color w:val="000000"/>
                <w:sz w:val="18"/>
                <w:szCs w:val="22"/>
              </w:rPr>
            </w:pPr>
            <w:r w:rsidRPr="00495067">
              <w:rPr>
                <w:rFonts w:ascii="Calibri" w:hAnsi="Calibri" w:cs="Calibri"/>
                <w:i/>
                <w:color w:val="000000"/>
                <w:sz w:val="18"/>
                <w:szCs w:val="22"/>
              </w:rPr>
              <w:t xml:space="preserve">             28,728,928  </w:t>
            </w:r>
          </w:p>
        </w:tc>
      </w:tr>
      <w:tr w:rsidR="00495067" w:rsidRPr="00495067" w14:paraId="0C575494" w14:textId="77777777" w:rsidTr="00495067">
        <w:trPr>
          <w:trHeight w:val="160"/>
          <w:jc w:val="center"/>
        </w:trPr>
        <w:tc>
          <w:tcPr>
            <w:tcW w:w="1927" w:type="dxa"/>
            <w:tcBorders>
              <w:top w:val="nil"/>
              <w:left w:val="single" w:sz="24" w:space="0" w:color="95B3D7"/>
              <w:bottom w:val="nil"/>
              <w:right w:val="nil"/>
            </w:tcBorders>
            <w:shd w:val="clear" w:color="auto" w:fill="FFFFFF"/>
            <w:noWrap/>
            <w:vAlign w:val="center"/>
            <w:hideMark/>
          </w:tcPr>
          <w:p w14:paraId="57F6F42F" w14:textId="77777777" w:rsidR="00495067" w:rsidRPr="00495067" w:rsidRDefault="00495067" w:rsidP="00495067">
            <w:pPr>
              <w:rPr>
                <w:rFonts w:ascii="Calibri" w:hAnsi="Calibri" w:cs="Calibri"/>
                <w:b/>
                <w:bCs/>
                <w:color w:val="000000"/>
                <w:sz w:val="18"/>
                <w:szCs w:val="22"/>
              </w:rPr>
            </w:pPr>
            <w:r w:rsidRPr="00495067">
              <w:rPr>
                <w:rFonts w:ascii="Calibri" w:hAnsi="Calibri" w:cs="Calibri"/>
                <w:b/>
                <w:bCs/>
                <w:color w:val="000000"/>
                <w:sz w:val="18"/>
                <w:szCs w:val="22"/>
              </w:rPr>
              <w:t>Total Detyrime</w:t>
            </w:r>
          </w:p>
        </w:tc>
        <w:tc>
          <w:tcPr>
            <w:tcW w:w="1784" w:type="dxa"/>
            <w:tcBorders>
              <w:top w:val="nil"/>
              <w:left w:val="nil"/>
              <w:bottom w:val="nil"/>
              <w:right w:val="nil"/>
            </w:tcBorders>
            <w:shd w:val="clear" w:color="auto" w:fill="FFFFFF"/>
            <w:noWrap/>
            <w:vAlign w:val="center"/>
            <w:hideMark/>
          </w:tcPr>
          <w:p w14:paraId="38029953"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 xml:space="preserve">            99,228,408 </w:t>
            </w:r>
          </w:p>
        </w:tc>
        <w:tc>
          <w:tcPr>
            <w:tcW w:w="1710" w:type="dxa"/>
            <w:tcBorders>
              <w:top w:val="nil"/>
              <w:left w:val="nil"/>
              <w:bottom w:val="nil"/>
              <w:right w:val="nil"/>
            </w:tcBorders>
            <w:shd w:val="clear" w:color="auto" w:fill="FFFFFF"/>
            <w:noWrap/>
            <w:vAlign w:val="center"/>
            <w:hideMark/>
          </w:tcPr>
          <w:p w14:paraId="56C0CE5B"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 xml:space="preserve">            93,503,972 </w:t>
            </w:r>
          </w:p>
        </w:tc>
        <w:tc>
          <w:tcPr>
            <w:tcW w:w="1710" w:type="dxa"/>
            <w:tcBorders>
              <w:top w:val="nil"/>
              <w:left w:val="nil"/>
              <w:bottom w:val="nil"/>
              <w:right w:val="single" w:sz="24" w:space="0" w:color="95B3D7"/>
            </w:tcBorders>
            <w:shd w:val="clear" w:color="auto" w:fill="FFFFFF"/>
            <w:noWrap/>
            <w:vAlign w:val="center"/>
            <w:hideMark/>
          </w:tcPr>
          <w:p w14:paraId="3DB964A8"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 xml:space="preserve">            94,371,509 </w:t>
            </w:r>
          </w:p>
        </w:tc>
      </w:tr>
      <w:tr w:rsidR="00495067" w:rsidRPr="00495067" w14:paraId="11FAE551" w14:textId="77777777" w:rsidTr="00495067">
        <w:trPr>
          <w:trHeight w:val="168"/>
          <w:jc w:val="center"/>
        </w:trPr>
        <w:tc>
          <w:tcPr>
            <w:tcW w:w="1927" w:type="dxa"/>
            <w:tcBorders>
              <w:top w:val="nil"/>
              <w:left w:val="single" w:sz="24" w:space="0" w:color="95B3D7"/>
              <w:bottom w:val="single" w:sz="24" w:space="0" w:color="95B3D7"/>
              <w:right w:val="nil"/>
            </w:tcBorders>
            <w:shd w:val="clear" w:color="auto" w:fill="FFFFFF"/>
            <w:noWrap/>
            <w:vAlign w:val="center"/>
            <w:hideMark/>
          </w:tcPr>
          <w:p w14:paraId="0D54798D" w14:textId="77777777" w:rsidR="00495067" w:rsidRPr="00495067" w:rsidRDefault="00495067" w:rsidP="00495067">
            <w:pPr>
              <w:rPr>
                <w:rFonts w:ascii="Calibri" w:hAnsi="Calibri" w:cs="Calibri"/>
                <w:b/>
                <w:bCs/>
                <w:color w:val="000000"/>
                <w:sz w:val="18"/>
                <w:szCs w:val="22"/>
              </w:rPr>
            </w:pPr>
            <w:r w:rsidRPr="00495067">
              <w:rPr>
                <w:rFonts w:ascii="Calibri" w:hAnsi="Calibri" w:cs="Calibri"/>
                <w:b/>
                <w:bCs/>
                <w:color w:val="000000"/>
                <w:sz w:val="18"/>
                <w:szCs w:val="22"/>
              </w:rPr>
              <w:t>Kapital</w:t>
            </w:r>
          </w:p>
        </w:tc>
        <w:tc>
          <w:tcPr>
            <w:tcW w:w="1784" w:type="dxa"/>
            <w:tcBorders>
              <w:top w:val="nil"/>
              <w:left w:val="nil"/>
              <w:bottom w:val="single" w:sz="24" w:space="0" w:color="95B3D7"/>
              <w:right w:val="nil"/>
            </w:tcBorders>
            <w:shd w:val="clear" w:color="auto" w:fill="FFFFFF"/>
            <w:noWrap/>
            <w:vAlign w:val="center"/>
            <w:hideMark/>
          </w:tcPr>
          <w:p w14:paraId="7CC7CA25"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 xml:space="preserve">            75,837,966 </w:t>
            </w:r>
          </w:p>
        </w:tc>
        <w:tc>
          <w:tcPr>
            <w:tcW w:w="1710" w:type="dxa"/>
            <w:tcBorders>
              <w:top w:val="nil"/>
              <w:left w:val="nil"/>
              <w:bottom w:val="single" w:sz="24" w:space="0" w:color="95B3D7"/>
              <w:right w:val="nil"/>
            </w:tcBorders>
            <w:shd w:val="clear" w:color="auto" w:fill="FFFFFF"/>
            <w:noWrap/>
            <w:vAlign w:val="center"/>
            <w:hideMark/>
          </w:tcPr>
          <w:p w14:paraId="17A2E8ED"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 xml:space="preserve">            78,930,323 </w:t>
            </w:r>
          </w:p>
        </w:tc>
        <w:tc>
          <w:tcPr>
            <w:tcW w:w="1710" w:type="dxa"/>
            <w:tcBorders>
              <w:top w:val="nil"/>
              <w:left w:val="nil"/>
              <w:bottom w:val="single" w:sz="24" w:space="0" w:color="95B3D7"/>
              <w:right w:val="single" w:sz="24" w:space="0" w:color="95B3D7"/>
            </w:tcBorders>
            <w:shd w:val="clear" w:color="auto" w:fill="FFFFFF"/>
            <w:noWrap/>
            <w:vAlign w:val="center"/>
            <w:hideMark/>
          </w:tcPr>
          <w:p w14:paraId="5FCE8CC2"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80,952,959</w:t>
            </w:r>
          </w:p>
        </w:tc>
      </w:tr>
    </w:tbl>
    <w:p w14:paraId="75D72959" w14:textId="2650220F" w:rsidR="00F07CB3" w:rsidRDefault="00F07CB3" w:rsidP="00495067">
      <w:pPr>
        <w:spacing w:line="360" w:lineRule="auto"/>
        <w:ind w:left="720" w:firstLine="720"/>
        <w:contextualSpacing/>
        <w:rPr>
          <w:rFonts w:ascii="Calibri" w:hAnsi="Calibri"/>
          <w:i/>
          <w:sz w:val="20"/>
          <w:szCs w:val="20"/>
          <w:lang w:val="sq-AL"/>
        </w:rPr>
      </w:pPr>
      <w:r>
        <w:rPr>
          <w:rFonts w:ascii="Calibri" w:hAnsi="Calibri"/>
          <w:i/>
          <w:sz w:val="20"/>
          <w:szCs w:val="20"/>
          <w:lang w:val="sq-AL"/>
        </w:rPr>
        <w:t xml:space="preserve">Burimi: KESH </w:t>
      </w:r>
      <w:r w:rsidR="00B703A6">
        <w:rPr>
          <w:rFonts w:ascii="Calibri" w:hAnsi="Calibri"/>
          <w:i/>
          <w:sz w:val="20"/>
          <w:szCs w:val="20"/>
          <w:lang w:val="sq-AL"/>
        </w:rPr>
        <w:t>sh.a</w:t>
      </w:r>
      <w:r>
        <w:rPr>
          <w:rFonts w:ascii="Calibri" w:hAnsi="Calibri"/>
          <w:i/>
          <w:sz w:val="20"/>
          <w:szCs w:val="20"/>
          <w:lang w:val="sq-AL"/>
        </w:rPr>
        <w:t xml:space="preserve">. </w:t>
      </w:r>
    </w:p>
    <w:p w14:paraId="5A5A2AC0" w14:textId="77777777" w:rsidR="00F07CB3" w:rsidRDefault="00F07CB3" w:rsidP="00056DE5">
      <w:pPr>
        <w:keepNext/>
        <w:numPr>
          <w:ilvl w:val="0"/>
          <w:numId w:val="27"/>
        </w:numPr>
        <w:spacing w:before="120" w:line="276" w:lineRule="auto"/>
        <w:jc w:val="both"/>
        <w:rPr>
          <w:rFonts w:ascii="Calibri" w:hAnsi="Calibri"/>
          <w:i/>
          <w:sz w:val="22"/>
          <w:lang w:val="sq-AL"/>
        </w:rPr>
      </w:pPr>
      <w:r>
        <w:rPr>
          <w:rFonts w:ascii="Calibri" w:hAnsi="Calibri"/>
          <w:i/>
          <w:sz w:val="22"/>
          <w:lang w:val="sq-AL"/>
        </w:rPr>
        <w:t xml:space="preserve">Performanca financiare e OST </w:t>
      </w:r>
      <w:r w:rsidR="00B703A6">
        <w:rPr>
          <w:rFonts w:ascii="Calibri" w:hAnsi="Calibri"/>
          <w:i/>
          <w:sz w:val="22"/>
          <w:lang w:val="sq-AL"/>
        </w:rPr>
        <w:t>sh.a</w:t>
      </w:r>
      <w:r>
        <w:rPr>
          <w:rFonts w:ascii="Calibri" w:hAnsi="Calibri"/>
          <w:i/>
          <w:sz w:val="22"/>
          <w:lang w:val="sq-AL"/>
        </w:rPr>
        <w:t>.</w:t>
      </w:r>
    </w:p>
    <w:p w14:paraId="036668DD" w14:textId="4A773620" w:rsidR="00495067" w:rsidRDefault="00343167" w:rsidP="00495067">
      <w:pPr>
        <w:jc w:val="both"/>
        <w:rPr>
          <w:rFonts w:ascii="Calibri" w:hAnsi="Calibri"/>
          <w:i/>
          <w:sz w:val="22"/>
          <w:highlight w:val="yellow"/>
          <w:lang w:val="sq-AL"/>
        </w:rPr>
      </w:pPr>
      <w:bookmarkStart w:id="133" w:name="_Toc104984088"/>
      <w:bookmarkStart w:id="134" w:name="_Toc107496760"/>
      <w:r w:rsidRPr="00343167">
        <w:rPr>
          <w:rFonts w:asciiTheme="minorHAnsi" w:hAnsiTheme="minorHAnsi"/>
          <w:bCs/>
          <w:i/>
          <w:noProof/>
          <w:sz w:val="22"/>
        </w:rPr>
        <w:t xml:space="preserve">Tabela </w:t>
      </w:r>
      <w:r w:rsidRPr="00343167">
        <w:rPr>
          <w:rFonts w:asciiTheme="minorHAnsi" w:hAnsiTheme="minorHAnsi"/>
          <w:bCs/>
          <w:i/>
          <w:noProof/>
          <w:sz w:val="22"/>
        </w:rPr>
        <w:fldChar w:fldCharType="begin"/>
      </w:r>
      <w:r w:rsidRPr="00343167">
        <w:rPr>
          <w:rFonts w:asciiTheme="minorHAnsi" w:hAnsiTheme="minorHAnsi"/>
          <w:bCs/>
          <w:i/>
          <w:noProof/>
          <w:sz w:val="22"/>
        </w:rPr>
        <w:instrText xml:space="preserve"> SEQ Tabela \* ARABIC </w:instrText>
      </w:r>
      <w:r w:rsidRPr="00343167">
        <w:rPr>
          <w:rFonts w:asciiTheme="minorHAnsi" w:hAnsiTheme="minorHAnsi"/>
          <w:bCs/>
          <w:i/>
          <w:noProof/>
          <w:sz w:val="22"/>
        </w:rPr>
        <w:fldChar w:fldCharType="separate"/>
      </w:r>
      <w:r w:rsidR="00C153A9">
        <w:rPr>
          <w:rFonts w:asciiTheme="minorHAnsi" w:hAnsiTheme="minorHAnsi"/>
          <w:bCs/>
          <w:i/>
          <w:noProof/>
          <w:sz w:val="22"/>
        </w:rPr>
        <w:t>23</w:t>
      </w:r>
      <w:r w:rsidRPr="00343167">
        <w:rPr>
          <w:rFonts w:asciiTheme="minorHAnsi" w:hAnsiTheme="minorHAnsi"/>
          <w:bCs/>
          <w:i/>
          <w:noProof/>
          <w:sz w:val="22"/>
        </w:rPr>
        <w:fldChar w:fldCharType="end"/>
      </w:r>
      <w:r w:rsidRPr="00343167">
        <w:rPr>
          <w:rFonts w:asciiTheme="minorHAnsi" w:hAnsiTheme="minorHAnsi"/>
          <w:bCs/>
          <w:i/>
          <w:noProof/>
          <w:sz w:val="22"/>
        </w:rPr>
        <w:t xml:space="preserve">: </w:t>
      </w:r>
      <w:r w:rsidR="00F07CB3" w:rsidRPr="00343167">
        <w:rPr>
          <w:rFonts w:asciiTheme="minorHAnsi" w:hAnsiTheme="minorHAnsi"/>
          <w:bCs/>
          <w:i/>
          <w:noProof/>
          <w:sz w:val="22"/>
        </w:rPr>
        <w:t xml:space="preserve">Të dhënat financiare 3 mujore për OST </w:t>
      </w:r>
      <w:r w:rsidR="00B703A6" w:rsidRPr="00343167">
        <w:rPr>
          <w:rFonts w:asciiTheme="minorHAnsi" w:hAnsiTheme="minorHAnsi"/>
          <w:bCs/>
          <w:i/>
          <w:noProof/>
          <w:sz w:val="22"/>
        </w:rPr>
        <w:t>sh.a</w:t>
      </w:r>
      <w:r w:rsidR="00F07CB3" w:rsidRPr="00343167">
        <w:rPr>
          <w:rFonts w:asciiTheme="minorHAnsi" w:hAnsiTheme="minorHAnsi"/>
          <w:bCs/>
          <w:i/>
          <w:noProof/>
          <w:sz w:val="22"/>
        </w:rPr>
        <w:t xml:space="preserve"> (në mijë LEK)</w:t>
      </w:r>
      <w:bookmarkEnd w:id="133"/>
      <w:bookmarkEnd w:id="134"/>
    </w:p>
    <w:tbl>
      <w:tblPr>
        <w:tblW w:w="7216"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1920"/>
        <w:gridCol w:w="1751"/>
        <w:gridCol w:w="1745"/>
        <w:gridCol w:w="1800"/>
      </w:tblGrid>
      <w:tr w:rsidR="00495067" w:rsidRPr="00495067" w14:paraId="20B1CAC5" w14:textId="77777777" w:rsidTr="00495067">
        <w:trPr>
          <w:trHeight w:val="240"/>
          <w:jc w:val="center"/>
        </w:trPr>
        <w:tc>
          <w:tcPr>
            <w:tcW w:w="1920" w:type="dxa"/>
            <w:tcBorders>
              <w:top w:val="single" w:sz="24" w:space="0" w:color="95B3D7"/>
              <w:left w:val="single" w:sz="24" w:space="0" w:color="95B3D7"/>
              <w:bottom w:val="nil"/>
              <w:right w:val="nil"/>
            </w:tcBorders>
            <w:shd w:val="clear" w:color="auto" w:fill="B3DDF2"/>
            <w:noWrap/>
            <w:vAlign w:val="center"/>
            <w:hideMark/>
          </w:tcPr>
          <w:p w14:paraId="0AD1AAFF" w14:textId="77777777" w:rsidR="00495067" w:rsidRPr="00495067" w:rsidRDefault="00495067" w:rsidP="00495067">
            <w:pPr>
              <w:rPr>
                <w:rFonts w:ascii="Calibri" w:hAnsi="Calibri" w:cs="Calibri"/>
                <w:color w:val="000000"/>
                <w:sz w:val="18"/>
                <w:szCs w:val="22"/>
                <w:lang w:val="sq-AL"/>
              </w:rPr>
            </w:pPr>
            <w:r w:rsidRPr="00495067">
              <w:rPr>
                <w:rFonts w:ascii="Calibri" w:hAnsi="Calibri" w:cs="Calibri"/>
                <w:b/>
                <w:color w:val="C00000"/>
                <w:sz w:val="18"/>
                <w:szCs w:val="22"/>
                <w:lang w:val="sq-AL"/>
              </w:rPr>
              <w:t>Zërat/Periudha</w:t>
            </w:r>
          </w:p>
        </w:tc>
        <w:tc>
          <w:tcPr>
            <w:tcW w:w="1751" w:type="dxa"/>
            <w:tcBorders>
              <w:top w:val="single" w:sz="24" w:space="0" w:color="95B3D7"/>
              <w:left w:val="nil"/>
              <w:bottom w:val="nil"/>
              <w:right w:val="nil"/>
            </w:tcBorders>
            <w:shd w:val="clear" w:color="auto" w:fill="B3DDF2"/>
            <w:noWrap/>
            <w:vAlign w:val="center"/>
            <w:hideMark/>
          </w:tcPr>
          <w:p w14:paraId="2899C1C5" w14:textId="77777777" w:rsidR="00495067" w:rsidRPr="00495067" w:rsidRDefault="00495067" w:rsidP="00495067">
            <w:pPr>
              <w:jc w:val="right"/>
              <w:rPr>
                <w:rFonts w:ascii="Calibri" w:hAnsi="Calibri" w:cs="Calibri"/>
                <w:b/>
                <w:bCs/>
                <w:color w:val="000000"/>
                <w:sz w:val="18"/>
                <w:szCs w:val="22"/>
              </w:rPr>
            </w:pPr>
            <w:r w:rsidRPr="00495067">
              <w:rPr>
                <w:rFonts w:ascii="Calibri" w:hAnsi="Calibri" w:cs="Calibri"/>
                <w:b/>
                <w:bCs/>
                <w:color w:val="C00000"/>
                <w:sz w:val="18"/>
                <w:szCs w:val="22"/>
              </w:rPr>
              <w:t>T1 2021</w:t>
            </w:r>
          </w:p>
        </w:tc>
        <w:tc>
          <w:tcPr>
            <w:tcW w:w="1745" w:type="dxa"/>
            <w:tcBorders>
              <w:top w:val="single" w:sz="24" w:space="0" w:color="95B3D7"/>
              <w:left w:val="nil"/>
              <w:bottom w:val="nil"/>
              <w:right w:val="nil"/>
            </w:tcBorders>
            <w:shd w:val="clear" w:color="auto" w:fill="B3DDF2"/>
            <w:noWrap/>
            <w:vAlign w:val="center"/>
            <w:hideMark/>
          </w:tcPr>
          <w:p w14:paraId="2DAB60D5" w14:textId="77777777" w:rsidR="00495067" w:rsidRPr="00495067" w:rsidRDefault="00495067" w:rsidP="00495067">
            <w:pPr>
              <w:jc w:val="right"/>
              <w:rPr>
                <w:rFonts w:ascii="Calibri" w:hAnsi="Calibri" w:cs="Calibri"/>
                <w:b/>
                <w:bCs/>
                <w:color w:val="000000"/>
                <w:sz w:val="18"/>
                <w:szCs w:val="22"/>
              </w:rPr>
            </w:pPr>
            <w:r w:rsidRPr="00495067">
              <w:rPr>
                <w:rFonts w:ascii="Calibri" w:hAnsi="Calibri" w:cs="Calibri"/>
                <w:b/>
                <w:bCs/>
                <w:color w:val="C00000"/>
                <w:sz w:val="18"/>
                <w:szCs w:val="22"/>
              </w:rPr>
              <w:t>T1 2022</w:t>
            </w:r>
          </w:p>
        </w:tc>
        <w:tc>
          <w:tcPr>
            <w:tcW w:w="1800" w:type="dxa"/>
            <w:tcBorders>
              <w:top w:val="single" w:sz="24" w:space="0" w:color="95B3D7"/>
              <w:left w:val="nil"/>
              <w:bottom w:val="nil"/>
              <w:right w:val="single" w:sz="24" w:space="0" w:color="95B3D7"/>
            </w:tcBorders>
            <w:shd w:val="clear" w:color="auto" w:fill="B3DDF2"/>
            <w:noWrap/>
            <w:vAlign w:val="center"/>
            <w:hideMark/>
          </w:tcPr>
          <w:p w14:paraId="22AEA30C" w14:textId="77777777" w:rsidR="00495067" w:rsidRPr="00495067" w:rsidRDefault="00495067" w:rsidP="00495067">
            <w:pPr>
              <w:jc w:val="right"/>
              <w:rPr>
                <w:rFonts w:ascii="Calibri" w:hAnsi="Calibri" w:cs="Calibri"/>
                <w:b/>
                <w:bCs/>
                <w:color w:val="000000"/>
                <w:sz w:val="18"/>
                <w:szCs w:val="22"/>
              </w:rPr>
            </w:pPr>
            <w:r w:rsidRPr="00495067">
              <w:rPr>
                <w:rFonts w:ascii="Calibri" w:hAnsi="Calibri" w:cs="Calibri"/>
                <w:b/>
                <w:bCs/>
                <w:color w:val="C00000"/>
                <w:sz w:val="18"/>
                <w:szCs w:val="22"/>
              </w:rPr>
              <w:t>T1 2023</w:t>
            </w:r>
          </w:p>
        </w:tc>
      </w:tr>
      <w:tr w:rsidR="00495067" w:rsidRPr="00495067" w14:paraId="79DCE64F" w14:textId="77777777" w:rsidTr="00495067">
        <w:trPr>
          <w:trHeight w:val="240"/>
          <w:jc w:val="center"/>
        </w:trPr>
        <w:tc>
          <w:tcPr>
            <w:tcW w:w="1920" w:type="dxa"/>
            <w:tcBorders>
              <w:top w:val="nil"/>
              <w:left w:val="single" w:sz="24" w:space="0" w:color="95B3D7"/>
              <w:bottom w:val="nil"/>
              <w:right w:val="nil"/>
            </w:tcBorders>
            <w:shd w:val="clear" w:color="auto" w:fill="FFFFFF"/>
            <w:noWrap/>
            <w:vAlign w:val="center"/>
            <w:hideMark/>
          </w:tcPr>
          <w:p w14:paraId="5FBC9F03" w14:textId="77777777" w:rsidR="00495067" w:rsidRPr="00495067" w:rsidRDefault="00495067" w:rsidP="00495067">
            <w:pPr>
              <w:rPr>
                <w:rFonts w:ascii="Calibri" w:hAnsi="Calibri" w:cs="Calibri"/>
                <w:i/>
                <w:color w:val="000000"/>
                <w:sz w:val="18"/>
                <w:szCs w:val="20"/>
              </w:rPr>
            </w:pPr>
            <w:r w:rsidRPr="00495067">
              <w:rPr>
                <w:rFonts w:ascii="Calibri" w:hAnsi="Calibri" w:cs="Calibri"/>
                <w:i/>
                <w:color w:val="000000"/>
                <w:sz w:val="18"/>
                <w:szCs w:val="20"/>
              </w:rPr>
              <w:t>Të ardhurat</w:t>
            </w:r>
          </w:p>
        </w:tc>
        <w:tc>
          <w:tcPr>
            <w:tcW w:w="1751" w:type="dxa"/>
            <w:tcBorders>
              <w:top w:val="nil"/>
              <w:left w:val="nil"/>
              <w:bottom w:val="nil"/>
              <w:right w:val="nil"/>
            </w:tcBorders>
            <w:shd w:val="clear" w:color="auto" w:fill="FFFFFF"/>
            <w:noWrap/>
            <w:vAlign w:val="center"/>
            <w:hideMark/>
          </w:tcPr>
          <w:p w14:paraId="622D1FD0"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1,905,813 </w:t>
            </w:r>
          </w:p>
        </w:tc>
        <w:tc>
          <w:tcPr>
            <w:tcW w:w="1745" w:type="dxa"/>
            <w:tcBorders>
              <w:top w:val="nil"/>
              <w:left w:val="nil"/>
              <w:bottom w:val="nil"/>
              <w:right w:val="nil"/>
            </w:tcBorders>
            <w:shd w:val="clear" w:color="auto" w:fill="FFFFFF"/>
            <w:noWrap/>
            <w:vAlign w:val="center"/>
            <w:hideMark/>
          </w:tcPr>
          <w:p w14:paraId="782A53B6"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2,770,662 </w:t>
            </w:r>
          </w:p>
        </w:tc>
        <w:tc>
          <w:tcPr>
            <w:tcW w:w="1800" w:type="dxa"/>
            <w:tcBorders>
              <w:top w:val="nil"/>
              <w:left w:val="nil"/>
              <w:bottom w:val="nil"/>
              <w:right w:val="single" w:sz="24" w:space="0" w:color="95B3D7"/>
            </w:tcBorders>
            <w:shd w:val="clear" w:color="auto" w:fill="FFFFFF"/>
            <w:noWrap/>
            <w:vAlign w:val="center"/>
            <w:hideMark/>
          </w:tcPr>
          <w:p w14:paraId="0ADA7591"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3,248,740  </w:t>
            </w:r>
          </w:p>
        </w:tc>
      </w:tr>
      <w:tr w:rsidR="00495067" w:rsidRPr="00495067" w14:paraId="02EAE8E5"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2A7C4C1A" w14:textId="77777777" w:rsidR="00495067" w:rsidRPr="00495067" w:rsidRDefault="00495067" w:rsidP="00495067">
            <w:pPr>
              <w:rPr>
                <w:rFonts w:ascii="Calibri" w:hAnsi="Calibri" w:cs="Calibri"/>
                <w:i/>
                <w:color w:val="000000"/>
                <w:sz w:val="18"/>
                <w:szCs w:val="20"/>
              </w:rPr>
            </w:pPr>
            <w:r w:rsidRPr="00495067">
              <w:rPr>
                <w:rFonts w:ascii="Calibri" w:hAnsi="Calibri" w:cs="Calibri"/>
                <w:i/>
                <w:color w:val="000000"/>
                <w:sz w:val="18"/>
                <w:szCs w:val="20"/>
              </w:rPr>
              <w:t>Shpenzimet</w:t>
            </w:r>
          </w:p>
        </w:tc>
        <w:tc>
          <w:tcPr>
            <w:tcW w:w="1751" w:type="dxa"/>
            <w:tcBorders>
              <w:top w:val="nil"/>
              <w:left w:val="nil"/>
              <w:bottom w:val="nil"/>
              <w:right w:val="nil"/>
            </w:tcBorders>
            <w:shd w:val="clear" w:color="auto" w:fill="FFFFFF"/>
            <w:noWrap/>
            <w:vAlign w:val="center"/>
            <w:hideMark/>
          </w:tcPr>
          <w:p w14:paraId="7D804E65"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1,802,663 </w:t>
            </w:r>
          </w:p>
        </w:tc>
        <w:tc>
          <w:tcPr>
            <w:tcW w:w="1745" w:type="dxa"/>
            <w:tcBorders>
              <w:top w:val="nil"/>
              <w:left w:val="nil"/>
              <w:bottom w:val="nil"/>
              <w:right w:val="nil"/>
            </w:tcBorders>
            <w:shd w:val="clear" w:color="auto" w:fill="FFFFFF"/>
            <w:noWrap/>
            <w:vAlign w:val="center"/>
            <w:hideMark/>
          </w:tcPr>
          <w:p w14:paraId="3E4C6770"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2,883,700 </w:t>
            </w:r>
          </w:p>
        </w:tc>
        <w:tc>
          <w:tcPr>
            <w:tcW w:w="1800" w:type="dxa"/>
            <w:tcBorders>
              <w:top w:val="nil"/>
              <w:left w:val="nil"/>
              <w:bottom w:val="nil"/>
              <w:right w:val="single" w:sz="24" w:space="0" w:color="95B3D7"/>
            </w:tcBorders>
            <w:shd w:val="clear" w:color="auto" w:fill="FFFFFF"/>
            <w:noWrap/>
            <w:vAlign w:val="center"/>
            <w:hideMark/>
          </w:tcPr>
          <w:p w14:paraId="1428F926"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2,411,240  </w:t>
            </w:r>
          </w:p>
        </w:tc>
      </w:tr>
      <w:tr w:rsidR="00495067" w:rsidRPr="00495067" w14:paraId="0490FBAB"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08F5549D" w14:textId="77777777" w:rsidR="00495067" w:rsidRPr="00495067" w:rsidRDefault="00495067" w:rsidP="00495067">
            <w:pPr>
              <w:rPr>
                <w:rFonts w:ascii="Calibri" w:hAnsi="Calibri" w:cs="Calibri"/>
                <w:b/>
                <w:bCs/>
                <w:color w:val="000000"/>
                <w:sz w:val="18"/>
                <w:szCs w:val="20"/>
              </w:rPr>
            </w:pPr>
            <w:r w:rsidRPr="00495067">
              <w:rPr>
                <w:rFonts w:ascii="Calibri" w:hAnsi="Calibri" w:cs="Calibri"/>
                <w:b/>
                <w:bCs/>
                <w:color w:val="000000"/>
                <w:sz w:val="18"/>
                <w:szCs w:val="20"/>
              </w:rPr>
              <w:t>Humbje/Fitim</w:t>
            </w:r>
          </w:p>
        </w:tc>
        <w:tc>
          <w:tcPr>
            <w:tcW w:w="1751" w:type="dxa"/>
            <w:tcBorders>
              <w:top w:val="nil"/>
              <w:left w:val="nil"/>
              <w:bottom w:val="nil"/>
              <w:right w:val="nil"/>
            </w:tcBorders>
            <w:shd w:val="clear" w:color="auto" w:fill="FFFFFF"/>
            <w:noWrap/>
            <w:vAlign w:val="center"/>
            <w:hideMark/>
          </w:tcPr>
          <w:p w14:paraId="46BBC016"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103,150</w:t>
            </w:r>
          </w:p>
        </w:tc>
        <w:tc>
          <w:tcPr>
            <w:tcW w:w="1745" w:type="dxa"/>
            <w:tcBorders>
              <w:top w:val="nil"/>
              <w:left w:val="nil"/>
              <w:bottom w:val="nil"/>
              <w:right w:val="nil"/>
            </w:tcBorders>
            <w:shd w:val="clear" w:color="auto" w:fill="FFFFFF"/>
            <w:noWrap/>
            <w:vAlign w:val="center"/>
            <w:hideMark/>
          </w:tcPr>
          <w:p w14:paraId="2BC4ED8A"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(113,037)</w:t>
            </w:r>
          </w:p>
        </w:tc>
        <w:tc>
          <w:tcPr>
            <w:tcW w:w="1800" w:type="dxa"/>
            <w:tcBorders>
              <w:top w:val="nil"/>
              <w:left w:val="nil"/>
              <w:bottom w:val="nil"/>
              <w:right w:val="single" w:sz="24" w:space="0" w:color="95B3D7"/>
            </w:tcBorders>
            <w:shd w:val="clear" w:color="auto" w:fill="FFFFFF"/>
            <w:noWrap/>
            <w:vAlign w:val="center"/>
            <w:hideMark/>
          </w:tcPr>
          <w:p w14:paraId="3CD9A4B8"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837,500</w:t>
            </w:r>
          </w:p>
        </w:tc>
      </w:tr>
      <w:tr w:rsidR="00495067" w:rsidRPr="00495067" w14:paraId="0748984A"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491373E9" w14:textId="77777777" w:rsidR="00495067" w:rsidRPr="00495067" w:rsidRDefault="00495067" w:rsidP="00495067">
            <w:pPr>
              <w:rPr>
                <w:rFonts w:ascii="Calibri" w:hAnsi="Calibri" w:cs="Calibri"/>
                <w:i/>
                <w:color w:val="000000"/>
                <w:sz w:val="18"/>
                <w:szCs w:val="20"/>
              </w:rPr>
            </w:pPr>
            <w:r w:rsidRPr="00495067">
              <w:rPr>
                <w:rFonts w:ascii="Calibri" w:hAnsi="Calibri" w:cs="Calibri"/>
                <w:i/>
                <w:color w:val="000000"/>
                <w:sz w:val="18"/>
                <w:szCs w:val="20"/>
              </w:rPr>
              <w:t>Aktivet Afatshkurtra</w:t>
            </w:r>
          </w:p>
        </w:tc>
        <w:tc>
          <w:tcPr>
            <w:tcW w:w="1751" w:type="dxa"/>
            <w:tcBorders>
              <w:top w:val="nil"/>
              <w:left w:val="nil"/>
              <w:bottom w:val="nil"/>
              <w:right w:val="nil"/>
            </w:tcBorders>
            <w:shd w:val="clear" w:color="auto" w:fill="FFFFFF"/>
            <w:noWrap/>
            <w:vAlign w:val="center"/>
            <w:hideMark/>
          </w:tcPr>
          <w:p w14:paraId="0A52929B"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21,498,065 </w:t>
            </w:r>
          </w:p>
        </w:tc>
        <w:tc>
          <w:tcPr>
            <w:tcW w:w="1745" w:type="dxa"/>
            <w:tcBorders>
              <w:top w:val="nil"/>
              <w:left w:val="nil"/>
              <w:bottom w:val="nil"/>
              <w:right w:val="nil"/>
            </w:tcBorders>
            <w:shd w:val="clear" w:color="auto" w:fill="FFFFFF"/>
            <w:noWrap/>
            <w:vAlign w:val="center"/>
            <w:hideMark/>
          </w:tcPr>
          <w:p w14:paraId="1CCEF96F"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18,223,864 </w:t>
            </w:r>
          </w:p>
        </w:tc>
        <w:tc>
          <w:tcPr>
            <w:tcW w:w="1800" w:type="dxa"/>
            <w:tcBorders>
              <w:top w:val="nil"/>
              <w:left w:val="nil"/>
              <w:bottom w:val="nil"/>
              <w:right w:val="single" w:sz="24" w:space="0" w:color="95B3D7"/>
            </w:tcBorders>
            <w:shd w:val="clear" w:color="auto" w:fill="FFFFFF"/>
            <w:noWrap/>
            <w:vAlign w:val="center"/>
            <w:hideMark/>
          </w:tcPr>
          <w:p w14:paraId="4B43E8D9"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19,988,857  </w:t>
            </w:r>
          </w:p>
        </w:tc>
      </w:tr>
      <w:tr w:rsidR="00495067" w:rsidRPr="00495067" w14:paraId="1E3A6434"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0706FEFE" w14:textId="77777777" w:rsidR="00495067" w:rsidRPr="00495067" w:rsidRDefault="00495067" w:rsidP="00495067">
            <w:pPr>
              <w:rPr>
                <w:rFonts w:ascii="Calibri" w:hAnsi="Calibri" w:cs="Calibri"/>
                <w:i/>
                <w:color w:val="000000"/>
                <w:sz w:val="18"/>
                <w:szCs w:val="20"/>
              </w:rPr>
            </w:pPr>
            <w:r w:rsidRPr="00495067">
              <w:rPr>
                <w:rFonts w:ascii="Calibri" w:hAnsi="Calibri" w:cs="Calibri"/>
                <w:i/>
                <w:color w:val="000000"/>
                <w:sz w:val="18"/>
                <w:szCs w:val="20"/>
              </w:rPr>
              <w:t>Aktivet Afatgjata</w:t>
            </w:r>
          </w:p>
        </w:tc>
        <w:tc>
          <w:tcPr>
            <w:tcW w:w="1751" w:type="dxa"/>
            <w:tcBorders>
              <w:top w:val="nil"/>
              <w:left w:val="nil"/>
              <w:bottom w:val="nil"/>
              <w:right w:val="nil"/>
            </w:tcBorders>
            <w:shd w:val="clear" w:color="auto" w:fill="FFFFFF"/>
            <w:noWrap/>
            <w:vAlign w:val="center"/>
            <w:hideMark/>
          </w:tcPr>
          <w:p w14:paraId="3270FAEA"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54,073,729 </w:t>
            </w:r>
          </w:p>
        </w:tc>
        <w:tc>
          <w:tcPr>
            <w:tcW w:w="1745" w:type="dxa"/>
            <w:tcBorders>
              <w:top w:val="nil"/>
              <w:left w:val="nil"/>
              <w:bottom w:val="nil"/>
              <w:right w:val="nil"/>
            </w:tcBorders>
            <w:shd w:val="clear" w:color="auto" w:fill="FFFFFF"/>
            <w:noWrap/>
            <w:vAlign w:val="center"/>
            <w:hideMark/>
          </w:tcPr>
          <w:p w14:paraId="3356B608"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63,760,203 </w:t>
            </w:r>
          </w:p>
        </w:tc>
        <w:tc>
          <w:tcPr>
            <w:tcW w:w="1800" w:type="dxa"/>
            <w:tcBorders>
              <w:top w:val="nil"/>
              <w:left w:val="nil"/>
              <w:bottom w:val="nil"/>
              <w:right w:val="single" w:sz="24" w:space="0" w:color="95B3D7"/>
            </w:tcBorders>
            <w:shd w:val="clear" w:color="auto" w:fill="FFFFFF"/>
            <w:noWrap/>
            <w:vAlign w:val="center"/>
            <w:hideMark/>
          </w:tcPr>
          <w:p w14:paraId="20920E46"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58,030,527  </w:t>
            </w:r>
          </w:p>
        </w:tc>
      </w:tr>
      <w:tr w:rsidR="00495067" w:rsidRPr="00495067" w14:paraId="53450A13"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4122F163" w14:textId="77777777" w:rsidR="00495067" w:rsidRPr="00495067" w:rsidRDefault="00495067" w:rsidP="00495067">
            <w:pPr>
              <w:rPr>
                <w:rFonts w:ascii="Calibri" w:hAnsi="Calibri" w:cs="Calibri"/>
                <w:b/>
                <w:bCs/>
                <w:color w:val="000000"/>
                <w:sz w:val="18"/>
                <w:szCs w:val="20"/>
              </w:rPr>
            </w:pPr>
            <w:r w:rsidRPr="00495067">
              <w:rPr>
                <w:rFonts w:ascii="Calibri" w:hAnsi="Calibri" w:cs="Calibri"/>
                <w:b/>
                <w:bCs/>
                <w:color w:val="000000"/>
                <w:sz w:val="18"/>
                <w:szCs w:val="20"/>
              </w:rPr>
              <w:t>Total Aktive</w:t>
            </w:r>
          </w:p>
        </w:tc>
        <w:tc>
          <w:tcPr>
            <w:tcW w:w="1751" w:type="dxa"/>
            <w:tcBorders>
              <w:top w:val="nil"/>
              <w:left w:val="nil"/>
              <w:bottom w:val="nil"/>
              <w:right w:val="nil"/>
            </w:tcBorders>
            <w:shd w:val="clear" w:color="auto" w:fill="FFFFFF"/>
            <w:noWrap/>
            <w:vAlign w:val="center"/>
            <w:hideMark/>
          </w:tcPr>
          <w:p w14:paraId="74933C47"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75,571,795</w:t>
            </w:r>
          </w:p>
        </w:tc>
        <w:tc>
          <w:tcPr>
            <w:tcW w:w="1745" w:type="dxa"/>
            <w:tcBorders>
              <w:top w:val="nil"/>
              <w:left w:val="nil"/>
              <w:bottom w:val="nil"/>
              <w:right w:val="nil"/>
            </w:tcBorders>
            <w:shd w:val="clear" w:color="auto" w:fill="FFFFFF"/>
            <w:noWrap/>
            <w:vAlign w:val="center"/>
            <w:hideMark/>
          </w:tcPr>
          <w:p w14:paraId="4F7C5D6A"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81,984,067</w:t>
            </w:r>
          </w:p>
        </w:tc>
        <w:tc>
          <w:tcPr>
            <w:tcW w:w="1800" w:type="dxa"/>
            <w:tcBorders>
              <w:top w:val="nil"/>
              <w:left w:val="nil"/>
              <w:bottom w:val="nil"/>
              <w:right w:val="single" w:sz="24" w:space="0" w:color="95B3D7"/>
            </w:tcBorders>
            <w:shd w:val="clear" w:color="auto" w:fill="FFFFFF"/>
            <w:noWrap/>
            <w:vAlign w:val="center"/>
            <w:hideMark/>
          </w:tcPr>
          <w:p w14:paraId="71187B74"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78,019,384</w:t>
            </w:r>
          </w:p>
        </w:tc>
      </w:tr>
      <w:tr w:rsidR="00495067" w:rsidRPr="00495067" w14:paraId="6D5BF849"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1AA05B56" w14:textId="77777777" w:rsidR="00495067" w:rsidRPr="00495067" w:rsidRDefault="00495067" w:rsidP="00495067">
            <w:pPr>
              <w:rPr>
                <w:rFonts w:ascii="Calibri" w:hAnsi="Calibri" w:cs="Calibri"/>
                <w:i/>
                <w:color w:val="000000"/>
                <w:sz w:val="18"/>
                <w:szCs w:val="20"/>
              </w:rPr>
            </w:pPr>
            <w:r w:rsidRPr="00495067">
              <w:rPr>
                <w:rFonts w:ascii="Calibri" w:hAnsi="Calibri" w:cs="Calibri"/>
                <w:i/>
                <w:color w:val="000000"/>
                <w:sz w:val="18"/>
                <w:szCs w:val="20"/>
              </w:rPr>
              <w:t>Detyrimet Afatshkurtra</w:t>
            </w:r>
          </w:p>
        </w:tc>
        <w:tc>
          <w:tcPr>
            <w:tcW w:w="1751" w:type="dxa"/>
            <w:tcBorders>
              <w:top w:val="nil"/>
              <w:left w:val="nil"/>
              <w:bottom w:val="nil"/>
              <w:right w:val="nil"/>
            </w:tcBorders>
            <w:shd w:val="clear" w:color="auto" w:fill="FFFFFF"/>
            <w:noWrap/>
            <w:vAlign w:val="center"/>
            <w:hideMark/>
          </w:tcPr>
          <w:p w14:paraId="14DCC351"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23,186,705 </w:t>
            </w:r>
          </w:p>
        </w:tc>
        <w:tc>
          <w:tcPr>
            <w:tcW w:w="1745" w:type="dxa"/>
            <w:tcBorders>
              <w:top w:val="nil"/>
              <w:left w:val="nil"/>
              <w:bottom w:val="nil"/>
              <w:right w:val="nil"/>
            </w:tcBorders>
            <w:shd w:val="clear" w:color="auto" w:fill="FFFFFF"/>
            <w:noWrap/>
            <w:vAlign w:val="center"/>
            <w:hideMark/>
          </w:tcPr>
          <w:p w14:paraId="743DC26E"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28,336,816 </w:t>
            </w:r>
          </w:p>
        </w:tc>
        <w:tc>
          <w:tcPr>
            <w:tcW w:w="1800" w:type="dxa"/>
            <w:tcBorders>
              <w:top w:val="nil"/>
              <w:left w:val="nil"/>
              <w:bottom w:val="nil"/>
              <w:right w:val="single" w:sz="24" w:space="0" w:color="95B3D7"/>
            </w:tcBorders>
            <w:shd w:val="clear" w:color="auto" w:fill="FFFFFF"/>
            <w:noWrap/>
            <w:vAlign w:val="center"/>
            <w:hideMark/>
          </w:tcPr>
          <w:p w14:paraId="0058E529"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25,569,669  </w:t>
            </w:r>
          </w:p>
        </w:tc>
      </w:tr>
      <w:tr w:rsidR="00495067" w:rsidRPr="00495067" w14:paraId="1C73601C"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7C50F0AB" w14:textId="77777777" w:rsidR="00495067" w:rsidRPr="00495067" w:rsidRDefault="00495067" w:rsidP="00495067">
            <w:pPr>
              <w:rPr>
                <w:rFonts w:ascii="Calibri" w:hAnsi="Calibri" w:cs="Calibri"/>
                <w:i/>
                <w:color w:val="000000"/>
                <w:sz w:val="18"/>
                <w:szCs w:val="20"/>
              </w:rPr>
            </w:pPr>
            <w:r w:rsidRPr="00495067">
              <w:rPr>
                <w:rFonts w:ascii="Calibri" w:hAnsi="Calibri" w:cs="Calibri"/>
                <w:i/>
                <w:color w:val="000000"/>
                <w:sz w:val="18"/>
                <w:szCs w:val="20"/>
              </w:rPr>
              <w:t>Detyrimet Afatgjata</w:t>
            </w:r>
          </w:p>
        </w:tc>
        <w:tc>
          <w:tcPr>
            <w:tcW w:w="1751" w:type="dxa"/>
            <w:tcBorders>
              <w:top w:val="nil"/>
              <w:left w:val="nil"/>
              <w:bottom w:val="nil"/>
              <w:right w:val="nil"/>
            </w:tcBorders>
            <w:shd w:val="clear" w:color="auto" w:fill="FFFFFF"/>
            <w:noWrap/>
            <w:vAlign w:val="center"/>
            <w:hideMark/>
          </w:tcPr>
          <w:p w14:paraId="482DCAC7"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19,001,032 </w:t>
            </w:r>
          </w:p>
        </w:tc>
        <w:tc>
          <w:tcPr>
            <w:tcW w:w="1745" w:type="dxa"/>
            <w:tcBorders>
              <w:top w:val="nil"/>
              <w:left w:val="nil"/>
              <w:bottom w:val="nil"/>
              <w:right w:val="nil"/>
            </w:tcBorders>
            <w:shd w:val="clear" w:color="auto" w:fill="FFFFFF"/>
            <w:noWrap/>
            <w:vAlign w:val="center"/>
            <w:hideMark/>
          </w:tcPr>
          <w:p w14:paraId="1FC91B79"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19,830,925 </w:t>
            </w:r>
          </w:p>
        </w:tc>
        <w:tc>
          <w:tcPr>
            <w:tcW w:w="1800" w:type="dxa"/>
            <w:tcBorders>
              <w:top w:val="nil"/>
              <w:left w:val="nil"/>
              <w:bottom w:val="nil"/>
              <w:right w:val="single" w:sz="24" w:space="0" w:color="95B3D7"/>
            </w:tcBorders>
            <w:shd w:val="clear" w:color="auto" w:fill="FFFFFF"/>
            <w:noWrap/>
            <w:vAlign w:val="center"/>
            <w:hideMark/>
          </w:tcPr>
          <w:p w14:paraId="012FA902" w14:textId="77777777" w:rsidR="00495067" w:rsidRPr="00495067" w:rsidRDefault="00495067" w:rsidP="00495067">
            <w:pPr>
              <w:jc w:val="right"/>
              <w:rPr>
                <w:rFonts w:ascii="Calibri" w:hAnsi="Calibri" w:cs="Calibri"/>
                <w:i/>
                <w:color w:val="000000"/>
                <w:sz w:val="18"/>
                <w:szCs w:val="20"/>
              </w:rPr>
            </w:pPr>
            <w:r w:rsidRPr="00495067">
              <w:rPr>
                <w:rFonts w:ascii="Calibri" w:hAnsi="Calibri" w:cs="Calibri"/>
                <w:i/>
                <w:color w:val="000000"/>
                <w:sz w:val="18"/>
                <w:szCs w:val="20"/>
              </w:rPr>
              <w:t xml:space="preserve">             18,779,134  </w:t>
            </w:r>
          </w:p>
        </w:tc>
      </w:tr>
      <w:tr w:rsidR="00495067" w:rsidRPr="00495067" w14:paraId="6EF327A1" w14:textId="77777777" w:rsidTr="00495067">
        <w:trPr>
          <w:trHeight w:val="228"/>
          <w:jc w:val="center"/>
        </w:trPr>
        <w:tc>
          <w:tcPr>
            <w:tcW w:w="1920" w:type="dxa"/>
            <w:tcBorders>
              <w:top w:val="nil"/>
              <w:left w:val="single" w:sz="24" w:space="0" w:color="95B3D7"/>
              <w:bottom w:val="nil"/>
              <w:right w:val="nil"/>
            </w:tcBorders>
            <w:shd w:val="clear" w:color="auto" w:fill="FFFFFF"/>
            <w:noWrap/>
            <w:vAlign w:val="center"/>
            <w:hideMark/>
          </w:tcPr>
          <w:p w14:paraId="113AD65C" w14:textId="77777777" w:rsidR="00495067" w:rsidRPr="00495067" w:rsidRDefault="00495067" w:rsidP="00495067">
            <w:pPr>
              <w:rPr>
                <w:rFonts w:ascii="Calibri" w:hAnsi="Calibri" w:cs="Calibri"/>
                <w:b/>
                <w:bCs/>
                <w:color w:val="000000"/>
                <w:sz w:val="18"/>
                <w:szCs w:val="20"/>
              </w:rPr>
            </w:pPr>
            <w:r w:rsidRPr="00495067">
              <w:rPr>
                <w:rFonts w:ascii="Calibri" w:hAnsi="Calibri" w:cs="Calibri"/>
                <w:b/>
                <w:bCs/>
                <w:color w:val="000000"/>
                <w:sz w:val="18"/>
                <w:szCs w:val="20"/>
              </w:rPr>
              <w:t>Total Detyrime</w:t>
            </w:r>
          </w:p>
        </w:tc>
        <w:tc>
          <w:tcPr>
            <w:tcW w:w="1751" w:type="dxa"/>
            <w:tcBorders>
              <w:top w:val="nil"/>
              <w:left w:val="nil"/>
              <w:bottom w:val="nil"/>
              <w:right w:val="nil"/>
            </w:tcBorders>
            <w:shd w:val="clear" w:color="auto" w:fill="FFFFFF"/>
            <w:noWrap/>
            <w:vAlign w:val="center"/>
            <w:hideMark/>
          </w:tcPr>
          <w:p w14:paraId="193E51A4"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42,187,738</w:t>
            </w:r>
          </w:p>
        </w:tc>
        <w:tc>
          <w:tcPr>
            <w:tcW w:w="1745" w:type="dxa"/>
            <w:tcBorders>
              <w:top w:val="nil"/>
              <w:left w:val="nil"/>
              <w:bottom w:val="nil"/>
              <w:right w:val="nil"/>
            </w:tcBorders>
            <w:shd w:val="clear" w:color="auto" w:fill="FFFFFF"/>
            <w:noWrap/>
            <w:vAlign w:val="center"/>
            <w:hideMark/>
          </w:tcPr>
          <w:p w14:paraId="06CEC3FB"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48,167,741</w:t>
            </w:r>
          </w:p>
        </w:tc>
        <w:tc>
          <w:tcPr>
            <w:tcW w:w="1800" w:type="dxa"/>
            <w:tcBorders>
              <w:top w:val="nil"/>
              <w:left w:val="nil"/>
              <w:bottom w:val="nil"/>
              <w:right w:val="single" w:sz="24" w:space="0" w:color="95B3D7"/>
            </w:tcBorders>
            <w:shd w:val="clear" w:color="auto" w:fill="FFFFFF"/>
            <w:noWrap/>
            <w:vAlign w:val="center"/>
            <w:hideMark/>
          </w:tcPr>
          <w:p w14:paraId="45412347"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44,348,804</w:t>
            </w:r>
          </w:p>
        </w:tc>
      </w:tr>
      <w:tr w:rsidR="00495067" w:rsidRPr="00495067" w14:paraId="0AF9BFA0" w14:textId="77777777" w:rsidTr="00495067">
        <w:trPr>
          <w:trHeight w:val="240"/>
          <w:jc w:val="center"/>
        </w:trPr>
        <w:tc>
          <w:tcPr>
            <w:tcW w:w="1920" w:type="dxa"/>
            <w:tcBorders>
              <w:top w:val="nil"/>
              <w:left w:val="single" w:sz="24" w:space="0" w:color="95B3D7"/>
              <w:bottom w:val="single" w:sz="24" w:space="0" w:color="95B3D7"/>
              <w:right w:val="nil"/>
            </w:tcBorders>
            <w:shd w:val="clear" w:color="auto" w:fill="FFFFFF"/>
            <w:noWrap/>
            <w:vAlign w:val="center"/>
            <w:hideMark/>
          </w:tcPr>
          <w:p w14:paraId="014442EE" w14:textId="77777777" w:rsidR="00495067" w:rsidRPr="00495067" w:rsidRDefault="00495067" w:rsidP="00495067">
            <w:pPr>
              <w:rPr>
                <w:rFonts w:ascii="Calibri" w:hAnsi="Calibri" w:cs="Calibri"/>
                <w:b/>
                <w:bCs/>
                <w:color w:val="000000"/>
                <w:sz w:val="18"/>
                <w:szCs w:val="20"/>
              </w:rPr>
            </w:pPr>
            <w:r w:rsidRPr="00495067">
              <w:rPr>
                <w:rFonts w:ascii="Calibri" w:hAnsi="Calibri" w:cs="Calibri"/>
                <w:b/>
                <w:bCs/>
                <w:color w:val="000000"/>
                <w:sz w:val="18"/>
                <w:szCs w:val="20"/>
              </w:rPr>
              <w:t>Kapital</w:t>
            </w:r>
          </w:p>
        </w:tc>
        <w:tc>
          <w:tcPr>
            <w:tcW w:w="1751" w:type="dxa"/>
            <w:tcBorders>
              <w:top w:val="nil"/>
              <w:left w:val="nil"/>
              <w:bottom w:val="single" w:sz="24" w:space="0" w:color="95B3D7"/>
              <w:right w:val="nil"/>
            </w:tcBorders>
            <w:shd w:val="clear" w:color="auto" w:fill="FFFFFF"/>
            <w:noWrap/>
            <w:vAlign w:val="center"/>
            <w:hideMark/>
          </w:tcPr>
          <w:p w14:paraId="32C84641"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33,384,057</w:t>
            </w:r>
          </w:p>
        </w:tc>
        <w:tc>
          <w:tcPr>
            <w:tcW w:w="1745" w:type="dxa"/>
            <w:tcBorders>
              <w:top w:val="nil"/>
              <w:left w:val="nil"/>
              <w:bottom w:val="single" w:sz="24" w:space="0" w:color="95B3D7"/>
              <w:right w:val="nil"/>
            </w:tcBorders>
            <w:shd w:val="clear" w:color="auto" w:fill="FFFFFF"/>
            <w:noWrap/>
            <w:vAlign w:val="center"/>
            <w:hideMark/>
          </w:tcPr>
          <w:p w14:paraId="483C0262"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33,816,326</w:t>
            </w:r>
          </w:p>
        </w:tc>
        <w:tc>
          <w:tcPr>
            <w:tcW w:w="1800" w:type="dxa"/>
            <w:tcBorders>
              <w:top w:val="nil"/>
              <w:left w:val="nil"/>
              <w:bottom w:val="single" w:sz="24" w:space="0" w:color="95B3D7"/>
              <w:right w:val="single" w:sz="24" w:space="0" w:color="95B3D7"/>
            </w:tcBorders>
            <w:shd w:val="clear" w:color="auto" w:fill="FFFFFF"/>
            <w:noWrap/>
            <w:vAlign w:val="center"/>
            <w:hideMark/>
          </w:tcPr>
          <w:p w14:paraId="4134359E" w14:textId="77777777" w:rsidR="00495067" w:rsidRPr="00495067" w:rsidRDefault="00495067" w:rsidP="00495067">
            <w:pPr>
              <w:jc w:val="right"/>
              <w:rPr>
                <w:rFonts w:ascii="Calibri" w:hAnsi="Calibri" w:cs="Calibri"/>
                <w:b/>
                <w:i/>
                <w:color w:val="C00000"/>
                <w:sz w:val="18"/>
                <w:szCs w:val="20"/>
              </w:rPr>
            </w:pPr>
            <w:r w:rsidRPr="00495067">
              <w:rPr>
                <w:rFonts w:ascii="Calibri" w:hAnsi="Calibri" w:cs="Calibri"/>
                <w:b/>
                <w:i/>
                <w:color w:val="C00000"/>
                <w:sz w:val="18"/>
                <w:szCs w:val="20"/>
              </w:rPr>
              <w:t>33,670,580</w:t>
            </w:r>
          </w:p>
        </w:tc>
      </w:tr>
    </w:tbl>
    <w:p w14:paraId="75867785" w14:textId="63FF8695" w:rsidR="00F07CB3" w:rsidRDefault="00F07CB3" w:rsidP="00495067">
      <w:pPr>
        <w:ind w:left="720" w:firstLine="720"/>
        <w:contextualSpacing/>
        <w:jc w:val="both"/>
        <w:rPr>
          <w:rFonts w:ascii="Calibri" w:hAnsi="Calibri"/>
          <w:i/>
          <w:sz w:val="20"/>
          <w:szCs w:val="20"/>
          <w:lang w:val="sq-AL"/>
        </w:rPr>
      </w:pPr>
      <w:r>
        <w:rPr>
          <w:rFonts w:ascii="Calibri" w:hAnsi="Calibri"/>
          <w:i/>
          <w:sz w:val="20"/>
          <w:szCs w:val="20"/>
          <w:lang w:val="sq-AL"/>
        </w:rPr>
        <w:t xml:space="preserve">Burimi: OST </w:t>
      </w:r>
      <w:r w:rsidR="00B703A6">
        <w:rPr>
          <w:rFonts w:ascii="Calibri" w:hAnsi="Calibri"/>
          <w:i/>
          <w:sz w:val="20"/>
          <w:szCs w:val="20"/>
          <w:lang w:val="sq-AL"/>
        </w:rPr>
        <w:t>sh.a</w:t>
      </w:r>
      <w:r>
        <w:rPr>
          <w:rFonts w:ascii="Calibri" w:hAnsi="Calibri"/>
          <w:i/>
          <w:sz w:val="20"/>
          <w:szCs w:val="20"/>
          <w:lang w:val="sq-AL"/>
        </w:rPr>
        <w:t>.</w:t>
      </w:r>
    </w:p>
    <w:p w14:paraId="5CDAF8AA" w14:textId="7EE1451A" w:rsidR="00495067" w:rsidRDefault="00495067" w:rsidP="00495067">
      <w:pPr>
        <w:ind w:left="720" w:firstLine="720"/>
        <w:contextualSpacing/>
        <w:jc w:val="both"/>
        <w:rPr>
          <w:rFonts w:ascii="Calibri" w:hAnsi="Calibri"/>
          <w:i/>
          <w:sz w:val="20"/>
          <w:szCs w:val="20"/>
          <w:lang w:val="sq-AL"/>
        </w:rPr>
      </w:pPr>
    </w:p>
    <w:p w14:paraId="2324E27E" w14:textId="77777777" w:rsidR="00495067" w:rsidRDefault="00495067" w:rsidP="00495067">
      <w:pPr>
        <w:ind w:left="720" w:firstLine="720"/>
        <w:contextualSpacing/>
        <w:jc w:val="both"/>
        <w:rPr>
          <w:rFonts w:ascii="Calibri" w:hAnsi="Calibri"/>
          <w:i/>
          <w:sz w:val="20"/>
          <w:szCs w:val="20"/>
          <w:lang w:val="sq-AL"/>
        </w:rPr>
      </w:pPr>
    </w:p>
    <w:p w14:paraId="38270D06" w14:textId="77777777" w:rsidR="00F07CB3" w:rsidRPr="0093018B" w:rsidRDefault="001E7F35" w:rsidP="00056DE5">
      <w:pPr>
        <w:pStyle w:val="Heading2"/>
        <w:numPr>
          <w:ilvl w:val="0"/>
          <w:numId w:val="31"/>
        </w:numPr>
        <w:ind w:left="360"/>
        <w:rPr>
          <w:sz w:val="26"/>
          <w:szCs w:val="26"/>
        </w:rPr>
      </w:pPr>
      <w:bookmarkStart w:id="135" w:name="_Toc104980348"/>
      <w:bookmarkStart w:id="136" w:name="_Toc107496998"/>
      <w:r w:rsidRPr="0093018B">
        <w:rPr>
          <w:sz w:val="26"/>
          <w:szCs w:val="26"/>
        </w:rPr>
        <w:t>Ndërmarrjet shtetërore – Sektori i</w:t>
      </w:r>
      <w:r w:rsidR="00F07CB3" w:rsidRPr="0093018B">
        <w:rPr>
          <w:sz w:val="26"/>
          <w:szCs w:val="26"/>
        </w:rPr>
        <w:t xml:space="preserve"> Ujësjellës-Kanalizimeve</w:t>
      </w:r>
      <w:bookmarkEnd w:id="135"/>
      <w:bookmarkEnd w:id="136"/>
    </w:p>
    <w:p w14:paraId="563AF9F3" w14:textId="5F42A3E5" w:rsidR="00495067" w:rsidRDefault="00495067" w:rsidP="001E7F35">
      <w:pPr>
        <w:contextualSpacing/>
        <w:jc w:val="both"/>
        <w:rPr>
          <w:rFonts w:asciiTheme="minorHAnsi" w:hAnsiTheme="minorHAnsi"/>
          <w:bCs/>
          <w:lang w:val="sq-AL" w:eastAsia="sq-AL"/>
        </w:rPr>
      </w:pPr>
      <w:r w:rsidRPr="00000809">
        <w:rPr>
          <w:rFonts w:asciiTheme="minorHAnsi" w:hAnsiTheme="minorHAnsi"/>
          <w:bCs/>
          <w:lang w:val="sq-AL" w:eastAsia="sq-AL"/>
        </w:rPr>
        <w:t>Në kuadër të përmirësimit të monitorimit të ndërmarrjeve shtetërore, Ministria e Financave dhe Ekonomisë ka monitoruar disa tregues kryesorë financiarë të ndërmarrjeve të Ujësjellës</w:t>
      </w:r>
      <w:r>
        <w:rPr>
          <w:rFonts w:asciiTheme="minorHAnsi" w:hAnsiTheme="minorHAnsi"/>
          <w:bCs/>
          <w:lang w:val="sq-AL" w:eastAsia="sq-AL"/>
        </w:rPr>
        <w:t>-</w:t>
      </w:r>
      <w:r w:rsidRPr="00000809">
        <w:rPr>
          <w:rFonts w:asciiTheme="minorHAnsi" w:hAnsiTheme="minorHAnsi"/>
          <w:bCs/>
          <w:lang w:val="sq-AL" w:eastAsia="sq-AL"/>
        </w:rPr>
        <w:t>Kanalizime. Treguesit kryesorë të performancës për T1 2023 për ndërmarrjet UK të analizuar</w:t>
      </w:r>
      <w:r>
        <w:rPr>
          <w:rFonts w:asciiTheme="minorHAnsi" w:hAnsiTheme="minorHAnsi"/>
          <w:bCs/>
          <w:lang w:val="sq-AL" w:eastAsia="sq-AL"/>
        </w:rPr>
        <w:t>a</w:t>
      </w:r>
      <w:r w:rsidRPr="00000809">
        <w:rPr>
          <w:rFonts w:asciiTheme="minorHAnsi" w:hAnsiTheme="minorHAnsi"/>
          <w:bCs/>
          <w:lang w:val="sq-AL" w:eastAsia="sq-AL"/>
        </w:rPr>
        <w:t>, tregojnë një vijimësi të gjendjes ekzistuese financiare dhe vështirësi në pagimin e detyrimeve dhe mbledhjen e të ardhurave të faturuara korente dhe të prapambetura, duke sinjalizuar probleme potenciale të likuiditetit në periudhën afashkurtër.</w:t>
      </w:r>
      <w:r>
        <w:rPr>
          <w:rFonts w:asciiTheme="minorHAnsi" w:hAnsiTheme="minorHAnsi"/>
          <w:bCs/>
          <w:lang w:val="sq-AL" w:eastAsia="sq-AL"/>
        </w:rPr>
        <w:t xml:space="preserve"> </w:t>
      </w:r>
      <w:r w:rsidRPr="00000809">
        <w:rPr>
          <w:rFonts w:asciiTheme="minorHAnsi" w:hAnsiTheme="minorHAnsi"/>
          <w:bCs/>
          <w:lang w:val="sq-AL" w:eastAsia="sq-AL"/>
        </w:rPr>
        <w:t>Pasojat nga pandemia COVID19 dhe faktorë të tillë si efektet e krizës globale energjetike, lufta në Ukrainë, luhatjet e çmimeve të energjisë, karburanteve dhe inputeve kanë pa</w:t>
      </w:r>
      <w:r>
        <w:rPr>
          <w:rFonts w:asciiTheme="minorHAnsi" w:hAnsiTheme="minorHAnsi"/>
          <w:bCs/>
          <w:lang w:val="sq-AL" w:eastAsia="sq-AL"/>
        </w:rPr>
        <w:t>t</w:t>
      </w:r>
      <w:r w:rsidRPr="00000809">
        <w:rPr>
          <w:rFonts w:asciiTheme="minorHAnsi" w:hAnsiTheme="minorHAnsi"/>
          <w:bCs/>
          <w:lang w:val="sq-AL" w:eastAsia="sq-AL"/>
        </w:rPr>
        <w:t xml:space="preserve">ur impakt të konsiderueshëm në </w:t>
      </w:r>
      <w:r>
        <w:rPr>
          <w:rFonts w:asciiTheme="minorHAnsi" w:hAnsiTheme="minorHAnsi"/>
          <w:bCs/>
          <w:lang w:val="sq-AL" w:eastAsia="sq-AL"/>
        </w:rPr>
        <w:t>performanc</w:t>
      </w:r>
      <w:r w:rsidR="004B3FF3">
        <w:rPr>
          <w:rFonts w:asciiTheme="minorHAnsi" w:hAnsiTheme="minorHAnsi"/>
          <w:bCs/>
          <w:lang w:val="sq-AL" w:eastAsia="sq-AL"/>
        </w:rPr>
        <w:t>ë</w:t>
      </w:r>
      <w:r>
        <w:rPr>
          <w:rFonts w:asciiTheme="minorHAnsi" w:hAnsiTheme="minorHAnsi"/>
          <w:bCs/>
          <w:lang w:val="sq-AL" w:eastAsia="sq-AL"/>
        </w:rPr>
        <w:t>n financiare</w:t>
      </w:r>
      <w:r w:rsidRPr="00000809">
        <w:rPr>
          <w:rFonts w:asciiTheme="minorHAnsi" w:hAnsiTheme="minorHAnsi"/>
          <w:bCs/>
          <w:lang w:val="sq-AL" w:eastAsia="sq-AL"/>
        </w:rPr>
        <w:t xml:space="preserve"> të ndërmarrjeve UK. </w:t>
      </w:r>
    </w:p>
    <w:p w14:paraId="51C5EE51" w14:textId="77777777" w:rsidR="008879EF" w:rsidRDefault="008879EF" w:rsidP="001E7F35">
      <w:pPr>
        <w:contextualSpacing/>
        <w:jc w:val="both"/>
        <w:rPr>
          <w:rFonts w:asciiTheme="minorHAnsi" w:hAnsiTheme="minorHAnsi"/>
          <w:bCs/>
          <w:lang w:val="sq-AL" w:eastAsia="sq-AL"/>
        </w:rPr>
      </w:pPr>
    </w:p>
    <w:p w14:paraId="5BFAD3C7" w14:textId="77777777" w:rsidR="008879EF" w:rsidRDefault="008879EF" w:rsidP="008879EF">
      <w:pPr>
        <w:contextualSpacing/>
        <w:jc w:val="both"/>
        <w:rPr>
          <w:rFonts w:asciiTheme="minorHAnsi" w:hAnsiTheme="minorHAnsi"/>
          <w:bCs/>
          <w:lang w:val="sq-AL" w:eastAsia="sq-AL"/>
        </w:rPr>
      </w:pPr>
    </w:p>
    <w:p w14:paraId="210AB9F3" w14:textId="77777777" w:rsidR="008879EF" w:rsidRDefault="008879EF" w:rsidP="008879EF">
      <w:pPr>
        <w:contextualSpacing/>
        <w:jc w:val="both"/>
        <w:rPr>
          <w:rFonts w:asciiTheme="minorHAnsi" w:hAnsiTheme="minorHAnsi"/>
          <w:bCs/>
          <w:lang w:val="sq-AL" w:eastAsia="sq-AL"/>
        </w:rPr>
      </w:pPr>
    </w:p>
    <w:p w14:paraId="43A2B306" w14:textId="77777777" w:rsidR="008879EF" w:rsidRDefault="008879EF" w:rsidP="008879EF">
      <w:pPr>
        <w:contextualSpacing/>
        <w:jc w:val="both"/>
        <w:rPr>
          <w:rFonts w:asciiTheme="minorHAnsi" w:hAnsiTheme="minorHAnsi"/>
          <w:bCs/>
          <w:lang w:val="sq-AL" w:eastAsia="sq-AL"/>
        </w:rPr>
      </w:pPr>
      <w:r w:rsidRPr="0092722C">
        <w:rPr>
          <w:rFonts w:asciiTheme="minorHAnsi" w:hAnsiTheme="minorHAnsi"/>
          <w:bCs/>
          <w:lang w:val="sq-AL" w:eastAsia="sq-AL"/>
        </w:rPr>
        <w:lastRenderedPageBreak/>
        <w:t>Ndërkohë, në ligjin nr.84 datë 24.11.2022 “Për buxhetin e vitit 2023</w:t>
      </w:r>
      <w:r>
        <w:rPr>
          <w:rFonts w:asciiTheme="minorHAnsi" w:hAnsiTheme="minorHAnsi"/>
          <w:bCs/>
          <w:lang w:val="sq-AL" w:eastAsia="sq-AL"/>
        </w:rPr>
        <w:t xml:space="preserve">”, është planifikuar fondi prej </w:t>
      </w:r>
      <w:r w:rsidRPr="0092722C">
        <w:rPr>
          <w:rFonts w:asciiTheme="minorHAnsi" w:hAnsiTheme="minorHAnsi"/>
          <w:bCs/>
          <w:lang w:val="sq-AL" w:eastAsia="sq-AL"/>
        </w:rPr>
        <w:t>3</w:t>
      </w:r>
      <w:r>
        <w:rPr>
          <w:rFonts w:asciiTheme="minorHAnsi" w:hAnsiTheme="minorHAnsi"/>
          <w:bCs/>
          <w:lang w:val="sq-AL" w:eastAsia="sq-AL"/>
        </w:rPr>
        <w:t>1</w:t>
      </w:r>
      <w:r w:rsidRPr="0092722C">
        <w:rPr>
          <w:rFonts w:asciiTheme="minorHAnsi" w:hAnsiTheme="minorHAnsi"/>
          <w:bCs/>
          <w:lang w:val="sq-AL" w:eastAsia="sq-AL"/>
        </w:rPr>
        <w:t>0 milion LEK alokuar në strukturën buxhetore të Ministrisë së Infrastrukturës dhe Energjisë, i cili detajohet nga AKUM/MIE bazuar në kriteret e përcaktuara në Udhëzimin “</w:t>
      </w:r>
      <w:r w:rsidRPr="0092722C">
        <w:rPr>
          <w:rFonts w:asciiTheme="minorHAnsi" w:hAnsiTheme="minorHAnsi"/>
          <w:bCs/>
          <w:i/>
          <w:lang w:val="sq-AL" w:eastAsia="sq-AL"/>
        </w:rPr>
        <w:t>Për miratimin e metodologjisë për kriteret dhe</w:t>
      </w:r>
      <w:r w:rsidRPr="0092722C">
        <w:rPr>
          <w:rFonts w:asciiTheme="minorHAnsi" w:hAnsiTheme="minorHAnsi"/>
          <w:b/>
          <w:bCs/>
          <w:i/>
          <w:lang w:val="sq-AL" w:eastAsia="sq-AL"/>
        </w:rPr>
        <w:t xml:space="preserve"> </w:t>
      </w:r>
      <w:r w:rsidRPr="0092722C">
        <w:rPr>
          <w:rFonts w:asciiTheme="minorHAnsi" w:hAnsiTheme="minorHAnsi"/>
          <w:bCs/>
          <w:i/>
          <w:lang w:val="sq-AL" w:eastAsia="sq-AL"/>
        </w:rPr>
        <w:t>procedurat, për shpërndarjen dhe përdorimin e</w:t>
      </w:r>
      <w:r w:rsidRPr="0092722C">
        <w:rPr>
          <w:rFonts w:asciiTheme="minorHAnsi" w:hAnsiTheme="minorHAnsi"/>
          <w:b/>
          <w:bCs/>
          <w:i/>
          <w:lang w:val="sq-AL" w:eastAsia="sq-AL"/>
        </w:rPr>
        <w:t xml:space="preserve"> </w:t>
      </w:r>
      <w:r w:rsidRPr="0092722C">
        <w:rPr>
          <w:rFonts w:asciiTheme="minorHAnsi" w:hAnsiTheme="minorHAnsi"/>
          <w:bCs/>
          <w:i/>
          <w:lang w:val="sq-AL" w:eastAsia="sq-AL"/>
        </w:rPr>
        <w:t>subvencioneve shtetërore, për shoqëritë aksionare të</w:t>
      </w:r>
      <w:r w:rsidRPr="0092722C">
        <w:rPr>
          <w:rFonts w:asciiTheme="minorHAnsi" w:hAnsiTheme="minorHAnsi"/>
          <w:b/>
          <w:bCs/>
          <w:i/>
          <w:lang w:val="sq-AL" w:eastAsia="sq-AL"/>
        </w:rPr>
        <w:t xml:space="preserve"> </w:t>
      </w:r>
      <w:r w:rsidRPr="0092722C">
        <w:rPr>
          <w:rFonts w:asciiTheme="minorHAnsi" w:hAnsiTheme="minorHAnsi"/>
          <w:bCs/>
          <w:i/>
          <w:lang w:val="sq-AL" w:eastAsia="sq-AL"/>
        </w:rPr>
        <w:t>ujësjellës-kanalizimeve</w:t>
      </w:r>
      <w:r w:rsidRPr="0092722C">
        <w:rPr>
          <w:rFonts w:asciiTheme="minorHAnsi" w:hAnsiTheme="minorHAnsi"/>
          <w:bCs/>
          <w:lang w:val="sq-AL" w:eastAsia="sq-AL"/>
        </w:rPr>
        <w:t>...”,</w:t>
      </w:r>
      <w:r w:rsidRPr="0092722C">
        <w:rPr>
          <w:rFonts w:asciiTheme="minorHAnsi" w:hAnsiTheme="minorHAnsi"/>
          <w:b/>
          <w:bCs/>
          <w:lang w:val="sq-AL" w:eastAsia="sq-AL"/>
        </w:rPr>
        <w:t xml:space="preserve"> </w:t>
      </w:r>
      <w:r w:rsidRPr="0092722C">
        <w:rPr>
          <w:rFonts w:asciiTheme="minorHAnsi" w:hAnsiTheme="minorHAnsi"/>
          <w:bCs/>
          <w:lang w:val="sq-AL" w:eastAsia="sq-AL"/>
        </w:rPr>
        <w:t>miratuar nga Ministri përgjegjës pë</w:t>
      </w:r>
      <w:r>
        <w:rPr>
          <w:rFonts w:asciiTheme="minorHAnsi" w:hAnsiTheme="minorHAnsi"/>
          <w:bCs/>
          <w:lang w:val="sq-AL" w:eastAsia="sq-AL"/>
        </w:rPr>
        <w:t>r</w:t>
      </w:r>
      <w:r w:rsidRPr="0092722C">
        <w:rPr>
          <w:rFonts w:asciiTheme="minorHAnsi" w:hAnsiTheme="minorHAnsi"/>
          <w:bCs/>
          <w:lang w:val="sq-AL" w:eastAsia="sq-AL"/>
        </w:rPr>
        <w:t xml:space="preserve"> Infrastrukturën dhe Energjinë. </w:t>
      </w:r>
      <w:r w:rsidRPr="008020F3">
        <w:rPr>
          <w:rFonts w:asciiTheme="minorHAnsi" w:hAnsiTheme="minorHAnsi"/>
          <w:bCs/>
          <w:lang w:val="sq-AL" w:eastAsia="sq-AL"/>
        </w:rPr>
        <w:t>Ky subvencion akordohet për ndërmarrjet të cilat nuk arrijnë të mbulojnë kostot/shpenzimet e operimit dhe mirëmbajtjes.</w:t>
      </w:r>
      <w:r>
        <w:rPr>
          <w:rFonts w:asciiTheme="minorHAnsi" w:hAnsiTheme="minorHAnsi"/>
          <w:bCs/>
          <w:lang w:val="sq-AL" w:eastAsia="sq-AL"/>
        </w:rPr>
        <w:t xml:space="preserve"> </w:t>
      </w:r>
    </w:p>
    <w:p w14:paraId="18114EB0" w14:textId="77777777" w:rsidR="008879EF" w:rsidRPr="008879EF" w:rsidRDefault="008879EF" w:rsidP="008879EF">
      <w:pPr>
        <w:contextualSpacing/>
        <w:jc w:val="both"/>
        <w:rPr>
          <w:rFonts w:asciiTheme="minorHAnsi" w:hAnsiTheme="minorHAnsi"/>
          <w:bCs/>
          <w:sz w:val="12"/>
          <w:lang w:val="sq-AL" w:eastAsia="sq-AL"/>
        </w:rPr>
      </w:pPr>
    </w:p>
    <w:p w14:paraId="16E786E2" w14:textId="660BEC3C" w:rsidR="00EE0222" w:rsidRPr="00EE0222" w:rsidRDefault="00EE0222" w:rsidP="00EE0222">
      <w:pPr>
        <w:contextualSpacing/>
        <w:jc w:val="both"/>
        <w:rPr>
          <w:rFonts w:asciiTheme="minorHAnsi" w:hAnsiTheme="minorHAnsi"/>
          <w:bCs/>
          <w:iCs/>
          <w:lang w:val="sq-AL" w:eastAsia="sq-AL"/>
        </w:rPr>
      </w:pPr>
      <w:r>
        <w:rPr>
          <w:rFonts w:asciiTheme="minorHAnsi" w:hAnsiTheme="minorHAnsi"/>
          <w:bCs/>
          <w:lang w:val="sq-AL" w:eastAsia="sq-AL"/>
        </w:rPr>
        <w:t>S</w:t>
      </w:r>
      <w:r w:rsidR="008879EF">
        <w:rPr>
          <w:rFonts w:asciiTheme="minorHAnsi" w:hAnsiTheme="minorHAnsi"/>
          <w:bCs/>
          <w:lang w:val="sq-AL" w:eastAsia="sq-AL"/>
        </w:rPr>
        <w:t>jellim n</w:t>
      </w:r>
      <w:r w:rsidR="00EA4B27">
        <w:rPr>
          <w:rFonts w:asciiTheme="minorHAnsi" w:hAnsiTheme="minorHAnsi"/>
          <w:bCs/>
          <w:lang w:val="sq-AL" w:eastAsia="sq-AL"/>
        </w:rPr>
        <w:t>ë</w:t>
      </w:r>
      <w:r w:rsidR="008879EF">
        <w:rPr>
          <w:rFonts w:asciiTheme="minorHAnsi" w:hAnsiTheme="minorHAnsi"/>
          <w:bCs/>
          <w:lang w:val="sq-AL" w:eastAsia="sq-AL"/>
        </w:rPr>
        <w:t xml:space="preserve"> v</w:t>
      </w:r>
      <w:r w:rsidR="00EA4B27">
        <w:rPr>
          <w:rFonts w:asciiTheme="minorHAnsi" w:hAnsiTheme="minorHAnsi"/>
          <w:bCs/>
          <w:lang w:val="sq-AL" w:eastAsia="sq-AL"/>
        </w:rPr>
        <w:t>ë</w:t>
      </w:r>
      <w:r w:rsidR="008879EF">
        <w:rPr>
          <w:rFonts w:asciiTheme="minorHAnsi" w:hAnsiTheme="minorHAnsi"/>
          <w:bCs/>
          <w:lang w:val="sq-AL" w:eastAsia="sq-AL"/>
        </w:rPr>
        <w:t>mendje se</w:t>
      </w:r>
      <w:r w:rsidR="008879EF" w:rsidRPr="008020F3">
        <w:rPr>
          <w:rFonts w:asciiTheme="minorHAnsi" w:hAnsiTheme="minorHAnsi"/>
          <w:bCs/>
          <w:lang w:val="sq-AL" w:eastAsia="sq-AL"/>
        </w:rPr>
        <w:t xml:space="preserve"> </w:t>
      </w:r>
      <w:r w:rsidR="008879EF">
        <w:rPr>
          <w:rFonts w:asciiTheme="minorHAnsi" w:hAnsiTheme="minorHAnsi"/>
          <w:bCs/>
          <w:lang w:val="sq-AL" w:eastAsia="sq-AL"/>
        </w:rPr>
        <w:t>n</w:t>
      </w:r>
      <w:r w:rsidR="00EA4B27">
        <w:rPr>
          <w:rFonts w:asciiTheme="minorHAnsi" w:hAnsiTheme="minorHAnsi"/>
          <w:bCs/>
          <w:lang w:val="sq-AL" w:eastAsia="sq-AL"/>
        </w:rPr>
        <w:t>ë</w:t>
      </w:r>
      <w:r w:rsidR="008879EF">
        <w:rPr>
          <w:rFonts w:asciiTheme="minorHAnsi" w:hAnsiTheme="minorHAnsi"/>
          <w:bCs/>
          <w:lang w:val="sq-AL" w:eastAsia="sq-AL"/>
        </w:rPr>
        <w:t xml:space="preserve"> vitin 2022 startoi </w:t>
      </w:r>
      <w:r w:rsidR="001C5822" w:rsidRPr="00EA73E5">
        <w:rPr>
          <w:rFonts w:asciiTheme="minorHAnsi" w:hAnsiTheme="minorHAnsi"/>
          <w:bCs/>
          <w:iCs/>
          <w:lang w:val="sq-AL" w:eastAsia="sq-AL"/>
        </w:rPr>
        <w:t xml:space="preserve">procesi i reformimit dhe riorganizimit të </w:t>
      </w:r>
      <w:r w:rsidR="001C5822">
        <w:rPr>
          <w:rFonts w:asciiTheme="minorHAnsi" w:hAnsiTheme="minorHAnsi"/>
          <w:bCs/>
          <w:iCs/>
          <w:lang w:val="sq-AL" w:eastAsia="sq-AL"/>
        </w:rPr>
        <w:t>S</w:t>
      </w:r>
      <w:r w:rsidR="001C5822" w:rsidRPr="00EA73E5">
        <w:rPr>
          <w:rFonts w:asciiTheme="minorHAnsi" w:hAnsiTheme="minorHAnsi"/>
          <w:bCs/>
          <w:iCs/>
          <w:lang w:val="sq-AL" w:eastAsia="sq-AL"/>
        </w:rPr>
        <w:t xml:space="preserve">ektorit të Ujit, në përputhje me Strategjinë Kombëtare të </w:t>
      </w:r>
      <w:r w:rsidR="001C5822">
        <w:rPr>
          <w:rFonts w:asciiTheme="minorHAnsi" w:hAnsiTheme="minorHAnsi"/>
          <w:bCs/>
          <w:iCs/>
          <w:lang w:val="sq-AL" w:eastAsia="sq-AL"/>
        </w:rPr>
        <w:t>“</w:t>
      </w:r>
      <w:r w:rsidR="001C5822" w:rsidRPr="001C5822">
        <w:rPr>
          <w:rFonts w:asciiTheme="minorHAnsi" w:hAnsiTheme="minorHAnsi"/>
          <w:bCs/>
          <w:i/>
          <w:iCs/>
          <w:lang w:val="sq-AL" w:eastAsia="sq-AL"/>
        </w:rPr>
        <w:t>Furnizimit me Ujë dhe Kanalizimeve 2020-2030</w:t>
      </w:r>
      <w:r w:rsidR="001C5822">
        <w:rPr>
          <w:rFonts w:asciiTheme="minorHAnsi" w:hAnsiTheme="minorHAnsi"/>
          <w:bCs/>
          <w:iCs/>
          <w:lang w:val="sq-AL" w:eastAsia="sq-AL"/>
        </w:rPr>
        <w:t>”</w:t>
      </w:r>
      <w:r w:rsidR="001C5822" w:rsidRPr="00EA73E5">
        <w:rPr>
          <w:rFonts w:asciiTheme="minorHAnsi" w:hAnsiTheme="minorHAnsi"/>
          <w:bCs/>
          <w:iCs/>
          <w:lang w:val="sq-AL" w:eastAsia="sq-AL"/>
        </w:rPr>
        <w:t xml:space="preserve">. Synimi është ridimensionimi i 58 ndërmarrjeve UK aktuale, përmes rigrupimit të tyre në 15 shoqëri SKP-UK rajonale, me qëllim final menaxhimin optimal dhe rritjen e performancës së tyre financiare </w:t>
      </w:r>
      <w:bookmarkStart w:id="137" w:name="_Hlk138321866"/>
      <w:r w:rsidR="001C5822" w:rsidRPr="008879EF">
        <w:rPr>
          <w:rFonts w:asciiTheme="minorHAnsi" w:hAnsiTheme="minorHAnsi"/>
          <w:bCs/>
          <w:iCs/>
          <w:lang w:val="sq-AL" w:eastAsia="sq-AL"/>
        </w:rPr>
        <w:t>në zbatim të VKM nr.302 datë 11.05.2022</w:t>
      </w:r>
      <w:r w:rsidR="001C5822" w:rsidRPr="00EA73E5">
        <w:rPr>
          <w:rFonts w:asciiTheme="minorHAnsi" w:hAnsiTheme="minorHAnsi"/>
          <w:bCs/>
          <w:iCs/>
          <w:lang w:val="sq-AL" w:eastAsia="sq-AL"/>
        </w:rPr>
        <w:t xml:space="preserve"> </w:t>
      </w:r>
      <w:bookmarkEnd w:id="137"/>
      <w:r w:rsidR="001C5822" w:rsidRPr="00EA73E5">
        <w:rPr>
          <w:rFonts w:asciiTheme="minorHAnsi" w:hAnsiTheme="minorHAnsi"/>
          <w:bCs/>
          <w:iCs/>
          <w:lang w:val="sq-AL" w:eastAsia="sq-AL"/>
        </w:rPr>
        <w:t>“</w:t>
      </w:r>
      <w:r w:rsidR="001C5822" w:rsidRPr="00EA73E5">
        <w:rPr>
          <w:rFonts w:asciiTheme="minorHAnsi" w:hAnsiTheme="minorHAnsi"/>
          <w:bCs/>
          <w:i/>
          <w:iCs/>
          <w:lang w:val="sq-AL" w:eastAsia="sq-AL"/>
        </w:rPr>
        <w:t>Për politikat kombëtare për riorganizimin e sektorit të furnizimit me ujë dhe të largimit, trajtimit dhe përpunimit të ujërave të ndotura</w:t>
      </w:r>
      <w:r w:rsidR="001C5822" w:rsidRPr="00EA73E5">
        <w:rPr>
          <w:rFonts w:asciiTheme="minorHAnsi" w:hAnsiTheme="minorHAnsi"/>
          <w:bCs/>
          <w:iCs/>
          <w:lang w:val="sq-AL" w:eastAsia="sq-AL"/>
        </w:rPr>
        <w:t xml:space="preserve">”. </w:t>
      </w:r>
      <w:r w:rsidR="008879EF" w:rsidRPr="00EE0222">
        <w:rPr>
          <w:rFonts w:asciiTheme="minorHAnsi" w:hAnsiTheme="minorHAnsi"/>
          <w:bCs/>
          <w:iCs/>
          <w:lang w:val="sq-AL" w:eastAsia="sq-AL"/>
        </w:rPr>
        <w:t>Deri në Mars 2023</w:t>
      </w:r>
      <w:r>
        <w:rPr>
          <w:rFonts w:asciiTheme="minorHAnsi" w:hAnsiTheme="minorHAnsi"/>
          <w:bCs/>
          <w:iCs/>
          <w:lang w:val="sq-AL" w:eastAsia="sq-AL"/>
        </w:rPr>
        <w:t>:</w:t>
      </w:r>
      <w:r w:rsidR="008879EF" w:rsidRPr="00EE0222">
        <w:rPr>
          <w:rFonts w:asciiTheme="minorHAnsi" w:hAnsiTheme="minorHAnsi"/>
          <w:bCs/>
          <w:iCs/>
          <w:lang w:val="sq-AL" w:eastAsia="sq-AL"/>
        </w:rPr>
        <w:t xml:space="preserve"> </w:t>
      </w:r>
    </w:p>
    <w:p w14:paraId="7BFDC6A9" w14:textId="37338858" w:rsidR="00EE0222" w:rsidRPr="00EE0222" w:rsidRDefault="00EE0222" w:rsidP="00056DE5">
      <w:pPr>
        <w:pStyle w:val="ListParagraph"/>
        <w:numPr>
          <w:ilvl w:val="0"/>
          <w:numId w:val="65"/>
        </w:numPr>
        <w:ind w:left="360"/>
        <w:jc w:val="both"/>
        <w:rPr>
          <w:rFonts w:asciiTheme="minorHAnsi" w:hAnsiTheme="minorHAnsi"/>
          <w:bCs/>
          <w:i/>
          <w:lang w:val="sq-AL" w:eastAsia="sq-AL"/>
        </w:rPr>
      </w:pPr>
      <w:r>
        <w:rPr>
          <w:rFonts w:asciiTheme="minorHAnsi" w:hAnsiTheme="minorHAnsi"/>
          <w:bCs/>
          <w:i/>
          <w:iCs/>
          <w:lang w:val="sq-AL" w:eastAsia="sq-AL"/>
        </w:rPr>
        <w:t>J</w:t>
      </w:r>
      <w:r w:rsidR="008879EF" w:rsidRPr="00EE0222">
        <w:rPr>
          <w:rFonts w:asciiTheme="minorHAnsi" w:hAnsiTheme="minorHAnsi"/>
          <w:bCs/>
          <w:i/>
          <w:iCs/>
          <w:lang w:val="sq-AL" w:eastAsia="sq-AL"/>
        </w:rPr>
        <w:t xml:space="preserve">anë arritur marrëveshjet e transferimit të aktivitetit të shërbimeve UK ndërmjet 50 bashkive dhe si rrjedhojë janë krijuar 12 shoqëri UK rajonale nga 15 të parashikuara sipas reformës. </w:t>
      </w:r>
    </w:p>
    <w:p w14:paraId="2C228061" w14:textId="77777777" w:rsidR="00EE0222" w:rsidRPr="00EE0222" w:rsidRDefault="008879EF" w:rsidP="00056DE5">
      <w:pPr>
        <w:pStyle w:val="ListParagraph"/>
        <w:numPr>
          <w:ilvl w:val="0"/>
          <w:numId w:val="65"/>
        </w:numPr>
        <w:ind w:left="360"/>
        <w:jc w:val="both"/>
        <w:rPr>
          <w:rFonts w:asciiTheme="minorHAnsi" w:hAnsiTheme="minorHAnsi"/>
          <w:bCs/>
          <w:i/>
          <w:lang w:val="sq-AL" w:eastAsia="sq-AL"/>
        </w:rPr>
      </w:pPr>
      <w:r w:rsidRPr="00EE0222">
        <w:rPr>
          <w:rFonts w:asciiTheme="minorHAnsi" w:hAnsiTheme="minorHAnsi"/>
          <w:bCs/>
          <w:i/>
          <w:iCs/>
          <w:lang w:val="sq-AL" w:eastAsia="sq-AL"/>
        </w:rPr>
        <w:t xml:space="preserve">Shoqëritë e reja rajonale të krijuara janë: “SKP UK Korçë, SKP UK Pogradec, SKP UK Durrës, SKP UK Lezhë, SKP UK Dibër, SKP UK Kukës, SKP UK Berat, SKP UK Elbasan, SKP UK Gjirokastër, SKP UK Fier, SKP UK Lushnje, dhe SKP UK Sarandë”. </w:t>
      </w:r>
    </w:p>
    <w:p w14:paraId="497EA51C" w14:textId="4F0273D5" w:rsidR="001C5822" w:rsidRPr="00EE0222" w:rsidRDefault="008879EF" w:rsidP="00056DE5">
      <w:pPr>
        <w:pStyle w:val="ListParagraph"/>
        <w:numPr>
          <w:ilvl w:val="0"/>
          <w:numId w:val="65"/>
        </w:numPr>
        <w:ind w:left="360"/>
        <w:jc w:val="both"/>
        <w:rPr>
          <w:rFonts w:asciiTheme="minorHAnsi" w:hAnsiTheme="minorHAnsi"/>
          <w:bCs/>
          <w:i/>
          <w:lang w:val="sq-AL" w:eastAsia="sq-AL"/>
        </w:rPr>
      </w:pPr>
      <w:r w:rsidRPr="00EE0222">
        <w:rPr>
          <w:rFonts w:asciiTheme="minorHAnsi" w:hAnsiTheme="minorHAnsi"/>
          <w:bCs/>
          <w:i/>
          <w:iCs/>
          <w:lang w:val="sq-AL" w:eastAsia="sq-AL"/>
        </w:rPr>
        <w:t>Mbeten 11 bashki të cilat ende nuk kanë firmosur marrëveshjet e bashkëpunimit për krijimin e 3 shoqërive rajonale përkatësisht: “SKP UK Shkodër, SKP UK Tiranë dhe SKP UK Vlorë”</w:t>
      </w:r>
      <w:r w:rsidR="001C5822" w:rsidRPr="00EE0222">
        <w:rPr>
          <w:rFonts w:asciiTheme="minorHAnsi" w:hAnsiTheme="minorHAnsi"/>
          <w:bCs/>
          <w:i/>
          <w:iCs/>
          <w:lang w:val="sq-AL" w:eastAsia="sq-AL"/>
        </w:rPr>
        <w:t xml:space="preserve">  </w:t>
      </w:r>
    </w:p>
    <w:p w14:paraId="3C9D6350" w14:textId="77777777" w:rsidR="00EE0222" w:rsidRDefault="00EE0222" w:rsidP="00EE0222">
      <w:pPr>
        <w:spacing w:before="120"/>
        <w:contextualSpacing/>
        <w:jc w:val="both"/>
        <w:rPr>
          <w:rFonts w:asciiTheme="minorHAnsi" w:hAnsiTheme="minorHAnsi"/>
          <w:bCs/>
          <w:lang w:val="sq-AL" w:eastAsia="sq-AL"/>
        </w:rPr>
      </w:pPr>
      <w:r>
        <w:rPr>
          <w:rFonts w:asciiTheme="minorHAnsi" w:hAnsiTheme="minorHAnsi"/>
          <w:bCs/>
          <w:lang w:val="sq-AL" w:eastAsia="sq-AL"/>
        </w:rPr>
        <w:t>Një problematikë e rëndësishme mbetet edhe stoku i detyrimeve të akumuluara nga ndërmarrjet UK Sh.a ndaj sektorit të energjisë</w:t>
      </w:r>
      <w:r w:rsidR="001C5822" w:rsidRPr="00EA73E5">
        <w:rPr>
          <w:rFonts w:asciiTheme="minorHAnsi" w:hAnsiTheme="minorHAnsi"/>
          <w:bCs/>
          <w:iCs/>
          <w:lang w:val="sq-AL" w:eastAsia="sq-AL"/>
        </w:rPr>
        <w:t xml:space="preserve">, kryesisht për shkak të performancës së ulët të </w:t>
      </w:r>
      <w:r w:rsidR="001C5822">
        <w:rPr>
          <w:rFonts w:asciiTheme="minorHAnsi" w:hAnsiTheme="minorHAnsi"/>
          <w:bCs/>
          <w:iCs/>
          <w:lang w:val="sq-AL" w:eastAsia="sq-AL"/>
        </w:rPr>
        <w:t>pjesës më madhe t</w:t>
      </w:r>
      <w:r w:rsidR="001C5822" w:rsidRPr="00EA73E5">
        <w:rPr>
          <w:rFonts w:asciiTheme="minorHAnsi" w:hAnsiTheme="minorHAnsi"/>
          <w:bCs/>
          <w:iCs/>
          <w:lang w:val="sq-AL" w:eastAsia="sq-AL"/>
        </w:rPr>
        <w:t xml:space="preserve">ë shoqërive UK </w:t>
      </w:r>
      <w:r w:rsidR="001C5822">
        <w:rPr>
          <w:rFonts w:asciiTheme="minorHAnsi" w:hAnsiTheme="minorHAnsi"/>
          <w:bCs/>
          <w:iCs/>
          <w:lang w:val="sq-AL" w:eastAsia="sq-AL"/>
        </w:rPr>
        <w:t>s</w:t>
      </w:r>
      <w:r w:rsidR="001C5822" w:rsidRPr="00EA73E5">
        <w:rPr>
          <w:rFonts w:asciiTheme="minorHAnsi" w:hAnsiTheme="minorHAnsi"/>
          <w:bCs/>
          <w:iCs/>
          <w:lang w:val="sq-AL" w:eastAsia="sq-AL"/>
        </w:rPr>
        <w:t xml:space="preserve">h.a. </w:t>
      </w:r>
      <w:r w:rsidR="001C5822" w:rsidRPr="00B05EA4">
        <w:rPr>
          <w:rFonts w:asciiTheme="minorHAnsi" w:hAnsiTheme="minorHAnsi"/>
          <w:bCs/>
          <w:lang w:val="sq-AL" w:eastAsia="sq-AL"/>
        </w:rPr>
        <w:t xml:space="preserve">Kështu deri në </w:t>
      </w:r>
      <w:r w:rsidR="001C5822">
        <w:rPr>
          <w:rFonts w:asciiTheme="minorHAnsi" w:hAnsiTheme="minorHAnsi"/>
          <w:bCs/>
          <w:lang w:val="sq-AL" w:eastAsia="sq-AL"/>
        </w:rPr>
        <w:t>Maj</w:t>
      </w:r>
      <w:r w:rsidR="001C5822" w:rsidRPr="00B05EA4">
        <w:rPr>
          <w:rFonts w:asciiTheme="minorHAnsi" w:hAnsiTheme="minorHAnsi"/>
          <w:bCs/>
          <w:lang w:val="sq-AL" w:eastAsia="sq-AL"/>
        </w:rPr>
        <w:t xml:space="preserve"> 202</w:t>
      </w:r>
      <w:r w:rsidR="001C5822">
        <w:rPr>
          <w:rFonts w:asciiTheme="minorHAnsi" w:hAnsiTheme="minorHAnsi"/>
          <w:bCs/>
          <w:lang w:val="sq-AL" w:eastAsia="sq-AL"/>
        </w:rPr>
        <w:t>3</w:t>
      </w:r>
      <w:r w:rsidR="001C5822" w:rsidRPr="00D86068">
        <w:rPr>
          <w:rFonts w:asciiTheme="minorHAnsi" w:hAnsiTheme="minorHAnsi"/>
          <w:bCs/>
          <w:lang w:val="sq-AL" w:eastAsia="sq-AL"/>
        </w:rPr>
        <w:t xml:space="preserve">, OSHEE Group </w:t>
      </w:r>
      <w:r w:rsidR="001C5822">
        <w:rPr>
          <w:rFonts w:asciiTheme="minorHAnsi" w:hAnsiTheme="minorHAnsi"/>
          <w:bCs/>
          <w:lang w:val="sq-AL" w:eastAsia="sq-AL"/>
        </w:rPr>
        <w:t>s</w:t>
      </w:r>
      <w:r w:rsidR="001C5822" w:rsidRPr="00D86068">
        <w:rPr>
          <w:rFonts w:asciiTheme="minorHAnsi" w:hAnsiTheme="minorHAnsi"/>
          <w:bCs/>
          <w:lang w:val="sq-AL" w:eastAsia="sq-AL"/>
        </w:rPr>
        <w:t>h.a</w:t>
      </w:r>
      <w:r w:rsidR="001C5822" w:rsidRPr="00B05EA4">
        <w:rPr>
          <w:rFonts w:asciiTheme="minorHAnsi" w:hAnsiTheme="minorHAnsi"/>
          <w:bCs/>
          <w:lang w:val="sq-AL" w:eastAsia="sq-AL"/>
        </w:rPr>
        <w:t xml:space="preserve"> raporton se detyrimet e akumuluara të ndërmarrjeve të ujësjellës-kanalizimeve rezultojnë të jenë </w:t>
      </w:r>
      <w:r w:rsidR="001C5822">
        <w:rPr>
          <w:rFonts w:asciiTheme="minorHAnsi" w:hAnsiTheme="minorHAnsi"/>
          <w:bCs/>
          <w:lang w:val="sq-AL" w:eastAsia="sq-AL"/>
        </w:rPr>
        <w:t>rreth 27.8</w:t>
      </w:r>
      <w:r w:rsidR="001C5822" w:rsidRPr="00B05EA4">
        <w:rPr>
          <w:rFonts w:asciiTheme="minorHAnsi" w:hAnsiTheme="minorHAnsi"/>
          <w:bCs/>
          <w:lang w:val="sq-AL" w:eastAsia="sq-AL"/>
        </w:rPr>
        <w:t xml:space="preserve"> miliardë </w:t>
      </w:r>
      <w:r w:rsidR="001C5822">
        <w:rPr>
          <w:rFonts w:asciiTheme="minorHAnsi" w:hAnsiTheme="minorHAnsi"/>
          <w:bCs/>
          <w:lang w:val="sq-AL" w:eastAsia="sq-AL"/>
        </w:rPr>
        <w:t>LEK</w:t>
      </w:r>
      <w:r w:rsidR="001C5822" w:rsidRPr="00B05EA4">
        <w:rPr>
          <w:rFonts w:asciiTheme="minorHAnsi" w:hAnsiTheme="minorHAnsi"/>
          <w:bCs/>
          <w:lang w:val="sq-AL" w:eastAsia="sq-AL"/>
        </w:rPr>
        <w:t xml:space="preserve">. </w:t>
      </w:r>
      <w:r w:rsidR="001C5822" w:rsidRPr="0029709A">
        <w:rPr>
          <w:rFonts w:asciiTheme="minorHAnsi" w:hAnsiTheme="minorHAnsi"/>
          <w:bCs/>
          <w:lang w:val="sq-AL" w:eastAsia="sq-AL"/>
        </w:rPr>
        <w:t xml:space="preserve">Nga të cilat, </w:t>
      </w:r>
      <w:r w:rsidR="001C5822">
        <w:rPr>
          <w:rFonts w:asciiTheme="minorHAnsi" w:hAnsiTheme="minorHAnsi"/>
          <w:bCs/>
          <w:lang w:val="sq-AL" w:eastAsia="sq-AL"/>
        </w:rPr>
        <w:t>rreth 15</w:t>
      </w:r>
      <w:r w:rsidR="001C5822" w:rsidRPr="0029709A">
        <w:rPr>
          <w:rFonts w:asciiTheme="minorHAnsi" w:hAnsiTheme="minorHAnsi"/>
          <w:bCs/>
          <w:lang w:val="sq-AL" w:eastAsia="sq-AL"/>
        </w:rPr>
        <w:t xml:space="preserve"> miliard </w:t>
      </w:r>
      <w:r w:rsidR="001C5822">
        <w:rPr>
          <w:rFonts w:asciiTheme="minorHAnsi" w:hAnsiTheme="minorHAnsi"/>
          <w:bCs/>
          <w:lang w:val="sq-AL" w:eastAsia="sq-AL"/>
        </w:rPr>
        <w:t>LEK</w:t>
      </w:r>
      <w:r w:rsidR="001C5822" w:rsidRPr="0029709A">
        <w:rPr>
          <w:rFonts w:asciiTheme="minorHAnsi" w:hAnsiTheme="minorHAnsi"/>
          <w:bCs/>
          <w:lang w:val="sq-AL" w:eastAsia="sq-AL"/>
        </w:rPr>
        <w:t xml:space="preserve"> janë detyrime të faturuara ndaj kompanisë dhe 1</w:t>
      </w:r>
      <w:r w:rsidR="001C5822">
        <w:rPr>
          <w:rFonts w:asciiTheme="minorHAnsi" w:hAnsiTheme="minorHAnsi"/>
          <w:bCs/>
          <w:lang w:val="sq-AL" w:eastAsia="sq-AL"/>
        </w:rPr>
        <w:t>2</w:t>
      </w:r>
      <w:r w:rsidR="001C5822" w:rsidRPr="0029709A">
        <w:rPr>
          <w:rFonts w:asciiTheme="minorHAnsi" w:hAnsiTheme="minorHAnsi"/>
          <w:bCs/>
          <w:lang w:val="sq-AL" w:eastAsia="sq-AL"/>
        </w:rPr>
        <w:t>.</w:t>
      </w:r>
      <w:r w:rsidR="001C5822">
        <w:rPr>
          <w:rFonts w:asciiTheme="minorHAnsi" w:hAnsiTheme="minorHAnsi"/>
          <w:bCs/>
          <w:lang w:val="sq-AL" w:eastAsia="sq-AL"/>
        </w:rPr>
        <w:t>8</w:t>
      </w:r>
      <w:r w:rsidR="001C5822" w:rsidRPr="0029709A">
        <w:rPr>
          <w:rFonts w:asciiTheme="minorHAnsi" w:hAnsiTheme="minorHAnsi"/>
          <w:bCs/>
          <w:lang w:val="sq-AL" w:eastAsia="sq-AL"/>
        </w:rPr>
        <w:t xml:space="preserve"> miliard </w:t>
      </w:r>
      <w:r w:rsidR="001C5822">
        <w:rPr>
          <w:rFonts w:asciiTheme="minorHAnsi" w:hAnsiTheme="minorHAnsi"/>
          <w:bCs/>
          <w:lang w:val="sq-AL" w:eastAsia="sq-AL"/>
        </w:rPr>
        <w:t>LEK</w:t>
      </w:r>
      <w:r w:rsidR="001C5822" w:rsidRPr="0029709A">
        <w:rPr>
          <w:rFonts w:asciiTheme="minorHAnsi" w:hAnsiTheme="minorHAnsi"/>
          <w:bCs/>
          <w:lang w:val="sq-AL" w:eastAsia="sq-AL"/>
        </w:rPr>
        <w:t xml:space="preserve"> janë detyrime për kamatëvonesa.</w:t>
      </w:r>
      <w:r w:rsidR="001C5822">
        <w:rPr>
          <w:rFonts w:asciiTheme="minorHAnsi" w:hAnsiTheme="minorHAnsi"/>
          <w:bCs/>
          <w:lang w:val="sq-AL" w:eastAsia="sq-AL"/>
        </w:rPr>
        <w:t xml:space="preserve"> </w:t>
      </w:r>
      <w:r w:rsidR="001C5822" w:rsidRPr="00AF2341">
        <w:rPr>
          <w:rFonts w:asciiTheme="minorHAnsi" w:hAnsiTheme="minorHAnsi"/>
          <w:bCs/>
          <w:lang w:val="sq-AL" w:eastAsia="sq-AL"/>
        </w:rPr>
        <w:t xml:space="preserve">Në tabelën e mëposhtme listohen pesë ndërmarrjet që kanë pjesën më të madhe të detyrimeve </w:t>
      </w:r>
      <w:r w:rsidR="001C5822">
        <w:rPr>
          <w:rFonts w:asciiTheme="minorHAnsi" w:hAnsiTheme="minorHAnsi"/>
          <w:bCs/>
          <w:lang w:val="sq-AL" w:eastAsia="sq-AL"/>
        </w:rPr>
        <w:t>(</w:t>
      </w:r>
      <w:r w:rsidR="001C5822" w:rsidRPr="00AF2341">
        <w:rPr>
          <w:rFonts w:asciiTheme="minorHAnsi" w:hAnsiTheme="minorHAnsi"/>
          <w:bCs/>
          <w:lang w:val="sq-AL" w:eastAsia="sq-AL"/>
        </w:rPr>
        <w:t>principal pa kamata</w:t>
      </w:r>
      <w:r w:rsidR="001C5822">
        <w:rPr>
          <w:rFonts w:asciiTheme="minorHAnsi" w:hAnsiTheme="minorHAnsi"/>
          <w:bCs/>
          <w:lang w:val="sq-AL" w:eastAsia="sq-AL"/>
        </w:rPr>
        <w:t>)</w:t>
      </w:r>
      <w:r w:rsidR="001C5822" w:rsidRPr="00AF2341">
        <w:rPr>
          <w:rFonts w:asciiTheme="minorHAnsi" w:hAnsiTheme="minorHAnsi"/>
          <w:bCs/>
          <w:lang w:val="sq-AL" w:eastAsia="sq-AL"/>
        </w:rPr>
        <w:t xml:space="preserve"> ndaj OSHEE Group Sh.a deri në 3M 2023</w:t>
      </w:r>
      <w:r w:rsidR="00F07CB3">
        <w:rPr>
          <w:rFonts w:asciiTheme="minorHAnsi" w:hAnsiTheme="minorHAnsi"/>
          <w:bCs/>
          <w:lang w:val="sq-AL" w:eastAsia="sq-AL"/>
        </w:rPr>
        <w:t xml:space="preserve">.  </w:t>
      </w:r>
    </w:p>
    <w:p w14:paraId="4BAB312E" w14:textId="77777777" w:rsidR="00EE0222" w:rsidRPr="00EE0222" w:rsidRDefault="00EE0222" w:rsidP="00EE0222">
      <w:pPr>
        <w:spacing w:before="120"/>
        <w:contextualSpacing/>
        <w:jc w:val="both"/>
        <w:rPr>
          <w:rFonts w:asciiTheme="minorHAnsi" w:hAnsiTheme="minorHAnsi"/>
          <w:bCs/>
          <w:sz w:val="12"/>
          <w:lang w:val="sq-AL" w:eastAsia="sq-AL"/>
        </w:rPr>
      </w:pPr>
    </w:p>
    <w:p w14:paraId="1CECB1BA" w14:textId="7CF7DB76" w:rsidR="00F07CB3" w:rsidRDefault="00EE0222" w:rsidP="00EE0222">
      <w:pPr>
        <w:spacing w:before="120"/>
        <w:contextualSpacing/>
        <w:jc w:val="both"/>
        <w:rPr>
          <w:rFonts w:asciiTheme="minorHAnsi" w:hAnsiTheme="minorHAnsi"/>
          <w:bCs/>
          <w:lang w:val="sq-AL" w:eastAsia="sq-AL"/>
        </w:rPr>
      </w:pPr>
      <w:r>
        <w:rPr>
          <w:rFonts w:asciiTheme="minorHAnsi" w:hAnsiTheme="minorHAnsi"/>
          <w:bCs/>
          <w:lang w:val="sq-AL" w:eastAsia="sq-AL"/>
        </w:rPr>
        <w:t>Vlen për t’u theksuar se, në kuadër të reformës në sektorin e energjisë, janë intensifikuar marrëdhëniet dhe bashkëpunimi me institucionet dhe aktorët kryesorë të fushës, si ndërmarrjet UK, MIE dhe ndërmarrjet e energjisë. Plani i masave të reduktimit të detyrimeve të prapambetura në sektorin e energjisë elektrike, miratuar me Urdhërin e Përbashkët MIE/MFE nr.304/2020 “</w:t>
      </w:r>
      <w:r w:rsidRPr="005F1541">
        <w:rPr>
          <w:rFonts w:asciiTheme="minorHAnsi" w:hAnsiTheme="minorHAnsi"/>
          <w:bCs/>
          <w:i/>
          <w:lang w:val="sq-AL" w:eastAsia="sq-AL"/>
        </w:rPr>
        <w:t>Për miratimin e planit të masave të reduktimit të detyrimeve të prapambetura në sektorin e energjisë elektrike</w:t>
      </w:r>
      <w:r>
        <w:rPr>
          <w:rFonts w:asciiTheme="minorHAnsi" w:hAnsiTheme="minorHAnsi"/>
          <w:bCs/>
          <w:lang w:val="sq-AL" w:eastAsia="sq-AL"/>
        </w:rPr>
        <w:t xml:space="preserve">”, përfshin në procesin e shlyerjes së detyrimeve të ndërsjella edhe sektorin e ujit. </w:t>
      </w:r>
      <w:r w:rsidRPr="00B05EA4">
        <w:rPr>
          <w:rFonts w:asciiTheme="minorHAnsi" w:hAnsiTheme="minorHAnsi"/>
          <w:bCs/>
          <w:lang w:val="sq-AL" w:eastAsia="sq-AL"/>
        </w:rPr>
        <w:t>Me</w:t>
      </w:r>
      <w:r>
        <w:rPr>
          <w:rFonts w:asciiTheme="minorHAnsi" w:hAnsiTheme="minorHAnsi"/>
          <w:bCs/>
          <w:lang w:val="sq-AL" w:eastAsia="sq-AL"/>
        </w:rPr>
        <w:t xml:space="preserve"> </w:t>
      </w:r>
      <w:r w:rsidRPr="00B05EA4">
        <w:rPr>
          <w:rFonts w:asciiTheme="minorHAnsi" w:hAnsiTheme="minorHAnsi"/>
          <w:bCs/>
          <w:lang w:val="sq-AL" w:eastAsia="sq-AL"/>
        </w:rPr>
        <w:t>qëllim zbatimin me sukses të këtij plani, MIE dhe MFE, bashkëfirmosën Urdhërin e dytë të Përbashkët nr.379/2021 “</w:t>
      </w:r>
      <w:r w:rsidRPr="001C5822">
        <w:rPr>
          <w:rFonts w:asciiTheme="minorHAnsi" w:hAnsiTheme="minorHAnsi"/>
          <w:bCs/>
          <w:i/>
          <w:lang w:val="sq-AL" w:eastAsia="sq-AL"/>
        </w:rPr>
        <w:t>Mbi zbatimin e planit të masave për reduktimin e detyrimeve të prapambetura në sektorin e energjisë elektrike</w:t>
      </w:r>
      <w:r w:rsidRPr="00B05EA4">
        <w:rPr>
          <w:rFonts w:asciiTheme="minorHAnsi" w:hAnsiTheme="minorHAnsi"/>
          <w:bCs/>
          <w:lang w:val="sq-AL" w:eastAsia="sq-AL"/>
        </w:rPr>
        <w:t>”</w:t>
      </w:r>
      <w:r>
        <w:rPr>
          <w:rFonts w:asciiTheme="minorHAnsi" w:hAnsiTheme="minorHAnsi"/>
          <w:bCs/>
          <w:lang w:val="sq-AL" w:eastAsia="sq-AL"/>
        </w:rPr>
        <w:t xml:space="preserve">, i cili </w:t>
      </w:r>
      <w:r w:rsidRPr="00B05EA4">
        <w:rPr>
          <w:rFonts w:asciiTheme="minorHAnsi" w:hAnsiTheme="minorHAnsi"/>
          <w:bCs/>
          <w:lang w:val="sq-AL" w:eastAsia="sq-AL"/>
        </w:rPr>
        <w:t>ngarkon krahas ndërmarrjeve të sektorit energjitik edhe AKUM, për raportim mujor mbi shlyerjen dhe statusin e detyrimeve ndërmjet sektorit të energjisë dhe entite</w:t>
      </w:r>
      <w:r>
        <w:rPr>
          <w:rFonts w:asciiTheme="minorHAnsi" w:hAnsiTheme="minorHAnsi"/>
          <w:bCs/>
          <w:lang w:val="sq-AL" w:eastAsia="sq-AL"/>
        </w:rPr>
        <w:t>te</w:t>
      </w:r>
      <w:r w:rsidRPr="00B05EA4">
        <w:rPr>
          <w:rFonts w:asciiTheme="minorHAnsi" w:hAnsiTheme="minorHAnsi"/>
          <w:bCs/>
          <w:lang w:val="sq-AL" w:eastAsia="sq-AL"/>
        </w:rPr>
        <w:t>ve të tjera publike</w:t>
      </w:r>
    </w:p>
    <w:p w14:paraId="34A9C787" w14:textId="7D1C9B8E" w:rsidR="001C5822" w:rsidRPr="00001086" w:rsidRDefault="001C5822" w:rsidP="001C5822">
      <w:pPr>
        <w:spacing w:before="120"/>
        <w:jc w:val="both"/>
        <w:rPr>
          <w:rFonts w:ascii="Calibri" w:hAnsi="Calibri"/>
          <w:i/>
          <w:iCs/>
          <w:color w:val="365F91" w:themeColor="accent1" w:themeShade="BF"/>
          <w:sz w:val="20"/>
          <w:szCs w:val="22"/>
          <w:lang w:val="sq-AL"/>
        </w:rPr>
      </w:pPr>
      <w:bookmarkStart w:id="138" w:name="_Toc104984067"/>
      <w:bookmarkStart w:id="139" w:name="_Toc107496761"/>
      <w:r w:rsidRPr="00343167">
        <w:rPr>
          <w:rFonts w:asciiTheme="minorHAnsi" w:hAnsiTheme="minorHAnsi"/>
          <w:bCs/>
          <w:i/>
          <w:noProof/>
          <w:sz w:val="22"/>
        </w:rPr>
        <w:t xml:space="preserve">Tabela </w:t>
      </w:r>
      <w:r w:rsidRPr="00343167">
        <w:rPr>
          <w:rFonts w:asciiTheme="minorHAnsi" w:hAnsiTheme="minorHAnsi"/>
          <w:bCs/>
          <w:i/>
          <w:noProof/>
          <w:sz w:val="22"/>
        </w:rPr>
        <w:fldChar w:fldCharType="begin"/>
      </w:r>
      <w:r w:rsidRPr="00343167">
        <w:rPr>
          <w:rFonts w:asciiTheme="minorHAnsi" w:hAnsiTheme="minorHAnsi"/>
          <w:bCs/>
          <w:i/>
          <w:noProof/>
          <w:sz w:val="22"/>
        </w:rPr>
        <w:instrText xml:space="preserve"> SEQ Tabela \* ARABIC </w:instrText>
      </w:r>
      <w:r w:rsidRPr="00343167">
        <w:rPr>
          <w:rFonts w:asciiTheme="minorHAnsi" w:hAnsiTheme="minorHAnsi"/>
          <w:bCs/>
          <w:i/>
          <w:noProof/>
          <w:sz w:val="22"/>
        </w:rPr>
        <w:fldChar w:fldCharType="separate"/>
      </w:r>
      <w:r w:rsidR="00C153A9">
        <w:rPr>
          <w:rFonts w:asciiTheme="minorHAnsi" w:hAnsiTheme="minorHAnsi"/>
          <w:bCs/>
          <w:i/>
          <w:noProof/>
          <w:sz w:val="22"/>
        </w:rPr>
        <w:t>24</w:t>
      </w:r>
      <w:r w:rsidRPr="00343167">
        <w:rPr>
          <w:rFonts w:asciiTheme="minorHAnsi" w:hAnsiTheme="minorHAnsi"/>
          <w:bCs/>
          <w:i/>
          <w:noProof/>
          <w:sz w:val="22"/>
        </w:rPr>
        <w:fldChar w:fldCharType="end"/>
      </w:r>
      <w:r w:rsidRPr="00343167">
        <w:rPr>
          <w:rFonts w:asciiTheme="minorHAnsi" w:hAnsiTheme="minorHAnsi"/>
          <w:bCs/>
          <w:i/>
          <w:noProof/>
          <w:sz w:val="22"/>
        </w:rPr>
        <w:t>: Stoku i detyrimeve të prapambetura të UK ndaj OSHEE Group sh.a (në mld LEK)</w:t>
      </w:r>
      <w:bookmarkEnd w:id="138"/>
      <w:bookmarkEnd w:id="139"/>
    </w:p>
    <w:tbl>
      <w:tblPr>
        <w:tblStyle w:val="GridTable4-Accent112"/>
        <w:tblpPr w:leftFromText="180" w:rightFromText="180" w:vertAnchor="text" w:horzAnchor="margin" w:tblpXSpec="center" w:tblpY="101"/>
        <w:tblW w:w="8208" w:type="dxa"/>
        <w:tblLook w:val="04A0" w:firstRow="1" w:lastRow="0" w:firstColumn="1" w:lastColumn="0" w:noHBand="0" w:noVBand="1"/>
      </w:tblPr>
      <w:tblGrid>
        <w:gridCol w:w="5051"/>
        <w:gridCol w:w="3157"/>
      </w:tblGrid>
      <w:tr w:rsidR="001C5822" w:rsidRPr="00001086" w14:paraId="3D80924A" w14:textId="77777777" w:rsidTr="00773810">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5051" w:type="dxa"/>
            <w:tcBorders>
              <w:bottom w:val="single" w:sz="4" w:space="0" w:color="95B3D7" w:themeColor="accent1" w:themeTint="99"/>
              <w:right w:val="single" w:sz="4" w:space="0" w:color="95B3D7" w:themeColor="accent1" w:themeTint="99"/>
            </w:tcBorders>
            <w:shd w:val="clear" w:color="auto" w:fill="548DD4" w:themeFill="text2" w:themeFillTint="99"/>
            <w:noWrap/>
            <w:hideMark/>
          </w:tcPr>
          <w:p w14:paraId="705864C0" w14:textId="77777777" w:rsidR="001C5822" w:rsidRPr="00001086" w:rsidRDefault="001C5822" w:rsidP="00773810">
            <w:pPr>
              <w:jc w:val="center"/>
              <w:rPr>
                <w:rFonts w:asciiTheme="minorHAnsi" w:hAnsiTheme="minorHAnsi"/>
                <w:sz w:val="18"/>
                <w:szCs w:val="20"/>
                <w:u w:val="single"/>
                <w:lang w:val="sq-AL"/>
              </w:rPr>
            </w:pPr>
            <w:r w:rsidRPr="00001086">
              <w:rPr>
                <w:rFonts w:asciiTheme="minorHAnsi" w:hAnsiTheme="minorHAnsi"/>
                <w:sz w:val="18"/>
                <w:szCs w:val="20"/>
                <w:u w:val="single"/>
                <w:lang w:val="sq-AL"/>
              </w:rPr>
              <w:t>5 UK kryesore me detyrime ndaj OSHEE Group</w:t>
            </w:r>
          </w:p>
        </w:tc>
        <w:tc>
          <w:tcPr>
            <w:tcW w:w="3157" w:type="dxa"/>
            <w:tcBorders>
              <w:left w:val="single" w:sz="4" w:space="0" w:color="95B3D7" w:themeColor="accent1" w:themeTint="99"/>
              <w:bottom w:val="single" w:sz="4" w:space="0" w:color="95B3D7" w:themeColor="accent1" w:themeTint="99"/>
            </w:tcBorders>
            <w:shd w:val="clear" w:color="auto" w:fill="548DD4" w:themeFill="text2" w:themeFillTint="99"/>
            <w:hideMark/>
          </w:tcPr>
          <w:p w14:paraId="0A1E0A5F" w14:textId="77777777" w:rsidR="001C5822" w:rsidRPr="00001086" w:rsidRDefault="001C5822" w:rsidP="0077381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8"/>
                <w:szCs w:val="20"/>
                <w:u w:val="single"/>
                <w:lang w:val="sq-AL"/>
              </w:rPr>
            </w:pPr>
            <w:r>
              <w:rPr>
                <w:rFonts w:asciiTheme="minorHAnsi" w:hAnsiTheme="minorHAnsi"/>
                <w:bCs w:val="0"/>
                <w:sz w:val="18"/>
                <w:szCs w:val="20"/>
                <w:u w:val="single"/>
                <w:lang w:val="sq-AL"/>
              </w:rPr>
              <w:t>8</w:t>
            </w:r>
            <w:r w:rsidRPr="00001086">
              <w:rPr>
                <w:rFonts w:asciiTheme="minorHAnsi" w:hAnsiTheme="minorHAnsi"/>
                <w:bCs w:val="0"/>
                <w:sz w:val="18"/>
                <w:szCs w:val="20"/>
                <w:u w:val="single"/>
                <w:lang w:val="sq-AL"/>
              </w:rPr>
              <w:t>.</w:t>
            </w:r>
            <w:r>
              <w:rPr>
                <w:rFonts w:asciiTheme="minorHAnsi" w:hAnsiTheme="minorHAnsi"/>
                <w:bCs w:val="0"/>
                <w:sz w:val="18"/>
                <w:szCs w:val="20"/>
                <w:u w:val="single"/>
                <w:lang w:val="sq-AL"/>
              </w:rPr>
              <w:t>58</w:t>
            </w:r>
          </w:p>
        </w:tc>
      </w:tr>
      <w:tr w:rsidR="001C5822" w:rsidRPr="00001086" w14:paraId="3875FE5A" w14:textId="77777777" w:rsidTr="00773810">
        <w:trPr>
          <w:cnfStyle w:val="000000100000" w:firstRow="0" w:lastRow="0" w:firstColumn="0" w:lastColumn="0" w:oddVBand="0" w:evenVBand="0" w:oddHBand="1" w:evenHBand="0" w:firstRowFirstColumn="0" w:firstRowLastColumn="0" w:lastRowFirstColumn="0" w:lastRowLastColumn="0"/>
          <w:trHeight w:val="221"/>
        </w:trPr>
        <w:tc>
          <w:tcPr>
            <w:cnfStyle w:val="001000000000" w:firstRow="0" w:lastRow="0" w:firstColumn="1" w:lastColumn="0" w:oddVBand="0" w:evenVBand="0" w:oddHBand="0" w:evenHBand="0" w:firstRowFirstColumn="0" w:firstRowLastColumn="0" w:lastRowFirstColumn="0" w:lastRowLastColumn="0"/>
            <w:tcW w:w="5051" w:type="dxa"/>
            <w:tcBorders>
              <w:top w:val="single" w:sz="4" w:space="0" w:color="95B3D7" w:themeColor="accent1" w:themeTint="99"/>
              <w:left w:val="single" w:sz="4" w:space="0" w:color="95B3D7" w:themeColor="accent1" w:themeTint="99"/>
              <w:bottom w:val="nil"/>
              <w:right w:val="single" w:sz="4" w:space="0" w:color="95B3D7" w:themeColor="accent1" w:themeTint="99"/>
            </w:tcBorders>
            <w:noWrap/>
            <w:hideMark/>
          </w:tcPr>
          <w:p w14:paraId="0878E812" w14:textId="77777777" w:rsidR="001C5822" w:rsidRPr="00FE308D" w:rsidRDefault="001C5822" w:rsidP="00773810">
            <w:pPr>
              <w:jc w:val="center"/>
              <w:rPr>
                <w:rFonts w:asciiTheme="minorHAnsi" w:eastAsiaTheme="minorEastAsia" w:hAnsiTheme="minorHAnsi"/>
                <w:sz w:val="18"/>
                <w:szCs w:val="20"/>
                <w:lang w:val="it-IT"/>
              </w:rPr>
            </w:pPr>
            <w:r w:rsidRPr="00FE308D">
              <w:rPr>
                <w:rFonts w:asciiTheme="minorHAnsi" w:eastAsiaTheme="minorEastAsia" w:hAnsiTheme="minorHAnsi"/>
                <w:sz w:val="18"/>
                <w:szCs w:val="20"/>
                <w:lang w:val="it-IT"/>
              </w:rPr>
              <w:t>UK Rajonale Durrës Sh.a</w:t>
            </w:r>
            <w:r w:rsidRPr="00FE308D">
              <w:rPr>
                <w:rFonts w:asciiTheme="minorHAnsi" w:eastAsiaTheme="minorEastAsia" w:hAnsiTheme="minorHAnsi"/>
                <w:color w:val="C00000"/>
                <w:sz w:val="18"/>
                <w:szCs w:val="20"/>
                <w:lang w:val="it-IT"/>
              </w:rPr>
              <w:t>*</w:t>
            </w:r>
          </w:p>
        </w:tc>
        <w:tc>
          <w:tcPr>
            <w:tcW w:w="3157" w:type="dxa"/>
            <w:tcBorders>
              <w:top w:val="single" w:sz="4" w:space="0" w:color="95B3D7" w:themeColor="accent1" w:themeTint="99"/>
              <w:left w:val="single" w:sz="4" w:space="0" w:color="95B3D7" w:themeColor="accent1" w:themeTint="99"/>
              <w:bottom w:val="nil"/>
              <w:right w:val="single" w:sz="4" w:space="0" w:color="95B3D7" w:themeColor="accent1" w:themeTint="99"/>
            </w:tcBorders>
            <w:noWrap/>
            <w:hideMark/>
          </w:tcPr>
          <w:p w14:paraId="216B9D15" w14:textId="77777777" w:rsidR="001C5822" w:rsidRPr="00001086" w:rsidRDefault="001C5822" w:rsidP="00773810">
            <w:pPr>
              <w:tabs>
                <w:tab w:val="left" w:pos="1950"/>
                <w:tab w:val="center" w:pos="2152"/>
              </w:tabs>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sz w:val="18"/>
                <w:szCs w:val="20"/>
              </w:rPr>
            </w:pPr>
            <w:r>
              <w:rPr>
                <w:rFonts w:asciiTheme="minorHAnsi" w:eastAsiaTheme="minorEastAsia" w:hAnsiTheme="minorHAnsi"/>
                <w:sz w:val="18"/>
                <w:szCs w:val="20"/>
              </w:rPr>
              <w:t>4</w:t>
            </w:r>
            <w:r w:rsidRPr="00001086">
              <w:rPr>
                <w:rFonts w:asciiTheme="minorHAnsi" w:eastAsiaTheme="minorEastAsia" w:hAnsiTheme="minorHAnsi"/>
                <w:sz w:val="18"/>
                <w:szCs w:val="20"/>
              </w:rPr>
              <w:t>.</w:t>
            </w:r>
            <w:r>
              <w:rPr>
                <w:rFonts w:asciiTheme="minorHAnsi" w:eastAsiaTheme="minorEastAsia" w:hAnsiTheme="minorHAnsi"/>
                <w:sz w:val="18"/>
                <w:szCs w:val="20"/>
              </w:rPr>
              <w:t>36</w:t>
            </w:r>
          </w:p>
        </w:tc>
      </w:tr>
      <w:tr w:rsidR="001C5822" w:rsidRPr="00001086" w14:paraId="04C2DA93" w14:textId="77777777" w:rsidTr="00773810">
        <w:trPr>
          <w:trHeight w:val="205"/>
        </w:trPr>
        <w:tc>
          <w:tcPr>
            <w:cnfStyle w:val="001000000000" w:firstRow="0" w:lastRow="0" w:firstColumn="1" w:lastColumn="0" w:oddVBand="0" w:evenVBand="0" w:oddHBand="0" w:evenHBand="0" w:firstRowFirstColumn="0" w:firstRowLastColumn="0" w:lastRowFirstColumn="0" w:lastRowLastColumn="0"/>
            <w:tcW w:w="5051" w:type="dxa"/>
            <w:tcBorders>
              <w:top w:val="nil"/>
              <w:left w:val="single" w:sz="4" w:space="0" w:color="95B3D7" w:themeColor="accent1" w:themeTint="99"/>
              <w:bottom w:val="nil"/>
              <w:right w:val="single" w:sz="4" w:space="0" w:color="95B3D7" w:themeColor="accent1" w:themeTint="99"/>
            </w:tcBorders>
            <w:noWrap/>
            <w:hideMark/>
          </w:tcPr>
          <w:p w14:paraId="21ABA6BA" w14:textId="77777777" w:rsidR="001C5822" w:rsidRPr="00001086" w:rsidRDefault="001C5822" w:rsidP="00773810">
            <w:pPr>
              <w:jc w:val="center"/>
              <w:rPr>
                <w:rFonts w:asciiTheme="minorHAnsi" w:eastAsiaTheme="minorEastAsia" w:hAnsiTheme="minorHAnsi"/>
                <w:sz w:val="18"/>
                <w:szCs w:val="20"/>
              </w:rPr>
            </w:pPr>
            <w:r w:rsidRPr="00001086">
              <w:rPr>
                <w:rFonts w:asciiTheme="minorHAnsi" w:eastAsiaTheme="minorEastAsia" w:hAnsiTheme="minorHAnsi"/>
                <w:sz w:val="18"/>
                <w:szCs w:val="20"/>
              </w:rPr>
              <w:t xml:space="preserve">Vlorë UK </w:t>
            </w:r>
            <w:r>
              <w:rPr>
                <w:rFonts w:asciiTheme="minorHAnsi" w:eastAsiaTheme="minorEastAsia" w:hAnsiTheme="minorHAnsi"/>
                <w:sz w:val="18"/>
                <w:szCs w:val="20"/>
              </w:rPr>
              <w:t>Sh.a</w:t>
            </w:r>
          </w:p>
        </w:tc>
        <w:tc>
          <w:tcPr>
            <w:tcW w:w="3157" w:type="dxa"/>
            <w:tcBorders>
              <w:top w:val="nil"/>
              <w:left w:val="single" w:sz="4" w:space="0" w:color="95B3D7" w:themeColor="accent1" w:themeTint="99"/>
              <w:bottom w:val="nil"/>
              <w:right w:val="single" w:sz="4" w:space="0" w:color="95B3D7" w:themeColor="accent1" w:themeTint="99"/>
            </w:tcBorders>
            <w:noWrap/>
            <w:hideMark/>
          </w:tcPr>
          <w:p w14:paraId="5127F3DA" w14:textId="77777777" w:rsidR="001C5822" w:rsidRPr="00001086" w:rsidRDefault="001C5822" w:rsidP="00773810">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20"/>
              </w:rPr>
            </w:pPr>
            <w:r>
              <w:rPr>
                <w:rFonts w:asciiTheme="minorHAnsi" w:eastAsiaTheme="minorEastAsia" w:hAnsiTheme="minorHAnsi"/>
                <w:sz w:val="18"/>
                <w:szCs w:val="20"/>
              </w:rPr>
              <w:t>1</w:t>
            </w:r>
            <w:r w:rsidRPr="00001086">
              <w:rPr>
                <w:rFonts w:asciiTheme="minorHAnsi" w:eastAsiaTheme="minorEastAsia" w:hAnsiTheme="minorHAnsi"/>
                <w:sz w:val="18"/>
                <w:szCs w:val="20"/>
              </w:rPr>
              <w:t>.</w:t>
            </w:r>
            <w:r>
              <w:rPr>
                <w:rFonts w:asciiTheme="minorHAnsi" w:eastAsiaTheme="minorEastAsia" w:hAnsiTheme="minorHAnsi"/>
                <w:sz w:val="18"/>
                <w:szCs w:val="20"/>
              </w:rPr>
              <w:t>51</w:t>
            </w:r>
          </w:p>
        </w:tc>
      </w:tr>
      <w:tr w:rsidR="001C5822" w:rsidRPr="00001086" w14:paraId="34A2071D" w14:textId="77777777" w:rsidTr="00773810">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5051" w:type="dxa"/>
            <w:tcBorders>
              <w:top w:val="nil"/>
              <w:left w:val="single" w:sz="4" w:space="0" w:color="95B3D7" w:themeColor="accent1" w:themeTint="99"/>
              <w:bottom w:val="nil"/>
              <w:right w:val="single" w:sz="4" w:space="0" w:color="95B3D7" w:themeColor="accent1" w:themeTint="99"/>
            </w:tcBorders>
            <w:noWrap/>
            <w:hideMark/>
          </w:tcPr>
          <w:p w14:paraId="4247EDDA" w14:textId="77777777" w:rsidR="001C5822" w:rsidRPr="00001086" w:rsidRDefault="001C5822" w:rsidP="00773810">
            <w:pPr>
              <w:jc w:val="center"/>
              <w:rPr>
                <w:rFonts w:asciiTheme="minorHAnsi" w:eastAsiaTheme="minorEastAsia" w:hAnsiTheme="minorHAnsi"/>
                <w:sz w:val="18"/>
                <w:szCs w:val="20"/>
              </w:rPr>
            </w:pPr>
            <w:r>
              <w:rPr>
                <w:rFonts w:asciiTheme="minorHAnsi" w:eastAsiaTheme="minorEastAsia" w:hAnsiTheme="minorHAnsi"/>
                <w:sz w:val="18"/>
                <w:szCs w:val="20"/>
              </w:rPr>
              <w:t>Kurbin</w:t>
            </w:r>
            <w:r w:rsidRPr="00001086">
              <w:rPr>
                <w:rFonts w:asciiTheme="minorHAnsi" w:eastAsiaTheme="minorEastAsia" w:hAnsiTheme="minorHAnsi"/>
                <w:sz w:val="18"/>
                <w:szCs w:val="20"/>
              </w:rPr>
              <w:t xml:space="preserve"> UK </w:t>
            </w:r>
            <w:r>
              <w:rPr>
                <w:rFonts w:asciiTheme="minorHAnsi" w:eastAsiaTheme="minorEastAsia" w:hAnsiTheme="minorHAnsi"/>
                <w:sz w:val="18"/>
                <w:szCs w:val="20"/>
              </w:rPr>
              <w:t>Sh.a</w:t>
            </w:r>
          </w:p>
        </w:tc>
        <w:tc>
          <w:tcPr>
            <w:tcW w:w="3157" w:type="dxa"/>
            <w:tcBorders>
              <w:top w:val="nil"/>
              <w:left w:val="single" w:sz="4" w:space="0" w:color="95B3D7" w:themeColor="accent1" w:themeTint="99"/>
              <w:bottom w:val="nil"/>
              <w:right w:val="single" w:sz="4" w:space="0" w:color="95B3D7" w:themeColor="accent1" w:themeTint="99"/>
            </w:tcBorders>
            <w:noWrap/>
            <w:hideMark/>
          </w:tcPr>
          <w:p w14:paraId="5C7CA3BA" w14:textId="77777777" w:rsidR="001C5822" w:rsidRPr="00001086" w:rsidRDefault="001C5822" w:rsidP="00773810">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sz w:val="18"/>
                <w:szCs w:val="20"/>
              </w:rPr>
            </w:pPr>
            <w:r w:rsidRPr="00001086">
              <w:rPr>
                <w:rFonts w:asciiTheme="minorHAnsi" w:eastAsiaTheme="minorEastAsia" w:hAnsiTheme="minorHAnsi"/>
                <w:sz w:val="18"/>
                <w:szCs w:val="20"/>
              </w:rPr>
              <w:t>1.</w:t>
            </w:r>
            <w:r>
              <w:rPr>
                <w:rFonts w:asciiTheme="minorHAnsi" w:eastAsiaTheme="minorEastAsia" w:hAnsiTheme="minorHAnsi"/>
                <w:sz w:val="18"/>
                <w:szCs w:val="20"/>
              </w:rPr>
              <w:t>03</w:t>
            </w:r>
          </w:p>
        </w:tc>
      </w:tr>
      <w:tr w:rsidR="001C5822" w:rsidRPr="00001086" w14:paraId="5B06E316" w14:textId="77777777" w:rsidTr="00773810">
        <w:trPr>
          <w:trHeight w:val="205"/>
        </w:trPr>
        <w:tc>
          <w:tcPr>
            <w:cnfStyle w:val="001000000000" w:firstRow="0" w:lastRow="0" w:firstColumn="1" w:lastColumn="0" w:oddVBand="0" w:evenVBand="0" w:oddHBand="0" w:evenHBand="0" w:firstRowFirstColumn="0" w:firstRowLastColumn="0" w:lastRowFirstColumn="0" w:lastRowLastColumn="0"/>
            <w:tcW w:w="5051" w:type="dxa"/>
            <w:tcBorders>
              <w:top w:val="nil"/>
              <w:left w:val="single" w:sz="4" w:space="0" w:color="95B3D7" w:themeColor="accent1" w:themeTint="99"/>
              <w:bottom w:val="nil"/>
              <w:right w:val="single" w:sz="4" w:space="0" w:color="95B3D7" w:themeColor="accent1" w:themeTint="99"/>
            </w:tcBorders>
            <w:noWrap/>
            <w:hideMark/>
          </w:tcPr>
          <w:p w14:paraId="46F7B6A1" w14:textId="77777777" w:rsidR="001C5822" w:rsidRPr="00001086" w:rsidRDefault="001C5822" w:rsidP="00773810">
            <w:pPr>
              <w:jc w:val="center"/>
              <w:rPr>
                <w:rFonts w:asciiTheme="minorHAnsi" w:eastAsiaTheme="minorEastAsia" w:hAnsiTheme="minorHAnsi"/>
                <w:sz w:val="18"/>
                <w:szCs w:val="20"/>
              </w:rPr>
            </w:pPr>
            <w:r w:rsidRPr="00001086">
              <w:rPr>
                <w:rFonts w:asciiTheme="minorHAnsi" w:eastAsiaTheme="minorEastAsia" w:hAnsiTheme="minorHAnsi"/>
                <w:sz w:val="18"/>
                <w:szCs w:val="20"/>
              </w:rPr>
              <w:t xml:space="preserve">Patos UK </w:t>
            </w:r>
            <w:r>
              <w:rPr>
                <w:rFonts w:asciiTheme="minorHAnsi" w:eastAsiaTheme="minorEastAsia" w:hAnsiTheme="minorHAnsi"/>
                <w:sz w:val="18"/>
                <w:szCs w:val="20"/>
              </w:rPr>
              <w:t>Sh.a</w:t>
            </w:r>
          </w:p>
        </w:tc>
        <w:tc>
          <w:tcPr>
            <w:tcW w:w="3157" w:type="dxa"/>
            <w:tcBorders>
              <w:top w:val="nil"/>
              <w:left w:val="single" w:sz="4" w:space="0" w:color="95B3D7" w:themeColor="accent1" w:themeTint="99"/>
              <w:bottom w:val="nil"/>
              <w:right w:val="single" w:sz="4" w:space="0" w:color="95B3D7" w:themeColor="accent1" w:themeTint="99"/>
            </w:tcBorders>
            <w:noWrap/>
            <w:hideMark/>
          </w:tcPr>
          <w:p w14:paraId="28262930" w14:textId="77777777" w:rsidR="001C5822" w:rsidRPr="00001086" w:rsidRDefault="001C5822" w:rsidP="00773810">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18"/>
                <w:szCs w:val="20"/>
              </w:rPr>
            </w:pPr>
            <w:r>
              <w:rPr>
                <w:rFonts w:asciiTheme="minorHAnsi" w:eastAsiaTheme="minorEastAsia" w:hAnsiTheme="minorHAnsi"/>
                <w:sz w:val="18"/>
                <w:szCs w:val="20"/>
              </w:rPr>
              <w:t>0</w:t>
            </w:r>
            <w:r w:rsidRPr="00001086">
              <w:rPr>
                <w:rFonts w:asciiTheme="minorHAnsi" w:eastAsiaTheme="minorEastAsia" w:hAnsiTheme="minorHAnsi"/>
                <w:sz w:val="18"/>
                <w:szCs w:val="20"/>
              </w:rPr>
              <w:t>.</w:t>
            </w:r>
            <w:r>
              <w:rPr>
                <w:rFonts w:asciiTheme="minorHAnsi" w:eastAsiaTheme="minorEastAsia" w:hAnsiTheme="minorHAnsi"/>
                <w:sz w:val="18"/>
                <w:szCs w:val="20"/>
              </w:rPr>
              <w:t>87</w:t>
            </w:r>
          </w:p>
        </w:tc>
      </w:tr>
      <w:tr w:rsidR="001C5822" w:rsidRPr="00001086" w14:paraId="2315414D" w14:textId="77777777" w:rsidTr="00773810">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5051" w:type="dxa"/>
            <w:tcBorders>
              <w:top w:val="nil"/>
              <w:left w:val="single" w:sz="4" w:space="0" w:color="95B3D7" w:themeColor="accent1" w:themeTint="99"/>
              <w:bottom w:val="nil"/>
              <w:right w:val="single" w:sz="4" w:space="0" w:color="95B3D7" w:themeColor="accent1" w:themeTint="99"/>
            </w:tcBorders>
            <w:noWrap/>
            <w:hideMark/>
          </w:tcPr>
          <w:p w14:paraId="3242BC3A" w14:textId="77777777" w:rsidR="001C5822" w:rsidRPr="00001086" w:rsidRDefault="001C5822" w:rsidP="00773810">
            <w:pPr>
              <w:jc w:val="center"/>
              <w:rPr>
                <w:rFonts w:asciiTheme="minorHAnsi" w:eastAsiaTheme="minorEastAsia" w:hAnsiTheme="minorHAnsi"/>
                <w:sz w:val="18"/>
                <w:szCs w:val="20"/>
              </w:rPr>
            </w:pPr>
            <w:r w:rsidRPr="00001086">
              <w:rPr>
                <w:rFonts w:asciiTheme="minorHAnsi" w:eastAsiaTheme="minorEastAsia" w:hAnsiTheme="minorHAnsi"/>
                <w:sz w:val="18"/>
                <w:szCs w:val="20"/>
              </w:rPr>
              <w:t xml:space="preserve">Fier UK </w:t>
            </w:r>
            <w:r>
              <w:rPr>
                <w:rFonts w:asciiTheme="minorHAnsi" w:eastAsiaTheme="minorEastAsia" w:hAnsiTheme="minorHAnsi"/>
                <w:sz w:val="18"/>
                <w:szCs w:val="20"/>
              </w:rPr>
              <w:t>Sh.a</w:t>
            </w:r>
          </w:p>
        </w:tc>
        <w:tc>
          <w:tcPr>
            <w:tcW w:w="3157" w:type="dxa"/>
            <w:tcBorders>
              <w:top w:val="nil"/>
              <w:left w:val="single" w:sz="4" w:space="0" w:color="95B3D7" w:themeColor="accent1" w:themeTint="99"/>
              <w:bottom w:val="single" w:sz="4" w:space="0" w:color="95B3D7" w:themeColor="accent1" w:themeTint="99"/>
              <w:right w:val="single" w:sz="4" w:space="0" w:color="95B3D7" w:themeColor="accent1" w:themeTint="99"/>
            </w:tcBorders>
            <w:noWrap/>
            <w:hideMark/>
          </w:tcPr>
          <w:p w14:paraId="453BD2DD" w14:textId="77777777" w:rsidR="001C5822" w:rsidRPr="00001086" w:rsidRDefault="001C5822" w:rsidP="00773810">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sz w:val="18"/>
                <w:szCs w:val="20"/>
              </w:rPr>
            </w:pPr>
            <w:r>
              <w:rPr>
                <w:rFonts w:asciiTheme="minorHAnsi" w:eastAsiaTheme="minorEastAsia" w:hAnsiTheme="minorHAnsi"/>
                <w:sz w:val="18"/>
                <w:szCs w:val="20"/>
              </w:rPr>
              <w:t>0</w:t>
            </w:r>
            <w:r w:rsidRPr="00001086">
              <w:rPr>
                <w:rFonts w:asciiTheme="minorHAnsi" w:eastAsiaTheme="minorEastAsia" w:hAnsiTheme="minorHAnsi"/>
                <w:sz w:val="18"/>
                <w:szCs w:val="20"/>
              </w:rPr>
              <w:t>.</w:t>
            </w:r>
            <w:r>
              <w:rPr>
                <w:rFonts w:asciiTheme="minorHAnsi" w:eastAsiaTheme="minorEastAsia" w:hAnsiTheme="minorHAnsi"/>
                <w:sz w:val="18"/>
                <w:szCs w:val="20"/>
              </w:rPr>
              <w:t>81</w:t>
            </w:r>
          </w:p>
        </w:tc>
      </w:tr>
    </w:tbl>
    <w:p w14:paraId="0176F8B9" w14:textId="309A1674" w:rsidR="001C5822" w:rsidRDefault="001C5822" w:rsidP="001C5822">
      <w:pPr>
        <w:ind w:firstLine="720"/>
        <w:rPr>
          <w:rFonts w:ascii="Calibri" w:eastAsia="SimSun" w:hAnsi="Calibri" w:cs="Calibri"/>
          <w:i/>
          <w:sz w:val="20"/>
          <w:szCs w:val="20"/>
          <w:lang w:val="sq-AL"/>
        </w:rPr>
      </w:pPr>
      <w:r>
        <w:rPr>
          <w:rFonts w:ascii="Calibri" w:eastAsia="SimSun" w:hAnsi="Calibri" w:cs="Calibri"/>
          <w:i/>
          <w:sz w:val="20"/>
          <w:szCs w:val="20"/>
          <w:lang w:val="sq-AL"/>
        </w:rPr>
        <w:t>Burimi: AKUM (2023)</w:t>
      </w:r>
    </w:p>
    <w:p w14:paraId="442F6620" w14:textId="301022DB" w:rsidR="001C5822" w:rsidRPr="001C5822" w:rsidRDefault="001C5822" w:rsidP="001C5822">
      <w:pPr>
        <w:ind w:left="720"/>
        <w:jc w:val="both"/>
        <w:rPr>
          <w:rFonts w:ascii="Calibri" w:eastAsia="SimSun" w:hAnsi="Calibri" w:cs="Calibri"/>
          <w:i/>
          <w:sz w:val="18"/>
          <w:szCs w:val="20"/>
          <w:lang w:val="sq-AL"/>
        </w:rPr>
      </w:pPr>
      <w:r w:rsidRPr="001C5822">
        <w:rPr>
          <w:rFonts w:ascii="Calibri" w:eastAsia="SimSun" w:hAnsi="Calibri" w:cs="Calibri"/>
          <w:i/>
          <w:color w:val="C00000"/>
          <w:sz w:val="18"/>
          <w:szCs w:val="20"/>
          <w:lang w:val="sq-AL"/>
        </w:rPr>
        <w:t>*</w:t>
      </w:r>
      <w:r w:rsidRPr="001C5822">
        <w:rPr>
          <w:rFonts w:ascii="Calibri" w:eastAsia="SimSun" w:hAnsi="Calibri" w:cs="Calibri"/>
          <w:i/>
          <w:sz w:val="18"/>
          <w:szCs w:val="20"/>
          <w:lang w:val="sq-AL"/>
        </w:rPr>
        <w:t xml:space="preserve">UKRD </w:t>
      </w:r>
      <w:r>
        <w:rPr>
          <w:rFonts w:ascii="Calibri" w:eastAsia="SimSun" w:hAnsi="Calibri" w:cs="Calibri"/>
          <w:i/>
          <w:sz w:val="18"/>
          <w:szCs w:val="20"/>
          <w:lang w:val="sq-AL"/>
        </w:rPr>
        <w:t>s</w:t>
      </w:r>
      <w:r w:rsidRPr="001C5822">
        <w:rPr>
          <w:rFonts w:ascii="Calibri" w:eastAsia="SimSun" w:hAnsi="Calibri" w:cs="Calibri"/>
          <w:i/>
          <w:sz w:val="18"/>
          <w:szCs w:val="20"/>
          <w:lang w:val="sq-AL"/>
        </w:rPr>
        <w:t>h.a për periudhën 3 mujore 2023 pas ristrukturimit në zbatim të VKM nr.302 datë 11.05.2022 ka raportuar si shoqëri rajonale duke përfshirë UK Durrës, UK Krujë, UK Kavajë, UK Rrogozhinë dhe UK Shijak. Stoku i detyrimeve prej 4.36 miliard LEK, i përket vetëm shoqërisë UK Durrës.</w:t>
      </w:r>
    </w:p>
    <w:p w14:paraId="225C2620" w14:textId="77777777" w:rsidR="001C5822" w:rsidRDefault="001C5822" w:rsidP="001C5822">
      <w:pPr>
        <w:ind w:firstLine="720"/>
        <w:rPr>
          <w:rFonts w:ascii="Calibri" w:eastAsia="SimSun" w:hAnsi="Calibri" w:cs="Calibri"/>
          <w:i/>
          <w:sz w:val="20"/>
          <w:szCs w:val="20"/>
          <w:lang w:val="sq-AL"/>
        </w:rPr>
      </w:pPr>
    </w:p>
    <w:p w14:paraId="3F6AFBFF" w14:textId="77777777" w:rsidR="003038BE" w:rsidRPr="003038BE" w:rsidRDefault="00562780" w:rsidP="00056DE5">
      <w:pPr>
        <w:pStyle w:val="Heading2"/>
        <w:numPr>
          <w:ilvl w:val="0"/>
          <w:numId w:val="16"/>
        </w:numPr>
        <w:ind w:left="630" w:hanging="630"/>
        <w:rPr>
          <w:sz w:val="26"/>
          <w:szCs w:val="26"/>
        </w:rPr>
      </w:pPr>
      <w:bookmarkStart w:id="140" w:name="_Toc466295701"/>
      <w:bookmarkStart w:id="141" w:name="_Toc107496999"/>
      <w:bookmarkStart w:id="142" w:name="_Toc10033285"/>
      <w:bookmarkStart w:id="143" w:name="_Toc10721422"/>
      <w:bookmarkStart w:id="144" w:name="_Toc11134242"/>
      <w:r w:rsidRPr="003038BE">
        <w:rPr>
          <w:sz w:val="26"/>
          <w:szCs w:val="26"/>
        </w:rPr>
        <w:lastRenderedPageBreak/>
        <w:t>Detyrime</w:t>
      </w:r>
      <w:bookmarkEnd w:id="140"/>
      <w:r w:rsidRPr="003038BE">
        <w:rPr>
          <w:sz w:val="26"/>
          <w:szCs w:val="26"/>
        </w:rPr>
        <w:t>t e prapambetura</w:t>
      </w:r>
      <w:r w:rsidR="0068128A">
        <w:rPr>
          <w:sz w:val="26"/>
          <w:szCs w:val="26"/>
        </w:rPr>
        <w:t xml:space="preserve"> </w:t>
      </w:r>
      <w:r w:rsidR="001E7F35">
        <w:rPr>
          <w:sz w:val="26"/>
          <w:szCs w:val="26"/>
        </w:rPr>
        <w:t>të Qeverisjes së Përgjithshme</w:t>
      </w:r>
      <w:bookmarkEnd w:id="141"/>
    </w:p>
    <w:p w14:paraId="30BABA73" w14:textId="2B192182" w:rsidR="001C5822" w:rsidRDefault="001C5822" w:rsidP="001C5822">
      <w:pPr>
        <w:jc w:val="both"/>
        <w:rPr>
          <w:rFonts w:asciiTheme="minorHAnsi" w:eastAsia="Calibri" w:hAnsiTheme="minorHAnsi"/>
          <w:lang w:val="sq-AL"/>
        </w:rPr>
      </w:pPr>
      <w:bookmarkStart w:id="145" w:name="_Toc495672777"/>
      <w:bookmarkEnd w:id="142"/>
      <w:bookmarkEnd w:id="143"/>
      <w:bookmarkEnd w:id="144"/>
      <w:bookmarkEnd w:id="145"/>
      <w:r w:rsidRPr="001C5822">
        <w:rPr>
          <w:rFonts w:asciiTheme="minorHAnsi" w:eastAsia="Calibri" w:hAnsiTheme="minorHAnsi"/>
          <w:lang w:val="sq-AL"/>
        </w:rPr>
        <w:t>Bazuar në VKM nr.50 datë 05.02.2014 “</w:t>
      </w:r>
      <w:r w:rsidRPr="001C5822">
        <w:rPr>
          <w:rFonts w:asciiTheme="minorHAnsi" w:eastAsia="Calibri" w:hAnsiTheme="minorHAnsi"/>
          <w:i/>
          <w:lang w:val="sq-AL"/>
        </w:rPr>
        <w:t>Për miratimin e Strategjisë për parandalimin dhe shlyerjen e detyrimeve të prapambetura e të planit të veprimit</w:t>
      </w:r>
      <w:r w:rsidRPr="001C5822">
        <w:rPr>
          <w:rFonts w:asciiTheme="minorHAnsi" w:eastAsia="Calibri" w:hAnsiTheme="minorHAnsi"/>
          <w:lang w:val="sq-AL"/>
        </w:rPr>
        <w:t>” Ministria e Financave dhe Ekonomisë ka punuar në mënyrë proaktive për uljen e stokut të akumuluar të detyrimeve të prapambetura që prej vitit 2014, dhe ka ndërmarrë disa hapa konkretë në drejtim të monitorimit, raportimit dhe parandalimit të detyrimeve të prapambetura. Monitorimi i detyrimeve të prapambetura tashmë, është një proçes i konsoliduar në kohë dhe cilësi, përmes monitorimit periodik intensiv të të gjitha detyrimeve të pashlyera të institucioneve buxhetore. Duke nisur nga muaji Dhjetor 2020, ky monitorim dhe raportim gjenerohet automatikisht nga Sistemi Informatik Financiar i Qeverisë (SIFQ) sipas përcaktimeve të Udhëzimit nr.37 të datës 06.10.2020 “</w:t>
      </w:r>
      <w:r w:rsidRPr="001C5822">
        <w:rPr>
          <w:rFonts w:asciiTheme="minorHAnsi" w:eastAsia="Calibri" w:hAnsiTheme="minorHAnsi"/>
          <w:i/>
          <w:lang w:val="sq-AL"/>
        </w:rPr>
        <w:t>Për monitorimin dhe publikimin periodik të stokut të detyrimeve të prapambetura të Qeverisjes së Përgjithshme</w:t>
      </w:r>
      <w:r w:rsidRPr="001C5822">
        <w:rPr>
          <w:rFonts w:asciiTheme="minorHAnsi" w:eastAsia="Calibri" w:hAnsiTheme="minorHAnsi"/>
          <w:lang w:val="sq-AL"/>
        </w:rPr>
        <w:t xml:space="preserve">”. Ky format raportimi përveçse rrit saktësinë dhe siguron të dhënat në kohë, është gjithashtu një format gjithëpërfshirës duke unifikuar raportin për të gjithë njësitë e qeverisjes së përgjithshme. </w:t>
      </w:r>
    </w:p>
    <w:p w14:paraId="5E2BDE0C" w14:textId="77777777" w:rsidR="00AF2B0E" w:rsidRDefault="00697E9D" w:rsidP="00697E9D">
      <w:pPr>
        <w:spacing w:before="120"/>
        <w:jc w:val="both"/>
        <w:rPr>
          <w:rFonts w:asciiTheme="minorHAnsi" w:eastAsia="Calibri" w:hAnsiTheme="minorHAnsi"/>
          <w:lang w:val="sq-AL"/>
        </w:rPr>
      </w:pPr>
      <w:r w:rsidRPr="001F324B">
        <w:rPr>
          <w:rFonts w:asciiTheme="minorHAnsi" w:eastAsia="Calibri" w:hAnsiTheme="minorHAnsi"/>
          <w:lang w:val="sq-AL"/>
        </w:rPr>
        <w:t>Parë në një aspekt më të gjerë dhe gjithëpërfshirës, Ministria e Financave dhe Ekonomisë i ka sugjeruar të gjitha njësive të auditimit të brendshëm në sektorin publik që në “</w:t>
      </w:r>
      <w:r w:rsidRPr="001F324B">
        <w:rPr>
          <w:rFonts w:asciiTheme="minorHAnsi" w:eastAsia="Calibri" w:hAnsiTheme="minorHAnsi"/>
          <w:i/>
          <w:lang w:val="sq-AL"/>
        </w:rPr>
        <w:t>Planin strategjik dhe vjetor të veprimtarisë audituese për vitet 2021 – 2023</w:t>
      </w:r>
      <w:r w:rsidRPr="001F324B">
        <w:rPr>
          <w:rFonts w:asciiTheme="minorHAnsi" w:eastAsia="Calibri" w:hAnsiTheme="minorHAnsi"/>
          <w:lang w:val="sq-AL"/>
        </w:rPr>
        <w:t>” të përfshijnë angazhime auditimi për analizimin dhe vlerësimin e situatës së detyrimeve të prapambetura të njësive publike. Kjo, përsa kohë që detyrimet e prapambetura janë përcaktuar si fushë me risk të lartë dhe duhet të trajtohen me përparësi nga auditimi i brendshëm i njësive publike, për të paraqituar gjendjen aktuale dhe për të dhënë rekomandime sa më të vlefshme për shlyerjen e tyre në afate të përcaktuara.</w:t>
      </w:r>
      <w:r>
        <w:rPr>
          <w:rFonts w:asciiTheme="minorHAnsi" w:eastAsia="Calibri" w:hAnsiTheme="minorHAnsi"/>
          <w:lang w:val="sq-AL"/>
        </w:rPr>
        <w:t xml:space="preserve"> </w:t>
      </w:r>
    </w:p>
    <w:p w14:paraId="6F3191FE" w14:textId="5E15D955" w:rsidR="00697E9D" w:rsidRPr="001C5822" w:rsidRDefault="00AF2B0E" w:rsidP="00697E9D">
      <w:pPr>
        <w:spacing w:before="120"/>
        <w:jc w:val="both"/>
        <w:rPr>
          <w:rFonts w:asciiTheme="minorHAnsi" w:eastAsia="Calibri" w:hAnsiTheme="minorHAnsi"/>
          <w:lang w:val="sq-AL"/>
        </w:rPr>
      </w:pPr>
      <w:r w:rsidRPr="009E4A89">
        <w:rPr>
          <w:rFonts w:asciiTheme="minorHAnsi" w:eastAsia="Calibri" w:hAnsiTheme="minorHAnsi"/>
          <w:szCs w:val="22"/>
          <w:lang w:val="sq-AL"/>
        </w:rPr>
        <w:t xml:space="preserve">Vitet e fundit stoku i detyrimeve të prapambetura ka ndjekur një trend rënës, edhe pse faktorë të tillë si efektet e krizës globale energjetike, lufta në Ukrainë, luhatjet e çmimeve të energjisë, karburanteve dhe inputeve, kanë sjellë një rritje të lehtë të stokut të detyrimeve të prapambetura në nivel të përgjithshëm për </w:t>
      </w:r>
      <w:r>
        <w:rPr>
          <w:rFonts w:asciiTheme="minorHAnsi" w:eastAsia="Calibri" w:hAnsiTheme="minorHAnsi"/>
          <w:szCs w:val="22"/>
          <w:lang w:val="sq-AL"/>
        </w:rPr>
        <w:t>T1</w:t>
      </w:r>
      <w:r w:rsidRPr="009E4A89">
        <w:rPr>
          <w:rFonts w:asciiTheme="minorHAnsi" w:eastAsia="Calibri" w:hAnsiTheme="minorHAnsi"/>
          <w:szCs w:val="22"/>
          <w:lang w:val="sq-AL"/>
        </w:rPr>
        <w:t xml:space="preserve"> 2023. Ecuria e faktorëve të mësiperm do të kushtëzojnë edhe ‘sjelljen’ që do të ketë ky zë për pjesën e mbetur të vitit. Duke konsideruar që procesi i shlyerjes së detyrimeve nga ana e institucioneve kryhet në respektim të parimit FIFO, rezulton se detyrimet që mbeten për t’u shlyer gjatë vitit 2023 karakterizohen nga një “</w:t>
      </w:r>
      <w:r w:rsidRPr="009E4A89">
        <w:rPr>
          <w:rFonts w:asciiTheme="minorHAnsi" w:eastAsia="Calibri" w:hAnsiTheme="minorHAnsi"/>
          <w:i/>
          <w:szCs w:val="22"/>
          <w:lang w:val="sq-AL"/>
        </w:rPr>
        <w:t>moshë mesatare</w:t>
      </w:r>
      <w:r w:rsidRPr="009E4A89">
        <w:rPr>
          <w:rFonts w:asciiTheme="minorHAnsi" w:eastAsia="Calibri" w:hAnsiTheme="minorHAnsi"/>
          <w:szCs w:val="22"/>
          <w:lang w:val="sq-AL"/>
        </w:rPr>
        <w:t>” e re e krijimit të tyre</w:t>
      </w:r>
      <w:r>
        <w:rPr>
          <w:rFonts w:asciiTheme="minorHAnsi" w:eastAsia="Calibri" w:hAnsiTheme="minorHAnsi"/>
          <w:szCs w:val="22"/>
          <w:lang w:val="sq-AL"/>
        </w:rPr>
        <w:t xml:space="preserve">. </w:t>
      </w:r>
      <w:r w:rsidR="00697E9D" w:rsidRPr="001F324B">
        <w:rPr>
          <w:rFonts w:asciiTheme="minorHAnsi" w:eastAsia="Calibri" w:hAnsiTheme="minorHAnsi"/>
          <w:lang w:val="sq-AL"/>
        </w:rPr>
        <w:t xml:space="preserve">Në grafikun e mëposhtëm paraqitet ecuria e detyrimeve të prapambetura deri në </w:t>
      </w:r>
      <w:r w:rsidR="00697E9D">
        <w:rPr>
          <w:rFonts w:asciiTheme="minorHAnsi" w:eastAsia="Calibri" w:hAnsiTheme="minorHAnsi"/>
          <w:lang w:val="sq-AL"/>
        </w:rPr>
        <w:t>T1</w:t>
      </w:r>
      <w:r w:rsidR="00697E9D" w:rsidRPr="001F324B">
        <w:rPr>
          <w:rFonts w:asciiTheme="minorHAnsi" w:eastAsia="Calibri" w:hAnsiTheme="minorHAnsi"/>
          <w:lang w:val="sq-AL"/>
        </w:rPr>
        <w:t xml:space="preserve"> 202</w:t>
      </w:r>
      <w:r w:rsidR="00697E9D">
        <w:rPr>
          <w:rFonts w:asciiTheme="minorHAnsi" w:eastAsia="Calibri" w:hAnsiTheme="minorHAnsi"/>
          <w:lang w:val="sq-AL"/>
        </w:rPr>
        <w:t>3</w:t>
      </w:r>
      <w:r>
        <w:rPr>
          <w:rFonts w:asciiTheme="minorHAnsi" w:eastAsia="Calibri" w:hAnsiTheme="minorHAnsi"/>
          <w:lang w:val="sq-AL"/>
        </w:rPr>
        <w:t>:</w:t>
      </w:r>
    </w:p>
    <w:p w14:paraId="3693D922" w14:textId="1D440CBF" w:rsidR="001F324B" w:rsidRDefault="00343167" w:rsidP="001F324B">
      <w:pPr>
        <w:spacing w:before="120"/>
        <w:jc w:val="both"/>
        <w:rPr>
          <w:rFonts w:ascii="Calibri" w:hAnsi="Calibri"/>
          <w:i/>
          <w:iCs/>
          <w:color w:val="17406D"/>
          <w:sz w:val="22"/>
          <w:szCs w:val="22"/>
          <w:lang w:val="sq-AL"/>
        </w:rPr>
      </w:pPr>
      <w:bookmarkStart w:id="146" w:name="_Toc107498138"/>
      <w:r w:rsidRPr="00343167">
        <w:rPr>
          <w:rFonts w:asciiTheme="minorHAnsi" w:hAnsiTheme="minorHAnsi"/>
          <w:bCs/>
          <w:i/>
          <w:noProof/>
          <w:sz w:val="22"/>
        </w:rPr>
        <w:t xml:space="preserve">Grafiku </w:t>
      </w:r>
      <w:r w:rsidRPr="00343167">
        <w:rPr>
          <w:rFonts w:asciiTheme="minorHAnsi" w:hAnsiTheme="minorHAnsi"/>
          <w:bCs/>
          <w:i/>
          <w:noProof/>
          <w:sz w:val="22"/>
        </w:rPr>
        <w:fldChar w:fldCharType="begin"/>
      </w:r>
      <w:r w:rsidRPr="00343167">
        <w:rPr>
          <w:rFonts w:asciiTheme="minorHAnsi" w:hAnsiTheme="minorHAnsi"/>
          <w:bCs/>
          <w:i/>
          <w:noProof/>
          <w:sz w:val="22"/>
        </w:rPr>
        <w:instrText xml:space="preserve"> SEQ Grafiku \* ARABIC </w:instrText>
      </w:r>
      <w:r w:rsidRPr="00343167">
        <w:rPr>
          <w:rFonts w:asciiTheme="minorHAnsi" w:hAnsiTheme="minorHAnsi"/>
          <w:bCs/>
          <w:i/>
          <w:noProof/>
          <w:sz w:val="22"/>
        </w:rPr>
        <w:fldChar w:fldCharType="separate"/>
      </w:r>
      <w:r w:rsidR="00C153A9">
        <w:rPr>
          <w:rFonts w:asciiTheme="minorHAnsi" w:hAnsiTheme="minorHAnsi"/>
          <w:bCs/>
          <w:i/>
          <w:noProof/>
          <w:sz w:val="22"/>
        </w:rPr>
        <w:t>46</w:t>
      </w:r>
      <w:r w:rsidRPr="00343167">
        <w:rPr>
          <w:rFonts w:asciiTheme="minorHAnsi" w:hAnsiTheme="minorHAnsi"/>
          <w:bCs/>
          <w:i/>
          <w:noProof/>
          <w:sz w:val="22"/>
        </w:rPr>
        <w:fldChar w:fldCharType="end"/>
      </w:r>
      <w:r w:rsidRPr="00343167">
        <w:rPr>
          <w:rFonts w:asciiTheme="minorHAnsi" w:hAnsiTheme="minorHAnsi"/>
          <w:bCs/>
          <w:i/>
          <w:noProof/>
          <w:sz w:val="22"/>
        </w:rPr>
        <w:t>:</w:t>
      </w:r>
      <w:r w:rsidR="001F324B" w:rsidRPr="00343167">
        <w:rPr>
          <w:rFonts w:asciiTheme="minorHAnsi" w:hAnsiTheme="minorHAnsi"/>
          <w:bCs/>
          <w:i/>
          <w:noProof/>
          <w:sz w:val="22"/>
        </w:rPr>
        <w:t>Stoku i detyrimeve të prapambetura të qeverisjes së përgjithshme, në mln LEK</w:t>
      </w:r>
      <w:bookmarkEnd w:id="146"/>
    </w:p>
    <w:p w14:paraId="60FDAC37" w14:textId="4ED83B00" w:rsidR="0093018B" w:rsidRDefault="00AF2B0E" w:rsidP="0093018B">
      <w:pPr>
        <w:jc w:val="center"/>
        <w:rPr>
          <w:noProof/>
        </w:rPr>
      </w:pPr>
      <w:r>
        <w:rPr>
          <w:noProof/>
        </w:rPr>
        <w:drawing>
          <wp:inline distT="0" distB="0" distL="0" distR="0" wp14:anchorId="585C4B76" wp14:editId="63F45BB6">
            <wp:extent cx="5820410" cy="1612900"/>
            <wp:effectExtent l="0" t="0" r="8890" b="6350"/>
            <wp:docPr id="300" name="Chart 300"/>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7EC4A307" w14:textId="77777777" w:rsidR="001F324B" w:rsidRDefault="00193978" w:rsidP="00AF2B0E">
      <w:pPr>
        <w:ind w:firstLine="720"/>
        <w:rPr>
          <w:rFonts w:ascii="Calibri" w:hAnsi="Calibri"/>
          <w:i/>
          <w:sz w:val="20"/>
          <w:szCs w:val="20"/>
          <w:lang w:val="sq-AL"/>
        </w:rPr>
      </w:pPr>
      <w:r>
        <w:rPr>
          <w:rFonts w:ascii="Calibri" w:hAnsi="Calibri"/>
          <w:i/>
          <w:sz w:val="20"/>
          <w:szCs w:val="20"/>
          <w:lang w:val="sq-AL"/>
        </w:rPr>
        <w:t>Burimi: Ministria e Financave dhe Ekonomisë (2023)</w:t>
      </w:r>
    </w:p>
    <w:p w14:paraId="58AF36B5" w14:textId="77777777" w:rsidR="00B703A6" w:rsidRPr="00AF2B0E" w:rsidRDefault="00B703A6" w:rsidP="001F324B">
      <w:pPr>
        <w:rPr>
          <w:rFonts w:ascii="Calibri" w:hAnsi="Calibri"/>
          <w:i/>
          <w:sz w:val="16"/>
          <w:szCs w:val="8"/>
          <w:lang w:val="sq-AL"/>
        </w:rPr>
      </w:pPr>
    </w:p>
    <w:p w14:paraId="0D2FB166" w14:textId="77777777" w:rsidR="00AF2B0E" w:rsidRPr="00AF2B0E" w:rsidRDefault="00AF2B0E" w:rsidP="00AF2B0E">
      <w:pPr>
        <w:jc w:val="both"/>
        <w:rPr>
          <w:rFonts w:asciiTheme="minorHAnsi" w:eastAsia="Calibri" w:hAnsiTheme="minorHAnsi"/>
          <w:sz w:val="8"/>
          <w:lang w:val="sq-AL"/>
        </w:rPr>
      </w:pPr>
    </w:p>
    <w:p w14:paraId="7DC36866" w14:textId="02BFA528" w:rsidR="00AF2B0E" w:rsidRDefault="0093018B" w:rsidP="00AF2B0E">
      <w:pPr>
        <w:jc w:val="both"/>
        <w:rPr>
          <w:rFonts w:asciiTheme="minorHAnsi" w:eastAsia="Calibri" w:hAnsiTheme="minorHAnsi"/>
          <w:lang w:val="sq-AL"/>
        </w:rPr>
      </w:pPr>
      <w:r>
        <w:rPr>
          <w:rFonts w:asciiTheme="minorHAnsi" w:eastAsia="Calibri" w:hAnsiTheme="minorHAnsi"/>
          <w:lang w:val="sq-AL"/>
        </w:rPr>
        <w:t xml:space="preserve">Konkretisht, deri në fund të muajit Mars </w:t>
      </w:r>
      <w:r w:rsidR="00AF2B0E">
        <w:rPr>
          <w:rFonts w:asciiTheme="minorHAnsi" w:eastAsia="Calibri" w:hAnsiTheme="minorHAnsi"/>
          <w:lang w:val="sq-AL"/>
        </w:rPr>
        <w:t>2023 (T1) u regjistrua një stok kumulativ prej 12.76 miliardë LEK</w:t>
      </w:r>
      <w:r w:rsidR="00AF2B0E">
        <w:rPr>
          <w:rStyle w:val="FootnoteReference"/>
          <w:rFonts w:asciiTheme="minorHAnsi" w:eastAsia="Calibri" w:hAnsiTheme="minorHAnsi"/>
          <w:lang w:val="sq-AL"/>
        </w:rPr>
        <w:footnoteReference w:id="3"/>
      </w:r>
      <w:r w:rsidR="00AF2B0E">
        <w:rPr>
          <w:rFonts w:asciiTheme="minorHAnsi" w:eastAsia="Calibri" w:hAnsiTheme="minorHAnsi"/>
          <w:lang w:val="sq-AL"/>
        </w:rPr>
        <w:t xml:space="preserve"> i detyrimeve të prapambetura nga njësitë e qeverisjes së përgjithshme, nga të cilat:</w:t>
      </w:r>
    </w:p>
    <w:p w14:paraId="4C8916E0" w14:textId="77777777" w:rsidR="00AF2B0E" w:rsidRPr="00644A5A" w:rsidRDefault="00AF2B0E" w:rsidP="00056DE5">
      <w:pPr>
        <w:pStyle w:val="ListParagraph"/>
        <w:numPr>
          <w:ilvl w:val="0"/>
          <w:numId w:val="28"/>
        </w:numPr>
        <w:rPr>
          <w:rFonts w:asciiTheme="minorHAnsi" w:eastAsia="Calibri" w:hAnsiTheme="minorHAnsi"/>
          <w:i/>
          <w:sz w:val="22"/>
          <w:lang w:val="sq-AL"/>
        </w:rPr>
      </w:pPr>
      <w:r w:rsidRPr="00644A5A">
        <w:rPr>
          <w:rFonts w:asciiTheme="minorHAnsi" w:eastAsia="Calibri" w:hAnsiTheme="minorHAnsi"/>
          <w:i/>
          <w:sz w:val="22"/>
          <w:lang w:val="sq-AL"/>
        </w:rPr>
        <w:t xml:space="preserve">Totali detyrimeve të prapambetura të qeverisë qendrore rreth 6.74 miliardë </w:t>
      </w:r>
      <w:r>
        <w:rPr>
          <w:rFonts w:asciiTheme="minorHAnsi" w:eastAsia="Calibri" w:hAnsiTheme="minorHAnsi"/>
          <w:i/>
          <w:sz w:val="22"/>
          <w:lang w:val="sq-AL"/>
        </w:rPr>
        <w:t>LEK</w:t>
      </w:r>
      <w:r w:rsidRPr="00644A5A">
        <w:rPr>
          <w:rFonts w:asciiTheme="minorHAnsi" w:eastAsia="Calibri" w:hAnsiTheme="minorHAnsi"/>
          <w:i/>
          <w:sz w:val="22"/>
          <w:lang w:val="sq-AL"/>
        </w:rPr>
        <w:t>.</w:t>
      </w:r>
    </w:p>
    <w:p w14:paraId="423F7919" w14:textId="77777777" w:rsidR="00AF2B0E" w:rsidRPr="00644A5A" w:rsidRDefault="00AF2B0E" w:rsidP="00056DE5">
      <w:pPr>
        <w:pStyle w:val="ListParagraph"/>
        <w:numPr>
          <w:ilvl w:val="0"/>
          <w:numId w:val="28"/>
        </w:numPr>
        <w:rPr>
          <w:rFonts w:asciiTheme="minorHAnsi" w:eastAsia="Calibri" w:hAnsiTheme="minorHAnsi"/>
          <w:i/>
          <w:sz w:val="22"/>
          <w:lang w:val="sq-AL"/>
        </w:rPr>
      </w:pPr>
      <w:r w:rsidRPr="00644A5A">
        <w:rPr>
          <w:rFonts w:asciiTheme="minorHAnsi" w:eastAsia="Calibri" w:hAnsiTheme="minorHAnsi"/>
          <w:i/>
          <w:sz w:val="22"/>
          <w:lang w:val="sq-AL"/>
        </w:rPr>
        <w:t xml:space="preserve">Totali detyrimeve të prapambetura të qeverisë vendore rreth 6.02 miliardë </w:t>
      </w:r>
      <w:r>
        <w:rPr>
          <w:rFonts w:asciiTheme="minorHAnsi" w:eastAsia="Calibri" w:hAnsiTheme="minorHAnsi"/>
          <w:i/>
          <w:sz w:val="22"/>
          <w:lang w:val="sq-AL"/>
        </w:rPr>
        <w:t>LEK</w:t>
      </w:r>
      <w:r w:rsidRPr="00644A5A">
        <w:rPr>
          <w:rFonts w:asciiTheme="minorHAnsi" w:eastAsia="Calibri" w:hAnsiTheme="minorHAnsi"/>
          <w:i/>
          <w:sz w:val="22"/>
          <w:lang w:val="sq-AL"/>
        </w:rPr>
        <w:t>.</w:t>
      </w:r>
    </w:p>
    <w:p w14:paraId="1815993D" w14:textId="77777777" w:rsidR="00AF2B0E" w:rsidRPr="00B703A6" w:rsidRDefault="00AF2B0E" w:rsidP="00AF2B0E">
      <w:pPr>
        <w:ind w:left="720"/>
        <w:contextualSpacing/>
        <w:jc w:val="both"/>
        <w:rPr>
          <w:rFonts w:asciiTheme="minorHAnsi" w:eastAsia="Calibri" w:hAnsiTheme="minorHAnsi"/>
          <w:i/>
          <w:sz w:val="8"/>
          <w:highlight w:val="yellow"/>
          <w:lang w:val="sq-AL"/>
        </w:rPr>
      </w:pPr>
    </w:p>
    <w:p w14:paraId="2AAC1A22" w14:textId="77777777" w:rsidR="00AF2B0E" w:rsidRDefault="00AF2B0E" w:rsidP="00AF2B0E">
      <w:pPr>
        <w:jc w:val="both"/>
        <w:rPr>
          <w:rFonts w:asciiTheme="minorHAnsi" w:eastAsia="Calibri" w:hAnsiTheme="minorHAnsi"/>
          <w:lang w:val="sq-AL"/>
        </w:rPr>
      </w:pPr>
    </w:p>
    <w:p w14:paraId="0FA474E2" w14:textId="31811F5D" w:rsidR="00AF2B0E" w:rsidRDefault="00AF2B0E" w:rsidP="00AF2B0E">
      <w:pPr>
        <w:jc w:val="both"/>
        <w:rPr>
          <w:rFonts w:asciiTheme="minorHAnsi" w:eastAsia="Calibri" w:hAnsiTheme="minorHAnsi"/>
          <w:lang w:val="sq-AL"/>
        </w:rPr>
      </w:pPr>
      <w:r>
        <w:rPr>
          <w:rFonts w:asciiTheme="minorHAnsi" w:eastAsia="Calibri" w:hAnsiTheme="minorHAnsi"/>
          <w:lang w:val="sq-AL"/>
        </w:rPr>
        <w:lastRenderedPageBreak/>
        <w:t>Krahasuar me stokun e raportuar</w:t>
      </w:r>
      <w:r w:rsidR="00C12325">
        <w:rPr>
          <w:rFonts w:asciiTheme="minorHAnsi" w:eastAsia="Calibri" w:hAnsiTheme="minorHAnsi"/>
          <w:lang w:val="sq-AL"/>
        </w:rPr>
        <w:t xml:space="preserve"> n</w:t>
      </w:r>
      <w:r w:rsidR="004B3FF3">
        <w:rPr>
          <w:rFonts w:asciiTheme="minorHAnsi" w:eastAsia="Calibri" w:hAnsiTheme="minorHAnsi"/>
          <w:lang w:val="sq-AL"/>
        </w:rPr>
        <w:t>ë</w:t>
      </w:r>
      <w:r w:rsidR="00C12325">
        <w:rPr>
          <w:rFonts w:asciiTheme="minorHAnsi" w:eastAsia="Calibri" w:hAnsiTheme="minorHAnsi"/>
          <w:lang w:val="sq-AL"/>
        </w:rPr>
        <w:t xml:space="preserve"> </w:t>
      </w:r>
      <w:r>
        <w:rPr>
          <w:rFonts w:asciiTheme="minorHAnsi" w:eastAsia="Calibri" w:hAnsiTheme="minorHAnsi"/>
          <w:lang w:val="sq-AL"/>
        </w:rPr>
        <w:t xml:space="preserve">T1 2022, </w:t>
      </w:r>
      <w:r w:rsidR="00C12325">
        <w:rPr>
          <w:rFonts w:asciiTheme="minorHAnsi" w:eastAsia="Calibri" w:hAnsiTheme="minorHAnsi"/>
          <w:lang w:val="sq-AL"/>
        </w:rPr>
        <w:t>p</w:t>
      </w:r>
      <w:r w:rsidR="004B3FF3">
        <w:rPr>
          <w:rFonts w:asciiTheme="minorHAnsi" w:eastAsia="Calibri" w:hAnsiTheme="minorHAnsi"/>
          <w:lang w:val="sq-AL"/>
        </w:rPr>
        <w:t>ë</w:t>
      </w:r>
      <w:r w:rsidR="00C12325">
        <w:rPr>
          <w:rFonts w:asciiTheme="minorHAnsi" w:eastAsia="Calibri" w:hAnsiTheme="minorHAnsi"/>
          <w:lang w:val="sq-AL"/>
        </w:rPr>
        <w:t xml:space="preserve">r vitin 2023 </w:t>
      </w:r>
      <w:r>
        <w:rPr>
          <w:rFonts w:asciiTheme="minorHAnsi" w:eastAsia="Calibri" w:hAnsiTheme="minorHAnsi"/>
          <w:lang w:val="sq-AL"/>
        </w:rPr>
        <w:t>rezulton se:</w:t>
      </w:r>
    </w:p>
    <w:p w14:paraId="3324ACA9" w14:textId="77777777" w:rsidR="00AF2B0E" w:rsidRDefault="00AF2B0E" w:rsidP="00056DE5">
      <w:pPr>
        <w:pStyle w:val="ListParagraph"/>
        <w:numPr>
          <w:ilvl w:val="0"/>
          <w:numId w:val="28"/>
        </w:numPr>
        <w:rPr>
          <w:rFonts w:asciiTheme="minorHAnsi" w:eastAsia="Calibri" w:hAnsiTheme="minorHAnsi"/>
          <w:i/>
          <w:sz w:val="22"/>
          <w:szCs w:val="22"/>
          <w:lang w:val="sq-AL"/>
        </w:rPr>
      </w:pPr>
      <w:r w:rsidRPr="00644A5A">
        <w:rPr>
          <w:rFonts w:asciiTheme="minorHAnsi" w:eastAsia="Calibri" w:hAnsiTheme="minorHAnsi"/>
          <w:i/>
          <w:sz w:val="22"/>
          <w:szCs w:val="22"/>
          <w:lang w:val="sq-AL"/>
        </w:rPr>
        <w:t xml:space="preserve">Niveli i përgjithshëm i detyrimeve të prapambetura është rreth 1.78 miliardë </w:t>
      </w:r>
      <w:r>
        <w:rPr>
          <w:rFonts w:asciiTheme="minorHAnsi" w:eastAsia="Calibri" w:hAnsiTheme="minorHAnsi"/>
          <w:i/>
          <w:sz w:val="22"/>
          <w:szCs w:val="22"/>
          <w:lang w:val="sq-AL"/>
        </w:rPr>
        <w:t>LEK</w:t>
      </w:r>
      <w:r w:rsidRPr="00644A5A">
        <w:rPr>
          <w:rFonts w:asciiTheme="minorHAnsi" w:eastAsia="Calibri" w:hAnsiTheme="minorHAnsi"/>
          <w:i/>
          <w:sz w:val="22"/>
          <w:szCs w:val="22"/>
          <w:lang w:val="sq-AL"/>
        </w:rPr>
        <w:t xml:space="preserve"> më i ulët, ose një rënie me 12.2%. </w:t>
      </w:r>
    </w:p>
    <w:p w14:paraId="2100AFD4" w14:textId="77777777" w:rsidR="00AF2B0E" w:rsidRPr="00644A5A" w:rsidRDefault="00AF2B0E" w:rsidP="00056DE5">
      <w:pPr>
        <w:pStyle w:val="ListParagraph"/>
        <w:numPr>
          <w:ilvl w:val="0"/>
          <w:numId w:val="28"/>
        </w:numPr>
        <w:rPr>
          <w:rFonts w:asciiTheme="minorHAnsi" w:eastAsia="Calibri" w:hAnsiTheme="minorHAnsi"/>
          <w:i/>
          <w:sz w:val="22"/>
          <w:szCs w:val="22"/>
          <w:lang w:val="sq-AL"/>
        </w:rPr>
      </w:pPr>
      <w:r w:rsidRPr="00644A5A">
        <w:rPr>
          <w:rFonts w:asciiTheme="minorHAnsi" w:eastAsia="Calibri" w:hAnsiTheme="minorHAnsi"/>
          <w:i/>
          <w:sz w:val="22"/>
          <w:szCs w:val="22"/>
          <w:lang w:val="sq-AL"/>
        </w:rPr>
        <w:t xml:space="preserve">Konkretisht, detyrimet e prapambetura nga qeverisja qendrore janë ulur me rreth 0.02 miliardë </w:t>
      </w:r>
      <w:r>
        <w:rPr>
          <w:rFonts w:asciiTheme="minorHAnsi" w:eastAsia="Calibri" w:hAnsiTheme="minorHAnsi"/>
          <w:i/>
          <w:sz w:val="22"/>
          <w:szCs w:val="22"/>
          <w:lang w:val="sq-AL"/>
        </w:rPr>
        <w:t>LEK</w:t>
      </w:r>
      <w:r w:rsidRPr="00644A5A">
        <w:rPr>
          <w:rFonts w:asciiTheme="minorHAnsi" w:eastAsia="Calibri" w:hAnsiTheme="minorHAnsi"/>
          <w:i/>
          <w:sz w:val="22"/>
          <w:szCs w:val="22"/>
          <w:lang w:val="sq-AL"/>
        </w:rPr>
        <w:t xml:space="preserve"> dhe detyrimet e prapambetura nga qeverisja vendore janë ulur me rreth 1.28 miliardë </w:t>
      </w:r>
      <w:r>
        <w:rPr>
          <w:rFonts w:asciiTheme="minorHAnsi" w:eastAsia="Calibri" w:hAnsiTheme="minorHAnsi"/>
          <w:i/>
          <w:sz w:val="22"/>
          <w:szCs w:val="22"/>
          <w:lang w:val="sq-AL"/>
        </w:rPr>
        <w:t>LEK</w:t>
      </w:r>
      <w:r w:rsidRPr="00644A5A">
        <w:rPr>
          <w:rFonts w:asciiTheme="minorHAnsi" w:eastAsia="Calibri" w:hAnsiTheme="minorHAnsi"/>
          <w:i/>
          <w:sz w:val="22"/>
          <w:szCs w:val="22"/>
          <w:lang w:val="sq-AL"/>
        </w:rPr>
        <w:t>, krahasuar me të njëjtën periudhë të një viti më parë.</w:t>
      </w:r>
    </w:p>
    <w:p w14:paraId="32662917" w14:textId="77777777" w:rsidR="00AF2B0E" w:rsidRPr="00644A5A" w:rsidRDefault="00AF2B0E" w:rsidP="00056DE5">
      <w:pPr>
        <w:pStyle w:val="ListParagraph"/>
        <w:numPr>
          <w:ilvl w:val="0"/>
          <w:numId w:val="28"/>
        </w:numPr>
        <w:rPr>
          <w:rFonts w:asciiTheme="minorHAnsi" w:eastAsia="Calibri" w:hAnsiTheme="minorHAnsi"/>
          <w:i/>
          <w:sz w:val="22"/>
          <w:szCs w:val="22"/>
          <w:lang w:val="sq-AL"/>
        </w:rPr>
      </w:pPr>
      <w:r w:rsidRPr="00644A5A">
        <w:rPr>
          <w:rFonts w:asciiTheme="minorHAnsi" w:eastAsia="Calibri" w:hAnsiTheme="minorHAnsi"/>
          <w:i/>
          <w:sz w:val="22"/>
          <w:szCs w:val="22"/>
          <w:lang w:val="sq-AL"/>
        </w:rPr>
        <w:t xml:space="preserve">Për periudhën </w:t>
      </w:r>
      <w:r>
        <w:rPr>
          <w:rFonts w:asciiTheme="minorHAnsi" w:eastAsia="Calibri" w:hAnsiTheme="minorHAnsi"/>
          <w:i/>
          <w:sz w:val="22"/>
          <w:szCs w:val="22"/>
          <w:lang w:val="sq-AL"/>
        </w:rPr>
        <w:t>T1</w:t>
      </w:r>
      <w:r w:rsidRPr="00644A5A">
        <w:rPr>
          <w:rFonts w:asciiTheme="minorHAnsi" w:eastAsia="Calibri" w:hAnsiTheme="minorHAnsi"/>
          <w:i/>
          <w:sz w:val="22"/>
          <w:szCs w:val="22"/>
          <w:lang w:val="sq-AL"/>
        </w:rPr>
        <w:t xml:space="preserve"> 2023, detyrimet e prapambetura të rimbursimit të TVSH-së janë zeruar, krahasuar me 0.48 miliardë </w:t>
      </w:r>
      <w:r>
        <w:rPr>
          <w:rFonts w:asciiTheme="minorHAnsi" w:eastAsia="Calibri" w:hAnsiTheme="minorHAnsi"/>
          <w:i/>
          <w:sz w:val="22"/>
          <w:szCs w:val="22"/>
          <w:lang w:val="sq-AL"/>
        </w:rPr>
        <w:t>LEK</w:t>
      </w:r>
      <w:r w:rsidRPr="00644A5A">
        <w:rPr>
          <w:rFonts w:asciiTheme="minorHAnsi" w:eastAsia="Calibri" w:hAnsiTheme="minorHAnsi"/>
          <w:i/>
          <w:sz w:val="22"/>
          <w:szCs w:val="22"/>
          <w:lang w:val="sq-AL"/>
        </w:rPr>
        <w:t xml:space="preserve">, të regjistruara në </w:t>
      </w:r>
      <w:r>
        <w:rPr>
          <w:rFonts w:asciiTheme="minorHAnsi" w:eastAsia="Calibri" w:hAnsiTheme="minorHAnsi"/>
          <w:i/>
          <w:sz w:val="22"/>
          <w:szCs w:val="22"/>
          <w:lang w:val="sq-AL"/>
        </w:rPr>
        <w:t>T1</w:t>
      </w:r>
      <w:r w:rsidRPr="00644A5A">
        <w:rPr>
          <w:rFonts w:asciiTheme="minorHAnsi" w:eastAsia="Calibri" w:hAnsiTheme="minorHAnsi"/>
          <w:i/>
          <w:sz w:val="22"/>
          <w:szCs w:val="22"/>
          <w:lang w:val="sq-AL"/>
        </w:rPr>
        <w:t xml:space="preserve"> 2022.</w:t>
      </w:r>
    </w:p>
    <w:p w14:paraId="60DC3A10" w14:textId="547DEB94" w:rsidR="0093018B" w:rsidRPr="001F324B" w:rsidRDefault="0093018B" w:rsidP="00AF2B0E">
      <w:pPr>
        <w:jc w:val="both"/>
        <w:rPr>
          <w:rFonts w:asciiTheme="minorHAnsi" w:eastAsia="Calibri" w:hAnsiTheme="minorHAnsi"/>
          <w:sz w:val="12"/>
          <w:lang w:val="sq-AL"/>
        </w:rPr>
      </w:pPr>
    </w:p>
    <w:p w14:paraId="495C932A" w14:textId="50C3E328" w:rsidR="00AF2B0E" w:rsidRDefault="00AF2B0E" w:rsidP="00AF2B0E">
      <w:pPr>
        <w:jc w:val="both"/>
        <w:rPr>
          <w:rFonts w:asciiTheme="minorHAnsi" w:eastAsia="Calibri" w:hAnsiTheme="minorHAnsi"/>
          <w:lang w:val="sq-AL"/>
        </w:rPr>
      </w:pPr>
      <w:r>
        <w:rPr>
          <w:rFonts w:asciiTheme="minorHAnsi" w:eastAsia="Calibri" w:hAnsiTheme="minorHAnsi"/>
          <w:lang w:val="sq-AL"/>
        </w:rPr>
        <w:t>Krahasuar me stokun e raportuar n</w:t>
      </w:r>
      <w:r w:rsidR="004B3FF3">
        <w:rPr>
          <w:rFonts w:asciiTheme="minorHAnsi" w:eastAsia="Calibri" w:hAnsiTheme="minorHAnsi"/>
          <w:lang w:val="sq-AL"/>
        </w:rPr>
        <w:t>ë</w:t>
      </w:r>
      <w:r>
        <w:rPr>
          <w:rFonts w:asciiTheme="minorHAnsi" w:eastAsia="Calibri" w:hAnsiTheme="minorHAnsi"/>
          <w:lang w:val="sq-AL"/>
        </w:rPr>
        <w:t xml:space="preserve"> fund t</w:t>
      </w:r>
      <w:r w:rsidR="004B3FF3">
        <w:rPr>
          <w:rFonts w:asciiTheme="minorHAnsi" w:eastAsia="Calibri" w:hAnsiTheme="minorHAnsi"/>
          <w:lang w:val="sq-AL"/>
        </w:rPr>
        <w:t>ë</w:t>
      </w:r>
      <w:r>
        <w:rPr>
          <w:rFonts w:asciiTheme="minorHAnsi" w:eastAsia="Calibri" w:hAnsiTheme="minorHAnsi"/>
          <w:lang w:val="sq-AL"/>
        </w:rPr>
        <w:t xml:space="preserve"> vitit 2022, p</w:t>
      </w:r>
      <w:r w:rsidR="004B3FF3">
        <w:rPr>
          <w:rFonts w:asciiTheme="minorHAnsi" w:eastAsia="Calibri" w:hAnsiTheme="minorHAnsi"/>
          <w:lang w:val="sq-AL"/>
        </w:rPr>
        <w:t>ë</w:t>
      </w:r>
      <w:r>
        <w:rPr>
          <w:rFonts w:asciiTheme="minorHAnsi" w:eastAsia="Calibri" w:hAnsiTheme="minorHAnsi"/>
          <w:lang w:val="sq-AL"/>
        </w:rPr>
        <w:t>r vitin 2023 rezulton se:</w:t>
      </w:r>
    </w:p>
    <w:p w14:paraId="7F86942F" w14:textId="77777777" w:rsidR="00AF2B0E" w:rsidRPr="008809D1" w:rsidRDefault="00AF2B0E" w:rsidP="00056DE5">
      <w:pPr>
        <w:numPr>
          <w:ilvl w:val="0"/>
          <w:numId w:val="28"/>
        </w:numPr>
        <w:contextualSpacing/>
        <w:jc w:val="both"/>
        <w:rPr>
          <w:rFonts w:asciiTheme="minorHAnsi" w:eastAsia="Calibri" w:hAnsiTheme="minorHAnsi"/>
          <w:i/>
          <w:sz w:val="22"/>
          <w:szCs w:val="22"/>
          <w:lang w:val="sq-AL"/>
        </w:rPr>
      </w:pPr>
      <w:r w:rsidRPr="00B703A6">
        <w:rPr>
          <w:rFonts w:asciiTheme="minorHAnsi" w:eastAsia="Calibri" w:hAnsiTheme="minorHAnsi"/>
          <w:i/>
          <w:sz w:val="22"/>
          <w:szCs w:val="22"/>
          <w:lang w:val="sq-AL"/>
        </w:rPr>
        <w:t>Niveli total i detyrime</w:t>
      </w:r>
      <w:r>
        <w:rPr>
          <w:rFonts w:asciiTheme="minorHAnsi" w:eastAsia="Calibri" w:hAnsiTheme="minorHAnsi"/>
          <w:i/>
          <w:sz w:val="22"/>
          <w:szCs w:val="22"/>
          <w:lang w:val="sq-AL"/>
        </w:rPr>
        <w:t>ve të prapambetura është rritur me 0.56 miliardë LEK, ose rreth 4.6%</w:t>
      </w:r>
      <w:r w:rsidRPr="00B703A6">
        <w:rPr>
          <w:rFonts w:asciiTheme="minorHAnsi" w:eastAsia="Calibri" w:hAnsiTheme="minorHAnsi"/>
          <w:i/>
          <w:sz w:val="22"/>
          <w:szCs w:val="22"/>
          <w:lang w:val="sq-AL"/>
        </w:rPr>
        <w:t xml:space="preserve"> </w:t>
      </w:r>
      <w:r w:rsidRPr="008809D1">
        <w:rPr>
          <w:rFonts w:asciiTheme="minorHAnsi" w:eastAsia="Calibri" w:hAnsiTheme="minorHAnsi"/>
          <w:i/>
          <w:sz w:val="22"/>
          <w:szCs w:val="22"/>
          <w:lang w:val="sq-AL"/>
        </w:rPr>
        <w:t>më i lartë.</w:t>
      </w:r>
    </w:p>
    <w:p w14:paraId="68EFDEC9" w14:textId="77777777" w:rsidR="00AF2B0E" w:rsidRPr="00FB3EC8" w:rsidRDefault="00AF2B0E" w:rsidP="00056DE5">
      <w:pPr>
        <w:numPr>
          <w:ilvl w:val="0"/>
          <w:numId w:val="28"/>
        </w:numPr>
        <w:contextualSpacing/>
        <w:jc w:val="both"/>
        <w:rPr>
          <w:rFonts w:asciiTheme="minorHAnsi" w:eastAsia="Calibri" w:hAnsiTheme="minorHAnsi"/>
          <w:i/>
          <w:sz w:val="22"/>
          <w:szCs w:val="22"/>
          <w:lang w:val="sq-AL"/>
        </w:rPr>
      </w:pPr>
      <w:r>
        <w:rPr>
          <w:rFonts w:asciiTheme="minorHAnsi" w:eastAsia="Calibri" w:hAnsiTheme="minorHAnsi"/>
          <w:i/>
          <w:sz w:val="22"/>
          <w:szCs w:val="22"/>
          <w:lang w:val="sq-AL"/>
        </w:rPr>
        <w:t xml:space="preserve">Detyrimet e qeverisjes qendrore janë ulur me rreth 0.03 miliardë LEK, ose rreth 0.4% dhe ato të qeverisjes vendore janë rritur me 0.59 </w:t>
      </w:r>
      <w:r w:rsidRPr="00FB3EC8">
        <w:rPr>
          <w:rFonts w:asciiTheme="minorHAnsi" w:eastAsia="Calibri" w:hAnsiTheme="minorHAnsi"/>
          <w:i/>
          <w:sz w:val="22"/>
          <w:szCs w:val="22"/>
          <w:lang w:val="sq-AL"/>
        </w:rPr>
        <w:t xml:space="preserve">miliardë </w:t>
      </w:r>
      <w:r>
        <w:rPr>
          <w:rFonts w:asciiTheme="minorHAnsi" w:eastAsia="Calibri" w:hAnsiTheme="minorHAnsi"/>
          <w:i/>
          <w:sz w:val="22"/>
          <w:szCs w:val="22"/>
          <w:lang w:val="sq-AL"/>
        </w:rPr>
        <w:t>LEK, ose rreth 10.9%</w:t>
      </w:r>
      <w:r w:rsidRPr="00FB3EC8">
        <w:rPr>
          <w:rFonts w:asciiTheme="minorHAnsi" w:eastAsia="Calibri" w:hAnsiTheme="minorHAnsi"/>
          <w:i/>
          <w:sz w:val="22"/>
          <w:szCs w:val="22"/>
          <w:lang w:val="sq-AL"/>
        </w:rPr>
        <w:t>.</w:t>
      </w:r>
    </w:p>
    <w:p w14:paraId="07D56B06" w14:textId="574C5349" w:rsidR="00697E9D" w:rsidRDefault="00697E9D" w:rsidP="00C12325">
      <w:pPr>
        <w:spacing w:before="120"/>
        <w:jc w:val="both"/>
        <w:rPr>
          <w:rFonts w:asciiTheme="minorHAnsi" w:eastAsia="Calibri" w:hAnsiTheme="minorHAnsi"/>
          <w:lang w:val="sq-AL"/>
        </w:rPr>
      </w:pPr>
      <w:r w:rsidRPr="001C5822">
        <w:rPr>
          <w:rFonts w:asciiTheme="minorHAnsi" w:eastAsia="Calibri" w:hAnsiTheme="minorHAnsi"/>
          <w:lang w:val="sq-AL"/>
        </w:rPr>
        <w:t xml:space="preserve">Prioriteti kryesor i Ministrisë së Financave dhe Ekonomisë në periudhën afatmesme mbetet reduktimi i stokut të detyrimeve të prapambetura dhe parandalimi i akumulimit të tyre. Në vitet e fundit ky objektiv është arritur pasi stoku i detyrimeve të prapambetura ka ndjekur një trend rënës, edhe pse faktorë të tillë si efektet e krizës globale energjetike, lufta në Ukrainë, luhatjet e çmimeve të energjisë, karburanteve dhe inputeve, kanë </w:t>
      </w:r>
      <w:r w:rsidRPr="00EE0222">
        <w:rPr>
          <w:rFonts w:asciiTheme="minorHAnsi" w:eastAsia="Calibri" w:hAnsiTheme="minorHAnsi"/>
          <w:lang w:val="sq-AL"/>
        </w:rPr>
        <w:t xml:space="preserve">ndikuar negativisht në "sjelljen" dhe ecurinë e reduktimit të mëtejshëm të totalit të stokut përgjatë 2022 dhe </w:t>
      </w:r>
      <w:r w:rsidR="00EE0222" w:rsidRPr="00EE0222">
        <w:rPr>
          <w:rFonts w:asciiTheme="minorHAnsi" w:eastAsia="Calibri" w:hAnsiTheme="minorHAnsi"/>
          <w:lang w:val="sq-AL"/>
        </w:rPr>
        <w:t xml:space="preserve">3M </w:t>
      </w:r>
      <w:r w:rsidRPr="00EE0222">
        <w:rPr>
          <w:rFonts w:asciiTheme="minorHAnsi" w:eastAsia="Calibri" w:hAnsiTheme="minorHAnsi"/>
          <w:lang w:val="sq-AL"/>
        </w:rPr>
        <w:t>2023. Megjithatë, vendosja e objektivave specifike ndër vite, ka ndihmuar në një reduktim të stokut</w:t>
      </w:r>
      <w:r w:rsidRPr="001C5822">
        <w:rPr>
          <w:rFonts w:asciiTheme="minorHAnsi" w:eastAsia="Calibri" w:hAnsiTheme="minorHAnsi"/>
          <w:lang w:val="sq-AL"/>
        </w:rPr>
        <w:t xml:space="preserve"> të detyrimeve të prapambetura në vitet e fundit, një trend i cili pritet të vazhdojë edhe gjatë vitit 2023</w:t>
      </w:r>
      <w:r w:rsidRPr="001F324B">
        <w:rPr>
          <w:rFonts w:asciiTheme="minorHAnsi" w:eastAsia="Calibri" w:hAnsiTheme="minorHAnsi"/>
          <w:lang w:val="sq-AL"/>
        </w:rPr>
        <w:t>:</w:t>
      </w:r>
    </w:p>
    <w:p w14:paraId="5DD44A2B" w14:textId="77777777" w:rsidR="00C12325" w:rsidRPr="00C12325" w:rsidRDefault="00C12325" w:rsidP="00C12325">
      <w:pPr>
        <w:ind w:left="720"/>
        <w:contextualSpacing/>
        <w:jc w:val="both"/>
        <w:rPr>
          <w:rFonts w:asciiTheme="minorHAnsi" w:eastAsia="Calibri" w:hAnsiTheme="minorHAnsi"/>
          <w:i/>
          <w:sz w:val="8"/>
          <w:lang w:val="sq-AL"/>
        </w:rPr>
      </w:pPr>
    </w:p>
    <w:p w14:paraId="2177701E" w14:textId="68DC1310" w:rsidR="00697E9D" w:rsidRPr="001C5822" w:rsidRDefault="00697E9D" w:rsidP="00056DE5">
      <w:pPr>
        <w:numPr>
          <w:ilvl w:val="0"/>
          <w:numId w:val="28"/>
        </w:numPr>
        <w:contextualSpacing/>
        <w:jc w:val="both"/>
        <w:rPr>
          <w:rFonts w:asciiTheme="minorHAnsi" w:eastAsia="Calibri" w:hAnsiTheme="minorHAnsi"/>
          <w:i/>
          <w:sz w:val="22"/>
          <w:lang w:val="sq-AL"/>
        </w:rPr>
      </w:pPr>
      <w:r w:rsidRPr="001C5822">
        <w:rPr>
          <w:rFonts w:asciiTheme="minorHAnsi" w:eastAsia="Calibri" w:hAnsiTheme="minorHAnsi"/>
          <w:i/>
          <w:sz w:val="22"/>
          <w:lang w:val="sq-AL"/>
        </w:rPr>
        <w:t xml:space="preserve">Vlerësimi PEFA (A score) </w:t>
      </w:r>
      <w:r>
        <w:rPr>
          <w:rFonts w:asciiTheme="minorHAnsi" w:eastAsia="Calibri" w:hAnsiTheme="minorHAnsi"/>
          <w:i/>
          <w:sz w:val="22"/>
          <w:lang w:val="sq-AL"/>
        </w:rPr>
        <w:t>–</w:t>
      </w:r>
      <w:r w:rsidRPr="001C5822">
        <w:rPr>
          <w:rFonts w:asciiTheme="minorHAnsi" w:eastAsia="Calibri" w:hAnsiTheme="minorHAnsi"/>
          <w:i/>
          <w:sz w:val="22"/>
          <w:lang w:val="sq-AL"/>
        </w:rPr>
        <w:t xml:space="preserve"> Stoku</w:t>
      </w:r>
      <w:r>
        <w:rPr>
          <w:rFonts w:asciiTheme="minorHAnsi" w:eastAsia="Calibri" w:hAnsiTheme="minorHAnsi"/>
          <w:i/>
          <w:sz w:val="22"/>
          <w:lang w:val="sq-AL"/>
        </w:rPr>
        <w:t xml:space="preserve"> </w:t>
      </w:r>
      <w:r w:rsidRPr="001C5822">
        <w:rPr>
          <w:rFonts w:asciiTheme="minorHAnsi" w:eastAsia="Calibri" w:hAnsiTheme="minorHAnsi"/>
          <w:i/>
          <w:sz w:val="22"/>
          <w:lang w:val="sq-AL"/>
        </w:rPr>
        <w:t>i detyrimeve të prapambetura nuk kalon 2% të totalit të shpenzimeve, në të paktën dy nga tre vitet e fundit fiskalë. Ky target, për të paktën dy vitet e fundit është arritur.</w:t>
      </w:r>
    </w:p>
    <w:p w14:paraId="7E14E571" w14:textId="77777777" w:rsidR="00697E9D" w:rsidRPr="00697E9D" w:rsidRDefault="00697E9D" w:rsidP="00697E9D">
      <w:pPr>
        <w:ind w:left="720"/>
        <w:contextualSpacing/>
        <w:jc w:val="both"/>
        <w:rPr>
          <w:rFonts w:asciiTheme="minorHAnsi" w:eastAsia="Calibri" w:hAnsiTheme="minorHAnsi"/>
          <w:i/>
          <w:sz w:val="8"/>
          <w:szCs w:val="8"/>
          <w:lang w:val="sq-AL"/>
        </w:rPr>
      </w:pPr>
    </w:p>
    <w:p w14:paraId="02B32940" w14:textId="77777777" w:rsidR="00697E9D" w:rsidRPr="00697E9D" w:rsidRDefault="00697E9D" w:rsidP="00056DE5">
      <w:pPr>
        <w:numPr>
          <w:ilvl w:val="0"/>
          <w:numId w:val="28"/>
        </w:numPr>
        <w:contextualSpacing/>
        <w:jc w:val="both"/>
        <w:rPr>
          <w:rFonts w:asciiTheme="minorHAnsi" w:eastAsia="Calibri" w:hAnsiTheme="minorHAnsi"/>
          <w:i/>
          <w:sz w:val="22"/>
          <w:lang w:val="sq-AL"/>
        </w:rPr>
      </w:pPr>
      <w:bookmarkStart w:id="147" w:name="_Hlk136941379"/>
      <w:r w:rsidRPr="001C5822">
        <w:rPr>
          <w:rFonts w:asciiTheme="minorHAnsi" w:eastAsia="Calibri" w:hAnsiTheme="minorHAnsi"/>
          <w:i/>
          <w:sz w:val="22"/>
          <w:lang w:val="sq-AL"/>
        </w:rPr>
        <w:t>Mirëqeverisja</w:t>
      </w:r>
      <w:r>
        <w:rPr>
          <w:rFonts w:asciiTheme="minorHAnsi" w:eastAsia="Calibri" w:hAnsiTheme="minorHAnsi"/>
          <w:i/>
          <w:sz w:val="22"/>
          <w:lang w:val="sq-AL"/>
        </w:rPr>
        <w:t xml:space="preserve"> (Good Governance)</w:t>
      </w:r>
      <w:r w:rsidRPr="001C5822">
        <w:rPr>
          <w:rFonts w:asciiTheme="minorHAnsi" w:eastAsia="Calibri" w:hAnsiTheme="minorHAnsi"/>
          <w:i/>
          <w:sz w:val="22"/>
          <w:lang w:val="sq-AL"/>
        </w:rPr>
        <w:t xml:space="preserve"> </w:t>
      </w:r>
      <w:r>
        <w:rPr>
          <w:rFonts w:asciiTheme="minorHAnsi" w:eastAsia="Calibri" w:hAnsiTheme="minorHAnsi"/>
          <w:i/>
          <w:sz w:val="22"/>
          <w:lang w:val="sq-AL"/>
        </w:rPr>
        <w:t>–</w:t>
      </w:r>
      <w:r w:rsidRPr="001C5822">
        <w:rPr>
          <w:rFonts w:asciiTheme="minorHAnsi" w:eastAsia="Calibri" w:hAnsiTheme="minorHAnsi"/>
          <w:i/>
          <w:sz w:val="22"/>
          <w:lang w:val="sq-AL"/>
        </w:rPr>
        <w:t xml:space="preserve"> Targeti</w:t>
      </w:r>
      <w:r>
        <w:rPr>
          <w:rFonts w:asciiTheme="minorHAnsi" w:eastAsia="Calibri" w:hAnsiTheme="minorHAnsi"/>
          <w:i/>
          <w:sz w:val="22"/>
          <w:lang w:val="sq-AL"/>
        </w:rPr>
        <w:t xml:space="preserve"> </w:t>
      </w:r>
      <w:r w:rsidRPr="001C5822">
        <w:rPr>
          <w:rFonts w:asciiTheme="minorHAnsi" w:eastAsia="Calibri" w:hAnsiTheme="minorHAnsi"/>
          <w:i/>
          <w:sz w:val="22"/>
          <w:lang w:val="sq-AL"/>
        </w:rPr>
        <w:t>i detyrimeve të prapambetura të qeverisë së përgjithshme si përqindje e totalit të shpenzimeve për VF2022 është përcaktuar nën 3.0%. Ky objektiv është përmbushur, duke pasur parasysh se për periudhën 12mujore 2022, detyrimet e prapambetura si përqindje ndaj totalit të shpenzimeve rezultuan në 1.87%.</w:t>
      </w:r>
      <w:r>
        <w:rPr>
          <w:rFonts w:asciiTheme="minorHAnsi" w:eastAsia="Calibri" w:hAnsiTheme="minorHAnsi"/>
          <w:i/>
          <w:sz w:val="22"/>
          <w:lang w:val="sq-AL"/>
        </w:rPr>
        <w:t xml:space="preserve"> </w:t>
      </w:r>
      <w:r w:rsidRPr="00697E9D">
        <w:rPr>
          <w:rFonts w:asciiTheme="minorHAnsi" w:eastAsia="Calibri" w:hAnsiTheme="minorHAnsi"/>
          <w:i/>
          <w:sz w:val="22"/>
          <w:lang w:val="sq-AL"/>
        </w:rPr>
        <w:t xml:space="preserve">Për vitin 2023 targeti është vendosur =/&lt;2.4%. Pritshmëritë për përmbushjen e këtij objektivi janë pozitive, duke patur parasysh se për </w:t>
      </w:r>
      <w:r>
        <w:rPr>
          <w:rFonts w:asciiTheme="minorHAnsi" w:eastAsia="Calibri" w:hAnsiTheme="minorHAnsi"/>
          <w:i/>
          <w:sz w:val="22"/>
          <w:lang w:val="sq-AL"/>
        </w:rPr>
        <w:t>T1</w:t>
      </w:r>
      <w:r w:rsidRPr="00697E9D">
        <w:rPr>
          <w:rFonts w:asciiTheme="minorHAnsi" w:eastAsia="Calibri" w:hAnsiTheme="minorHAnsi"/>
          <w:i/>
          <w:sz w:val="22"/>
          <w:lang w:val="sq-AL"/>
        </w:rPr>
        <w:t xml:space="preserve"> 2023, detyrimet e prapambetura si </w:t>
      </w:r>
      <w:r>
        <w:rPr>
          <w:rFonts w:asciiTheme="minorHAnsi" w:eastAsia="Calibri" w:hAnsiTheme="minorHAnsi"/>
          <w:i/>
          <w:sz w:val="22"/>
          <w:lang w:val="sq-AL"/>
        </w:rPr>
        <w:t>%</w:t>
      </w:r>
      <w:r w:rsidRPr="00697E9D">
        <w:rPr>
          <w:rFonts w:asciiTheme="minorHAnsi" w:eastAsia="Calibri" w:hAnsiTheme="minorHAnsi"/>
          <w:i/>
          <w:sz w:val="22"/>
          <w:lang w:val="sq-AL"/>
        </w:rPr>
        <w:t xml:space="preserve"> ndaj totalit të shpenzimeve rezultojnë pothuajse 1.83%.</w:t>
      </w:r>
    </w:p>
    <w:p w14:paraId="2E421FD8" w14:textId="77777777" w:rsidR="00697E9D" w:rsidRPr="00697E9D" w:rsidRDefault="00697E9D" w:rsidP="00697E9D">
      <w:pPr>
        <w:ind w:left="720"/>
        <w:contextualSpacing/>
        <w:jc w:val="both"/>
        <w:rPr>
          <w:rFonts w:asciiTheme="minorHAnsi" w:eastAsia="Calibri" w:hAnsiTheme="minorHAnsi"/>
          <w:i/>
          <w:sz w:val="8"/>
          <w:szCs w:val="8"/>
          <w:lang w:val="sq-AL"/>
        </w:rPr>
      </w:pPr>
    </w:p>
    <w:bookmarkEnd w:id="147"/>
    <w:p w14:paraId="39CC5FAA" w14:textId="0D616833" w:rsidR="00697E9D" w:rsidRDefault="00EE0222" w:rsidP="00056DE5">
      <w:pPr>
        <w:numPr>
          <w:ilvl w:val="0"/>
          <w:numId w:val="28"/>
        </w:numPr>
        <w:contextualSpacing/>
        <w:jc w:val="both"/>
        <w:rPr>
          <w:rFonts w:asciiTheme="minorHAnsi" w:eastAsia="Calibri" w:hAnsiTheme="minorHAnsi"/>
          <w:i/>
          <w:sz w:val="22"/>
          <w:lang w:val="sq-AL"/>
        </w:rPr>
      </w:pPr>
      <w:r w:rsidRPr="00CA0784">
        <w:rPr>
          <w:rFonts w:asciiTheme="minorHAnsi" w:eastAsia="Calibri" w:hAnsiTheme="minorHAnsi"/>
          <w:i/>
          <w:sz w:val="22"/>
          <w:lang w:val="sq-AL"/>
        </w:rPr>
        <w:t>Programi i Reformave Ekonomike</w:t>
      </w:r>
      <w:r>
        <w:rPr>
          <w:rFonts w:asciiTheme="minorHAnsi" w:eastAsia="Calibri" w:hAnsiTheme="minorHAnsi"/>
          <w:i/>
          <w:sz w:val="22"/>
          <w:lang w:val="sq-AL"/>
        </w:rPr>
        <w:t xml:space="preserve"> (ERP)</w:t>
      </w:r>
      <w:r w:rsidR="00697E9D">
        <w:rPr>
          <w:rFonts w:asciiTheme="minorHAnsi" w:eastAsia="Calibri" w:hAnsiTheme="minorHAnsi"/>
          <w:i/>
          <w:sz w:val="22"/>
          <w:lang w:val="sq-AL"/>
        </w:rPr>
        <w:t xml:space="preserve"> –</w:t>
      </w:r>
      <w:r w:rsidR="00697E9D" w:rsidRPr="00697E9D">
        <w:rPr>
          <w:rFonts w:asciiTheme="minorHAnsi" w:eastAsia="Calibri" w:hAnsiTheme="minorHAnsi"/>
          <w:i/>
          <w:sz w:val="22"/>
          <w:lang w:val="sq-AL"/>
        </w:rPr>
        <w:t xml:space="preserve"> Targeti</w:t>
      </w:r>
      <w:r w:rsidR="00697E9D">
        <w:rPr>
          <w:rFonts w:asciiTheme="minorHAnsi" w:eastAsia="Calibri" w:hAnsiTheme="minorHAnsi"/>
          <w:i/>
          <w:sz w:val="22"/>
          <w:lang w:val="sq-AL"/>
        </w:rPr>
        <w:t xml:space="preserve"> </w:t>
      </w:r>
      <w:r w:rsidR="00697E9D" w:rsidRPr="00697E9D">
        <w:rPr>
          <w:rFonts w:asciiTheme="minorHAnsi" w:eastAsia="Calibri" w:hAnsiTheme="minorHAnsi"/>
          <w:i/>
          <w:sz w:val="22"/>
          <w:lang w:val="sq-AL"/>
        </w:rPr>
        <w:t xml:space="preserve">i detyrimeve të prapambetura të qeverisë së përgjithshme si përqindje e totalit të shpenzimeve </w:t>
      </w:r>
      <w:bookmarkStart w:id="148" w:name="_Hlk136941732"/>
      <w:r w:rsidR="00697E9D" w:rsidRPr="00697E9D">
        <w:rPr>
          <w:rFonts w:asciiTheme="minorHAnsi" w:eastAsia="Calibri" w:hAnsiTheme="minorHAnsi"/>
          <w:i/>
          <w:sz w:val="22"/>
          <w:lang w:val="sq-AL"/>
        </w:rPr>
        <w:t xml:space="preserve">për vitin 2023 </w:t>
      </w:r>
      <w:bookmarkStart w:id="149" w:name="_Hlk136942362"/>
      <w:r w:rsidR="00697E9D" w:rsidRPr="00697E9D">
        <w:rPr>
          <w:rFonts w:asciiTheme="minorHAnsi" w:eastAsia="Calibri" w:hAnsiTheme="minorHAnsi"/>
          <w:i/>
          <w:sz w:val="22"/>
          <w:lang w:val="sq-AL"/>
        </w:rPr>
        <w:t xml:space="preserve">si target </w:t>
      </w:r>
      <w:bookmarkEnd w:id="149"/>
      <w:r w:rsidR="00697E9D" w:rsidRPr="00697E9D">
        <w:rPr>
          <w:rFonts w:asciiTheme="minorHAnsi" w:eastAsia="Calibri" w:hAnsiTheme="minorHAnsi"/>
          <w:i/>
          <w:sz w:val="22"/>
          <w:lang w:val="sq-AL"/>
        </w:rPr>
        <w:t xml:space="preserve">(tremujore) është vendosur =/&lt;2.5% dhe &lt;2.4% si target vjetor. Gjithashtu pritshmëritë për përmbushjen e këtij objektivi janë pozitive, duke patur parasysh se për </w:t>
      </w:r>
      <w:r w:rsidR="00697E9D">
        <w:rPr>
          <w:rFonts w:asciiTheme="minorHAnsi" w:eastAsia="Calibri" w:hAnsiTheme="minorHAnsi"/>
          <w:i/>
          <w:sz w:val="22"/>
          <w:lang w:val="sq-AL"/>
        </w:rPr>
        <w:t>T1</w:t>
      </w:r>
      <w:r w:rsidR="00697E9D" w:rsidRPr="00697E9D">
        <w:rPr>
          <w:rFonts w:asciiTheme="minorHAnsi" w:eastAsia="Calibri" w:hAnsiTheme="minorHAnsi"/>
          <w:i/>
          <w:sz w:val="22"/>
          <w:lang w:val="sq-AL"/>
        </w:rPr>
        <w:t xml:space="preserve"> 2023, detyrimet e prapambetura si </w:t>
      </w:r>
      <w:r w:rsidR="00697E9D">
        <w:rPr>
          <w:rFonts w:asciiTheme="minorHAnsi" w:eastAsia="Calibri" w:hAnsiTheme="minorHAnsi"/>
          <w:i/>
          <w:sz w:val="22"/>
          <w:lang w:val="sq-AL"/>
        </w:rPr>
        <w:t>%</w:t>
      </w:r>
      <w:r w:rsidR="00697E9D" w:rsidRPr="00697E9D">
        <w:rPr>
          <w:rFonts w:asciiTheme="minorHAnsi" w:eastAsia="Calibri" w:hAnsiTheme="minorHAnsi"/>
          <w:i/>
          <w:sz w:val="22"/>
          <w:lang w:val="sq-AL"/>
        </w:rPr>
        <w:t xml:space="preserve"> ndaj totalit të shpenzimeve rezultojnë pothuajse 1.83%.</w:t>
      </w:r>
      <w:bookmarkEnd w:id="148"/>
    </w:p>
    <w:p w14:paraId="3475F4F9" w14:textId="77777777" w:rsidR="00C12325" w:rsidRDefault="00C12325" w:rsidP="00C12325">
      <w:pPr>
        <w:pStyle w:val="ListParagraph"/>
        <w:rPr>
          <w:rFonts w:asciiTheme="minorHAnsi" w:eastAsia="Calibri" w:hAnsiTheme="minorHAnsi"/>
          <w:i/>
          <w:sz w:val="22"/>
          <w:lang w:val="sq-AL"/>
        </w:rPr>
      </w:pPr>
    </w:p>
    <w:p w14:paraId="69E9412B" w14:textId="2C43D2F1" w:rsidR="00C12325" w:rsidRDefault="00C12325" w:rsidP="00C12325">
      <w:pPr>
        <w:ind w:left="720"/>
        <w:contextualSpacing/>
        <w:jc w:val="both"/>
        <w:rPr>
          <w:rFonts w:asciiTheme="minorHAnsi" w:eastAsia="Calibri" w:hAnsiTheme="minorHAnsi"/>
          <w:i/>
          <w:sz w:val="22"/>
          <w:lang w:val="sq-AL"/>
        </w:rPr>
      </w:pPr>
    </w:p>
    <w:p w14:paraId="41004343" w14:textId="422147C4" w:rsidR="00C12325" w:rsidRDefault="00C12325" w:rsidP="00C12325">
      <w:pPr>
        <w:ind w:left="720"/>
        <w:contextualSpacing/>
        <w:jc w:val="both"/>
        <w:rPr>
          <w:rFonts w:asciiTheme="minorHAnsi" w:eastAsia="Calibri" w:hAnsiTheme="minorHAnsi"/>
          <w:i/>
          <w:sz w:val="22"/>
          <w:lang w:val="sq-AL"/>
        </w:rPr>
      </w:pPr>
    </w:p>
    <w:p w14:paraId="11CB0FA9" w14:textId="362477A0" w:rsidR="00C12325" w:rsidRDefault="00C12325" w:rsidP="00C12325">
      <w:pPr>
        <w:ind w:left="720"/>
        <w:contextualSpacing/>
        <w:jc w:val="both"/>
        <w:rPr>
          <w:rFonts w:asciiTheme="minorHAnsi" w:eastAsia="Calibri" w:hAnsiTheme="minorHAnsi"/>
          <w:i/>
          <w:sz w:val="22"/>
          <w:lang w:val="sq-AL"/>
        </w:rPr>
      </w:pPr>
    </w:p>
    <w:p w14:paraId="300DF591" w14:textId="2292773F" w:rsidR="00C12325" w:rsidRDefault="00C12325" w:rsidP="00C12325">
      <w:pPr>
        <w:ind w:left="720"/>
        <w:contextualSpacing/>
        <w:jc w:val="both"/>
        <w:rPr>
          <w:rFonts w:asciiTheme="minorHAnsi" w:eastAsia="Calibri" w:hAnsiTheme="minorHAnsi"/>
          <w:i/>
          <w:sz w:val="22"/>
          <w:lang w:val="sq-AL"/>
        </w:rPr>
      </w:pPr>
    </w:p>
    <w:p w14:paraId="67F56EDF" w14:textId="4DAB49B0" w:rsidR="00C12325" w:rsidRDefault="00C12325" w:rsidP="00C12325">
      <w:pPr>
        <w:ind w:left="720"/>
        <w:contextualSpacing/>
        <w:jc w:val="both"/>
        <w:rPr>
          <w:rFonts w:asciiTheme="minorHAnsi" w:eastAsia="Calibri" w:hAnsiTheme="minorHAnsi"/>
          <w:i/>
          <w:sz w:val="22"/>
          <w:lang w:val="sq-AL"/>
        </w:rPr>
      </w:pPr>
    </w:p>
    <w:p w14:paraId="3F36B543" w14:textId="30D49A64" w:rsidR="00C12325" w:rsidRDefault="00C12325" w:rsidP="00C12325">
      <w:pPr>
        <w:ind w:left="720"/>
        <w:contextualSpacing/>
        <w:jc w:val="both"/>
        <w:rPr>
          <w:rFonts w:asciiTheme="minorHAnsi" w:eastAsia="Calibri" w:hAnsiTheme="minorHAnsi"/>
          <w:i/>
          <w:sz w:val="22"/>
          <w:lang w:val="sq-AL"/>
        </w:rPr>
      </w:pPr>
    </w:p>
    <w:p w14:paraId="6733BA01" w14:textId="4673A3BC" w:rsidR="00C12325" w:rsidRDefault="00C12325" w:rsidP="00C12325">
      <w:pPr>
        <w:ind w:left="720"/>
        <w:contextualSpacing/>
        <w:jc w:val="both"/>
        <w:rPr>
          <w:rFonts w:asciiTheme="minorHAnsi" w:eastAsia="Calibri" w:hAnsiTheme="minorHAnsi"/>
          <w:i/>
          <w:sz w:val="22"/>
          <w:lang w:val="sq-AL"/>
        </w:rPr>
      </w:pPr>
    </w:p>
    <w:p w14:paraId="5D5D484C" w14:textId="5EAB861E" w:rsidR="00C12325" w:rsidRDefault="00C12325" w:rsidP="00C12325">
      <w:pPr>
        <w:ind w:left="720"/>
        <w:contextualSpacing/>
        <w:jc w:val="both"/>
        <w:rPr>
          <w:rFonts w:asciiTheme="minorHAnsi" w:eastAsia="Calibri" w:hAnsiTheme="minorHAnsi"/>
          <w:i/>
          <w:sz w:val="22"/>
          <w:lang w:val="sq-AL"/>
        </w:rPr>
      </w:pPr>
    </w:p>
    <w:p w14:paraId="7545060F" w14:textId="7406737E" w:rsidR="00C12325" w:rsidRDefault="00C12325" w:rsidP="00C12325">
      <w:pPr>
        <w:ind w:left="720"/>
        <w:contextualSpacing/>
        <w:jc w:val="both"/>
        <w:rPr>
          <w:rFonts w:asciiTheme="minorHAnsi" w:eastAsia="Calibri" w:hAnsiTheme="minorHAnsi"/>
          <w:i/>
          <w:sz w:val="22"/>
          <w:lang w:val="sq-AL"/>
        </w:rPr>
      </w:pPr>
    </w:p>
    <w:p w14:paraId="3689A754" w14:textId="59E51369" w:rsidR="00C12325" w:rsidRDefault="00C12325" w:rsidP="00C12325">
      <w:pPr>
        <w:ind w:left="720"/>
        <w:contextualSpacing/>
        <w:jc w:val="both"/>
        <w:rPr>
          <w:rFonts w:asciiTheme="minorHAnsi" w:eastAsia="Calibri" w:hAnsiTheme="minorHAnsi"/>
          <w:i/>
          <w:sz w:val="22"/>
          <w:lang w:val="sq-AL"/>
        </w:rPr>
      </w:pPr>
    </w:p>
    <w:p w14:paraId="44269170" w14:textId="16A65DEA" w:rsidR="00C12325" w:rsidRDefault="00C12325" w:rsidP="00C12325">
      <w:pPr>
        <w:ind w:left="720"/>
        <w:contextualSpacing/>
        <w:jc w:val="both"/>
        <w:rPr>
          <w:rFonts w:asciiTheme="minorHAnsi" w:eastAsia="Calibri" w:hAnsiTheme="minorHAnsi"/>
          <w:i/>
          <w:sz w:val="22"/>
          <w:lang w:val="sq-AL"/>
        </w:rPr>
      </w:pPr>
    </w:p>
    <w:p w14:paraId="076DA6E3" w14:textId="14A813E1" w:rsidR="00C12325" w:rsidRDefault="00C12325" w:rsidP="00C12325">
      <w:pPr>
        <w:ind w:left="720"/>
        <w:contextualSpacing/>
        <w:jc w:val="both"/>
        <w:rPr>
          <w:rFonts w:asciiTheme="minorHAnsi" w:eastAsia="Calibri" w:hAnsiTheme="minorHAnsi"/>
          <w:i/>
          <w:sz w:val="22"/>
          <w:lang w:val="sq-AL"/>
        </w:rPr>
      </w:pPr>
    </w:p>
    <w:p w14:paraId="0F0F682C" w14:textId="77777777" w:rsidR="00C12325" w:rsidRPr="00697E9D" w:rsidRDefault="00C12325" w:rsidP="00C12325">
      <w:pPr>
        <w:ind w:left="720"/>
        <w:contextualSpacing/>
        <w:jc w:val="both"/>
        <w:rPr>
          <w:rFonts w:asciiTheme="minorHAnsi" w:eastAsia="Calibri" w:hAnsiTheme="minorHAnsi"/>
          <w:i/>
          <w:sz w:val="22"/>
          <w:lang w:val="sq-AL"/>
        </w:rPr>
      </w:pPr>
    </w:p>
    <w:p w14:paraId="7CF69164" w14:textId="77777777" w:rsidR="00AF2B0E" w:rsidRPr="00AF2B0E" w:rsidRDefault="00AF2B0E" w:rsidP="0093018B">
      <w:pPr>
        <w:jc w:val="both"/>
        <w:rPr>
          <w:rFonts w:asciiTheme="minorHAnsi" w:eastAsia="Calibri" w:hAnsiTheme="minorHAnsi"/>
          <w:sz w:val="12"/>
          <w:szCs w:val="22"/>
          <w:lang w:val="sq-AL"/>
        </w:rPr>
      </w:pPr>
    </w:p>
    <w:p w14:paraId="1EAB0F7C" w14:textId="77777777" w:rsidR="000A2E8B" w:rsidRPr="00CB14F3" w:rsidRDefault="000A2E8B" w:rsidP="00056DE5">
      <w:pPr>
        <w:pStyle w:val="Heading2"/>
        <w:numPr>
          <w:ilvl w:val="0"/>
          <w:numId w:val="32"/>
        </w:numPr>
        <w:ind w:left="360"/>
        <w:rPr>
          <w:sz w:val="26"/>
          <w:szCs w:val="26"/>
        </w:rPr>
      </w:pPr>
      <w:bookmarkStart w:id="150" w:name="_Toc107497000"/>
      <w:r w:rsidRPr="00CB14F3">
        <w:rPr>
          <w:sz w:val="26"/>
          <w:szCs w:val="26"/>
        </w:rPr>
        <w:lastRenderedPageBreak/>
        <w:t>Detyrimet e prapambetura për njësitë e qeverisjes QENDRORE</w:t>
      </w:r>
      <w:bookmarkEnd w:id="150"/>
    </w:p>
    <w:p w14:paraId="237DDB98" w14:textId="37619A16" w:rsidR="00ED4641" w:rsidRPr="00AA7F82" w:rsidRDefault="00C12325" w:rsidP="00B703A6">
      <w:pPr>
        <w:jc w:val="both"/>
        <w:rPr>
          <w:rFonts w:asciiTheme="minorHAnsi" w:hAnsiTheme="minorHAnsi" w:cstheme="minorHAnsi"/>
          <w:lang w:val="sq-AL"/>
        </w:rPr>
      </w:pPr>
      <w:r>
        <w:rPr>
          <w:rFonts w:asciiTheme="minorHAnsi" w:hAnsiTheme="minorHAnsi" w:cstheme="minorHAnsi"/>
          <w:lang w:val="sq-AL"/>
        </w:rPr>
        <w:t xml:space="preserve">Sipas informacionit të gjeneruar nga Sistemi Informatik Financiar i Qeverisë (SIFQ) për T1 2023, rezulton se stoku i detyrimeve të prapambetura të njësive të qeverisjes qendrore është rreth 6.74 miliardë LEK, duke rezultuar 1.78 miliardë LEK më pak ose rreth 12.22% më i ulët krahasuar me stokun e regjistruar në T1 2022. </w:t>
      </w:r>
      <w:r w:rsidRPr="00AA7F82">
        <w:rPr>
          <w:rFonts w:asciiTheme="minorHAnsi" w:hAnsiTheme="minorHAnsi" w:cstheme="minorHAnsi"/>
          <w:lang w:val="sq-AL"/>
        </w:rPr>
        <w:t>Sipas kategorive të shpenzimeve rezulton</w:t>
      </w:r>
      <w:r w:rsidR="00ED4641" w:rsidRPr="00AA7F82">
        <w:rPr>
          <w:rFonts w:asciiTheme="minorHAnsi" w:hAnsiTheme="minorHAnsi" w:cstheme="minorHAnsi"/>
          <w:lang w:val="sq-AL"/>
        </w:rPr>
        <w:t xml:space="preserve">: </w:t>
      </w:r>
    </w:p>
    <w:p w14:paraId="2E5E1E00" w14:textId="0A05EBFC" w:rsidR="00ED4641" w:rsidRDefault="00343167" w:rsidP="00ED4641">
      <w:pPr>
        <w:spacing w:before="120"/>
        <w:jc w:val="both"/>
        <w:rPr>
          <w:rFonts w:ascii="Calibri" w:hAnsi="Calibri"/>
          <w:i/>
          <w:iCs/>
          <w:color w:val="17406D"/>
          <w:sz w:val="22"/>
          <w:szCs w:val="22"/>
        </w:rPr>
      </w:pPr>
      <w:bookmarkStart w:id="151" w:name="_Toc107498139"/>
      <w:r w:rsidRPr="00343167">
        <w:rPr>
          <w:rFonts w:asciiTheme="minorHAnsi" w:hAnsiTheme="minorHAnsi"/>
          <w:bCs/>
          <w:i/>
          <w:noProof/>
          <w:sz w:val="22"/>
        </w:rPr>
        <w:t xml:space="preserve"> Grafiku </w:t>
      </w:r>
      <w:r w:rsidRPr="00343167">
        <w:rPr>
          <w:rFonts w:asciiTheme="minorHAnsi" w:hAnsiTheme="minorHAnsi"/>
          <w:bCs/>
          <w:i/>
          <w:noProof/>
          <w:sz w:val="22"/>
        </w:rPr>
        <w:fldChar w:fldCharType="begin"/>
      </w:r>
      <w:r w:rsidRPr="00343167">
        <w:rPr>
          <w:rFonts w:asciiTheme="minorHAnsi" w:hAnsiTheme="minorHAnsi"/>
          <w:bCs/>
          <w:i/>
          <w:noProof/>
          <w:sz w:val="22"/>
        </w:rPr>
        <w:instrText xml:space="preserve"> SEQ Grafiku \* ARABIC </w:instrText>
      </w:r>
      <w:r w:rsidRPr="00343167">
        <w:rPr>
          <w:rFonts w:asciiTheme="minorHAnsi" w:hAnsiTheme="minorHAnsi"/>
          <w:bCs/>
          <w:i/>
          <w:noProof/>
          <w:sz w:val="22"/>
        </w:rPr>
        <w:fldChar w:fldCharType="separate"/>
      </w:r>
      <w:r w:rsidR="00C153A9">
        <w:rPr>
          <w:rFonts w:asciiTheme="minorHAnsi" w:hAnsiTheme="minorHAnsi"/>
          <w:bCs/>
          <w:i/>
          <w:noProof/>
          <w:sz w:val="22"/>
        </w:rPr>
        <w:t>47</w:t>
      </w:r>
      <w:r w:rsidRPr="00343167">
        <w:rPr>
          <w:rFonts w:asciiTheme="minorHAnsi" w:hAnsiTheme="minorHAnsi"/>
          <w:bCs/>
          <w:i/>
          <w:noProof/>
          <w:sz w:val="22"/>
        </w:rPr>
        <w:fldChar w:fldCharType="end"/>
      </w:r>
      <w:r w:rsidRPr="00343167">
        <w:rPr>
          <w:rFonts w:asciiTheme="minorHAnsi" w:hAnsiTheme="minorHAnsi"/>
          <w:i/>
          <w:noProof/>
          <w:sz w:val="22"/>
        </w:rPr>
        <w:t>:</w:t>
      </w:r>
      <w:r>
        <w:rPr>
          <w:rFonts w:asciiTheme="minorHAnsi" w:hAnsiTheme="minorHAnsi"/>
          <w:i/>
          <w:noProof/>
          <w:sz w:val="22"/>
        </w:rPr>
        <w:t xml:space="preserve"> </w:t>
      </w:r>
      <w:r w:rsidR="00ED4641" w:rsidRPr="00343167">
        <w:rPr>
          <w:rFonts w:asciiTheme="minorHAnsi" w:hAnsiTheme="minorHAnsi"/>
          <w:bCs/>
          <w:i/>
          <w:noProof/>
          <w:sz w:val="22"/>
        </w:rPr>
        <w:t>Stoku i detyrimeve të prapambetura qendrore sipas zërave kryesorë</w:t>
      </w:r>
      <w:bookmarkEnd w:id="151"/>
    </w:p>
    <w:p w14:paraId="6BB1C049" w14:textId="1C983455" w:rsidR="00EB201A" w:rsidRDefault="00C12325" w:rsidP="00C12325">
      <w:pPr>
        <w:jc w:val="center"/>
        <w:rPr>
          <w:rFonts w:asciiTheme="minorHAnsi" w:hAnsiTheme="minorHAnsi" w:cstheme="minorHAnsi"/>
          <w:lang w:val="sq-AL"/>
        </w:rPr>
      </w:pPr>
      <w:bookmarkStart w:id="152" w:name="_Toc76381993"/>
      <w:r w:rsidRPr="006D69CC">
        <w:rPr>
          <w:noProof/>
          <w:shd w:val="clear" w:color="auto" w:fill="DAEEF3" w:themeFill="accent5" w:themeFillTint="33"/>
        </w:rPr>
        <w:drawing>
          <wp:inline distT="0" distB="0" distL="0" distR="0" wp14:anchorId="161C5375" wp14:editId="5FED93A8">
            <wp:extent cx="5505450" cy="2647950"/>
            <wp:effectExtent l="0" t="0" r="0" b="0"/>
            <wp:docPr id="1087926022" name="Chart 1087926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7C7BA96A" w14:textId="77777777" w:rsidR="00C12325" w:rsidRPr="000A6C07" w:rsidRDefault="00C12325" w:rsidP="00C12325">
      <w:pPr>
        <w:spacing w:line="276" w:lineRule="auto"/>
        <w:ind w:firstLine="720"/>
        <w:rPr>
          <w:rFonts w:asciiTheme="minorHAnsi" w:eastAsia="SimSun" w:hAnsiTheme="minorHAnsi"/>
          <w:i/>
          <w:sz w:val="20"/>
          <w:lang w:val="sq-AL"/>
        </w:rPr>
      </w:pPr>
      <w:r>
        <w:rPr>
          <w:rFonts w:asciiTheme="minorHAnsi" w:eastAsia="SimSun" w:hAnsiTheme="minorHAnsi"/>
          <w:i/>
          <w:sz w:val="20"/>
          <w:lang w:val="sq-AL"/>
        </w:rPr>
        <w:t>Burimi: Ministria e Financave dhe Ekonomisë (2023)</w:t>
      </w:r>
    </w:p>
    <w:p w14:paraId="220CF8FE" w14:textId="77777777" w:rsidR="003F0C82" w:rsidRPr="00C12325" w:rsidRDefault="003F0C82" w:rsidP="00B703A6">
      <w:pPr>
        <w:jc w:val="both"/>
        <w:rPr>
          <w:rFonts w:asciiTheme="minorHAnsi" w:hAnsiTheme="minorHAnsi" w:cstheme="minorHAnsi"/>
          <w:sz w:val="20"/>
          <w:lang w:val="sq-AL"/>
        </w:rPr>
      </w:pPr>
    </w:p>
    <w:p w14:paraId="66B8DA79" w14:textId="50B324FA" w:rsidR="00ED4641" w:rsidRPr="00B703A6" w:rsidRDefault="00ED4641" w:rsidP="00B703A6">
      <w:pPr>
        <w:jc w:val="both"/>
        <w:rPr>
          <w:rFonts w:asciiTheme="minorHAnsi" w:hAnsiTheme="minorHAnsi" w:cstheme="minorHAnsi"/>
          <w:lang w:val="sq-AL"/>
        </w:rPr>
      </w:pPr>
      <w:r w:rsidRPr="00B703A6">
        <w:rPr>
          <w:rFonts w:asciiTheme="minorHAnsi" w:hAnsiTheme="minorHAnsi" w:cstheme="minorHAnsi"/>
          <w:lang w:val="sq-AL"/>
        </w:rPr>
        <w:t xml:space="preserve">Siç vërehet, zë me peshë të konsiderueshme </w:t>
      </w:r>
      <w:r w:rsidR="00C12325" w:rsidRPr="00B703A6">
        <w:rPr>
          <w:rFonts w:asciiTheme="minorHAnsi" w:hAnsiTheme="minorHAnsi" w:cstheme="minorHAnsi"/>
          <w:lang w:val="sq-AL"/>
        </w:rPr>
        <w:t>në ecurinë e detyrimeve të prapambetura mbetet ai i vendimeve gjyqësore administrative të formës së prerë, të cilat</w:t>
      </w:r>
      <w:r w:rsidRPr="00B703A6">
        <w:rPr>
          <w:rFonts w:asciiTheme="minorHAnsi" w:hAnsiTheme="minorHAnsi" w:cstheme="minorHAnsi"/>
          <w:lang w:val="sq-AL"/>
        </w:rPr>
        <w:t>:</w:t>
      </w:r>
    </w:p>
    <w:p w14:paraId="62051E62" w14:textId="77777777" w:rsidR="00C12325" w:rsidRPr="00C12325" w:rsidRDefault="00C12325" w:rsidP="00C12325">
      <w:pPr>
        <w:pStyle w:val="ListParagraph"/>
        <w:ind w:left="360"/>
        <w:jc w:val="both"/>
        <w:rPr>
          <w:rFonts w:asciiTheme="minorHAnsi" w:hAnsiTheme="minorHAnsi" w:cstheme="minorHAnsi"/>
          <w:i/>
          <w:sz w:val="8"/>
          <w:szCs w:val="8"/>
          <w:lang w:val="sq-AL"/>
        </w:rPr>
      </w:pPr>
    </w:p>
    <w:p w14:paraId="69E3E621" w14:textId="16414BC9" w:rsidR="00C12325" w:rsidRPr="00F23DF1" w:rsidRDefault="00C12325" w:rsidP="00056DE5">
      <w:pPr>
        <w:pStyle w:val="ListParagraph"/>
        <w:numPr>
          <w:ilvl w:val="0"/>
          <w:numId w:val="29"/>
        </w:numPr>
        <w:ind w:left="360"/>
        <w:jc w:val="both"/>
        <w:rPr>
          <w:rFonts w:asciiTheme="minorHAnsi" w:hAnsiTheme="minorHAnsi" w:cstheme="minorHAnsi"/>
          <w:i/>
          <w:sz w:val="22"/>
          <w:lang w:val="sq-AL"/>
        </w:rPr>
      </w:pPr>
      <w:r w:rsidRPr="00F23DF1">
        <w:rPr>
          <w:rFonts w:asciiTheme="minorHAnsi" w:hAnsiTheme="minorHAnsi" w:cstheme="minorHAnsi"/>
          <w:i/>
          <w:sz w:val="22"/>
          <w:lang w:val="sq-AL"/>
        </w:rPr>
        <w:t>Kanë kryesisht në sfond largimet e padrejta nga puna të ish-punonjësve, të cilat në çdo rast implikojnë kosto buxhetore të paparashikuara. Këto detyrime monitorohen dhe raportohen nga Ministria e Financave dhe Ekonomisë, në kuadër të monitorimit të përgjithshëm të detyrimeve të prapambetura. Për T1 202</w:t>
      </w:r>
      <w:r>
        <w:rPr>
          <w:rFonts w:asciiTheme="minorHAnsi" w:hAnsiTheme="minorHAnsi" w:cstheme="minorHAnsi"/>
          <w:i/>
          <w:sz w:val="22"/>
          <w:lang w:val="sq-AL"/>
        </w:rPr>
        <w:t>3</w:t>
      </w:r>
      <w:r w:rsidRPr="00F23DF1">
        <w:rPr>
          <w:rFonts w:asciiTheme="minorHAnsi" w:hAnsiTheme="minorHAnsi" w:cstheme="minorHAnsi"/>
          <w:i/>
          <w:sz w:val="22"/>
          <w:lang w:val="sq-AL"/>
        </w:rPr>
        <w:t>, detyrimet e prapambetura për vendime gjyqësore për njësitë e qeverisj</w:t>
      </w:r>
      <w:r>
        <w:rPr>
          <w:rFonts w:asciiTheme="minorHAnsi" w:hAnsiTheme="minorHAnsi" w:cstheme="minorHAnsi"/>
          <w:i/>
          <w:sz w:val="22"/>
          <w:lang w:val="sq-AL"/>
        </w:rPr>
        <w:t>e qendrore rezultuan në rreth 3</w:t>
      </w:r>
      <w:r w:rsidRPr="00F23DF1">
        <w:rPr>
          <w:rFonts w:asciiTheme="minorHAnsi" w:hAnsiTheme="minorHAnsi" w:cstheme="minorHAnsi"/>
          <w:i/>
          <w:sz w:val="22"/>
          <w:lang w:val="sq-AL"/>
        </w:rPr>
        <w:t xml:space="preserve"> mld </w:t>
      </w:r>
      <w:r>
        <w:rPr>
          <w:rFonts w:asciiTheme="minorHAnsi" w:hAnsiTheme="minorHAnsi" w:cstheme="minorHAnsi"/>
          <w:i/>
          <w:sz w:val="22"/>
          <w:lang w:val="sq-AL"/>
        </w:rPr>
        <w:t>LEK</w:t>
      </w:r>
      <w:r w:rsidRPr="00F23DF1">
        <w:rPr>
          <w:rFonts w:asciiTheme="minorHAnsi" w:hAnsiTheme="minorHAnsi" w:cstheme="minorHAnsi"/>
          <w:i/>
          <w:sz w:val="22"/>
          <w:lang w:val="sq-AL"/>
        </w:rPr>
        <w:t xml:space="preserve"> ose rreth 4</w:t>
      </w:r>
      <w:r>
        <w:rPr>
          <w:rFonts w:asciiTheme="minorHAnsi" w:hAnsiTheme="minorHAnsi" w:cstheme="minorHAnsi"/>
          <w:i/>
          <w:sz w:val="22"/>
          <w:lang w:val="sq-AL"/>
        </w:rPr>
        <w:t>4</w:t>
      </w:r>
      <w:r w:rsidRPr="00F23DF1">
        <w:rPr>
          <w:rFonts w:asciiTheme="minorHAnsi" w:hAnsiTheme="minorHAnsi" w:cstheme="minorHAnsi"/>
          <w:i/>
          <w:sz w:val="22"/>
          <w:lang w:val="sq-AL"/>
        </w:rPr>
        <w:t>.</w:t>
      </w:r>
      <w:r>
        <w:rPr>
          <w:rFonts w:asciiTheme="minorHAnsi" w:hAnsiTheme="minorHAnsi" w:cstheme="minorHAnsi"/>
          <w:i/>
          <w:sz w:val="22"/>
          <w:lang w:val="sq-AL"/>
        </w:rPr>
        <w:t>5</w:t>
      </w:r>
      <w:r w:rsidRPr="00F23DF1">
        <w:rPr>
          <w:rFonts w:asciiTheme="minorHAnsi" w:hAnsiTheme="minorHAnsi" w:cstheme="minorHAnsi"/>
          <w:i/>
          <w:sz w:val="22"/>
          <w:lang w:val="sq-AL"/>
        </w:rPr>
        <w:t>% e stokut total të detyrimeve të prapambetura të njësive të qeverisjes qendrore.</w:t>
      </w:r>
      <w:r w:rsidRPr="00EB201A">
        <w:rPr>
          <w:rFonts w:asciiTheme="minorHAnsi" w:hAnsiTheme="minorHAnsi" w:cstheme="minorHAnsi"/>
          <w:i/>
          <w:sz w:val="22"/>
          <w:lang w:val="sq-AL"/>
        </w:rPr>
        <w:t xml:space="preserve"> </w:t>
      </w:r>
      <w:r>
        <w:rPr>
          <w:rFonts w:asciiTheme="minorHAnsi" w:hAnsiTheme="minorHAnsi" w:cstheme="minorHAnsi"/>
          <w:i/>
          <w:sz w:val="22"/>
          <w:lang w:val="sq-AL"/>
        </w:rPr>
        <w:t xml:space="preserve">Krahasuar me të njëjtën periudhë të një viti më parë, ky nivel është ulur me 226.7 milion LEK, ose 7.0%. Ndërkohë, krahasuar me vitin 2022, niveli i detyrimeve  </w:t>
      </w:r>
      <w:r w:rsidRPr="00F23DF1">
        <w:rPr>
          <w:rFonts w:asciiTheme="minorHAnsi" w:hAnsiTheme="minorHAnsi" w:cstheme="minorHAnsi"/>
          <w:i/>
          <w:sz w:val="22"/>
          <w:lang w:val="sq-AL"/>
        </w:rPr>
        <w:t>për vendime</w:t>
      </w:r>
      <w:r>
        <w:rPr>
          <w:rFonts w:asciiTheme="minorHAnsi" w:hAnsiTheme="minorHAnsi" w:cstheme="minorHAnsi"/>
          <w:i/>
          <w:sz w:val="22"/>
          <w:lang w:val="sq-AL"/>
        </w:rPr>
        <w:t>t</w:t>
      </w:r>
      <w:r w:rsidRPr="00F23DF1">
        <w:rPr>
          <w:rFonts w:asciiTheme="minorHAnsi" w:hAnsiTheme="minorHAnsi" w:cstheme="minorHAnsi"/>
          <w:i/>
          <w:sz w:val="22"/>
          <w:lang w:val="sq-AL"/>
        </w:rPr>
        <w:t xml:space="preserve"> gjyqësore</w:t>
      </w:r>
      <w:r>
        <w:rPr>
          <w:rFonts w:asciiTheme="minorHAnsi" w:hAnsiTheme="minorHAnsi" w:cstheme="minorHAnsi"/>
          <w:i/>
          <w:sz w:val="22"/>
          <w:lang w:val="sq-AL"/>
        </w:rPr>
        <w:t xml:space="preserve"> qendrore është ulur me rreth 240.4 milion LEK ose 7.4%.</w:t>
      </w:r>
    </w:p>
    <w:p w14:paraId="10688EF7" w14:textId="77777777" w:rsidR="00C12325" w:rsidRPr="00C12325" w:rsidRDefault="00C12325" w:rsidP="00C12325">
      <w:pPr>
        <w:pStyle w:val="ListParagraph"/>
        <w:ind w:left="360"/>
        <w:jc w:val="both"/>
        <w:rPr>
          <w:rFonts w:asciiTheme="minorHAnsi" w:hAnsiTheme="minorHAnsi" w:cstheme="minorHAnsi"/>
          <w:i/>
          <w:sz w:val="8"/>
          <w:szCs w:val="8"/>
          <w:lang w:val="sq-AL"/>
        </w:rPr>
      </w:pPr>
    </w:p>
    <w:p w14:paraId="58C8CE7B" w14:textId="0333C381" w:rsidR="00ED4641" w:rsidRDefault="00C12325" w:rsidP="00056DE5">
      <w:pPr>
        <w:pStyle w:val="ListParagraph"/>
        <w:numPr>
          <w:ilvl w:val="0"/>
          <w:numId w:val="29"/>
        </w:numPr>
        <w:ind w:left="360"/>
        <w:jc w:val="both"/>
        <w:rPr>
          <w:rFonts w:asciiTheme="minorHAnsi" w:hAnsiTheme="minorHAnsi" w:cstheme="minorHAnsi"/>
          <w:i/>
          <w:sz w:val="22"/>
          <w:lang w:val="sq-AL"/>
        </w:rPr>
      </w:pPr>
      <w:r w:rsidRPr="00F23DF1">
        <w:rPr>
          <w:rFonts w:asciiTheme="minorHAnsi" w:hAnsiTheme="minorHAnsi" w:cstheme="minorHAnsi"/>
          <w:i/>
          <w:sz w:val="22"/>
          <w:lang w:val="sq-AL"/>
        </w:rPr>
        <w:t>Ministria e Financave dhe Ekonomisë, për t’i paraprirë akumulimit të tyre në kohë, përveç një monitorimi periodik, vazhdimisht i ka bërë apel aftësisë menaxhuese të vetë institucioneve buxhetore, përmes aplikimit me këste të pagesës për përfituesit apo instrumenteve të tjerë të lehtësimit dhe/ose zhvendosjes në kohë të të barrës së tyre buxhetore</w:t>
      </w:r>
      <w:r w:rsidR="00ED4641" w:rsidRPr="00F23DF1">
        <w:rPr>
          <w:rFonts w:asciiTheme="minorHAnsi" w:hAnsiTheme="minorHAnsi" w:cstheme="minorHAnsi"/>
          <w:i/>
          <w:sz w:val="22"/>
          <w:lang w:val="sq-AL"/>
        </w:rPr>
        <w:t>.</w:t>
      </w:r>
    </w:p>
    <w:p w14:paraId="5D778AC5" w14:textId="77777777" w:rsidR="00C12325" w:rsidRPr="00C12325" w:rsidRDefault="00C12325" w:rsidP="00C12325">
      <w:pPr>
        <w:pStyle w:val="ListParagraph"/>
        <w:rPr>
          <w:rFonts w:asciiTheme="minorHAnsi" w:hAnsiTheme="minorHAnsi" w:cstheme="minorHAnsi"/>
          <w:i/>
          <w:sz w:val="22"/>
          <w:lang w:val="sq-AL"/>
        </w:rPr>
      </w:pPr>
    </w:p>
    <w:p w14:paraId="73DFE0C3" w14:textId="77777777" w:rsidR="00C12325" w:rsidRPr="008B55C6" w:rsidRDefault="00C12325" w:rsidP="00C12325">
      <w:pPr>
        <w:pStyle w:val="ListParagraph"/>
        <w:ind w:left="360"/>
        <w:jc w:val="both"/>
        <w:rPr>
          <w:rFonts w:asciiTheme="minorHAnsi" w:hAnsiTheme="minorHAnsi" w:cstheme="minorHAnsi"/>
          <w:i/>
          <w:sz w:val="8"/>
          <w:lang w:val="sq-AL"/>
        </w:rPr>
      </w:pPr>
    </w:p>
    <w:bookmarkEnd w:id="152"/>
    <w:p w14:paraId="2AA632E8" w14:textId="77777777" w:rsidR="00FC6E77" w:rsidRPr="004C6F8D" w:rsidRDefault="00FC6E77" w:rsidP="00342E35">
      <w:pPr>
        <w:spacing w:line="276" w:lineRule="auto"/>
        <w:ind w:left="450"/>
        <w:contextualSpacing/>
        <w:jc w:val="both"/>
        <w:rPr>
          <w:rFonts w:asciiTheme="minorHAnsi" w:hAnsiTheme="minorHAnsi"/>
          <w:i/>
          <w:sz w:val="8"/>
          <w:lang w:val="sq-AL"/>
        </w:rPr>
      </w:pPr>
    </w:p>
    <w:p w14:paraId="44FBA92D" w14:textId="77777777" w:rsidR="00CD3B4E" w:rsidRPr="00CB14F3" w:rsidRDefault="00CD3B4E" w:rsidP="00056DE5">
      <w:pPr>
        <w:pStyle w:val="Heading2"/>
        <w:numPr>
          <w:ilvl w:val="0"/>
          <w:numId w:val="18"/>
        </w:numPr>
        <w:ind w:left="810" w:hanging="810"/>
        <w:rPr>
          <w:sz w:val="26"/>
          <w:szCs w:val="26"/>
        </w:rPr>
      </w:pPr>
      <w:bookmarkStart w:id="153" w:name="_Toc107497001"/>
      <w:r w:rsidRPr="00CB14F3">
        <w:rPr>
          <w:sz w:val="26"/>
          <w:szCs w:val="26"/>
        </w:rPr>
        <w:t>Detyrimet e prapambetura për njësitë e vetëqeverisjes VENDORE</w:t>
      </w:r>
      <w:bookmarkEnd w:id="153"/>
    </w:p>
    <w:p w14:paraId="0595F459" w14:textId="384677FD" w:rsidR="00F23DF1" w:rsidRDefault="008B44DD" w:rsidP="008B44DD">
      <w:pPr>
        <w:spacing w:before="120" w:after="120"/>
        <w:jc w:val="both"/>
        <w:rPr>
          <w:rFonts w:asciiTheme="minorHAnsi" w:hAnsiTheme="minorHAnsi"/>
          <w:lang w:val="sq-AL"/>
        </w:rPr>
      </w:pPr>
      <w:r w:rsidRPr="008B44DD">
        <w:rPr>
          <w:rFonts w:asciiTheme="minorHAnsi" w:hAnsiTheme="minorHAnsi"/>
          <w:lang w:val="sq-AL"/>
        </w:rPr>
        <w:t>Stoku i detyrimeve të prapambetura në fund të muajit mars 2023, i cili parashikohet të shlyhet në një periudhë afatmesme, bazuar në planin e shlyerjes së dërguar nga të gjitha bashkitë në Ministrinë e Financave dhe Ekonomisë është rreth 6.02 miliard lekë. Vlera e stokut të detyrimeve të prapambetura është rritur me rreth 0.06 milard lekë, krahasuar me stokun e detyrimit në fund të vitit 2022, që ishte 5.96 miliard lekë.</w:t>
      </w:r>
      <w:r w:rsidR="003F0C82">
        <w:rPr>
          <w:rFonts w:asciiTheme="minorHAnsi" w:hAnsiTheme="minorHAnsi"/>
          <w:lang w:val="sq-AL"/>
        </w:rPr>
        <w:t xml:space="preserve"> </w:t>
      </w:r>
      <w:r w:rsidRPr="008B44DD">
        <w:rPr>
          <w:rFonts w:asciiTheme="minorHAnsi" w:hAnsiTheme="minorHAnsi"/>
          <w:lang w:val="sq-AL"/>
        </w:rPr>
        <w:t>Sipas kategorive, peshën më të madhe të stokut të detyrimeve e zë kategoria “Investime” me 48.3%. Më pas, kategoria “Të tjera” 24.6%, “Shërbime” 12.4%, dhe “Vendime Gjyqësore” 6.9%. Ndërsa sa i përket qarqeve, stoku i detyrimit të tyre përbëhet kryesisht nga vendime gjyqësore, të cilat zënë 95.8% të totalit të detyrimit të qarqeve</w:t>
      </w:r>
      <w:r w:rsidR="00F23DF1" w:rsidRPr="001524E0">
        <w:rPr>
          <w:rFonts w:asciiTheme="minorHAnsi" w:hAnsiTheme="minorHAnsi"/>
          <w:lang w:val="sq-AL"/>
        </w:rPr>
        <w:t>.</w:t>
      </w:r>
    </w:p>
    <w:p w14:paraId="513BD549" w14:textId="77777777" w:rsidR="008B55C6" w:rsidRDefault="008B55C6" w:rsidP="0068071B">
      <w:pPr>
        <w:spacing w:before="120"/>
        <w:jc w:val="both"/>
        <w:rPr>
          <w:rFonts w:asciiTheme="minorHAnsi" w:hAnsiTheme="minorHAnsi"/>
          <w:bCs/>
          <w:i/>
          <w:noProof/>
          <w:sz w:val="22"/>
        </w:rPr>
      </w:pPr>
      <w:bookmarkStart w:id="154" w:name="_Toc107496762"/>
    </w:p>
    <w:p w14:paraId="64CBBB5E" w14:textId="08E4C7EF" w:rsidR="00F23DF1" w:rsidRPr="0068071B" w:rsidRDefault="0068071B" w:rsidP="0068071B">
      <w:pPr>
        <w:spacing w:before="120"/>
        <w:jc w:val="both"/>
        <w:rPr>
          <w:rFonts w:asciiTheme="minorHAnsi" w:hAnsiTheme="minorHAnsi"/>
          <w:bCs/>
          <w:i/>
          <w:noProof/>
          <w:sz w:val="22"/>
        </w:rPr>
      </w:pPr>
      <w:r w:rsidRPr="00343167">
        <w:rPr>
          <w:rFonts w:asciiTheme="minorHAnsi" w:hAnsiTheme="minorHAnsi"/>
          <w:bCs/>
          <w:i/>
          <w:noProof/>
          <w:sz w:val="22"/>
        </w:rPr>
        <w:lastRenderedPageBreak/>
        <w:t xml:space="preserve">Tabela </w:t>
      </w:r>
      <w:r w:rsidRPr="00343167">
        <w:rPr>
          <w:rFonts w:asciiTheme="minorHAnsi" w:hAnsiTheme="minorHAnsi"/>
          <w:bCs/>
          <w:i/>
          <w:noProof/>
          <w:sz w:val="22"/>
        </w:rPr>
        <w:fldChar w:fldCharType="begin"/>
      </w:r>
      <w:r w:rsidRPr="00343167">
        <w:rPr>
          <w:rFonts w:asciiTheme="minorHAnsi" w:hAnsiTheme="minorHAnsi"/>
          <w:bCs/>
          <w:i/>
          <w:noProof/>
          <w:sz w:val="22"/>
        </w:rPr>
        <w:instrText xml:space="preserve"> SEQ Tabela \* ARABIC </w:instrText>
      </w:r>
      <w:r w:rsidRPr="00343167">
        <w:rPr>
          <w:rFonts w:asciiTheme="minorHAnsi" w:hAnsiTheme="minorHAnsi"/>
          <w:bCs/>
          <w:i/>
          <w:noProof/>
          <w:sz w:val="22"/>
        </w:rPr>
        <w:fldChar w:fldCharType="separate"/>
      </w:r>
      <w:r w:rsidR="00C153A9">
        <w:rPr>
          <w:rFonts w:asciiTheme="minorHAnsi" w:hAnsiTheme="minorHAnsi"/>
          <w:bCs/>
          <w:i/>
          <w:noProof/>
          <w:sz w:val="22"/>
        </w:rPr>
        <w:t>25</w:t>
      </w:r>
      <w:r w:rsidRPr="00343167">
        <w:rPr>
          <w:rFonts w:asciiTheme="minorHAnsi" w:hAnsiTheme="minorHAnsi"/>
          <w:bCs/>
          <w:i/>
          <w:noProof/>
          <w:sz w:val="22"/>
        </w:rPr>
        <w:fldChar w:fldCharType="end"/>
      </w:r>
      <w:r>
        <w:rPr>
          <w:rFonts w:asciiTheme="minorHAnsi" w:hAnsiTheme="minorHAnsi"/>
          <w:bCs/>
          <w:i/>
          <w:noProof/>
          <w:sz w:val="22"/>
        </w:rPr>
        <w:t xml:space="preserve">: </w:t>
      </w:r>
      <w:r w:rsidR="00F23DF1" w:rsidRPr="0068071B">
        <w:rPr>
          <w:rFonts w:asciiTheme="minorHAnsi" w:hAnsiTheme="minorHAnsi"/>
          <w:bCs/>
          <w:i/>
          <w:noProof/>
          <w:sz w:val="22"/>
        </w:rPr>
        <w:t xml:space="preserve">Stoku i detyrimit të mbetur vendor – </w:t>
      </w:r>
      <w:r w:rsidR="003E4318" w:rsidRPr="0068071B">
        <w:rPr>
          <w:rFonts w:asciiTheme="minorHAnsi" w:hAnsiTheme="minorHAnsi"/>
          <w:bCs/>
          <w:i/>
          <w:noProof/>
          <w:sz w:val="22"/>
        </w:rPr>
        <w:t>T1</w:t>
      </w:r>
      <w:r w:rsidR="00F23DF1" w:rsidRPr="0068071B">
        <w:rPr>
          <w:rFonts w:asciiTheme="minorHAnsi" w:hAnsiTheme="minorHAnsi"/>
          <w:bCs/>
          <w:i/>
          <w:noProof/>
          <w:sz w:val="22"/>
        </w:rPr>
        <w:t xml:space="preserve"> 202</w:t>
      </w:r>
      <w:r w:rsidR="003F0C82">
        <w:rPr>
          <w:rFonts w:asciiTheme="minorHAnsi" w:hAnsiTheme="minorHAnsi"/>
          <w:bCs/>
          <w:i/>
          <w:noProof/>
          <w:sz w:val="22"/>
        </w:rPr>
        <w:t>3</w:t>
      </w:r>
      <w:r w:rsidR="00F23DF1" w:rsidRPr="0068071B">
        <w:rPr>
          <w:rFonts w:asciiTheme="minorHAnsi" w:hAnsiTheme="minorHAnsi"/>
          <w:bCs/>
          <w:i/>
          <w:noProof/>
          <w:sz w:val="22"/>
        </w:rPr>
        <w:t xml:space="preserve"> (në lekë)</w:t>
      </w:r>
      <w:bookmarkEnd w:id="154"/>
    </w:p>
    <w:tbl>
      <w:tblPr>
        <w:tblStyle w:val="GridTable1Light-Accent12"/>
        <w:tblW w:w="9719" w:type="dxa"/>
        <w:jc w:val="center"/>
        <w:tblLook w:val="04A0" w:firstRow="1" w:lastRow="0" w:firstColumn="1" w:lastColumn="0" w:noHBand="0" w:noVBand="1"/>
      </w:tblPr>
      <w:tblGrid>
        <w:gridCol w:w="1393"/>
        <w:gridCol w:w="2711"/>
        <w:gridCol w:w="1900"/>
        <w:gridCol w:w="1479"/>
        <w:gridCol w:w="1118"/>
        <w:gridCol w:w="1118"/>
      </w:tblGrid>
      <w:tr w:rsidR="003F0C82" w:rsidRPr="001524E0" w14:paraId="384DC4C8" w14:textId="77777777" w:rsidTr="003F0C82">
        <w:trPr>
          <w:cnfStyle w:val="100000000000" w:firstRow="1" w:lastRow="0" w:firstColumn="0" w:lastColumn="0" w:oddVBand="0" w:evenVBand="0" w:oddHBand="0" w:evenHBand="0" w:firstRowFirstColumn="0" w:firstRowLastColumn="0" w:lastRowFirstColumn="0" w:lastRowLastColumn="0"/>
          <w:trHeight w:val="461"/>
          <w:jc w:val="center"/>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8DB3E2" w:themeFill="text2" w:themeFillTint="66"/>
            <w:hideMark/>
          </w:tcPr>
          <w:p w14:paraId="76DFF876" w14:textId="77777777" w:rsidR="003F0C82" w:rsidRPr="001524E0" w:rsidRDefault="003F0C82" w:rsidP="00495067">
            <w:pPr>
              <w:jc w:val="center"/>
              <w:rPr>
                <w:rFonts w:asciiTheme="minorHAnsi" w:hAnsiTheme="minorHAnsi"/>
                <w:sz w:val="18"/>
                <w:szCs w:val="20"/>
                <w:lang w:val="sq-AL"/>
              </w:rPr>
            </w:pPr>
            <w:r w:rsidRPr="001524E0">
              <w:rPr>
                <w:rFonts w:asciiTheme="minorHAnsi" w:hAnsiTheme="minorHAnsi"/>
                <w:sz w:val="18"/>
                <w:szCs w:val="20"/>
                <w:lang w:val="sq-AL"/>
              </w:rPr>
              <w:t>Llog. Ekonomike</w:t>
            </w:r>
          </w:p>
        </w:tc>
        <w:tc>
          <w:tcPr>
            <w:tcW w:w="2711"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8DB3E2" w:themeFill="text2" w:themeFillTint="66"/>
          </w:tcPr>
          <w:p w14:paraId="094BB59D" w14:textId="77777777" w:rsidR="003F0C82" w:rsidRPr="001524E0" w:rsidRDefault="003F0C82" w:rsidP="0049506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lang w:val="sq-AL"/>
              </w:rPr>
            </w:pPr>
          </w:p>
          <w:p w14:paraId="38830D7F" w14:textId="77777777" w:rsidR="003F0C82" w:rsidRPr="001524E0" w:rsidRDefault="003F0C82" w:rsidP="0049506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Kategoria</w:t>
            </w:r>
          </w:p>
        </w:tc>
        <w:tc>
          <w:tcPr>
            <w:tcW w:w="1900"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8DB3E2" w:themeFill="text2" w:themeFillTint="66"/>
          </w:tcPr>
          <w:p w14:paraId="16A9833A" w14:textId="77777777" w:rsidR="003F0C82" w:rsidRPr="001524E0" w:rsidRDefault="003F0C82" w:rsidP="0049506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lang w:val="sq-AL"/>
              </w:rPr>
            </w:pPr>
          </w:p>
          <w:p w14:paraId="001C037E" w14:textId="77777777" w:rsidR="003F0C82" w:rsidRPr="001524E0" w:rsidRDefault="003F0C82" w:rsidP="0049506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Bashki</w:t>
            </w:r>
          </w:p>
        </w:tc>
        <w:tc>
          <w:tcPr>
            <w:tcW w:w="1479"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8DB3E2" w:themeFill="text2" w:themeFillTint="66"/>
          </w:tcPr>
          <w:p w14:paraId="4DBEADD2" w14:textId="77777777" w:rsidR="003F0C82" w:rsidRPr="001524E0" w:rsidRDefault="003F0C82" w:rsidP="0049506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lang w:val="sq-AL"/>
              </w:rPr>
            </w:pPr>
          </w:p>
          <w:p w14:paraId="271F4236" w14:textId="77777777" w:rsidR="003F0C82" w:rsidRPr="001524E0" w:rsidRDefault="003F0C82" w:rsidP="0049506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Qarqe</w:t>
            </w:r>
          </w:p>
        </w:tc>
        <w:tc>
          <w:tcPr>
            <w:tcW w:w="1118"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8DB3E2" w:themeFill="text2" w:themeFillTint="66"/>
            <w:hideMark/>
          </w:tcPr>
          <w:p w14:paraId="753BC936" w14:textId="77777777" w:rsidR="003F0C82" w:rsidRPr="001524E0" w:rsidRDefault="003F0C82" w:rsidP="0049506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Pesha në % Bashki</w:t>
            </w:r>
          </w:p>
        </w:tc>
        <w:tc>
          <w:tcPr>
            <w:tcW w:w="1118" w:type="dxa"/>
            <w:tcBorders>
              <w:top w:val="single" w:sz="4" w:space="0" w:color="B8CCE4" w:themeColor="accent1" w:themeTint="66"/>
              <w:left w:val="single" w:sz="4" w:space="0" w:color="B8CCE4" w:themeColor="accent1" w:themeTint="66"/>
              <w:right w:val="single" w:sz="4" w:space="0" w:color="B8CCE4" w:themeColor="accent1" w:themeTint="66"/>
            </w:tcBorders>
            <w:shd w:val="clear" w:color="auto" w:fill="8DB3E2" w:themeFill="text2" w:themeFillTint="66"/>
            <w:hideMark/>
          </w:tcPr>
          <w:p w14:paraId="11A31448" w14:textId="77777777" w:rsidR="003F0C82" w:rsidRPr="001524E0" w:rsidRDefault="003F0C82" w:rsidP="0049506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Pesha në % Qarqe</w:t>
            </w:r>
          </w:p>
        </w:tc>
      </w:tr>
      <w:tr w:rsidR="003F0C82" w:rsidRPr="001524E0" w14:paraId="0AA46C78" w14:textId="77777777" w:rsidTr="003F0C82">
        <w:trPr>
          <w:trHeight w:val="230"/>
          <w:jc w:val="center"/>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1A82F018" w14:textId="77777777" w:rsidR="003F0C82" w:rsidRPr="001524E0" w:rsidRDefault="003F0C82" w:rsidP="00495067">
            <w:pPr>
              <w:jc w:val="center"/>
              <w:rPr>
                <w:rFonts w:asciiTheme="minorHAnsi" w:hAnsiTheme="minorHAnsi"/>
                <w:sz w:val="18"/>
                <w:szCs w:val="20"/>
                <w:lang w:val="sq-AL"/>
              </w:rPr>
            </w:pPr>
            <w:r w:rsidRPr="001524E0">
              <w:rPr>
                <w:rFonts w:asciiTheme="minorHAnsi" w:hAnsiTheme="minorHAnsi"/>
                <w:sz w:val="18"/>
                <w:szCs w:val="20"/>
                <w:lang w:val="sq-AL"/>
              </w:rPr>
              <w:t>4864100</w:t>
            </w:r>
          </w:p>
        </w:tc>
        <w:tc>
          <w:tcPr>
            <w:tcW w:w="271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C418E7B" w14:textId="77777777" w:rsidR="003F0C82" w:rsidRPr="001524E0" w:rsidRDefault="003F0C82" w:rsidP="0049506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Vendime Gjyqësore</w:t>
            </w:r>
          </w:p>
        </w:tc>
        <w:tc>
          <w:tcPr>
            <w:tcW w:w="190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A03BC47"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408,701,309</w:t>
            </w:r>
          </w:p>
        </w:tc>
        <w:tc>
          <w:tcPr>
            <w:tcW w:w="14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C5AE774"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98,323,001</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66E2A0D"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6.9%</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B50178E"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95.8%</w:t>
            </w:r>
          </w:p>
        </w:tc>
      </w:tr>
      <w:tr w:rsidR="003F0C82" w:rsidRPr="001524E0" w14:paraId="0FD8D862" w14:textId="77777777" w:rsidTr="003F0C82">
        <w:trPr>
          <w:trHeight w:val="230"/>
          <w:jc w:val="center"/>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0E1EED0" w14:textId="77777777" w:rsidR="003F0C82" w:rsidRPr="001524E0" w:rsidRDefault="003F0C82" w:rsidP="00495067">
            <w:pPr>
              <w:jc w:val="center"/>
              <w:rPr>
                <w:rFonts w:asciiTheme="minorHAnsi" w:hAnsiTheme="minorHAnsi"/>
                <w:sz w:val="18"/>
                <w:szCs w:val="20"/>
                <w:lang w:val="sq-AL"/>
              </w:rPr>
            </w:pPr>
            <w:r w:rsidRPr="001524E0">
              <w:rPr>
                <w:rFonts w:asciiTheme="minorHAnsi" w:hAnsiTheme="minorHAnsi"/>
                <w:sz w:val="18"/>
                <w:szCs w:val="20"/>
                <w:lang w:val="sq-AL"/>
              </w:rPr>
              <w:t>4864200</w:t>
            </w:r>
          </w:p>
        </w:tc>
        <w:tc>
          <w:tcPr>
            <w:tcW w:w="271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56939CBE" w14:textId="77777777" w:rsidR="003F0C82" w:rsidRPr="001524E0" w:rsidRDefault="003F0C82" w:rsidP="0049506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Det.Prap. Shërbime</w:t>
            </w:r>
          </w:p>
        </w:tc>
        <w:tc>
          <w:tcPr>
            <w:tcW w:w="190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77F11689"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733,780,000</w:t>
            </w:r>
          </w:p>
        </w:tc>
        <w:tc>
          <w:tcPr>
            <w:tcW w:w="14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76FA8D16" w14:textId="77777777" w:rsidR="003F0C82" w:rsidRPr="001524E0" w:rsidRDefault="003F0C82" w:rsidP="00495067">
            <w:pPr>
              <w:tabs>
                <w:tab w:val="center" w:pos="635"/>
                <w:tab w:val="right" w:pos="1271"/>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1,347,121</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050386FF"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12.4%</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735E9DCE"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1.3%</w:t>
            </w:r>
          </w:p>
        </w:tc>
      </w:tr>
      <w:tr w:rsidR="003F0C82" w:rsidRPr="001524E0" w14:paraId="63B39F9B" w14:textId="77777777" w:rsidTr="003F0C82">
        <w:trPr>
          <w:trHeight w:val="230"/>
          <w:jc w:val="center"/>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0CF1D47D" w14:textId="77777777" w:rsidR="003F0C82" w:rsidRPr="001524E0" w:rsidRDefault="003F0C82" w:rsidP="00495067">
            <w:pPr>
              <w:jc w:val="center"/>
              <w:rPr>
                <w:rFonts w:asciiTheme="minorHAnsi" w:hAnsiTheme="minorHAnsi"/>
                <w:sz w:val="18"/>
                <w:szCs w:val="20"/>
                <w:lang w:val="sq-AL"/>
              </w:rPr>
            </w:pPr>
            <w:r w:rsidRPr="001524E0">
              <w:rPr>
                <w:rFonts w:asciiTheme="minorHAnsi" w:hAnsiTheme="minorHAnsi"/>
                <w:sz w:val="18"/>
                <w:szCs w:val="20"/>
                <w:lang w:val="sq-AL"/>
              </w:rPr>
              <w:t>4864300</w:t>
            </w:r>
          </w:p>
        </w:tc>
        <w:tc>
          <w:tcPr>
            <w:tcW w:w="271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4716B52" w14:textId="77777777" w:rsidR="003F0C82" w:rsidRPr="001524E0" w:rsidRDefault="003F0C82" w:rsidP="0049506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Det.Prap.Mirëmbajtjeje</w:t>
            </w:r>
          </w:p>
        </w:tc>
        <w:tc>
          <w:tcPr>
            <w:tcW w:w="190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7E2EED32"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116,475,897</w:t>
            </w:r>
          </w:p>
        </w:tc>
        <w:tc>
          <w:tcPr>
            <w:tcW w:w="14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94E9125"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0</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06232D8F"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2.0%</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0E9776C2"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0.0%</w:t>
            </w:r>
          </w:p>
        </w:tc>
      </w:tr>
      <w:tr w:rsidR="003F0C82" w:rsidRPr="001524E0" w14:paraId="66E56A08" w14:textId="77777777" w:rsidTr="003F0C82">
        <w:trPr>
          <w:trHeight w:val="230"/>
          <w:jc w:val="center"/>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7CFEE0CF" w14:textId="77777777" w:rsidR="003F0C82" w:rsidRPr="001524E0" w:rsidRDefault="003F0C82" w:rsidP="00495067">
            <w:pPr>
              <w:jc w:val="center"/>
              <w:rPr>
                <w:rFonts w:asciiTheme="minorHAnsi" w:hAnsiTheme="minorHAnsi"/>
                <w:sz w:val="18"/>
                <w:szCs w:val="20"/>
                <w:lang w:val="sq-AL"/>
              </w:rPr>
            </w:pPr>
            <w:r w:rsidRPr="001524E0">
              <w:rPr>
                <w:rFonts w:asciiTheme="minorHAnsi" w:hAnsiTheme="minorHAnsi"/>
                <w:sz w:val="18"/>
                <w:szCs w:val="20"/>
                <w:lang w:val="sq-AL"/>
              </w:rPr>
              <w:t>4864400</w:t>
            </w:r>
          </w:p>
        </w:tc>
        <w:tc>
          <w:tcPr>
            <w:tcW w:w="271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59036DCB" w14:textId="77777777" w:rsidR="003F0C82" w:rsidRPr="001524E0" w:rsidRDefault="003F0C82" w:rsidP="0049506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Det.Prap. Investime</w:t>
            </w:r>
          </w:p>
        </w:tc>
        <w:tc>
          <w:tcPr>
            <w:tcW w:w="190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7397E3AD"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2,861,578,931</w:t>
            </w:r>
          </w:p>
        </w:tc>
        <w:tc>
          <w:tcPr>
            <w:tcW w:w="14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506695F"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576,220</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02052F5E"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48.3%</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1BF6D210"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0.6%</w:t>
            </w:r>
          </w:p>
        </w:tc>
      </w:tr>
      <w:tr w:rsidR="003F0C82" w:rsidRPr="001524E0" w14:paraId="10CA62FA" w14:textId="77777777" w:rsidTr="003F0C82">
        <w:trPr>
          <w:trHeight w:val="230"/>
          <w:jc w:val="center"/>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0A21AAEC" w14:textId="77777777" w:rsidR="003F0C82" w:rsidRPr="001524E0" w:rsidRDefault="003F0C82" w:rsidP="00495067">
            <w:pPr>
              <w:jc w:val="center"/>
              <w:rPr>
                <w:rFonts w:asciiTheme="minorHAnsi" w:hAnsiTheme="minorHAnsi"/>
                <w:sz w:val="18"/>
                <w:szCs w:val="20"/>
                <w:lang w:val="sq-AL"/>
              </w:rPr>
            </w:pPr>
            <w:r w:rsidRPr="001524E0">
              <w:rPr>
                <w:rFonts w:asciiTheme="minorHAnsi" w:hAnsiTheme="minorHAnsi"/>
                <w:sz w:val="18"/>
                <w:szCs w:val="20"/>
                <w:lang w:val="sq-AL"/>
              </w:rPr>
              <w:t>4864500</w:t>
            </w:r>
          </w:p>
        </w:tc>
        <w:tc>
          <w:tcPr>
            <w:tcW w:w="271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48A6D66F" w14:textId="77777777" w:rsidR="003F0C82" w:rsidRPr="001524E0" w:rsidRDefault="003F0C82" w:rsidP="0049506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Det.Prap.Rimbursim TVSH</w:t>
            </w:r>
          </w:p>
        </w:tc>
        <w:tc>
          <w:tcPr>
            <w:tcW w:w="190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437D2ABA"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758,305</w:t>
            </w:r>
          </w:p>
        </w:tc>
        <w:tc>
          <w:tcPr>
            <w:tcW w:w="14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3DD0992"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0</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41C50460"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0.0%</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E45A4A7"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0.0%</w:t>
            </w:r>
          </w:p>
        </w:tc>
      </w:tr>
      <w:tr w:rsidR="003F0C82" w:rsidRPr="001524E0" w14:paraId="197233F5" w14:textId="77777777" w:rsidTr="003F0C82">
        <w:trPr>
          <w:trHeight w:val="230"/>
          <w:jc w:val="center"/>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F43CF29" w14:textId="77777777" w:rsidR="003F0C82" w:rsidRPr="001524E0" w:rsidRDefault="003F0C82" w:rsidP="00495067">
            <w:pPr>
              <w:jc w:val="center"/>
              <w:rPr>
                <w:rFonts w:asciiTheme="minorHAnsi" w:hAnsiTheme="minorHAnsi"/>
                <w:sz w:val="18"/>
                <w:szCs w:val="20"/>
                <w:lang w:val="sq-AL"/>
              </w:rPr>
            </w:pPr>
            <w:r w:rsidRPr="001524E0">
              <w:rPr>
                <w:rFonts w:asciiTheme="minorHAnsi" w:hAnsiTheme="minorHAnsi"/>
                <w:sz w:val="18"/>
                <w:szCs w:val="20"/>
                <w:lang w:val="sq-AL"/>
              </w:rPr>
              <w:t>4864600</w:t>
            </w:r>
          </w:p>
        </w:tc>
        <w:tc>
          <w:tcPr>
            <w:tcW w:w="271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76F3688" w14:textId="77777777" w:rsidR="003F0C82" w:rsidRPr="001524E0" w:rsidRDefault="003F0C82" w:rsidP="0049506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Mallra</w:t>
            </w:r>
          </w:p>
        </w:tc>
        <w:tc>
          <w:tcPr>
            <w:tcW w:w="190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708BC2B0"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262,641,207</w:t>
            </w:r>
          </w:p>
        </w:tc>
        <w:tc>
          <w:tcPr>
            <w:tcW w:w="14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CB8DE7C"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522,662</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1B3C2154"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4.4%</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CD744AB"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0.5%</w:t>
            </w:r>
          </w:p>
        </w:tc>
      </w:tr>
      <w:tr w:rsidR="003F0C82" w:rsidRPr="001524E0" w14:paraId="7D77A696" w14:textId="77777777" w:rsidTr="003F0C82">
        <w:trPr>
          <w:trHeight w:val="230"/>
          <w:jc w:val="center"/>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4D3FFDC4" w14:textId="77777777" w:rsidR="003F0C82" w:rsidRPr="001524E0" w:rsidRDefault="003F0C82" w:rsidP="00495067">
            <w:pPr>
              <w:jc w:val="center"/>
              <w:rPr>
                <w:rFonts w:asciiTheme="minorHAnsi" w:hAnsiTheme="minorHAnsi"/>
                <w:sz w:val="18"/>
                <w:szCs w:val="20"/>
                <w:lang w:val="sq-AL"/>
              </w:rPr>
            </w:pPr>
            <w:r w:rsidRPr="001524E0">
              <w:rPr>
                <w:rFonts w:asciiTheme="minorHAnsi" w:hAnsiTheme="minorHAnsi"/>
                <w:sz w:val="18"/>
                <w:szCs w:val="20"/>
                <w:lang w:val="sq-AL"/>
              </w:rPr>
              <w:t>4864900</w:t>
            </w:r>
          </w:p>
        </w:tc>
        <w:tc>
          <w:tcPr>
            <w:tcW w:w="271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AF73826" w14:textId="77777777" w:rsidR="003F0C82" w:rsidRPr="001524E0" w:rsidRDefault="003F0C82" w:rsidP="0049506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Det.Prap.Të Tjera</w:t>
            </w:r>
          </w:p>
        </w:tc>
        <w:tc>
          <w:tcPr>
            <w:tcW w:w="190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931CB84"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1,456,919,781</w:t>
            </w:r>
          </w:p>
        </w:tc>
        <w:tc>
          <w:tcPr>
            <w:tcW w:w="14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6596C42"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1,829,694</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1F9AE9A2"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24.6%</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1501B489"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1.8%</w:t>
            </w:r>
          </w:p>
        </w:tc>
      </w:tr>
      <w:tr w:rsidR="003F0C82" w:rsidRPr="001524E0" w14:paraId="0B52089D" w14:textId="77777777" w:rsidTr="003F0C82">
        <w:trPr>
          <w:trHeight w:val="230"/>
          <w:jc w:val="center"/>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723EB8E2" w14:textId="77777777" w:rsidR="003F0C82" w:rsidRPr="001524E0" w:rsidRDefault="003F0C82" w:rsidP="00495067">
            <w:pPr>
              <w:jc w:val="center"/>
              <w:rPr>
                <w:rFonts w:asciiTheme="minorHAnsi" w:hAnsiTheme="minorHAnsi"/>
                <w:sz w:val="18"/>
                <w:szCs w:val="20"/>
                <w:lang w:val="sq-AL"/>
              </w:rPr>
            </w:pPr>
            <w:r w:rsidRPr="001524E0">
              <w:rPr>
                <w:rFonts w:asciiTheme="minorHAnsi" w:hAnsiTheme="minorHAnsi"/>
                <w:sz w:val="18"/>
                <w:szCs w:val="20"/>
                <w:lang w:val="sq-AL"/>
              </w:rPr>
              <w:t>4864601</w:t>
            </w:r>
          </w:p>
        </w:tc>
        <w:tc>
          <w:tcPr>
            <w:tcW w:w="271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B47A19F" w14:textId="77777777" w:rsidR="003F0C82" w:rsidRPr="001524E0" w:rsidRDefault="003F0C82" w:rsidP="0049506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Det.Prap.Sig.Shoqërore</w:t>
            </w:r>
          </w:p>
        </w:tc>
        <w:tc>
          <w:tcPr>
            <w:tcW w:w="190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61043C7"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50,544,616</w:t>
            </w:r>
          </w:p>
        </w:tc>
        <w:tc>
          <w:tcPr>
            <w:tcW w:w="14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904FC3E"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0</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F4D8CEC"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0.9%</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1D240EA1"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0.0%</w:t>
            </w:r>
          </w:p>
        </w:tc>
      </w:tr>
      <w:tr w:rsidR="003F0C82" w:rsidRPr="001524E0" w14:paraId="0566DD39" w14:textId="77777777" w:rsidTr="003F0C82">
        <w:trPr>
          <w:trHeight w:val="230"/>
          <w:jc w:val="center"/>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5212582" w14:textId="77777777" w:rsidR="003F0C82" w:rsidRPr="001524E0" w:rsidRDefault="003F0C82" w:rsidP="00495067">
            <w:pPr>
              <w:jc w:val="center"/>
              <w:rPr>
                <w:rFonts w:asciiTheme="minorHAnsi" w:hAnsiTheme="minorHAnsi"/>
                <w:sz w:val="18"/>
                <w:szCs w:val="20"/>
                <w:lang w:val="sq-AL"/>
              </w:rPr>
            </w:pPr>
            <w:r w:rsidRPr="001524E0">
              <w:rPr>
                <w:rFonts w:asciiTheme="minorHAnsi" w:hAnsiTheme="minorHAnsi"/>
                <w:sz w:val="18"/>
                <w:szCs w:val="20"/>
                <w:lang w:val="sq-AL"/>
              </w:rPr>
              <w:t>4864602</w:t>
            </w:r>
          </w:p>
        </w:tc>
        <w:tc>
          <w:tcPr>
            <w:tcW w:w="271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43A8C817" w14:textId="77777777" w:rsidR="003F0C82" w:rsidRPr="001524E0" w:rsidRDefault="003F0C82" w:rsidP="0049506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Det.Prap.Sig.Shëndetsore</w:t>
            </w:r>
          </w:p>
        </w:tc>
        <w:tc>
          <w:tcPr>
            <w:tcW w:w="190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D10E85B"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2,827,678</w:t>
            </w:r>
          </w:p>
        </w:tc>
        <w:tc>
          <w:tcPr>
            <w:tcW w:w="14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4CAEC845"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0</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845D768"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0.0%</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5A65908A"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0.0%</w:t>
            </w:r>
          </w:p>
        </w:tc>
      </w:tr>
      <w:tr w:rsidR="003F0C82" w:rsidRPr="001524E0" w14:paraId="6BCF0472" w14:textId="77777777" w:rsidTr="003F0C82">
        <w:trPr>
          <w:trHeight w:val="230"/>
          <w:jc w:val="center"/>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56417413" w14:textId="77777777" w:rsidR="003F0C82" w:rsidRPr="001524E0" w:rsidRDefault="003F0C82" w:rsidP="00495067">
            <w:pPr>
              <w:jc w:val="center"/>
              <w:rPr>
                <w:rFonts w:asciiTheme="minorHAnsi" w:hAnsiTheme="minorHAnsi"/>
                <w:sz w:val="18"/>
                <w:szCs w:val="20"/>
                <w:lang w:val="sq-AL"/>
              </w:rPr>
            </w:pPr>
            <w:r w:rsidRPr="001524E0">
              <w:rPr>
                <w:rFonts w:asciiTheme="minorHAnsi" w:hAnsiTheme="minorHAnsi"/>
                <w:sz w:val="18"/>
                <w:szCs w:val="20"/>
                <w:lang w:val="sq-AL"/>
              </w:rPr>
              <w:t>4864603</w:t>
            </w:r>
          </w:p>
        </w:tc>
        <w:tc>
          <w:tcPr>
            <w:tcW w:w="271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80EE8BA" w14:textId="77777777" w:rsidR="003F0C82" w:rsidRPr="001524E0" w:rsidRDefault="003F0C82" w:rsidP="0049506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Det.Prap.Ardh.Personale</w:t>
            </w:r>
          </w:p>
        </w:tc>
        <w:tc>
          <w:tcPr>
            <w:tcW w:w="190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5F02E9A8"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19,912,806</w:t>
            </w:r>
          </w:p>
        </w:tc>
        <w:tc>
          <w:tcPr>
            <w:tcW w:w="14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0DCAB3D1"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0</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4610DFA"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0.3%</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0A61FA61"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0.0%</w:t>
            </w:r>
          </w:p>
        </w:tc>
      </w:tr>
      <w:tr w:rsidR="003F0C82" w:rsidRPr="001524E0" w14:paraId="659A6B3A" w14:textId="77777777" w:rsidTr="003F0C82">
        <w:trPr>
          <w:trHeight w:val="230"/>
          <w:jc w:val="center"/>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7FEA85DE" w14:textId="77777777" w:rsidR="003F0C82" w:rsidRPr="001524E0" w:rsidRDefault="003F0C82" w:rsidP="00495067">
            <w:pPr>
              <w:jc w:val="center"/>
              <w:rPr>
                <w:rFonts w:asciiTheme="minorHAnsi" w:hAnsiTheme="minorHAnsi"/>
                <w:sz w:val="18"/>
                <w:szCs w:val="20"/>
                <w:lang w:val="sq-AL"/>
              </w:rPr>
            </w:pPr>
            <w:r w:rsidRPr="001524E0">
              <w:rPr>
                <w:rFonts w:asciiTheme="minorHAnsi" w:hAnsiTheme="minorHAnsi"/>
                <w:sz w:val="18"/>
                <w:szCs w:val="20"/>
                <w:lang w:val="sq-AL"/>
              </w:rPr>
              <w:t>4864604</w:t>
            </w:r>
          </w:p>
        </w:tc>
        <w:tc>
          <w:tcPr>
            <w:tcW w:w="271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31E8A9C" w14:textId="77777777" w:rsidR="003F0C82" w:rsidRPr="001524E0" w:rsidRDefault="003F0C82" w:rsidP="00495067">
            <w:pP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Det.Prap.Tatime Tjera</w:t>
            </w:r>
          </w:p>
        </w:tc>
        <w:tc>
          <w:tcPr>
            <w:tcW w:w="190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5B87158"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5,975,340</w:t>
            </w:r>
          </w:p>
        </w:tc>
        <w:tc>
          <w:tcPr>
            <w:tcW w:w="14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2FE0FB4F"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1524E0">
              <w:rPr>
                <w:rFonts w:asciiTheme="minorHAnsi" w:hAnsiTheme="minorHAnsi"/>
                <w:sz w:val="18"/>
                <w:szCs w:val="20"/>
                <w:lang w:val="sq-AL"/>
              </w:rPr>
              <w:t>0</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6515E455"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0.1%</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13E57A88"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20"/>
                <w:lang w:val="sq-AL"/>
              </w:rPr>
            </w:pPr>
            <w:r w:rsidRPr="009148FB">
              <w:rPr>
                <w:rFonts w:asciiTheme="minorHAnsi" w:hAnsiTheme="minorHAnsi"/>
                <w:sz w:val="18"/>
                <w:szCs w:val="20"/>
                <w:lang w:val="sq-AL"/>
              </w:rPr>
              <w:t>0.0%</w:t>
            </w:r>
          </w:p>
        </w:tc>
      </w:tr>
      <w:tr w:rsidR="003F0C82" w:rsidRPr="001524E0" w14:paraId="008860DC" w14:textId="77777777" w:rsidTr="003F0C82">
        <w:trPr>
          <w:trHeight w:val="230"/>
          <w:jc w:val="center"/>
        </w:trPr>
        <w:tc>
          <w:tcPr>
            <w:cnfStyle w:val="001000000000" w:firstRow="0" w:lastRow="0" w:firstColumn="1" w:lastColumn="0" w:oddVBand="0" w:evenVBand="0" w:oddHBand="0" w:evenHBand="0" w:firstRowFirstColumn="0" w:firstRowLastColumn="0" w:lastRowFirstColumn="0" w:lastRowLastColumn="0"/>
            <w:tcW w:w="139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70107645" w14:textId="77777777" w:rsidR="003F0C82" w:rsidRPr="001524E0" w:rsidRDefault="003F0C82" w:rsidP="00495067">
            <w:pPr>
              <w:jc w:val="center"/>
              <w:rPr>
                <w:rFonts w:asciiTheme="minorHAnsi" w:hAnsiTheme="minorHAnsi"/>
                <w:sz w:val="18"/>
                <w:szCs w:val="20"/>
                <w:lang w:val="sq-AL"/>
              </w:rPr>
            </w:pPr>
          </w:p>
        </w:tc>
        <w:tc>
          <w:tcPr>
            <w:tcW w:w="271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42962BFA" w14:textId="77777777" w:rsidR="003F0C82" w:rsidRPr="001524E0" w:rsidRDefault="003F0C82" w:rsidP="0049506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8"/>
                <w:szCs w:val="20"/>
                <w:lang w:val="sq-AL"/>
              </w:rPr>
            </w:pPr>
            <w:r w:rsidRPr="001524E0">
              <w:rPr>
                <w:rFonts w:asciiTheme="minorHAnsi" w:hAnsiTheme="minorHAnsi"/>
                <w:b/>
                <w:bCs/>
                <w:sz w:val="18"/>
                <w:szCs w:val="20"/>
                <w:lang w:val="sq-AL"/>
              </w:rPr>
              <w:t>TOTAL</w:t>
            </w:r>
          </w:p>
        </w:tc>
        <w:tc>
          <w:tcPr>
            <w:tcW w:w="190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1621F9DA"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8"/>
                <w:szCs w:val="20"/>
                <w:lang w:val="sq-AL"/>
              </w:rPr>
            </w:pPr>
            <w:r w:rsidRPr="009148FB">
              <w:rPr>
                <w:rFonts w:asciiTheme="minorHAnsi" w:hAnsiTheme="minorHAnsi"/>
                <w:b/>
                <w:bCs/>
                <w:sz w:val="18"/>
                <w:szCs w:val="20"/>
                <w:lang w:val="sq-AL"/>
              </w:rPr>
              <w:t>5,920,115,870</w:t>
            </w:r>
          </w:p>
        </w:tc>
        <w:tc>
          <w:tcPr>
            <w:tcW w:w="14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307AE67B" w14:textId="77777777" w:rsidR="003F0C82" w:rsidRPr="001524E0" w:rsidRDefault="003F0C82" w:rsidP="0049506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8"/>
                <w:szCs w:val="20"/>
                <w:lang w:val="sq-AL"/>
              </w:rPr>
            </w:pPr>
            <w:r w:rsidRPr="001524E0">
              <w:rPr>
                <w:rFonts w:asciiTheme="minorHAnsi" w:hAnsiTheme="minorHAnsi"/>
                <w:b/>
                <w:bCs/>
                <w:sz w:val="18"/>
                <w:szCs w:val="20"/>
                <w:lang w:val="sq-AL"/>
              </w:rPr>
              <w:t>119,565,468</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75E8BEB1" w14:textId="77777777" w:rsidR="003F0C82" w:rsidRPr="001524E0" w:rsidRDefault="003F0C82" w:rsidP="0049506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20"/>
                <w:lang w:val="sq-AL"/>
              </w:rPr>
            </w:pPr>
            <w:r w:rsidRPr="001524E0">
              <w:rPr>
                <w:rFonts w:asciiTheme="minorHAnsi" w:hAnsiTheme="minorHAnsi"/>
                <w:b/>
                <w:sz w:val="18"/>
                <w:szCs w:val="20"/>
                <w:lang w:val="sq-AL"/>
              </w:rPr>
              <w:t>100.0%</w:t>
            </w:r>
          </w:p>
        </w:tc>
        <w:tc>
          <w:tcPr>
            <w:tcW w:w="111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noWrap/>
            <w:hideMark/>
          </w:tcPr>
          <w:p w14:paraId="7CE88D79" w14:textId="77777777" w:rsidR="003F0C82" w:rsidRPr="001524E0" w:rsidRDefault="003F0C82" w:rsidP="0049506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20"/>
                <w:lang w:val="sq-AL"/>
              </w:rPr>
            </w:pPr>
            <w:r w:rsidRPr="001524E0">
              <w:rPr>
                <w:rFonts w:asciiTheme="minorHAnsi" w:hAnsiTheme="minorHAnsi"/>
                <w:b/>
                <w:sz w:val="18"/>
                <w:szCs w:val="20"/>
                <w:lang w:val="sq-AL"/>
              </w:rPr>
              <w:t>100.0%</w:t>
            </w:r>
          </w:p>
        </w:tc>
      </w:tr>
    </w:tbl>
    <w:p w14:paraId="0AF87BD1" w14:textId="77777777" w:rsidR="00F23DF1" w:rsidRPr="001524E0" w:rsidRDefault="00193978" w:rsidP="00F23DF1">
      <w:pPr>
        <w:pStyle w:val="Caption"/>
        <w:spacing w:after="0" w:line="276" w:lineRule="auto"/>
        <w:rPr>
          <w:rFonts w:asciiTheme="minorHAnsi" w:hAnsiTheme="minorHAnsi"/>
          <w:b w:val="0"/>
          <w:i/>
          <w:color w:val="auto"/>
          <w:sz w:val="20"/>
          <w:szCs w:val="24"/>
          <w:lang w:val="sq-AL"/>
        </w:rPr>
      </w:pPr>
      <w:r>
        <w:rPr>
          <w:rFonts w:asciiTheme="minorHAnsi" w:hAnsiTheme="minorHAnsi"/>
          <w:b w:val="0"/>
          <w:i/>
          <w:color w:val="auto"/>
          <w:sz w:val="20"/>
          <w:szCs w:val="24"/>
          <w:lang w:val="sq-AL"/>
        </w:rPr>
        <w:t>Burimi: Ministria e Financave dhe Ekonomisë (2023)</w:t>
      </w:r>
      <w:r w:rsidR="00F23DF1" w:rsidRPr="001524E0">
        <w:rPr>
          <w:rFonts w:asciiTheme="minorHAnsi" w:hAnsiTheme="minorHAnsi"/>
          <w:b w:val="0"/>
          <w:i/>
          <w:color w:val="auto"/>
          <w:sz w:val="20"/>
          <w:szCs w:val="24"/>
          <w:lang w:val="sq-AL"/>
        </w:rPr>
        <w:t>;</w:t>
      </w:r>
    </w:p>
    <w:p w14:paraId="79B2B4A0" w14:textId="77777777" w:rsidR="003F0C82" w:rsidRDefault="003F0C82" w:rsidP="003F0C82">
      <w:pPr>
        <w:spacing w:before="120" w:after="120"/>
        <w:jc w:val="both"/>
        <w:rPr>
          <w:rFonts w:asciiTheme="minorHAnsi" w:hAnsiTheme="minorHAnsi"/>
          <w:lang w:val="sq-AL"/>
        </w:rPr>
      </w:pPr>
      <w:r w:rsidRPr="009148FB">
        <w:rPr>
          <w:rFonts w:asciiTheme="minorHAnsi" w:hAnsiTheme="minorHAnsi"/>
          <w:lang w:val="sq-AL"/>
        </w:rPr>
        <w:t>Stokun më të lartë të detyrimeve e ka bashkia Tiranë në vlerën rreth 1.7</w:t>
      </w:r>
      <w:r>
        <w:rPr>
          <w:rFonts w:asciiTheme="minorHAnsi" w:hAnsiTheme="minorHAnsi"/>
          <w:lang w:val="sq-AL"/>
        </w:rPr>
        <w:t>mld</w:t>
      </w:r>
      <w:r w:rsidRPr="009148FB">
        <w:rPr>
          <w:rFonts w:asciiTheme="minorHAnsi" w:hAnsiTheme="minorHAnsi"/>
          <w:lang w:val="sq-AL"/>
        </w:rPr>
        <w:t xml:space="preserve"> lekë, e cila përbën 28.4% të totalit të detyrimeve. Më pas, bashkia Kavajë në vlerën rreth 770.5</w:t>
      </w:r>
      <w:r>
        <w:rPr>
          <w:rFonts w:asciiTheme="minorHAnsi" w:hAnsiTheme="minorHAnsi"/>
          <w:lang w:val="sq-AL"/>
        </w:rPr>
        <w:t>mln</w:t>
      </w:r>
      <w:r w:rsidRPr="009148FB">
        <w:rPr>
          <w:rFonts w:asciiTheme="minorHAnsi" w:hAnsiTheme="minorHAnsi"/>
          <w:lang w:val="sq-AL"/>
        </w:rPr>
        <w:t xml:space="preserve"> lekë, </w:t>
      </w:r>
      <w:r>
        <w:rPr>
          <w:rFonts w:asciiTheme="minorHAnsi" w:hAnsiTheme="minorHAnsi"/>
          <w:lang w:val="sq-AL"/>
        </w:rPr>
        <w:t>që</w:t>
      </w:r>
      <w:r w:rsidRPr="009148FB">
        <w:rPr>
          <w:rFonts w:asciiTheme="minorHAnsi" w:hAnsiTheme="minorHAnsi"/>
          <w:lang w:val="sq-AL"/>
        </w:rPr>
        <w:t xml:space="preserve"> përbën 13% të totalit të detyrimeve; bashkia Vorë në vlerën e pandryshuar 413</w:t>
      </w:r>
      <w:r>
        <w:rPr>
          <w:rFonts w:asciiTheme="minorHAnsi" w:hAnsiTheme="minorHAnsi"/>
          <w:lang w:val="sq-AL"/>
        </w:rPr>
        <w:t>mln</w:t>
      </w:r>
      <w:r w:rsidRPr="009148FB">
        <w:rPr>
          <w:rFonts w:asciiTheme="minorHAnsi" w:hAnsiTheme="minorHAnsi"/>
          <w:lang w:val="sq-AL"/>
        </w:rPr>
        <w:t xml:space="preserve"> lekë </w:t>
      </w:r>
      <w:r>
        <w:rPr>
          <w:rFonts w:asciiTheme="minorHAnsi" w:hAnsiTheme="minorHAnsi"/>
          <w:lang w:val="sq-AL"/>
        </w:rPr>
        <w:t>ose</w:t>
      </w:r>
      <w:r w:rsidRPr="009148FB">
        <w:rPr>
          <w:rFonts w:asciiTheme="minorHAnsi" w:hAnsiTheme="minorHAnsi"/>
          <w:lang w:val="sq-AL"/>
        </w:rPr>
        <w:t xml:space="preserve"> 7% të totalit të detyrimeve; bashkia Durrës në vlerën rreth 340.7</w:t>
      </w:r>
      <w:r>
        <w:rPr>
          <w:rFonts w:asciiTheme="minorHAnsi" w:hAnsiTheme="minorHAnsi"/>
          <w:lang w:val="sq-AL"/>
        </w:rPr>
        <w:t>mln</w:t>
      </w:r>
      <w:r w:rsidRPr="009148FB">
        <w:rPr>
          <w:rFonts w:asciiTheme="minorHAnsi" w:hAnsiTheme="minorHAnsi"/>
          <w:lang w:val="sq-AL"/>
        </w:rPr>
        <w:t xml:space="preserve"> lekë</w:t>
      </w:r>
      <w:r>
        <w:rPr>
          <w:rFonts w:asciiTheme="minorHAnsi" w:hAnsiTheme="minorHAnsi"/>
          <w:lang w:val="sq-AL"/>
        </w:rPr>
        <w:t xml:space="preserve"> ose</w:t>
      </w:r>
      <w:r w:rsidRPr="009148FB">
        <w:rPr>
          <w:rFonts w:asciiTheme="minorHAnsi" w:hAnsiTheme="minorHAnsi"/>
          <w:lang w:val="sq-AL"/>
        </w:rPr>
        <w:t xml:space="preserve"> 5.8% të totalit të detyrimeve. Më pas renditen bashkia Pogradec e Kamëz. Konstatojmë se bashkia Kavajë shënon ulje të stokut të detyrimeve, ndërsa bashkia Tiranë shënon rritje të stokut, krahasuar me </w:t>
      </w:r>
      <w:r>
        <w:rPr>
          <w:rFonts w:asciiTheme="minorHAnsi" w:hAnsiTheme="minorHAnsi"/>
          <w:lang w:val="sq-AL"/>
        </w:rPr>
        <w:t xml:space="preserve">fundin e </w:t>
      </w:r>
      <w:r w:rsidRPr="009148FB">
        <w:rPr>
          <w:rFonts w:asciiTheme="minorHAnsi" w:hAnsiTheme="minorHAnsi"/>
          <w:lang w:val="sq-AL"/>
        </w:rPr>
        <w:t>2022.</w:t>
      </w:r>
    </w:p>
    <w:p w14:paraId="57C85034" w14:textId="77777777" w:rsidR="00F23DF1" w:rsidRPr="001524E0" w:rsidRDefault="003F0C82" w:rsidP="003F0C82">
      <w:pPr>
        <w:spacing w:before="120" w:after="120"/>
        <w:jc w:val="both"/>
        <w:rPr>
          <w:rFonts w:asciiTheme="minorHAnsi" w:hAnsiTheme="minorHAnsi"/>
          <w:lang w:val="sq-AL"/>
        </w:rPr>
      </w:pPr>
      <w:r w:rsidRPr="009148FB">
        <w:rPr>
          <w:rFonts w:asciiTheme="minorHAnsi" w:hAnsiTheme="minorHAnsi"/>
          <w:lang w:val="sq-AL"/>
        </w:rPr>
        <w:t>Ndërsa, sa i përket qarqeve, stokun më të lartë të detyrimit vazhdon e ka qarku Durrës në vlerën rreth 51.3</w:t>
      </w:r>
      <w:r>
        <w:rPr>
          <w:rFonts w:asciiTheme="minorHAnsi" w:hAnsiTheme="minorHAnsi"/>
          <w:lang w:val="sq-AL"/>
        </w:rPr>
        <w:t>mln</w:t>
      </w:r>
      <w:r w:rsidRPr="009148FB">
        <w:rPr>
          <w:rFonts w:asciiTheme="minorHAnsi" w:hAnsiTheme="minorHAnsi"/>
          <w:lang w:val="sq-AL"/>
        </w:rPr>
        <w:t xml:space="preserve"> lekë, e cila përbën 50% të totalit të detyrimeve; qarku Berat në vlerën rreth 39.3</w:t>
      </w:r>
      <w:r>
        <w:rPr>
          <w:rFonts w:asciiTheme="minorHAnsi" w:hAnsiTheme="minorHAnsi"/>
          <w:lang w:val="sq-AL"/>
        </w:rPr>
        <w:t>mln</w:t>
      </w:r>
      <w:r w:rsidRPr="009148FB">
        <w:rPr>
          <w:rFonts w:asciiTheme="minorHAnsi" w:hAnsiTheme="minorHAnsi"/>
          <w:lang w:val="sq-AL"/>
        </w:rPr>
        <w:t xml:space="preserve"> lekë, e cila përbën 38.3% të totalit të detyrimeve; qarku Gjirokastër në vlerën 10.4</w:t>
      </w:r>
      <w:r>
        <w:rPr>
          <w:rFonts w:asciiTheme="minorHAnsi" w:hAnsiTheme="minorHAnsi"/>
          <w:lang w:val="sq-AL"/>
        </w:rPr>
        <w:t>mln</w:t>
      </w:r>
      <w:r w:rsidRPr="009148FB">
        <w:rPr>
          <w:rFonts w:asciiTheme="minorHAnsi" w:hAnsiTheme="minorHAnsi"/>
          <w:lang w:val="sq-AL"/>
        </w:rPr>
        <w:t xml:space="preserve"> lekë,</w:t>
      </w:r>
      <w:r>
        <w:rPr>
          <w:rFonts w:asciiTheme="minorHAnsi" w:hAnsiTheme="minorHAnsi"/>
          <w:lang w:val="sq-AL"/>
        </w:rPr>
        <w:t xml:space="preserve"> që</w:t>
      </w:r>
      <w:r w:rsidRPr="009148FB">
        <w:rPr>
          <w:rFonts w:asciiTheme="minorHAnsi" w:hAnsiTheme="minorHAnsi"/>
          <w:lang w:val="sq-AL"/>
        </w:rPr>
        <w:t xml:space="preserve"> përbën 10.1% të totalit të detyrimeve. Më pas renditen qarku Vlorë dhe qarku Korçë. Konstatojmë se qarku Durrës dhe Berat shënojnë ulje të stokut të detyrimeve, krahasuar me fund</w:t>
      </w:r>
      <w:r>
        <w:rPr>
          <w:rFonts w:asciiTheme="minorHAnsi" w:hAnsiTheme="minorHAnsi"/>
          <w:lang w:val="sq-AL"/>
        </w:rPr>
        <w:t>in</w:t>
      </w:r>
      <w:r w:rsidRPr="009148FB">
        <w:rPr>
          <w:rFonts w:asciiTheme="minorHAnsi" w:hAnsiTheme="minorHAnsi"/>
          <w:lang w:val="sq-AL"/>
        </w:rPr>
        <w:t xml:space="preserve"> </w:t>
      </w:r>
      <w:r>
        <w:rPr>
          <w:rFonts w:asciiTheme="minorHAnsi" w:hAnsiTheme="minorHAnsi"/>
          <w:lang w:val="sq-AL"/>
        </w:rPr>
        <w:t>e</w:t>
      </w:r>
      <w:r w:rsidRPr="009148FB">
        <w:rPr>
          <w:rFonts w:asciiTheme="minorHAnsi" w:hAnsiTheme="minorHAnsi"/>
          <w:lang w:val="sq-AL"/>
        </w:rPr>
        <w:t xml:space="preserve"> 2022</w:t>
      </w:r>
      <w:r w:rsidR="00F23DF1" w:rsidRPr="001524E0">
        <w:rPr>
          <w:rFonts w:asciiTheme="minorHAnsi" w:hAnsiTheme="minorHAnsi"/>
          <w:lang w:val="sq-AL"/>
        </w:rPr>
        <w:t xml:space="preserve">. </w:t>
      </w:r>
    </w:p>
    <w:p w14:paraId="3AB9B6AE" w14:textId="4FEF3B71" w:rsidR="00CD3B4E" w:rsidRPr="0068071B" w:rsidRDefault="0068071B" w:rsidP="00CD3B4E">
      <w:pPr>
        <w:pStyle w:val="Caption"/>
        <w:spacing w:after="0" w:line="276" w:lineRule="auto"/>
        <w:rPr>
          <w:rFonts w:asciiTheme="minorHAnsi" w:hAnsiTheme="minorHAnsi"/>
          <w:b w:val="0"/>
          <w:i/>
          <w:noProof/>
          <w:color w:val="auto"/>
          <w:sz w:val="22"/>
          <w:szCs w:val="24"/>
        </w:rPr>
      </w:pPr>
      <w:bookmarkStart w:id="155" w:name="_Toc107498140"/>
      <w:r w:rsidRPr="0068071B">
        <w:rPr>
          <w:rFonts w:asciiTheme="minorHAnsi" w:hAnsiTheme="minorHAnsi"/>
          <w:b w:val="0"/>
          <w:i/>
          <w:noProof/>
          <w:color w:val="auto"/>
          <w:sz w:val="22"/>
          <w:szCs w:val="24"/>
        </w:rPr>
        <w:t xml:space="preserve">Grafiku </w:t>
      </w:r>
      <w:r w:rsidRPr="0068071B">
        <w:rPr>
          <w:rFonts w:asciiTheme="minorHAnsi" w:hAnsiTheme="minorHAnsi"/>
          <w:b w:val="0"/>
          <w:i/>
          <w:noProof/>
          <w:color w:val="auto"/>
          <w:sz w:val="22"/>
          <w:szCs w:val="24"/>
        </w:rPr>
        <w:fldChar w:fldCharType="begin"/>
      </w:r>
      <w:r w:rsidRPr="0068071B">
        <w:rPr>
          <w:rFonts w:asciiTheme="minorHAnsi" w:hAnsiTheme="minorHAnsi"/>
          <w:b w:val="0"/>
          <w:i/>
          <w:noProof/>
          <w:color w:val="auto"/>
          <w:sz w:val="22"/>
          <w:szCs w:val="24"/>
        </w:rPr>
        <w:instrText xml:space="preserve"> SEQ Grafiku \* ARABIC </w:instrText>
      </w:r>
      <w:r w:rsidRPr="0068071B">
        <w:rPr>
          <w:rFonts w:asciiTheme="minorHAnsi" w:hAnsiTheme="minorHAnsi"/>
          <w:b w:val="0"/>
          <w:i/>
          <w:noProof/>
          <w:color w:val="auto"/>
          <w:sz w:val="22"/>
          <w:szCs w:val="24"/>
        </w:rPr>
        <w:fldChar w:fldCharType="separate"/>
      </w:r>
      <w:r w:rsidR="00C153A9">
        <w:rPr>
          <w:rFonts w:asciiTheme="minorHAnsi" w:hAnsiTheme="minorHAnsi"/>
          <w:b w:val="0"/>
          <w:i/>
          <w:noProof/>
          <w:color w:val="auto"/>
          <w:sz w:val="22"/>
          <w:szCs w:val="24"/>
        </w:rPr>
        <w:t>48</w:t>
      </w:r>
      <w:r w:rsidRPr="0068071B">
        <w:rPr>
          <w:rFonts w:asciiTheme="minorHAnsi" w:hAnsiTheme="minorHAnsi"/>
          <w:b w:val="0"/>
          <w:i/>
          <w:noProof/>
          <w:color w:val="auto"/>
          <w:sz w:val="22"/>
          <w:szCs w:val="24"/>
        </w:rPr>
        <w:fldChar w:fldCharType="end"/>
      </w:r>
      <w:r w:rsidRPr="0068071B">
        <w:rPr>
          <w:rFonts w:asciiTheme="minorHAnsi" w:hAnsiTheme="minorHAnsi"/>
          <w:b w:val="0"/>
          <w:i/>
          <w:noProof/>
          <w:color w:val="auto"/>
          <w:sz w:val="22"/>
          <w:szCs w:val="24"/>
        </w:rPr>
        <w:t xml:space="preserve">: </w:t>
      </w:r>
      <w:r w:rsidR="00CD3B4E" w:rsidRPr="0068071B">
        <w:rPr>
          <w:rFonts w:asciiTheme="minorHAnsi" w:hAnsiTheme="minorHAnsi"/>
          <w:b w:val="0"/>
          <w:i/>
          <w:noProof/>
          <w:color w:val="auto"/>
          <w:sz w:val="22"/>
          <w:szCs w:val="24"/>
        </w:rPr>
        <w:t xml:space="preserve">Stoku i detyrimeve të prapambetura vendore </w:t>
      </w:r>
      <w:r w:rsidR="0083048A" w:rsidRPr="0068071B">
        <w:rPr>
          <w:rFonts w:asciiTheme="minorHAnsi" w:hAnsiTheme="minorHAnsi"/>
          <w:b w:val="0"/>
          <w:i/>
          <w:noProof/>
          <w:color w:val="auto"/>
          <w:sz w:val="22"/>
          <w:szCs w:val="24"/>
        </w:rPr>
        <w:t xml:space="preserve">(bashki+qarqe) </w:t>
      </w:r>
      <w:r w:rsidR="00CD3B4E" w:rsidRPr="0068071B">
        <w:rPr>
          <w:rFonts w:asciiTheme="minorHAnsi" w:hAnsiTheme="minorHAnsi"/>
          <w:b w:val="0"/>
          <w:i/>
          <w:noProof/>
          <w:color w:val="auto"/>
          <w:sz w:val="22"/>
          <w:szCs w:val="24"/>
        </w:rPr>
        <w:t>sipas zerave kryesorë</w:t>
      </w:r>
      <w:bookmarkEnd w:id="155"/>
    </w:p>
    <w:p w14:paraId="01A1F83F" w14:textId="77777777" w:rsidR="00CD3B4E" w:rsidRPr="000A2E8B" w:rsidRDefault="003F0C82" w:rsidP="003F0C82">
      <w:pPr>
        <w:contextualSpacing/>
        <w:jc w:val="center"/>
        <w:rPr>
          <w:rFonts w:asciiTheme="minorHAnsi" w:hAnsiTheme="minorHAnsi"/>
          <w:lang w:val="sq-AL"/>
        </w:rPr>
      </w:pPr>
      <w:r>
        <w:rPr>
          <w:noProof/>
        </w:rPr>
        <w:drawing>
          <wp:inline distT="0" distB="0" distL="0" distR="0" wp14:anchorId="574E2910" wp14:editId="77069B80">
            <wp:extent cx="5378450" cy="3403600"/>
            <wp:effectExtent l="0" t="0" r="12700" b="63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3DBD43DB" w14:textId="18626984" w:rsidR="00CD3B4E" w:rsidRDefault="00193978" w:rsidP="00F23DF1">
      <w:pPr>
        <w:spacing w:line="276" w:lineRule="auto"/>
        <w:ind w:firstLine="720"/>
        <w:rPr>
          <w:rFonts w:asciiTheme="minorHAnsi" w:eastAsia="SimSun" w:hAnsiTheme="minorHAnsi"/>
          <w:i/>
          <w:sz w:val="20"/>
          <w:lang w:val="sq-AL"/>
        </w:rPr>
      </w:pPr>
      <w:r>
        <w:rPr>
          <w:rFonts w:asciiTheme="minorHAnsi" w:eastAsia="SimSun" w:hAnsiTheme="minorHAnsi"/>
          <w:i/>
          <w:sz w:val="20"/>
          <w:lang w:val="sq-AL"/>
        </w:rPr>
        <w:t>Burimi: Ministria e Financave dhe Ekonomisë (2023)</w:t>
      </w:r>
    </w:p>
    <w:p w14:paraId="1276A96C" w14:textId="07536744" w:rsidR="008B55C6" w:rsidRDefault="008B55C6" w:rsidP="00F23DF1">
      <w:pPr>
        <w:spacing w:line="276" w:lineRule="auto"/>
        <w:ind w:firstLine="720"/>
        <w:rPr>
          <w:rFonts w:asciiTheme="minorHAnsi" w:eastAsia="SimSun" w:hAnsiTheme="minorHAnsi"/>
          <w:i/>
          <w:sz w:val="20"/>
          <w:lang w:val="sq-AL"/>
        </w:rPr>
      </w:pPr>
    </w:p>
    <w:p w14:paraId="25AD5A0C" w14:textId="17EC6B87" w:rsidR="008B55C6" w:rsidRDefault="008B55C6" w:rsidP="00F23DF1">
      <w:pPr>
        <w:spacing w:line="276" w:lineRule="auto"/>
        <w:ind w:firstLine="720"/>
        <w:rPr>
          <w:rFonts w:asciiTheme="minorHAnsi" w:eastAsia="SimSun" w:hAnsiTheme="minorHAnsi"/>
          <w:i/>
          <w:sz w:val="20"/>
          <w:lang w:val="sq-AL"/>
        </w:rPr>
      </w:pPr>
    </w:p>
    <w:p w14:paraId="63E5CE7E" w14:textId="272B9D2C" w:rsidR="008B55C6" w:rsidRDefault="008B55C6" w:rsidP="00F23DF1">
      <w:pPr>
        <w:spacing w:line="276" w:lineRule="auto"/>
        <w:ind w:firstLine="720"/>
        <w:rPr>
          <w:rFonts w:asciiTheme="minorHAnsi" w:eastAsia="SimSun" w:hAnsiTheme="minorHAnsi"/>
          <w:i/>
          <w:sz w:val="20"/>
          <w:lang w:val="sq-AL"/>
        </w:rPr>
      </w:pPr>
    </w:p>
    <w:p w14:paraId="4F39792D" w14:textId="51E43717" w:rsidR="008B55C6" w:rsidRDefault="008B55C6" w:rsidP="00F23DF1">
      <w:pPr>
        <w:spacing w:line="276" w:lineRule="auto"/>
        <w:ind w:firstLine="720"/>
        <w:rPr>
          <w:rFonts w:asciiTheme="minorHAnsi" w:eastAsia="SimSun" w:hAnsiTheme="minorHAnsi"/>
          <w:i/>
          <w:sz w:val="20"/>
          <w:lang w:val="sq-AL"/>
        </w:rPr>
      </w:pPr>
    </w:p>
    <w:p w14:paraId="20E10087" w14:textId="42F31D1D" w:rsidR="00562780" w:rsidRPr="004C6F8D" w:rsidRDefault="00521154" w:rsidP="00056DE5">
      <w:pPr>
        <w:pStyle w:val="Heading2"/>
        <w:numPr>
          <w:ilvl w:val="0"/>
          <w:numId w:val="19"/>
        </w:numPr>
        <w:ind w:hanging="720"/>
        <w:rPr>
          <w:sz w:val="26"/>
          <w:szCs w:val="26"/>
        </w:rPr>
      </w:pPr>
      <w:bookmarkStart w:id="156" w:name="_Toc107497002"/>
      <w:r w:rsidRPr="004C6F8D">
        <w:rPr>
          <w:sz w:val="26"/>
          <w:szCs w:val="26"/>
        </w:rPr>
        <w:lastRenderedPageBreak/>
        <w:t xml:space="preserve">Pagesat Faktike </w:t>
      </w:r>
      <w:r>
        <w:rPr>
          <w:sz w:val="26"/>
          <w:szCs w:val="26"/>
        </w:rPr>
        <w:t>të K</w:t>
      </w:r>
      <w:r w:rsidR="00FC6E77" w:rsidRPr="004C6F8D">
        <w:rPr>
          <w:sz w:val="26"/>
          <w:szCs w:val="26"/>
        </w:rPr>
        <w:t xml:space="preserve">ontratave </w:t>
      </w:r>
      <w:r w:rsidR="00562780" w:rsidRPr="004C6F8D">
        <w:rPr>
          <w:sz w:val="26"/>
          <w:szCs w:val="26"/>
        </w:rPr>
        <w:t>Koncesion</w:t>
      </w:r>
      <w:r w:rsidR="00FC6E77" w:rsidRPr="004C6F8D">
        <w:rPr>
          <w:sz w:val="26"/>
          <w:szCs w:val="26"/>
        </w:rPr>
        <w:t>are</w:t>
      </w:r>
      <w:r w:rsidR="00562780" w:rsidRPr="004C6F8D">
        <w:rPr>
          <w:sz w:val="26"/>
          <w:szCs w:val="26"/>
        </w:rPr>
        <w:t>/PPP</w:t>
      </w:r>
      <w:bookmarkEnd w:id="100"/>
      <w:bookmarkEnd w:id="101"/>
      <w:bookmarkEnd w:id="102"/>
      <w:r w:rsidR="00FC6E77" w:rsidRPr="004C6F8D">
        <w:rPr>
          <w:sz w:val="26"/>
          <w:szCs w:val="26"/>
        </w:rPr>
        <w:t xml:space="preserve">, me </w:t>
      </w:r>
      <w:r w:rsidRPr="004C6F8D">
        <w:rPr>
          <w:sz w:val="26"/>
          <w:szCs w:val="26"/>
        </w:rPr>
        <w:t>Mbështetje Buxhetore</w:t>
      </w:r>
      <w:bookmarkEnd w:id="156"/>
    </w:p>
    <w:p w14:paraId="72DE036C" w14:textId="77777777" w:rsidR="00932560" w:rsidRPr="00F07CFC" w:rsidRDefault="00FC6E77" w:rsidP="00CA740E">
      <w:pPr>
        <w:jc w:val="both"/>
        <w:rPr>
          <w:rFonts w:asciiTheme="minorHAnsi" w:hAnsiTheme="minorHAnsi" w:cstheme="minorHAnsi"/>
        </w:rPr>
      </w:pPr>
      <w:r w:rsidRPr="00F07CFC">
        <w:rPr>
          <w:rFonts w:asciiTheme="minorHAnsi" w:hAnsiTheme="minorHAnsi" w:cstheme="minorHAnsi"/>
        </w:rPr>
        <w:t xml:space="preserve">Ministria e Financave dhe Ekonomisë (MFE) vlerëson dhe miraton paraprakisht të gjitha projektet koncesionare dhe të partneritetit publik privat (PPP), si edhe çdo ndryshim të tyre, nga pikëpamja e implikimeve individuale apo në grup, për shpenzimet buxhetore, deficitin buxhetor, qëndrueshmërinë e borxhit publik dhe detyrimet kontingjente eventuale. </w:t>
      </w:r>
    </w:p>
    <w:p w14:paraId="4A3631E8" w14:textId="77777777" w:rsidR="00FC6E77" w:rsidRPr="00F07CFC" w:rsidRDefault="00FC6E77" w:rsidP="00CA740E">
      <w:pPr>
        <w:spacing w:before="240"/>
        <w:jc w:val="both"/>
        <w:rPr>
          <w:rFonts w:asciiTheme="minorHAnsi" w:hAnsiTheme="minorHAnsi" w:cstheme="minorHAnsi"/>
        </w:rPr>
      </w:pPr>
      <w:r w:rsidRPr="00F07CFC">
        <w:rPr>
          <w:rFonts w:asciiTheme="minorHAnsi" w:hAnsiTheme="minorHAnsi" w:cstheme="minorHAnsi"/>
        </w:rPr>
        <w:t xml:space="preserve">Shuma totale e pagesave vjetore neto, që kryhen nga njësitë e qeverisjes së përgjithshme, të cilat rezultojnë nga kontrata koncesionare apo partneriteti publik privat (PPP), si rregull, nuk duhet të tejkalojë kufirin prej 5 përqind të të ardhurave tatimore faktike të vitit paraardhës buxhetor. Në rast tejkalimi të këtij kufiri, Këshilli i Ministrave merr masa korrektuese në krahun e të ardhurave buxhetore, të nevojshme dhe të mjaftueshme, për t’u rikthyer brenda kufirit të lejuar, gjatë dy viteve të ardhshme buxhetore. </w:t>
      </w:r>
    </w:p>
    <w:p w14:paraId="046A3ED9" w14:textId="525A1527" w:rsidR="008B55C6" w:rsidRPr="00AD417B" w:rsidRDefault="00FC6E77" w:rsidP="008B55C6">
      <w:pPr>
        <w:spacing w:before="240"/>
        <w:jc w:val="both"/>
        <w:rPr>
          <w:rFonts w:asciiTheme="minorHAnsi" w:hAnsiTheme="minorHAnsi" w:cstheme="minorHAnsi"/>
          <w:lang w:val="sq-AL"/>
        </w:rPr>
      </w:pPr>
      <w:r w:rsidRPr="00F07CFC">
        <w:rPr>
          <w:rFonts w:asciiTheme="minorHAnsi" w:hAnsiTheme="minorHAnsi" w:cstheme="minorHAnsi"/>
        </w:rPr>
        <w:t xml:space="preserve">Gjatë </w:t>
      </w:r>
      <w:bookmarkStart w:id="157" w:name="_Toc11135141"/>
      <w:r w:rsidR="008B55C6" w:rsidRPr="00AD417B">
        <w:rPr>
          <w:rFonts w:asciiTheme="minorHAnsi" w:hAnsiTheme="minorHAnsi" w:cstheme="minorHAnsi"/>
          <w:lang w:val="sq-AL"/>
        </w:rPr>
        <w:t xml:space="preserve">vitit 2023, MFE ka vijuar monitorimin e performancës së kontratave koncesionare/PPP-ve me mbështetje buxhetore, duke monitoruar ecurinë e pagesave faktike buxhetore dhe treguesit e performancës të planifikuar/realizuar, për secilën kontratë koncesionare/PPP. </w:t>
      </w:r>
    </w:p>
    <w:p w14:paraId="7AF9B04B" w14:textId="77777777" w:rsidR="008B55C6" w:rsidRPr="00AD417B" w:rsidRDefault="008B55C6" w:rsidP="008B55C6">
      <w:pPr>
        <w:spacing w:before="240"/>
        <w:jc w:val="both"/>
        <w:rPr>
          <w:rFonts w:asciiTheme="minorHAnsi" w:hAnsiTheme="minorHAnsi" w:cstheme="minorHAnsi"/>
          <w:lang w:val="it-IT"/>
        </w:rPr>
      </w:pPr>
      <w:bookmarkStart w:id="158" w:name="_Hlk138337920"/>
      <w:r w:rsidRPr="00AD417B">
        <w:rPr>
          <w:rFonts w:asciiTheme="minorHAnsi" w:hAnsiTheme="minorHAnsi" w:cstheme="minorHAnsi"/>
          <w:lang w:val="sq-AL"/>
        </w:rPr>
        <w:t xml:space="preserve">Monitorimi dhe raportimi mbi kontratat koncesionare/PPP është institucionalizuar edhe përmes përfshirjes në Udhëzimin Plotësues </w:t>
      </w:r>
      <w:r w:rsidRPr="003824AE">
        <w:rPr>
          <w:rFonts w:asciiTheme="minorHAnsi" w:hAnsiTheme="minorHAnsi" w:cstheme="minorHAnsi"/>
          <w:lang w:val="sq-AL"/>
        </w:rPr>
        <w:t>nr.2 datë 19.01.2023 “Për zbatimin e Buxhetit të vitit 2023”,</w:t>
      </w:r>
      <w:r w:rsidRPr="00AD417B">
        <w:rPr>
          <w:rFonts w:asciiTheme="minorHAnsi" w:hAnsiTheme="minorHAnsi" w:cstheme="minorHAnsi"/>
          <w:lang w:val="sq-AL"/>
        </w:rPr>
        <w:t xml:space="preserve"> të skedulit të detyrueshëm kohor të raportimit të tyre nga çdo autoritet kontraktor dhe të formateve standarde respektive, me qëllim thellimin e analizës dhe rritjen e transparencës</w:t>
      </w:r>
      <w:bookmarkEnd w:id="158"/>
      <w:r w:rsidRPr="00AD417B">
        <w:rPr>
          <w:rFonts w:asciiTheme="minorHAnsi" w:hAnsiTheme="minorHAnsi" w:cstheme="minorHAnsi"/>
          <w:lang w:val="sq-AL"/>
        </w:rPr>
        <w:t xml:space="preserve">. Ky monitorim është kryer në bazë mujore, me qëllim identifikimin dhe monitorimin hap pas hapi të risqeve potenciale që mund të materializohen nga implementimi i tyre. </w:t>
      </w:r>
      <w:r w:rsidRPr="004462C8">
        <w:rPr>
          <w:rFonts w:asciiTheme="minorHAnsi" w:hAnsiTheme="minorHAnsi" w:cstheme="minorHAnsi"/>
          <w:lang w:val="sq-AL"/>
        </w:rPr>
        <w:t>Në fund të 5</w:t>
      </w:r>
      <w:r>
        <w:rPr>
          <w:rFonts w:asciiTheme="minorHAnsi" w:hAnsiTheme="minorHAnsi" w:cstheme="minorHAnsi"/>
          <w:lang w:val="sq-AL"/>
        </w:rPr>
        <w:t>M</w:t>
      </w:r>
      <w:r w:rsidRPr="004462C8">
        <w:rPr>
          <w:rFonts w:asciiTheme="minorHAnsi" w:hAnsiTheme="minorHAnsi" w:cstheme="minorHAnsi"/>
          <w:lang w:val="sq-AL"/>
        </w:rPr>
        <w:t xml:space="preserve"> 202</w:t>
      </w:r>
      <w:r>
        <w:rPr>
          <w:rFonts w:asciiTheme="minorHAnsi" w:hAnsiTheme="minorHAnsi" w:cstheme="minorHAnsi"/>
          <w:lang w:val="sq-AL"/>
        </w:rPr>
        <w:t>3</w:t>
      </w:r>
      <w:r w:rsidRPr="004462C8">
        <w:rPr>
          <w:rFonts w:asciiTheme="minorHAnsi" w:hAnsiTheme="minorHAnsi" w:cstheme="minorHAnsi"/>
          <w:lang w:val="sq-AL"/>
        </w:rPr>
        <w:t xml:space="preserve">, në nivel total rezultoi se, </w:t>
      </w:r>
      <w:r w:rsidRPr="00766B07">
        <w:rPr>
          <w:rFonts w:asciiTheme="minorHAnsi" w:hAnsiTheme="minorHAnsi" w:cstheme="minorHAnsi"/>
          <w:lang w:val="sq-AL"/>
        </w:rPr>
        <w:t>nga 11 kontrata</w:t>
      </w:r>
      <w:r w:rsidRPr="00766B07">
        <w:rPr>
          <w:rStyle w:val="FootnoteReference"/>
          <w:rFonts w:asciiTheme="minorHAnsi" w:hAnsiTheme="minorHAnsi" w:cstheme="minorHAnsi"/>
          <w:lang w:val="sq-AL"/>
        </w:rPr>
        <w:footnoteReference w:id="4"/>
      </w:r>
      <w:r w:rsidRPr="00766B07">
        <w:rPr>
          <w:rFonts w:asciiTheme="minorHAnsi" w:hAnsiTheme="minorHAnsi" w:cstheme="minorHAnsi"/>
          <w:lang w:val="sq-AL"/>
        </w:rPr>
        <w:t xml:space="preserve"> koncesionare/PPP me mbështetje buxhetore:</w:t>
      </w:r>
    </w:p>
    <w:p w14:paraId="652CAE1E" w14:textId="77777777" w:rsidR="00CA740E" w:rsidRPr="004E355C" w:rsidRDefault="00CA740E" w:rsidP="00CA740E">
      <w:pPr>
        <w:numPr>
          <w:ilvl w:val="0"/>
          <w:numId w:val="3"/>
        </w:numPr>
        <w:tabs>
          <w:tab w:val="left" w:pos="450"/>
        </w:tabs>
        <w:spacing w:before="120"/>
        <w:ind w:left="450" w:hanging="270"/>
        <w:contextualSpacing/>
        <w:jc w:val="both"/>
        <w:rPr>
          <w:rFonts w:asciiTheme="minorHAnsi" w:hAnsiTheme="minorHAnsi"/>
          <w:i/>
          <w:lang w:val="sq-AL"/>
        </w:rPr>
      </w:pPr>
      <w:r>
        <w:rPr>
          <w:rFonts w:asciiTheme="minorHAnsi" w:hAnsiTheme="minorHAnsi"/>
          <w:i/>
          <w:lang w:val="sq-AL"/>
        </w:rPr>
        <w:t>9</w:t>
      </w:r>
      <w:r w:rsidRPr="004E355C">
        <w:rPr>
          <w:rFonts w:asciiTheme="minorHAnsi" w:hAnsiTheme="minorHAnsi"/>
          <w:i/>
          <w:lang w:val="sq-AL"/>
        </w:rPr>
        <w:t xml:space="preserve"> kontrata koncesionare/PPP kanë pagesa faktike buxhetore, për periudhën 5 mujore, </w:t>
      </w:r>
    </w:p>
    <w:p w14:paraId="7E20AD3B" w14:textId="544A5402" w:rsidR="00CA740E" w:rsidRDefault="00CA740E" w:rsidP="00CA740E">
      <w:pPr>
        <w:numPr>
          <w:ilvl w:val="0"/>
          <w:numId w:val="3"/>
        </w:numPr>
        <w:tabs>
          <w:tab w:val="left" w:pos="450"/>
        </w:tabs>
        <w:spacing w:before="120"/>
        <w:ind w:left="450" w:hanging="270"/>
        <w:contextualSpacing/>
        <w:jc w:val="both"/>
        <w:rPr>
          <w:rFonts w:asciiTheme="minorHAnsi" w:hAnsiTheme="minorHAnsi"/>
          <w:i/>
          <w:lang w:val="sq-AL"/>
        </w:rPr>
      </w:pPr>
      <w:r w:rsidRPr="004E355C">
        <w:rPr>
          <w:rFonts w:asciiTheme="minorHAnsi" w:hAnsiTheme="minorHAnsi"/>
          <w:i/>
          <w:lang w:val="sq-AL"/>
        </w:rPr>
        <w:t xml:space="preserve">Për </w:t>
      </w:r>
      <w:r w:rsidR="008B55C6">
        <w:rPr>
          <w:rFonts w:asciiTheme="minorHAnsi" w:hAnsiTheme="minorHAnsi"/>
          <w:i/>
          <w:lang w:val="sq-AL"/>
        </w:rPr>
        <w:t>2</w:t>
      </w:r>
      <w:r w:rsidRPr="004E355C">
        <w:rPr>
          <w:rFonts w:asciiTheme="minorHAnsi" w:hAnsiTheme="minorHAnsi"/>
          <w:i/>
          <w:lang w:val="sq-AL"/>
        </w:rPr>
        <w:t xml:space="preserve"> kontrata nuk është kryer asnjë pagesë referuar periudhës 5 mujore. </w:t>
      </w:r>
    </w:p>
    <w:p w14:paraId="46A2A5B2" w14:textId="77777777" w:rsidR="00CA740E" w:rsidRPr="003E4318" w:rsidRDefault="00CA740E" w:rsidP="00CA740E">
      <w:pPr>
        <w:jc w:val="both"/>
        <w:rPr>
          <w:rFonts w:asciiTheme="minorHAnsi" w:hAnsiTheme="minorHAnsi" w:cstheme="minorHAnsi"/>
          <w:sz w:val="16"/>
          <w:szCs w:val="8"/>
          <w:lang w:val="sq-AL"/>
        </w:rPr>
      </w:pPr>
    </w:p>
    <w:p w14:paraId="68BB81D7" w14:textId="07C60B7F" w:rsidR="00CA740E" w:rsidRPr="004E4CF0" w:rsidRDefault="00CA740E" w:rsidP="00CA740E">
      <w:pPr>
        <w:jc w:val="both"/>
        <w:rPr>
          <w:rFonts w:asciiTheme="minorHAnsi" w:hAnsiTheme="minorHAnsi" w:cstheme="minorHAnsi"/>
          <w:lang w:val="sq-AL"/>
        </w:rPr>
      </w:pPr>
      <w:r w:rsidRPr="004E4CF0">
        <w:rPr>
          <w:rFonts w:asciiTheme="minorHAnsi" w:hAnsiTheme="minorHAnsi" w:cstheme="minorHAnsi"/>
          <w:lang w:val="sq-AL"/>
        </w:rPr>
        <w:t xml:space="preserve">Fondet buxhetore të planifikuara për vitin </w:t>
      </w:r>
      <w:r w:rsidR="008B55C6" w:rsidRPr="004E4CF0">
        <w:rPr>
          <w:rFonts w:asciiTheme="minorHAnsi" w:hAnsiTheme="minorHAnsi" w:cstheme="minorHAnsi"/>
          <w:lang w:val="sq-AL"/>
        </w:rPr>
        <w:t>202</w:t>
      </w:r>
      <w:r w:rsidR="008B55C6">
        <w:rPr>
          <w:rFonts w:asciiTheme="minorHAnsi" w:hAnsiTheme="minorHAnsi" w:cstheme="minorHAnsi"/>
          <w:lang w:val="sq-AL"/>
        </w:rPr>
        <w:t>3</w:t>
      </w:r>
      <w:r w:rsidR="008B55C6" w:rsidRPr="004E4CF0">
        <w:rPr>
          <w:rFonts w:asciiTheme="minorHAnsi" w:hAnsiTheme="minorHAnsi" w:cstheme="minorHAnsi"/>
          <w:lang w:val="sq-AL"/>
        </w:rPr>
        <w:t xml:space="preserve"> me destinacion mbështetjen nga buxheti </w:t>
      </w:r>
      <w:r w:rsidR="008B55C6">
        <w:rPr>
          <w:rFonts w:asciiTheme="minorHAnsi" w:hAnsiTheme="minorHAnsi" w:cstheme="minorHAnsi"/>
          <w:lang w:val="sq-AL"/>
        </w:rPr>
        <w:t xml:space="preserve">i shtetit </w:t>
      </w:r>
      <w:r w:rsidR="008B55C6" w:rsidRPr="004E4CF0">
        <w:rPr>
          <w:rFonts w:asciiTheme="minorHAnsi" w:hAnsiTheme="minorHAnsi" w:cstheme="minorHAnsi"/>
          <w:lang w:val="sq-AL"/>
        </w:rPr>
        <w:t>për kontratat konçesionare/PPP, sipas planit vjetor të ndryshuar,</w:t>
      </w:r>
      <w:r w:rsidR="008B55C6">
        <w:rPr>
          <w:rFonts w:asciiTheme="minorHAnsi" w:hAnsiTheme="minorHAnsi" w:cstheme="minorHAnsi"/>
          <w:lang w:val="sq-AL"/>
        </w:rPr>
        <w:t xml:space="preserve"> të raportuar nga ana e Autoriteteve Kontraktore </w:t>
      </w:r>
      <w:r w:rsidR="008B55C6" w:rsidRPr="00906417">
        <w:rPr>
          <w:rFonts w:asciiTheme="minorHAnsi" w:hAnsiTheme="minorHAnsi" w:cstheme="minorHAnsi"/>
          <w:lang w:val="sq-AL"/>
        </w:rPr>
        <w:t xml:space="preserve">përkatëse, në total janë rreth 12.48 miliard </w:t>
      </w:r>
      <w:r w:rsidR="008B55C6">
        <w:rPr>
          <w:rFonts w:asciiTheme="minorHAnsi" w:hAnsiTheme="minorHAnsi" w:cstheme="minorHAnsi"/>
          <w:lang w:val="sq-AL"/>
        </w:rPr>
        <w:t>lekë</w:t>
      </w:r>
      <w:r w:rsidR="008B55C6" w:rsidRPr="00906417">
        <w:rPr>
          <w:rFonts w:asciiTheme="minorHAnsi" w:hAnsiTheme="minorHAnsi" w:cstheme="minorHAnsi"/>
          <w:lang w:val="sq-AL"/>
        </w:rPr>
        <w:t xml:space="preserve">. Nga këto, rreth 5.14 miliard </w:t>
      </w:r>
      <w:r w:rsidR="008B55C6">
        <w:rPr>
          <w:rFonts w:asciiTheme="minorHAnsi" w:hAnsiTheme="minorHAnsi" w:cstheme="minorHAnsi"/>
          <w:lang w:val="sq-AL"/>
        </w:rPr>
        <w:t>lekë</w:t>
      </w:r>
      <w:r w:rsidR="008B55C6" w:rsidRPr="00906417">
        <w:rPr>
          <w:rFonts w:asciiTheme="minorHAnsi" w:hAnsiTheme="minorHAnsi" w:cstheme="minorHAnsi"/>
          <w:lang w:val="sq-AL"/>
        </w:rPr>
        <w:t xml:space="preserve"> janë investime dhe rreth 7.34</w:t>
      </w:r>
      <w:r w:rsidR="008B55C6" w:rsidRPr="004E4CF0">
        <w:rPr>
          <w:rFonts w:asciiTheme="minorHAnsi" w:hAnsiTheme="minorHAnsi" w:cstheme="minorHAnsi"/>
          <w:lang w:val="sq-AL"/>
        </w:rPr>
        <w:t xml:space="preserve"> miliard </w:t>
      </w:r>
      <w:r w:rsidR="008B55C6">
        <w:rPr>
          <w:rFonts w:asciiTheme="minorHAnsi" w:hAnsiTheme="minorHAnsi" w:cstheme="minorHAnsi"/>
          <w:lang w:val="sq-AL"/>
        </w:rPr>
        <w:t>lekë</w:t>
      </w:r>
      <w:r w:rsidR="008B55C6" w:rsidRPr="004E4CF0">
        <w:rPr>
          <w:rFonts w:asciiTheme="minorHAnsi" w:hAnsiTheme="minorHAnsi" w:cstheme="minorHAnsi"/>
          <w:lang w:val="sq-AL"/>
        </w:rPr>
        <w:t xml:space="preserve"> shpenzime korente.</w:t>
      </w:r>
      <w:r w:rsidR="008B55C6">
        <w:rPr>
          <w:rFonts w:asciiTheme="minorHAnsi" w:hAnsiTheme="minorHAnsi" w:cstheme="minorHAnsi"/>
          <w:lang w:val="sq-AL"/>
        </w:rPr>
        <w:t xml:space="preserve"> </w:t>
      </w:r>
      <w:r w:rsidR="008B55C6" w:rsidRPr="004E4CF0">
        <w:rPr>
          <w:rFonts w:asciiTheme="minorHAnsi" w:hAnsiTheme="minorHAnsi" w:cstheme="minorHAnsi"/>
          <w:lang w:val="sq-AL"/>
        </w:rPr>
        <w:t>Krahasuar me pagesat faktike të vitit 202</w:t>
      </w:r>
      <w:r w:rsidR="008B55C6">
        <w:rPr>
          <w:rFonts w:asciiTheme="minorHAnsi" w:hAnsiTheme="minorHAnsi" w:cstheme="minorHAnsi"/>
          <w:lang w:val="sq-AL"/>
        </w:rPr>
        <w:t>2</w:t>
      </w:r>
      <w:r w:rsidR="008B55C6" w:rsidRPr="004E4CF0">
        <w:rPr>
          <w:rFonts w:asciiTheme="minorHAnsi" w:hAnsiTheme="minorHAnsi" w:cstheme="minorHAnsi"/>
          <w:lang w:val="sq-AL"/>
        </w:rPr>
        <w:t xml:space="preserve"> të cilat arritën vlerën rreth </w:t>
      </w:r>
      <w:r w:rsidR="008B55C6">
        <w:rPr>
          <w:rFonts w:asciiTheme="minorHAnsi" w:hAnsiTheme="minorHAnsi" w:cstheme="minorHAnsi"/>
          <w:lang w:val="sq-AL"/>
        </w:rPr>
        <w:t>12.64</w:t>
      </w:r>
      <w:r w:rsidR="008B55C6" w:rsidRPr="004E4CF0">
        <w:rPr>
          <w:rFonts w:asciiTheme="minorHAnsi" w:hAnsiTheme="minorHAnsi" w:cstheme="minorHAnsi"/>
          <w:lang w:val="sq-AL"/>
        </w:rPr>
        <w:t xml:space="preserve"> miliard </w:t>
      </w:r>
      <w:r w:rsidR="008B55C6">
        <w:rPr>
          <w:rFonts w:asciiTheme="minorHAnsi" w:hAnsiTheme="minorHAnsi" w:cstheme="minorHAnsi"/>
          <w:lang w:val="sq-AL"/>
        </w:rPr>
        <w:t>lekë</w:t>
      </w:r>
      <w:r w:rsidR="008B55C6" w:rsidRPr="00906417">
        <w:rPr>
          <w:rFonts w:asciiTheme="minorHAnsi" w:hAnsiTheme="minorHAnsi" w:cstheme="minorHAnsi"/>
          <w:lang w:val="sq-AL"/>
        </w:rPr>
        <w:t>, pagesat e planifikuara për vitin 2023, janë rreth 162.4 milion</w:t>
      </w:r>
      <w:r w:rsidR="008B55C6">
        <w:rPr>
          <w:rFonts w:asciiTheme="minorHAnsi" w:hAnsiTheme="minorHAnsi" w:cstheme="minorHAnsi"/>
          <w:lang w:val="sq-AL"/>
        </w:rPr>
        <w:t>ë lekë</w:t>
      </w:r>
      <w:r w:rsidR="008B55C6" w:rsidRPr="00906417">
        <w:rPr>
          <w:rFonts w:asciiTheme="minorHAnsi" w:hAnsiTheme="minorHAnsi" w:cstheme="minorHAnsi"/>
          <w:lang w:val="sq-AL"/>
        </w:rPr>
        <w:t xml:space="preserve"> më të ulëta ose rreth 1.3% më pak</w:t>
      </w:r>
      <w:r w:rsidRPr="003E4318">
        <w:rPr>
          <w:rFonts w:asciiTheme="minorHAnsi" w:hAnsiTheme="minorHAnsi" w:cstheme="minorHAnsi"/>
          <w:lang w:val="sq-AL"/>
        </w:rPr>
        <w:t>.</w:t>
      </w:r>
      <w:r w:rsidRPr="004E4CF0">
        <w:rPr>
          <w:rFonts w:asciiTheme="minorHAnsi" w:hAnsiTheme="minorHAnsi" w:cstheme="minorHAnsi"/>
          <w:lang w:val="sq-AL"/>
        </w:rPr>
        <w:t xml:space="preserve"> </w:t>
      </w:r>
    </w:p>
    <w:p w14:paraId="7C710FAF" w14:textId="60CA5CFB" w:rsidR="00CA740E" w:rsidRPr="004E4CF0" w:rsidRDefault="00CA740E" w:rsidP="00CA740E">
      <w:pPr>
        <w:spacing w:before="240"/>
        <w:jc w:val="both"/>
        <w:rPr>
          <w:rFonts w:asciiTheme="minorHAnsi" w:hAnsiTheme="minorHAnsi" w:cstheme="minorHAnsi"/>
          <w:lang w:val="sq-AL"/>
        </w:rPr>
      </w:pPr>
      <w:r w:rsidRPr="004E4CF0">
        <w:rPr>
          <w:rFonts w:asciiTheme="minorHAnsi" w:hAnsiTheme="minorHAnsi" w:cstheme="minorHAnsi"/>
          <w:lang w:val="sq-AL"/>
        </w:rPr>
        <w:t xml:space="preserve">Pagesat faktike për </w:t>
      </w:r>
      <w:r>
        <w:rPr>
          <w:rFonts w:asciiTheme="minorHAnsi" w:hAnsiTheme="minorHAnsi" w:cstheme="minorHAnsi"/>
          <w:lang w:val="sq-AL"/>
        </w:rPr>
        <w:t>5M</w:t>
      </w:r>
      <w:r w:rsidRPr="004E4CF0">
        <w:rPr>
          <w:rFonts w:asciiTheme="minorHAnsi" w:hAnsiTheme="minorHAnsi" w:cstheme="minorHAnsi"/>
          <w:lang w:val="sq-AL"/>
        </w:rPr>
        <w:t xml:space="preserve"> </w:t>
      </w:r>
      <w:r w:rsidR="008B55C6" w:rsidRPr="004E4CF0">
        <w:rPr>
          <w:rFonts w:asciiTheme="minorHAnsi" w:hAnsiTheme="minorHAnsi" w:cstheme="minorHAnsi"/>
          <w:lang w:val="sq-AL"/>
        </w:rPr>
        <w:t>202</w:t>
      </w:r>
      <w:r w:rsidR="008B55C6">
        <w:rPr>
          <w:rFonts w:asciiTheme="minorHAnsi" w:hAnsiTheme="minorHAnsi" w:cstheme="minorHAnsi"/>
          <w:lang w:val="sq-AL"/>
        </w:rPr>
        <w:t>3</w:t>
      </w:r>
      <w:r w:rsidR="008B55C6" w:rsidRPr="004E4CF0">
        <w:rPr>
          <w:rFonts w:asciiTheme="minorHAnsi" w:hAnsiTheme="minorHAnsi" w:cstheme="minorHAnsi"/>
          <w:lang w:val="sq-AL"/>
        </w:rPr>
        <w:t xml:space="preserve">, rezultojnë në masën </w:t>
      </w:r>
      <w:r w:rsidR="008B55C6" w:rsidRPr="00906417">
        <w:rPr>
          <w:rFonts w:asciiTheme="minorHAnsi" w:hAnsiTheme="minorHAnsi" w:cstheme="minorHAnsi"/>
          <w:lang w:val="sq-AL"/>
        </w:rPr>
        <w:t>rreth 3.</w:t>
      </w:r>
      <w:r w:rsidR="008B55C6">
        <w:rPr>
          <w:rFonts w:asciiTheme="minorHAnsi" w:hAnsiTheme="minorHAnsi" w:cstheme="minorHAnsi"/>
          <w:lang w:val="sq-AL"/>
        </w:rPr>
        <w:t>72</w:t>
      </w:r>
      <w:r w:rsidR="008B55C6" w:rsidRPr="00906417">
        <w:rPr>
          <w:rFonts w:asciiTheme="minorHAnsi" w:hAnsiTheme="minorHAnsi" w:cstheme="minorHAnsi"/>
          <w:lang w:val="sq-AL"/>
        </w:rPr>
        <w:t xml:space="preserve"> miliard </w:t>
      </w:r>
      <w:r w:rsidR="008B55C6">
        <w:rPr>
          <w:rFonts w:asciiTheme="minorHAnsi" w:hAnsiTheme="minorHAnsi" w:cstheme="minorHAnsi"/>
          <w:lang w:val="sq-AL"/>
        </w:rPr>
        <w:t>lekë</w:t>
      </w:r>
      <w:r w:rsidR="008B55C6" w:rsidRPr="004E4CF0">
        <w:rPr>
          <w:rFonts w:asciiTheme="minorHAnsi" w:hAnsiTheme="minorHAnsi" w:cstheme="minorHAnsi"/>
          <w:lang w:val="sq-AL"/>
        </w:rPr>
        <w:t xml:space="preserve"> </w:t>
      </w:r>
      <w:r w:rsidR="008B55C6" w:rsidRPr="00906417">
        <w:rPr>
          <w:rFonts w:asciiTheme="minorHAnsi" w:hAnsiTheme="minorHAnsi" w:cstheme="minorHAnsi"/>
          <w:lang w:val="sq-AL"/>
        </w:rPr>
        <w:t>ose 29.</w:t>
      </w:r>
      <w:r w:rsidR="008B55C6">
        <w:rPr>
          <w:rFonts w:asciiTheme="minorHAnsi" w:hAnsiTheme="minorHAnsi" w:cstheme="minorHAnsi"/>
          <w:lang w:val="sq-AL"/>
        </w:rPr>
        <w:t>8</w:t>
      </w:r>
      <w:r w:rsidR="008B55C6" w:rsidRPr="00906417">
        <w:rPr>
          <w:rFonts w:asciiTheme="minorHAnsi" w:hAnsiTheme="minorHAnsi" w:cstheme="minorHAnsi"/>
          <w:lang w:val="sq-AL"/>
        </w:rPr>
        <w:t>%</w:t>
      </w:r>
      <w:r w:rsidR="008B55C6" w:rsidRPr="004E4CF0">
        <w:rPr>
          <w:rFonts w:asciiTheme="minorHAnsi" w:hAnsiTheme="minorHAnsi" w:cstheme="minorHAnsi"/>
          <w:lang w:val="sq-AL"/>
        </w:rPr>
        <w:t xml:space="preserve"> të pagesave të planifikuara vjetore 202</w:t>
      </w:r>
      <w:r w:rsidR="008B55C6">
        <w:rPr>
          <w:rFonts w:asciiTheme="minorHAnsi" w:hAnsiTheme="minorHAnsi" w:cstheme="minorHAnsi"/>
          <w:lang w:val="sq-AL"/>
        </w:rPr>
        <w:t>3</w:t>
      </w:r>
      <w:r w:rsidR="008B55C6" w:rsidRPr="004E4CF0">
        <w:rPr>
          <w:rFonts w:asciiTheme="minorHAnsi" w:hAnsiTheme="minorHAnsi" w:cstheme="minorHAnsi"/>
          <w:lang w:val="sq-AL"/>
        </w:rPr>
        <w:t>. Krahasuar me të nj</w:t>
      </w:r>
      <w:r w:rsidR="008B55C6">
        <w:rPr>
          <w:rFonts w:asciiTheme="minorHAnsi" w:hAnsiTheme="minorHAnsi" w:cstheme="minorHAnsi"/>
          <w:lang w:val="sq-AL"/>
        </w:rPr>
        <w:t>ë</w:t>
      </w:r>
      <w:r w:rsidR="008B55C6" w:rsidRPr="004E4CF0">
        <w:rPr>
          <w:rFonts w:asciiTheme="minorHAnsi" w:hAnsiTheme="minorHAnsi" w:cstheme="minorHAnsi"/>
          <w:lang w:val="sq-AL"/>
        </w:rPr>
        <w:t xml:space="preserve">jtën </w:t>
      </w:r>
      <w:r w:rsidR="008B55C6" w:rsidRPr="00906417">
        <w:rPr>
          <w:rFonts w:asciiTheme="minorHAnsi" w:hAnsiTheme="minorHAnsi" w:cstheme="minorHAnsi"/>
          <w:lang w:val="sq-AL"/>
        </w:rPr>
        <w:t xml:space="preserve">periudhë të një viti më parë, ato rezultojnë rreth </w:t>
      </w:r>
      <w:r w:rsidR="008B55C6">
        <w:rPr>
          <w:rFonts w:asciiTheme="minorHAnsi" w:hAnsiTheme="minorHAnsi" w:cstheme="minorHAnsi"/>
          <w:lang w:val="sq-AL"/>
        </w:rPr>
        <w:t>27.1</w:t>
      </w:r>
      <w:r w:rsidR="008B55C6" w:rsidRPr="00906417">
        <w:rPr>
          <w:rFonts w:asciiTheme="minorHAnsi" w:hAnsiTheme="minorHAnsi" w:cstheme="minorHAnsi"/>
          <w:lang w:val="sq-AL"/>
        </w:rPr>
        <w:t xml:space="preserve"> milion</w:t>
      </w:r>
      <w:r w:rsidR="008B55C6">
        <w:rPr>
          <w:rFonts w:asciiTheme="minorHAnsi" w:hAnsiTheme="minorHAnsi" w:cstheme="minorHAnsi"/>
          <w:lang w:val="sq-AL"/>
        </w:rPr>
        <w:t>ë</w:t>
      </w:r>
      <w:r w:rsidR="008B55C6" w:rsidRPr="00906417">
        <w:rPr>
          <w:rFonts w:asciiTheme="minorHAnsi" w:hAnsiTheme="minorHAnsi" w:cstheme="minorHAnsi"/>
          <w:lang w:val="sq-AL"/>
        </w:rPr>
        <w:t xml:space="preserve"> </w:t>
      </w:r>
      <w:r w:rsidR="008B55C6">
        <w:rPr>
          <w:rFonts w:asciiTheme="minorHAnsi" w:hAnsiTheme="minorHAnsi" w:cstheme="minorHAnsi"/>
          <w:lang w:val="sq-AL"/>
        </w:rPr>
        <w:t xml:space="preserve">lekë </w:t>
      </w:r>
      <w:r w:rsidR="008B55C6" w:rsidRPr="00906417">
        <w:rPr>
          <w:rFonts w:asciiTheme="minorHAnsi" w:hAnsiTheme="minorHAnsi" w:cstheme="minorHAnsi"/>
          <w:lang w:val="sq-AL"/>
        </w:rPr>
        <w:t xml:space="preserve">më të ulëta ose rreth </w:t>
      </w:r>
      <w:r w:rsidR="008B55C6">
        <w:rPr>
          <w:rFonts w:asciiTheme="minorHAnsi" w:hAnsiTheme="minorHAnsi" w:cstheme="minorHAnsi"/>
          <w:lang w:val="sq-AL"/>
        </w:rPr>
        <w:t>0.7</w:t>
      </w:r>
      <w:r w:rsidR="008B55C6" w:rsidRPr="00906417">
        <w:rPr>
          <w:rFonts w:asciiTheme="minorHAnsi" w:hAnsiTheme="minorHAnsi" w:cstheme="minorHAnsi"/>
          <w:lang w:val="sq-AL"/>
        </w:rPr>
        <w:t>% më pak</w:t>
      </w:r>
      <w:r w:rsidRPr="003E4318">
        <w:rPr>
          <w:rFonts w:asciiTheme="minorHAnsi" w:hAnsiTheme="minorHAnsi" w:cstheme="minorHAnsi"/>
          <w:lang w:val="sq-AL"/>
        </w:rPr>
        <w:t>.</w:t>
      </w:r>
      <w:r w:rsidRPr="004E4CF0">
        <w:rPr>
          <w:rFonts w:asciiTheme="minorHAnsi" w:hAnsiTheme="minorHAnsi" w:cstheme="minorHAnsi"/>
          <w:lang w:val="sq-AL"/>
        </w:rPr>
        <w:t xml:space="preserve"> </w:t>
      </w:r>
    </w:p>
    <w:p w14:paraId="1873B313" w14:textId="47913573" w:rsidR="00CA740E" w:rsidRPr="004E4CF0" w:rsidRDefault="00CA740E" w:rsidP="00CA740E">
      <w:pPr>
        <w:spacing w:before="240"/>
        <w:jc w:val="both"/>
        <w:rPr>
          <w:rFonts w:asciiTheme="minorHAnsi" w:hAnsiTheme="minorHAnsi" w:cstheme="minorHAnsi"/>
          <w:lang w:val="sq-AL"/>
        </w:rPr>
      </w:pPr>
      <w:r w:rsidRPr="004E4CF0">
        <w:rPr>
          <w:rFonts w:asciiTheme="minorHAnsi" w:hAnsiTheme="minorHAnsi" w:cstheme="minorHAnsi"/>
          <w:lang w:val="sq-AL"/>
        </w:rPr>
        <w:t xml:space="preserve">Pagesat faktike për muajin Maj </w:t>
      </w:r>
      <w:r w:rsidR="008B55C6" w:rsidRPr="004E4CF0">
        <w:rPr>
          <w:rFonts w:asciiTheme="minorHAnsi" w:hAnsiTheme="minorHAnsi" w:cstheme="minorHAnsi"/>
          <w:lang w:val="sq-AL"/>
        </w:rPr>
        <w:t>202</w:t>
      </w:r>
      <w:r w:rsidR="008B55C6">
        <w:rPr>
          <w:rFonts w:asciiTheme="minorHAnsi" w:hAnsiTheme="minorHAnsi" w:cstheme="minorHAnsi"/>
          <w:lang w:val="sq-AL"/>
        </w:rPr>
        <w:t>3</w:t>
      </w:r>
      <w:r w:rsidR="008B55C6" w:rsidRPr="004E4CF0">
        <w:rPr>
          <w:rFonts w:asciiTheme="minorHAnsi" w:hAnsiTheme="minorHAnsi" w:cstheme="minorHAnsi"/>
          <w:lang w:val="sq-AL"/>
        </w:rPr>
        <w:t xml:space="preserve"> rezultojnë </w:t>
      </w:r>
      <w:r w:rsidR="008B55C6" w:rsidRPr="00906417">
        <w:rPr>
          <w:rFonts w:asciiTheme="minorHAnsi" w:hAnsiTheme="minorHAnsi" w:cstheme="minorHAnsi"/>
          <w:lang w:val="sq-AL"/>
        </w:rPr>
        <w:t xml:space="preserve">rreth </w:t>
      </w:r>
      <w:r w:rsidR="008B55C6">
        <w:rPr>
          <w:rFonts w:asciiTheme="minorHAnsi" w:hAnsiTheme="minorHAnsi" w:cstheme="minorHAnsi"/>
          <w:lang w:val="sq-AL"/>
        </w:rPr>
        <w:t>678</w:t>
      </w:r>
      <w:r w:rsidR="008B55C6" w:rsidRPr="00906417">
        <w:rPr>
          <w:rFonts w:asciiTheme="minorHAnsi" w:hAnsiTheme="minorHAnsi" w:cstheme="minorHAnsi"/>
          <w:lang w:val="sq-AL"/>
        </w:rPr>
        <w:t xml:space="preserve"> miliard </w:t>
      </w:r>
      <w:r w:rsidR="008B55C6">
        <w:rPr>
          <w:rFonts w:asciiTheme="minorHAnsi" w:hAnsiTheme="minorHAnsi" w:cstheme="minorHAnsi"/>
          <w:lang w:val="sq-AL"/>
        </w:rPr>
        <w:t>lekë</w:t>
      </w:r>
      <w:r w:rsidR="008B55C6" w:rsidRPr="00906417">
        <w:rPr>
          <w:rFonts w:asciiTheme="minorHAnsi" w:hAnsiTheme="minorHAnsi" w:cstheme="minorHAnsi"/>
          <w:lang w:val="sq-AL"/>
        </w:rPr>
        <w:t xml:space="preserve"> ose</w:t>
      </w:r>
      <w:r w:rsidR="008B55C6" w:rsidRPr="004E4CF0">
        <w:rPr>
          <w:rFonts w:asciiTheme="minorHAnsi" w:hAnsiTheme="minorHAnsi" w:cstheme="minorHAnsi"/>
          <w:lang w:val="sq-AL"/>
        </w:rPr>
        <w:t xml:space="preserve"> rreth </w:t>
      </w:r>
      <w:r w:rsidR="008B55C6">
        <w:rPr>
          <w:rFonts w:asciiTheme="minorHAnsi" w:hAnsiTheme="minorHAnsi" w:cstheme="minorHAnsi"/>
          <w:lang w:val="sq-AL"/>
        </w:rPr>
        <w:t>5.4</w:t>
      </w:r>
      <w:r w:rsidR="008B55C6" w:rsidRPr="004E4CF0">
        <w:rPr>
          <w:rFonts w:asciiTheme="minorHAnsi" w:hAnsiTheme="minorHAnsi" w:cstheme="minorHAnsi"/>
          <w:lang w:val="sq-AL"/>
        </w:rPr>
        <w:t xml:space="preserve"> përqind e pagesave të planifikuara vjetore 202</w:t>
      </w:r>
      <w:r w:rsidR="008B55C6">
        <w:rPr>
          <w:rFonts w:asciiTheme="minorHAnsi" w:hAnsiTheme="minorHAnsi" w:cstheme="minorHAnsi"/>
          <w:lang w:val="sq-AL"/>
        </w:rPr>
        <w:t>3</w:t>
      </w:r>
      <w:r w:rsidR="008B55C6" w:rsidRPr="004E4CF0">
        <w:rPr>
          <w:rFonts w:asciiTheme="minorHAnsi" w:hAnsiTheme="minorHAnsi" w:cstheme="minorHAnsi"/>
          <w:lang w:val="sq-AL"/>
        </w:rPr>
        <w:t xml:space="preserve">. Pagesa më e lartë e realizuar në muajin Maj është pagesa prej rreth </w:t>
      </w:r>
      <w:r w:rsidR="008B55C6">
        <w:rPr>
          <w:rFonts w:asciiTheme="minorHAnsi" w:hAnsiTheme="minorHAnsi" w:cstheme="minorHAnsi"/>
          <w:lang w:val="sq-AL"/>
        </w:rPr>
        <w:t>164.9</w:t>
      </w:r>
      <w:r w:rsidR="008B55C6" w:rsidRPr="004E4CF0">
        <w:rPr>
          <w:rFonts w:asciiTheme="minorHAnsi" w:hAnsiTheme="minorHAnsi" w:cstheme="minorHAnsi"/>
          <w:lang w:val="sq-AL"/>
        </w:rPr>
        <w:t xml:space="preserve"> milion</w:t>
      </w:r>
      <w:r w:rsidR="008B55C6">
        <w:rPr>
          <w:rFonts w:asciiTheme="minorHAnsi" w:hAnsiTheme="minorHAnsi" w:cstheme="minorHAnsi"/>
          <w:lang w:val="sq-AL"/>
        </w:rPr>
        <w:t>ë</w:t>
      </w:r>
      <w:r w:rsidR="008B55C6" w:rsidRPr="004E4CF0">
        <w:rPr>
          <w:rFonts w:asciiTheme="minorHAnsi" w:hAnsiTheme="minorHAnsi" w:cstheme="minorHAnsi"/>
          <w:lang w:val="sq-AL"/>
        </w:rPr>
        <w:t xml:space="preserve"> </w:t>
      </w:r>
      <w:r w:rsidR="008B55C6">
        <w:rPr>
          <w:rFonts w:asciiTheme="minorHAnsi" w:hAnsiTheme="minorHAnsi" w:cstheme="minorHAnsi"/>
          <w:lang w:val="sq-AL"/>
        </w:rPr>
        <w:t>lekë</w:t>
      </w:r>
      <w:r w:rsidR="008B55C6" w:rsidRPr="004E4CF0">
        <w:rPr>
          <w:rFonts w:asciiTheme="minorHAnsi" w:hAnsiTheme="minorHAnsi" w:cstheme="minorHAnsi"/>
          <w:lang w:val="sq-AL"/>
        </w:rPr>
        <w:t xml:space="preserve"> për kontratën “</w:t>
      </w:r>
      <w:r w:rsidR="008B55C6" w:rsidRPr="00FE2647">
        <w:rPr>
          <w:rFonts w:asciiTheme="minorHAnsi" w:hAnsiTheme="minorHAnsi" w:cstheme="minorHAnsi"/>
          <w:i/>
          <w:lang w:val="sq-AL"/>
        </w:rPr>
        <w:t>Ofrimi i shërbimeve laboratorike spitalore</w:t>
      </w:r>
      <w:r w:rsidR="008B55C6">
        <w:rPr>
          <w:rFonts w:asciiTheme="minorHAnsi" w:hAnsiTheme="minorHAnsi" w:cstheme="minorHAnsi"/>
          <w:i/>
          <w:lang w:val="sq-AL"/>
        </w:rPr>
        <w:t xml:space="preserve">” </w:t>
      </w:r>
      <w:r w:rsidR="008B55C6" w:rsidRPr="004E4CF0">
        <w:rPr>
          <w:rFonts w:asciiTheme="minorHAnsi" w:hAnsiTheme="minorHAnsi" w:cstheme="minorHAnsi"/>
          <w:lang w:val="sq-AL"/>
        </w:rPr>
        <w:t xml:space="preserve">pagesë e cila </w:t>
      </w:r>
      <w:r w:rsidR="008B55C6" w:rsidRPr="00FE2647">
        <w:rPr>
          <w:rFonts w:asciiTheme="minorHAnsi" w:hAnsiTheme="minorHAnsi" w:cstheme="minorHAnsi"/>
          <w:lang w:val="sq-AL"/>
        </w:rPr>
        <w:t>përbën 2</w:t>
      </w:r>
      <w:r w:rsidR="008B55C6">
        <w:rPr>
          <w:rFonts w:asciiTheme="minorHAnsi" w:hAnsiTheme="minorHAnsi" w:cstheme="minorHAnsi"/>
          <w:lang w:val="sq-AL"/>
        </w:rPr>
        <w:t>4</w:t>
      </w:r>
      <w:r w:rsidR="008B55C6" w:rsidRPr="00FE2647">
        <w:rPr>
          <w:rFonts w:asciiTheme="minorHAnsi" w:hAnsiTheme="minorHAnsi" w:cstheme="minorHAnsi"/>
          <w:lang w:val="sq-AL"/>
        </w:rPr>
        <w:t>.</w:t>
      </w:r>
      <w:r w:rsidR="008B55C6">
        <w:rPr>
          <w:rFonts w:asciiTheme="minorHAnsi" w:hAnsiTheme="minorHAnsi" w:cstheme="minorHAnsi"/>
          <w:lang w:val="sq-AL"/>
        </w:rPr>
        <w:t>3</w:t>
      </w:r>
      <w:r w:rsidR="008B55C6" w:rsidRPr="00FE2647">
        <w:rPr>
          <w:rFonts w:asciiTheme="minorHAnsi" w:hAnsiTheme="minorHAnsi" w:cstheme="minorHAnsi"/>
          <w:lang w:val="sq-AL"/>
        </w:rPr>
        <w:t xml:space="preserve"> përqind të totalit</w:t>
      </w:r>
      <w:r w:rsidR="008B55C6" w:rsidRPr="004E4CF0">
        <w:rPr>
          <w:rFonts w:asciiTheme="minorHAnsi" w:hAnsiTheme="minorHAnsi" w:cstheme="minorHAnsi"/>
          <w:lang w:val="sq-AL"/>
        </w:rPr>
        <w:t xml:space="preserve"> të pagesave faktike të realizuara në muajin Maj</w:t>
      </w:r>
      <w:r w:rsidRPr="004E4CF0">
        <w:rPr>
          <w:rFonts w:asciiTheme="minorHAnsi" w:hAnsiTheme="minorHAnsi" w:cstheme="minorHAnsi"/>
          <w:lang w:val="sq-AL"/>
        </w:rPr>
        <w:t>.</w:t>
      </w:r>
    </w:p>
    <w:p w14:paraId="29A9952E" w14:textId="77777777" w:rsidR="00F07CFC" w:rsidRDefault="00F07CFC" w:rsidP="00CA740E">
      <w:pPr>
        <w:jc w:val="both"/>
        <w:rPr>
          <w:rFonts w:asciiTheme="minorHAnsi" w:hAnsiTheme="minorHAnsi"/>
          <w:b/>
          <w:lang w:val="sq-AL"/>
        </w:rPr>
      </w:pPr>
    </w:p>
    <w:p w14:paraId="69CCBECE" w14:textId="5266B802" w:rsidR="003E4318" w:rsidRDefault="003E4318" w:rsidP="00CA740E">
      <w:pPr>
        <w:jc w:val="both"/>
        <w:rPr>
          <w:rFonts w:asciiTheme="minorHAnsi" w:hAnsiTheme="minorHAnsi"/>
          <w:b/>
          <w:lang w:val="sq-AL"/>
        </w:rPr>
      </w:pPr>
    </w:p>
    <w:p w14:paraId="49ADFBB8" w14:textId="77777777" w:rsidR="008B55C6" w:rsidRDefault="008B55C6" w:rsidP="00CA740E">
      <w:pPr>
        <w:jc w:val="both"/>
        <w:rPr>
          <w:rFonts w:asciiTheme="minorHAnsi" w:hAnsiTheme="minorHAnsi"/>
          <w:b/>
          <w:lang w:val="sq-AL"/>
        </w:rPr>
      </w:pPr>
    </w:p>
    <w:p w14:paraId="6EC0CE68" w14:textId="77777777" w:rsidR="00FC6E77" w:rsidRPr="0065598A" w:rsidRDefault="00FC6E77" w:rsidP="00CA740E">
      <w:pPr>
        <w:jc w:val="both"/>
        <w:rPr>
          <w:rFonts w:asciiTheme="minorHAnsi" w:hAnsiTheme="minorHAnsi"/>
          <w:b/>
          <w:lang w:val="sq-AL"/>
        </w:rPr>
      </w:pPr>
      <w:r w:rsidRPr="00D36D71">
        <w:rPr>
          <w:rFonts w:asciiTheme="minorHAnsi" w:hAnsiTheme="minorHAnsi"/>
          <w:b/>
          <w:lang w:val="sq-AL"/>
        </w:rPr>
        <w:lastRenderedPageBreak/>
        <w:t xml:space="preserve">Respektimi i rregullit fiskal </w:t>
      </w:r>
      <w:r w:rsidR="00422501">
        <w:rPr>
          <w:rFonts w:asciiTheme="minorHAnsi" w:hAnsiTheme="minorHAnsi"/>
          <w:b/>
          <w:lang w:val="sq-AL"/>
        </w:rPr>
        <w:t xml:space="preserve">të PPP-ve, </w:t>
      </w:r>
      <w:r w:rsidRPr="00D36D71">
        <w:rPr>
          <w:rFonts w:asciiTheme="minorHAnsi" w:hAnsiTheme="minorHAnsi"/>
          <w:b/>
          <w:lang w:val="sq-AL"/>
        </w:rPr>
        <w:t>për vitin 202</w:t>
      </w:r>
      <w:r w:rsidR="00367A15">
        <w:rPr>
          <w:rFonts w:asciiTheme="minorHAnsi" w:hAnsiTheme="minorHAnsi"/>
          <w:b/>
          <w:lang w:val="sq-AL"/>
        </w:rPr>
        <w:t>3</w:t>
      </w:r>
    </w:p>
    <w:p w14:paraId="75BB695C" w14:textId="7411B04D" w:rsidR="00CA740E" w:rsidRPr="004E4CF0" w:rsidRDefault="00CA740E" w:rsidP="00CA740E">
      <w:pPr>
        <w:jc w:val="both"/>
        <w:rPr>
          <w:rFonts w:asciiTheme="minorHAnsi" w:hAnsiTheme="minorHAnsi" w:cstheme="minorHAnsi"/>
          <w:lang w:val="sq-AL"/>
        </w:rPr>
      </w:pPr>
      <w:r w:rsidRPr="004E4CF0">
        <w:rPr>
          <w:rFonts w:asciiTheme="minorHAnsi" w:hAnsiTheme="minorHAnsi" w:cstheme="minorHAnsi"/>
          <w:lang w:val="sq-AL"/>
        </w:rPr>
        <w:t xml:space="preserve">Kufiri i lejuar i pagesave neto për kontratat konçesionare/PPP për vitin </w:t>
      </w:r>
      <w:r w:rsidR="008B55C6" w:rsidRPr="004E4CF0">
        <w:rPr>
          <w:rFonts w:asciiTheme="minorHAnsi" w:hAnsiTheme="minorHAnsi" w:cstheme="minorHAnsi"/>
          <w:lang w:val="sq-AL"/>
        </w:rPr>
        <w:t>për vitin 202</w:t>
      </w:r>
      <w:r w:rsidR="008B55C6">
        <w:rPr>
          <w:rFonts w:asciiTheme="minorHAnsi" w:hAnsiTheme="minorHAnsi" w:cstheme="minorHAnsi"/>
          <w:lang w:val="sq-AL"/>
        </w:rPr>
        <w:t>3</w:t>
      </w:r>
      <w:r w:rsidR="008B55C6" w:rsidRPr="004E4CF0">
        <w:rPr>
          <w:rFonts w:asciiTheme="minorHAnsi" w:hAnsiTheme="minorHAnsi" w:cstheme="minorHAnsi"/>
          <w:lang w:val="sq-AL"/>
        </w:rPr>
        <w:t>, prej 5% i të ardhurave tatimore faktike të vitit 202</w:t>
      </w:r>
      <w:r w:rsidR="008B55C6">
        <w:rPr>
          <w:rFonts w:asciiTheme="minorHAnsi" w:hAnsiTheme="minorHAnsi" w:cstheme="minorHAnsi"/>
          <w:lang w:val="sq-AL"/>
        </w:rPr>
        <w:t>2</w:t>
      </w:r>
      <w:r w:rsidR="008B55C6" w:rsidRPr="004E4CF0">
        <w:rPr>
          <w:rFonts w:asciiTheme="minorHAnsi" w:hAnsiTheme="minorHAnsi" w:cstheme="minorHAnsi"/>
          <w:lang w:val="sq-AL"/>
        </w:rPr>
        <w:t>, përllogaritet në rreth 2</w:t>
      </w:r>
      <w:r w:rsidR="008B55C6">
        <w:rPr>
          <w:rFonts w:asciiTheme="minorHAnsi" w:hAnsiTheme="minorHAnsi" w:cstheme="minorHAnsi"/>
          <w:lang w:val="sq-AL"/>
        </w:rPr>
        <w:t>7</w:t>
      </w:r>
      <w:r w:rsidR="008B55C6" w:rsidRPr="004E4CF0">
        <w:rPr>
          <w:rFonts w:asciiTheme="minorHAnsi" w:hAnsiTheme="minorHAnsi" w:cstheme="minorHAnsi"/>
          <w:lang w:val="sq-AL"/>
        </w:rPr>
        <w:t>.</w:t>
      </w:r>
      <w:r w:rsidR="008B55C6">
        <w:rPr>
          <w:rFonts w:asciiTheme="minorHAnsi" w:hAnsiTheme="minorHAnsi" w:cstheme="minorHAnsi"/>
          <w:lang w:val="sq-AL"/>
        </w:rPr>
        <w:t>1</w:t>
      </w:r>
      <w:r w:rsidR="008B55C6" w:rsidRPr="004E4CF0">
        <w:rPr>
          <w:rFonts w:asciiTheme="minorHAnsi" w:hAnsiTheme="minorHAnsi" w:cstheme="minorHAnsi"/>
          <w:lang w:val="sq-AL"/>
        </w:rPr>
        <w:t xml:space="preserve"> miliard </w:t>
      </w:r>
      <w:r w:rsidR="008B55C6">
        <w:rPr>
          <w:rFonts w:asciiTheme="minorHAnsi" w:hAnsiTheme="minorHAnsi" w:cstheme="minorHAnsi"/>
          <w:lang w:val="sq-AL"/>
        </w:rPr>
        <w:t>lekë</w:t>
      </w:r>
      <w:r w:rsidRPr="004E4CF0">
        <w:rPr>
          <w:rFonts w:asciiTheme="minorHAnsi" w:hAnsiTheme="minorHAnsi" w:cstheme="minorHAnsi"/>
          <w:lang w:val="sq-AL"/>
        </w:rPr>
        <w:t xml:space="preserve">. </w:t>
      </w:r>
    </w:p>
    <w:p w14:paraId="31C5D8BF" w14:textId="40542E65" w:rsidR="00CA740E" w:rsidRPr="004E4CF0" w:rsidRDefault="00CA740E" w:rsidP="00CA740E">
      <w:pPr>
        <w:spacing w:before="240"/>
        <w:jc w:val="both"/>
        <w:rPr>
          <w:rFonts w:asciiTheme="minorHAnsi" w:hAnsiTheme="minorHAnsi" w:cstheme="minorHAnsi"/>
          <w:lang w:val="sq-AL"/>
        </w:rPr>
      </w:pPr>
      <w:r w:rsidRPr="004E4CF0">
        <w:rPr>
          <w:rFonts w:asciiTheme="minorHAnsi" w:hAnsiTheme="minorHAnsi" w:cstheme="minorHAnsi"/>
          <w:lang w:val="sq-AL"/>
        </w:rPr>
        <w:t xml:space="preserve">Në nivel vjetor, pagesat e planifikuara për vitin </w:t>
      </w:r>
      <w:r w:rsidR="008B55C6" w:rsidRPr="004E4CF0">
        <w:rPr>
          <w:rFonts w:asciiTheme="minorHAnsi" w:hAnsiTheme="minorHAnsi" w:cstheme="minorHAnsi"/>
          <w:lang w:val="sq-AL"/>
        </w:rPr>
        <w:t>202</w:t>
      </w:r>
      <w:r w:rsidR="008B55C6">
        <w:rPr>
          <w:rFonts w:asciiTheme="minorHAnsi" w:hAnsiTheme="minorHAnsi" w:cstheme="minorHAnsi"/>
          <w:lang w:val="sq-AL"/>
        </w:rPr>
        <w:t>3</w:t>
      </w:r>
      <w:r w:rsidR="008B55C6" w:rsidRPr="004E4CF0">
        <w:rPr>
          <w:rFonts w:asciiTheme="minorHAnsi" w:hAnsiTheme="minorHAnsi" w:cstheme="minorHAnsi"/>
          <w:lang w:val="sq-AL"/>
        </w:rPr>
        <w:t xml:space="preserve"> për kontratat koncesionare/P</w:t>
      </w:r>
      <w:r w:rsidR="008B55C6" w:rsidRPr="00FE2647">
        <w:rPr>
          <w:rFonts w:asciiTheme="minorHAnsi" w:hAnsiTheme="minorHAnsi" w:cstheme="minorHAnsi"/>
          <w:lang w:val="sq-AL"/>
        </w:rPr>
        <w:t xml:space="preserve">PP të raportuara nga Autoritetet Kontraktore përkatëse, </w:t>
      </w:r>
      <w:r w:rsidR="008B55C6" w:rsidRPr="00093DB9">
        <w:rPr>
          <w:rFonts w:asciiTheme="minorHAnsi" w:hAnsiTheme="minorHAnsi" w:cstheme="minorHAnsi"/>
          <w:lang w:val="sq-AL"/>
        </w:rPr>
        <w:t>përbëjnë 2.31 përqind</w:t>
      </w:r>
      <w:r w:rsidR="008B55C6" w:rsidRPr="004E4CF0">
        <w:rPr>
          <w:rFonts w:asciiTheme="minorHAnsi" w:hAnsiTheme="minorHAnsi" w:cstheme="minorHAnsi"/>
          <w:lang w:val="sq-AL"/>
        </w:rPr>
        <w:t xml:space="preserve"> të totalit të të ardhurave tatimore faktike të vitit 202</w:t>
      </w:r>
      <w:r w:rsidR="008B55C6">
        <w:rPr>
          <w:rFonts w:asciiTheme="minorHAnsi" w:hAnsiTheme="minorHAnsi" w:cstheme="minorHAnsi"/>
          <w:lang w:val="sq-AL"/>
        </w:rPr>
        <w:t>2</w:t>
      </w:r>
      <w:r w:rsidR="008B55C6" w:rsidRPr="004E4CF0">
        <w:rPr>
          <w:rFonts w:asciiTheme="minorHAnsi" w:hAnsiTheme="minorHAnsi" w:cstheme="minorHAnsi"/>
          <w:lang w:val="sq-AL"/>
        </w:rPr>
        <w:t xml:space="preserve">, duke respektuar </w:t>
      </w:r>
      <w:r w:rsidR="008B55C6">
        <w:rPr>
          <w:rFonts w:asciiTheme="minorHAnsi" w:hAnsiTheme="minorHAnsi" w:cstheme="minorHAnsi"/>
          <w:lang w:val="sq-AL"/>
        </w:rPr>
        <w:t xml:space="preserve">dukshëm </w:t>
      </w:r>
      <w:r w:rsidR="008B55C6" w:rsidRPr="004E4CF0">
        <w:rPr>
          <w:rFonts w:asciiTheme="minorHAnsi" w:hAnsiTheme="minorHAnsi" w:cstheme="minorHAnsi"/>
          <w:lang w:val="sq-AL"/>
        </w:rPr>
        <w:t xml:space="preserve">në këtë mënyrë rregullin fiskal prej </w:t>
      </w:r>
      <w:r w:rsidR="008B55C6" w:rsidRPr="003E4318">
        <w:rPr>
          <w:rFonts w:asciiTheme="minorHAnsi" w:hAnsiTheme="minorHAnsi" w:cstheme="minorHAnsi"/>
          <w:lang w:val="sq-AL"/>
        </w:rPr>
        <w:t>jo më shumë se</w:t>
      </w:r>
      <w:r w:rsidR="008B55C6">
        <w:rPr>
          <w:rFonts w:asciiTheme="minorHAnsi" w:hAnsiTheme="minorHAnsi" w:cstheme="minorHAnsi"/>
          <w:lang w:val="sq-AL"/>
        </w:rPr>
        <w:t xml:space="preserve"> </w:t>
      </w:r>
      <w:r w:rsidR="008B55C6" w:rsidRPr="004E4CF0">
        <w:rPr>
          <w:rFonts w:asciiTheme="minorHAnsi" w:hAnsiTheme="minorHAnsi" w:cstheme="minorHAnsi"/>
          <w:lang w:val="sq-AL"/>
        </w:rPr>
        <w:t>5% të të ardhurave tatimore faktike të vitit paraardhës</w:t>
      </w:r>
      <w:r w:rsidRPr="004E4CF0">
        <w:rPr>
          <w:rFonts w:asciiTheme="minorHAnsi" w:hAnsiTheme="minorHAnsi" w:cstheme="minorHAnsi"/>
          <w:lang w:val="sq-AL"/>
        </w:rPr>
        <w:t xml:space="preserve">. </w:t>
      </w:r>
    </w:p>
    <w:p w14:paraId="262AD591" w14:textId="77777777" w:rsidR="003E4318" w:rsidRDefault="003E4318" w:rsidP="00CA740E">
      <w:pPr>
        <w:spacing w:after="240"/>
        <w:contextualSpacing/>
        <w:rPr>
          <w:rFonts w:asciiTheme="minorHAnsi" w:hAnsiTheme="minorHAnsi"/>
          <w:bCs/>
          <w:i/>
          <w:sz w:val="22"/>
          <w:lang w:val="sq-AL"/>
        </w:rPr>
      </w:pPr>
    </w:p>
    <w:p w14:paraId="544FF357" w14:textId="6F74490E" w:rsidR="00FC6E77" w:rsidRPr="00F30139" w:rsidRDefault="00FC6E77" w:rsidP="00FC6E77">
      <w:pPr>
        <w:spacing w:after="240" w:line="276" w:lineRule="auto"/>
        <w:contextualSpacing/>
        <w:rPr>
          <w:rFonts w:asciiTheme="minorHAnsi" w:hAnsiTheme="minorHAnsi"/>
          <w:b/>
          <w:bCs/>
          <w:sz w:val="6"/>
          <w:szCs w:val="8"/>
          <w:lang w:val="sq-AL"/>
        </w:rPr>
      </w:pPr>
      <w:bookmarkStart w:id="159" w:name="_Toc107496763"/>
      <w:r w:rsidRPr="00F30139">
        <w:rPr>
          <w:rFonts w:asciiTheme="minorHAnsi" w:hAnsiTheme="minorHAnsi"/>
          <w:bCs/>
          <w:i/>
          <w:sz w:val="22"/>
          <w:lang w:val="sq-AL"/>
        </w:rPr>
        <w:t xml:space="preserve">Tabela </w:t>
      </w:r>
      <w:r w:rsidRPr="00F30139">
        <w:rPr>
          <w:rFonts w:asciiTheme="minorHAnsi" w:hAnsiTheme="minorHAnsi"/>
          <w:bCs/>
          <w:i/>
          <w:sz w:val="22"/>
          <w:lang w:val="sq-AL"/>
        </w:rPr>
        <w:fldChar w:fldCharType="begin"/>
      </w:r>
      <w:r w:rsidRPr="00F30139">
        <w:rPr>
          <w:rFonts w:asciiTheme="minorHAnsi" w:hAnsiTheme="minorHAnsi"/>
          <w:bCs/>
          <w:i/>
          <w:sz w:val="22"/>
          <w:lang w:val="sq-AL"/>
        </w:rPr>
        <w:instrText xml:space="preserve"> SEQ Tabela \* ARABIC </w:instrText>
      </w:r>
      <w:r w:rsidRPr="00F30139">
        <w:rPr>
          <w:rFonts w:asciiTheme="minorHAnsi" w:hAnsiTheme="minorHAnsi"/>
          <w:bCs/>
          <w:i/>
          <w:sz w:val="22"/>
          <w:lang w:val="sq-AL"/>
        </w:rPr>
        <w:fldChar w:fldCharType="separate"/>
      </w:r>
      <w:r w:rsidR="00C153A9">
        <w:rPr>
          <w:rFonts w:asciiTheme="minorHAnsi" w:hAnsiTheme="minorHAnsi"/>
          <w:bCs/>
          <w:i/>
          <w:noProof/>
          <w:sz w:val="22"/>
          <w:lang w:val="sq-AL"/>
        </w:rPr>
        <w:t>26</w:t>
      </w:r>
      <w:r w:rsidRPr="00F30139">
        <w:rPr>
          <w:rFonts w:asciiTheme="minorHAnsi" w:hAnsiTheme="minorHAnsi"/>
          <w:bCs/>
          <w:i/>
          <w:sz w:val="22"/>
          <w:lang w:val="sq-AL"/>
        </w:rPr>
        <w:fldChar w:fldCharType="end"/>
      </w:r>
      <w:r w:rsidRPr="00F30139">
        <w:rPr>
          <w:rFonts w:asciiTheme="minorHAnsi" w:hAnsiTheme="minorHAnsi"/>
          <w:bCs/>
          <w:i/>
          <w:sz w:val="22"/>
          <w:lang w:val="sq-AL"/>
        </w:rPr>
        <w:t>: Koncesionet/PP</w:t>
      </w:r>
      <w:r w:rsidR="00B13D14">
        <w:rPr>
          <w:rFonts w:asciiTheme="minorHAnsi" w:hAnsiTheme="minorHAnsi"/>
          <w:bCs/>
          <w:i/>
          <w:sz w:val="22"/>
          <w:lang w:val="sq-AL"/>
        </w:rPr>
        <w:t>P</w:t>
      </w:r>
      <w:r w:rsidRPr="00F30139">
        <w:rPr>
          <w:rFonts w:asciiTheme="minorHAnsi" w:hAnsiTheme="minorHAnsi"/>
          <w:bCs/>
          <w:i/>
          <w:sz w:val="22"/>
          <w:lang w:val="sq-AL"/>
        </w:rPr>
        <w:t>-të aktive me mbështetje nga buxheti i shtetit (në mijë LEK)</w:t>
      </w:r>
      <w:bookmarkEnd w:id="157"/>
      <w:bookmarkEnd w:id="159"/>
    </w:p>
    <w:p w14:paraId="1A373E61" w14:textId="54A0B952" w:rsidR="00FC6E77" w:rsidRDefault="00B13D14" w:rsidP="00FC6E77">
      <w:pPr>
        <w:spacing w:before="240" w:line="276" w:lineRule="auto"/>
        <w:ind w:left="-180"/>
        <w:contextualSpacing/>
        <w:jc w:val="center"/>
        <w:rPr>
          <w:rFonts w:asciiTheme="minorHAnsi" w:hAnsiTheme="minorHAnsi"/>
          <w:i/>
          <w:lang w:val="sq-AL"/>
        </w:rPr>
      </w:pPr>
      <w:r w:rsidRPr="009B5414">
        <w:rPr>
          <w:rFonts w:eastAsia="SimSun"/>
          <w:noProof/>
        </w:rPr>
        <w:drawing>
          <wp:inline distT="0" distB="0" distL="0" distR="0" wp14:anchorId="34F26E35" wp14:editId="30B18671">
            <wp:extent cx="6114415" cy="5321300"/>
            <wp:effectExtent l="0" t="0" r="635" b="0"/>
            <wp:docPr id="1087926023" name="Picture 1087926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6118153" cy="5324553"/>
                    </a:xfrm>
                    <a:prstGeom prst="rect">
                      <a:avLst/>
                    </a:prstGeom>
                    <a:noFill/>
                    <a:ln>
                      <a:noFill/>
                    </a:ln>
                  </pic:spPr>
                </pic:pic>
              </a:graphicData>
            </a:graphic>
          </wp:inline>
        </w:drawing>
      </w:r>
    </w:p>
    <w:p w14:paraId="5460C6AF" w14:textId="77777777" w:rsidR="00FC6E77" w:rsidRDefault="00193978" w:rsidP="00FC6E77">
      <w:pPr>
        <w:spacing w:line="276" w:lineRule="auto"/>
        <w:rPr>
          <w:rFonts w:asciiTheme="minorHAnsi" w:eastAsia="SimSun" w:hAnsiTheme="minorHAnsi"/>
          <w:i/>
          <w:sz w:val="20"/>
          <w:lang w:val="sq-AL"/>
        </w:rPr>
      </w:pPr>
      <w:r>
        <w:rPr>
          <w:rFonts w:asciiTheme="minorHAnsi" w:eastAsia="SimSun" w:hAnsiTheme="minorHAnsi"/>
          <w:i/>
          <w:sz w:val="20"/>
          <w:lang w:val="sq-AL"/>
        </w:rPr>
        <w:t>Burimi: Ministria e Financave dhe Ekonomisë (2023)</w:t>
      </w:r>
    </w:p>
    <w:p w14:paraId="1FB3114D" w14:textId="77777777" w:rsidR="0083048A" w:rsidRDefault="0083048A" w:rsidP="00FC6E77">
      <w:pPr>
        <w:spacing w:line="276" w:lineRule="auto"/>
        <w:rPr>
          <w:rFonts w:asciiTheme="minorHAnsi" w:eastAsia="SimSun" w:hAnsiTheme="minorHAnsi"/>
          <w:i/>
          <w:sz w:val="20"/>
          <w:lang w:val="sq-AL"/>
        </w:rPr>
      </w:pPr>
    </w:p>
    <w:p w14:paraId="33AB75C3" w14:textId="533407ED" w:rsidR="0083048A" w:rsidRDefault="0083048A" w:rsidP="00FC6E77">
      <w:pPr>
        <w:spacing w:line="276" w:lineRule="auto"/>
        <w:rPr>
          <w:rFonts w:asciiTheme="minorHAnsi" w:eastAsia="SimSun" w:hAnsiTheme="minorHAnsi"/>
          <w:i/>
          <w:sz w:val="20"/>
          <w:lang w:val="sq-AL"/>
        </w:rPr>
      </w:pPr>
    </w:p>
    <w:p w14:paraId="0E20E2A5" w14:textId="1EA39BBA" w:rsidR="00B13D14" w:rsidRDefault="00B13D14" w:rsidP="00FC6E77">
      <w:pPr>
        <w:spacing w:line="276" w:lineRule="auto"/>
        <w:rPr>
          <w:rFonts w:asciiTheme="minorHAnsi" w:eastAsia="SimSun" w:hAnsiTheme="minorHAnsi"/>
          <w:i/>
          <w:sz w:val="20"/>
          <w:lang w:val="sq-AL"/>
        </w:rPr>
      </w:pPr>
    </w:p>
    <w:p w14:paraId="0599E280" w14:textId="1E75E721" w:rsidR="00B13D14" w:rsidRDefault="00B13D14" w:rsidP="00FC6E77">
      <w:pPr>
        <w:spacing w:line="276" w:lineRule="auto"/>
        <w:rPr>
          <w:rFonts w:asciiTheme="minorHAnsi" w:eastAsia="SimSun" w:hAnsiTheme="minorHAnsi"/>
          <w:i/>
          <w:sz w:val="20"/>
          <w:lang w:val="sq-AL"/>
        </w:rPr>
      </w:pPr>
    </w:p>
    <w:p w14:paraId="2C309A95" w14:textId="0750514D" w:rsidR="00B13D14" w:rsidRDefault="00B13D14" w:rsidP="00FC6E77">
      <w:pPr>
        <w:spacing w:line="276" w:lineRule="auto"/>
        <w:rPr>
          <w:rFonts w:asciiTheme="minorHAnsi" w:eastAsia="SimSun" w:hAnsiTheme="minorHAnsi"/>
          <w:i/>
          <w:sz w:val="20"/>
          <w:lang w:val="sq-AL"/>
        </w:rPr>
      </w:pPr>
    </w:p>
    <w:p w14:paraId="2F4BB3AA" w14:textId="5644F0C9" w:rsidR="00B13D14" w:rsidRDefault="00B13D14" w:rsidP="00FC6E77">
      <w:pPr>
        <w:spacing w:line="276" w:lineRule="auto"/>
        <w:rPr>
          <w:rFonts w:asciiTheme="minorHAnsi" w:eastAsia="SimSun" w:hAnsiTheme="minorHAnsi"/>
          <w:i/>
          <w:sz w:val="20"/>
          <w:lang w:val="sq-AL"/>
        </w:rPr>
      </w:pPr>
    </w:p>
    <w:p w14:paraId="2DD635F9" w14:textId="49C6BB62" w:rsidR="00B13D14" w:rsidRDefault="00B13D14" w:rsidP="00FC6E77">
      <w:pPr>
        <w:spacing w:line="276" w:lineRule="auto"/>
        <w:rPr>
          <w:rFonts w:asciiTheme="minorHAnsi" w:eastAsia="SimSun" w:hAnsiTheme="minorHAnsi"/>
          <w:i/>
          <w:sz w:val="20"/>
          <w:lang w:val="sq-AL"/>
        </w:rPr>
      </w:pPr>
    </w:p>
    <w:p w14:paraId="680F67E1" w14:textId="77777777" w:rsidR="00B13D14" w:rsidRDefault="00B13D14" w:rsidP="00FC6E77">
      <w:pPr>
        <w:spacing w:line="276" w:lineRule="auto"/>
        <w:rPr>
          <w:rFonts w:asciiTheme="minorHAnsi" w:eastAsia="SimSun" w:hAnsiTheme="minorHAnsi"/>
          <w:i/>
          <w:sz w:val="20"/>
          <w:lang w:val="sq-AL"/>
        </w:rPr>
      </w:pPr>
    </w:p>
    <w:p w14:paraId="53D19BEC" w14:textId="77777777" w:rsidR="00562780" w:rsidRPr="004C6F8D" w:rsidRDefault="00562780" w:rsidP="00056DE5">
      <w:pPr>
        <w:pStyle w:val="Heading2"/>
        <w:numPr>
          <w:ilvl w:val="0"/>
          <w:numId w:val="20"/>
        </w:numPr>
        <w:ind w:hanging="720"/>
        <w:rPr>
          <w:sz w:val="26"/>
          <w:szCs w:val="26"/>
        </w:rPr>
      </w:pPr>
      <w:bookmarkStart w:id="160" w:name="_Toc10033287"/>
      <w:bookmarkStart w:id="161" w:name="_Toc10721424"/>
      <w:bookmarkStart w:id="162" w:name="_Toc11134244"/>
      <w:bookmarkStart w:id="163" w:name="_Toc107497003"/>
      <w:r w:rsidRPr="004C6F8D">
        <w:rPr>
          <w:sz w:val="26"/>
          <w:szCs w:val="26"/>
        </w:rPr>
        <w:lastRenderedPageBreak/>
        <w:t>Detyrime të tjera Kontigjente</w:t>
      </w:r>
      <w:bookmarkEnd w:id="160"/>
      <w:bookmarkEnd w:id="161"/>
      <w:bookmarkEnd w:id="162"/>
      <w:bookmarkEnd w:id="163"/>
    </w:p>
    <w:p w14:paraId="2B577DA9" w14:textId="77777777" w:rsidR="00562780" w:rsidRPr="004C6F8D" w:rsidRDefault="00562780" w:rsidP="00056DE5">
      <w:pPr>
        <w:pStyle w:val="Heading2"/>
        <w:numPr>
          <w:ilvl w:val="0"/>
          <w:numId w:val="21"/>
        </w:numPr>
        <w:ind w:left="360"/>
        <w:rPr>
          <w:sz w:val="26"/>
          <w:szCs w:val="26"/>
        </w:rPr>
      </w:pPr>
      <w:bookmarkStart w:id="164" w:name="_Toc11134245"/>
      <w:bookmarkStart w:id="165" w:name="_Toc107497004"/>
      <w:r w:rsidRPr="004C6F8D">
        <w:rPr>
          <w:sz w:val="26"/>
          <w:szCs w:val="26"/>
        </w:rPr>
        <w:t>Vendimet e Gjykatës së të Drejtave të Njeriut në Strasburg (GJEDNJ)</w:t>
      </w:r>
      <w:bookmarkEnd w:id="164"/>
      <w:bookmarkEnd w:id="165"/>
      <w:r w:rsidRPr="004C6F8D">
        <w:rPr>
          <w:sz w:val="26"/>
          <w:szCs w:val="26"/>
        </w:rPr>
        <w:t xml:space="preserve"> </w:t>
      </w:r>
    </w:p>
    <w:p w14:paraId="567C7677" w14:textId="77777777" w:rsidR="00FF4AD5" w:rsidRPr="00FF4AD5" w:rsidRDefault="00FF4AD5" w:rsidP="00FF4AD5">
      <w:pPr>
        <w:spacing w:after="200" w:line="276" w:lineRule="auto"/>
        <w:contextualSpacing/>
        <w:jc w:val="both"/>
        <w:rPr>
          <w:rFonts w:asciiTheme="minorHAnsi" w:hAnsiTheme="minorHAnsi"/>
          <w:sz w:val="8"/>
          <w:szCs w:val="8"/>
          <w:lang w:val="sq-AL"/>
        </w:rPr>
      </w:pPr>
    </w:p>
    <w:p w14:paraId="7FD9844D" w14:textId="77777777" w:rsidR="0083048A" w:rsidRPr="0083048A" w:rsidRDefault="00E2618C" w:rsidP="00B13D14">
      <w:pPr>
        <w:contextualSpacing/>
        <w:jc w:val="both"/>
        <w:rPr>
          <w:rFonts w:asciiTheme="minorHAnsi" w:hAnsiTheme="minorHAnsi"/>
          <w:lang w:val="sq-AL"/>
        </w:rPr>
      </w:pPr>
      <w:r w:rsidRPr="0083048A">
        <w:rPr>
          <w:rFonts w:asciiTheme="minorHAnsi" w:hAnsiTheme="minorHAnsi"/>
          <w:lang w:val="sq-AL"/>
        </w:rPr>
        <w:t xml:space="preserve">Këto vendime kanë të bëjnë kryesisht me çështje që lidhen me kthimin dhe kompensimin e pronave tek ish-pronarët. Sipas Avokaturës së Shtetit, risqet financiare që burojnë nga vendimet e GJEDNJ janë të karakterizuara nga një aftësi e dobët parashikuese, përsa kohë që kjo Gjykatë nuk funksionon me një kalendar të përcaktuar për komunikimin e çështjeve dhe nxjerrjen e vendimeve. </w:t>
      </w:r>
      <w:r w:rsidR="00016ECD" w:rsidRPr="0083048A">
        <w:rPr>
          <w:rFonts w:asciiTheme="minorHAnsi" w:hAnsiTheme="minorHAnsi"/>
          <w:lang w:val="sq-AL"/>
        </w:rPr>
        <w:t xml:space="preserve">MFE </w:t>
      </w:r>
      <w:r w:rsidRPr="0083048A">
        <w:rPr>
          <w:rFonts w:asciiTheme="minorHAnsi" w:hAnsiTheme="minorHAnsi"/>
          <w:lang w:val="sq-AL"/>
        </w:rPr>
        <w:t>ka respektuar në vazhdimësi të gjitha vendimet e miratuara nga GJEDNJ, përmes likujdimit të VKM respektive miratuar në mbështetje të tyre, me përpikmëri dhe brenda afateve strikte të përcaktuara prej këtij organi. Kjo, duke konsideruar faktin se kur pagesat nuk kryhen brenda afatit tre mujor nga data kur vendimi përkatës merr formën e prerë, shteti shqiptar ngarkohet me pagesën e një kamatë-vonese për çdo ditë vonesë. Sidoqoftë, për garantimin e shlyerjes në kohë të këtyre vendimeve, MFE ka rekomanduar vazhdimisht përdorimin e të gjitha kanaleve të mundshme institucionale dhe proceduriale, brenda hapësirave që siguron kuadri ligjor në fuqi, duke sugjeruar skedulimin e detyrimit financiar, sipas mundësive të buxhetit të shtetit me kë</w:t>
      </w:r>
      <w:r w:rsidR="00016ECD" w:rsidRPr="0083048A">
        <w:rPr>
          <w:rFonts w:asciiTheme="minorHAnsi" w:hAnsiTheme="minorHAnsi"/>
          <w:lang w:val="sq-AL"/>
        </w:rPr>
        <w:t xml:space="preserve">ste, në negocim me përfituesit. </w:t>
      </w:r>
    </w:p>
    <w:p w14:paraId="56B56C57" w14:textId="77777777" w:rsidR="00E2618C" w:rsidRPr="0083048A" w:rsidRDefault="00E2618C" w:rsidP="00B13D14">
      <w:pPr>
        <w:contextualSpacing/>
        <w:jc w:val="both"/>
        <w:rPr>
          <w:rFonts w:asciiTheme="minorHAnsi" w:hAnsiTheme="minorHAnsi"/>
          <w:lang w:val="sq-AL"/>
        </w:rPr>
      </w:pPr>
      <w:r w:rsidRPr="0083048A">
        <w:rPr>
          <w:rFonts w:asciiTheme="minorHAnsi" w:hAnsiTheme="minorHAnsi"/>
          <w:lang w:val="sq-AL"/>
        </w:rPr>
        <w:t>Ndërkohë, hyrja në fuqi më datë 30.12.2018 e ndryshimeve në ligjin “</w:t>
      </w:r>
      <w:r w:rsidRPr="0083048A">
        <w:rPr>
          <w:rFonts w:asciiTheme="minorHAnsi" w:hAnsiTheme="minorHAnsi"/>
          <w:i/>
          <w:lang w:val="sq-AL"/>
        </w:rPr>
        <w:t>Për Avokaturën e Shtetit</w:t>
      </w:r>
      <w:r w:rsidRPr="0083048A">
        <w:rPr>
          <w:rFonts w:asciiTheme="minorHAnsi" w:hAnsiTheme="minorHAnsi"/>
          <w:lang w:val="sq-AL"/>
        </w:rPr>
        <w:t xml:space="preserve">”, përmban një kre të veçantë dedikuar ekzekutimit të vendimeve të GJEDNJ, ku specifikisht në nenin 19/4 përcaktohen </w:t>
      </w:r>
      <w:r w:rsidR="00653723" w:rsidRPr="0083048A">
        <w:rPr>
          <w:rFonts w:asciiTheme="minorHAnsi" w:hAnsiTheme="minorHAnsi"/>
          <w:lang w:val="sq-AL"/>
        </w:rPr>
        <w:t>dy</w:t>
      </w:r>
      <w:r w:rsidRPr="0083048A">
        <w:rPr>
          <w:rFonts w:asciiTheme="minorHAnsi" w:hAnsiTheme="minorHAnsi"/>
          <w:lang w:val="sq-AL"/>
        </w:rPr>
        <w:t xml:space="preserve"> mënyra ekzekutimi të shpërblimit:</w:t>
      </w:r>
    </w:p>
    <w:p w14:paraId="090A34E1" w14:textId="387267B7" w:rsidR="00CA740E" w:rsidRPr="0083048A" w:rsidRDefault="00CA740E" w:rsidP="00B13D14">
      <w:pPr>
        <w:numPr>
          <w:ilvl w:val="0"/>
          <w:numId w:val="9"/>
        </w:numPr>
        <w:ind w:left="360"/>
        <w:contextualSpacing/>
        <w:jc w:val="both"/>
        <w:rPr>
          <w:rFonts w:asciiTheme="minorHAnsi" w:eastAsia="MS Mincho" w:hAnsiTheme="minorHAnsi"/>
          <w:i/>
          <w:lang w:val="sq-AL"/>
        </w:rPr>
      </w:pPr>
      <w:r w:rsidRPr="0083048A">
        <w:rPr>
          <w:rFonts w:asciiTheme="minorHAnsi" w:eastAsia="MS Mincho" w:hAnsiTheme="minorHAnsi"/>
          <w:i/>
          <w:lang w:val="sq-AL"/>
        </w:rPr>
        <w:t xml:space="preserve">Detyrimet financiare që burojnë nga vendimet e GJEDNJ-së mbulohen nga buxheti i shtetit, sipas përcaktimeve të parashikuara në </w:t>
      </w:r>
      <w:r w:rsidR="00B13D14">
        <w:rPr>
          <w:rFonts w:asciiTheme="minorHAnsi" w:eastAsia="MS Mincho" w:hAnsiTheme="minorHAnsi"/>
          <w:i/>
          <w:lang w:val="sq-AL"/>
        </w:rPr>
        <w:t>VKM</w:t>
      </w:r>
      <w:r w:rsidRPr="0083048A">
        <w:rPr>
          <w:rFonts w:asciiTheme="minorHAnsi" w:eastAsia="MS Mincho" w:hAnsiTheme="minorHAnsi"/>
          <w:i/>
          <w:lang w:val="sq-AL"/>
        </w:rPr>
        <w:t xml:space="preserve"> për ekzekutimin e vendimit të GJEDNJ.</w:t>
      </w:r>
    </w:p>
    <w:p w14:paraId="679B4519" w14:textId="729FD0CD" w:rsidR="00CA740E" w:rsidRPr="0083048A" w:rsidRDefault="00CA740E" w:rsidP="00B13D14">
      <w:pPr>
        <w:numPr>
          <w:ilvl w:val="0"/>
          <w:numId w:val="9"/>
        </w:numPr>
        <w:ind w:left="360"/>
        <w:contextualSpacing/>
        <w:jc w:val="both"/>
        <w:rPr>
          <w:rFonts w:asciiTheme="minorHAnsi" w:eastAsia="MS Mincho" w:hAnsiTheme="minorHAnsi"/>
          <w:i/>
          <w:lang w:val="sq-AL"/>
        </w:rPr>
      </w:pPr>
      <w:r w:rsidRPr="0083048A">
        <w:rPr>
          <w:rFonts w:asciiTheme="minorHAnsi" w:eastAsia="MS Mincho" w:hAnsiTheme="minorHAnsi"/>
          <w:i/>
          <w:lang w:val="sq-AL"/>
        </w:rPr>
        <w:t xml:space="preserve">Përjashtimisht, për detyrimet financiare deri në 10.000 (dhjetë mijë) euro, pagesa ekzekutohet në mënyrë të drejtpërdrejtë nga ministria përgjegjëse për financat, pas kërkesës zyrtare të </w:t>
      </w:r>
      <w:r w:rsidR="00B13D14">
        <w:rPr>
          <w:rFonts w:asciiTheme="minorHAnsi" w:eastAsia="MS Mincho" w:hAnsiTheme="minorHAnsi"/>
          <w:i/>
          <w:lang w:val="sq-AL"/>
        </w:rPr>
        <w:t>Av</w:t>
      </w:r>
      <w:r w:rsidRPr="0083048A">
        <w:rPr>
          <w:rFonts w:asciiTheme="minorHAnsi" w:eastAsia="MS Mincho" w:hAnsiTheme="minorHAnsi"/>
          <w:i/>
          <w:lang w:val="sq-AL"/>
        </w:rPr>
        <w:t>.</w:t>
      </w:r>
      <w:r w:rsidR="00B13D14">
        <w:rPr>
          <w:rFonts w:asciiTheme="minorHAnsi" w:eastAsia="MS Mincho" w:hAnsiTheme="minorHAnsi"/>
          <w:i/>
          <w:lang w:val="sq-AL"/>
        </w:rPr>
        <w:t>Sh.</w:t>
      </w:r>
    </w:p>
    <w:p w14:paraId="248259AA" w14:textId="77777777" w:rsidR="00B13D14" w:rsidRPr="00B13D14" w:rsidRDefault="00B13D14" w:rsidP="00B13D14">
      <w:pPr>
        <w:contextualSpacing/>
        <w:jc w:val="both"/>
        <w:rPr>
          <w:rFonts w:asciiTheme="minorHAnsi" w:hAnsiTheme="minorHAnsi"/>
          <w:sz w:val="8"/>
          <w:szCs w:val="8"/>
          <w:lang w:val="sq-AL"/>
        </w:rPr>
      </w:pPr>
    </w:p>
    <w:p w14:paraId="76C5668D" w14:textId="781A502A" w:rsidR="0083048A" w:rsidRPr="0083048A" w:rsidRDefault="00E2618C" w:rsidP="00B13D14">
      <w:pPr>
        <w:contextualSpacing/>
        <w:jc w:val="both"/>
        <w:rPr>
          <w:rFonts w:asciiTheme="minorHAnsi" w:eastAsia="MS Mincho" w:hAnsiTheme="minorHAnsi"/>
          <w:i/>
          <w:lang w:val="sq-AL"/>
        </w:rPr>
      </w:pPr>
      <w:r w:rsidRPr="0083048A">
        <w:rPr>
          <w:rFonts w:asciiTheme="minorHAnsi" w:hAnsiTheme="minorHAnsi"/>
          <w:lang w:val="sq-AL"/>
        </w:rPr>
        <w:t>Për periudhën Janar</w:t>
      </w:r>
      <w:r w:rsidR="00B13D14">
        <w:rPr>
          <w:rFonts w:asciiTheme="minorHAnsi" w:hAnsiTheme="minorHAnsi"/>
          <w:lang w:val="sq-AL"/>
        </w:rPr>
        <w:t>-</w:t>
      </w:r>
      <w:r w:rsidR="00CA740E" w:rsidRPr="0083048A">
        <w:rPr>
          <w:rFonts w:asciiTheme="minorHAnsi" w:hAnsiTheme="minorHAnsi"/>
          <w:lang w:val="sq-AL"/>
        </w:rPr>
        <w:t xml:space="preserve">Qershor </w:t>
      </w:r>
      <w:r w:rsidR="00B13D14" w:rsidRPr="0083048A">
        <w:rPr>
          <w:rFonts w:asciiTheme="minorHAnsi" w:hAnsiTheme="minorHAnsi"/>
          <w:lang w:val="sq-AL"/>
        </w:rPr>
        <w:t>202</w:t>
      </w:r>
      <w:r w:rsidR="00B13D14">
        <w:rPr>
          <w:rFonts w:asciiTheme="minorHAnsi" w:hAnsiTheme="minorHAnsi"/>
          <w:lang w:val="sq-AL"/>
        </w:rPr>
        <w:t>3</w:t>
      </w:r>
      <w:r w:rsidR="00B13D14" w:rsidRPr="0083048A">
        <w:rPr>
          <w:rFonts w:asciiTheme="minorHAnsi" w:hAnsiTheme="minorHAnsi"/>
          <w:lang w:val="sq-AL"/>
        </w:rPr>
        <w:t xml:space="preserve">, </w:t>
      </w:r>
      <w:r w:rsidR="00B13D14">
        <w:rPr>
          <w:rFonts w:asciiTheme="minorHAnsi" w:hAnsiTheme="minorHAnsi"/>
          <w:lang w:val="sq-AL"/>
        </w:rPr>
        <w:t>në Ministrinë e Financave dhe Ekonomisë nuk ka ardhur për zbatim asnjë VKM</w:t>
      </w:r>
      <w:r w:rsidR="00B13D14" w:rsidRPr="0083048A">
        <w:rPr>
          <w:rFonts w:asciiTheme="minorHAnsi" w:eastAsia="MS Mincho" w:hAnsiTheme="minorHAnsi"/>
          <w:lang w:val="sq-AL"/>
        </w:rPr>
        <w:t xml:space="preserve"> </w:t>
      </w:r>
      <w:r w:rsidR="00B13D14">
        <w:rPr>
          <w:rFonts w:asciiTheme="minorHAnsi" w:eastAsia="MS Mincho" w:hAnsiTheme="minorHAnsi"/>
          <w:lang w:val="sq-AL"/>
        </w:rPr>
        <w:t>lidhur me ekzekutimin e</w:t>
      </w:r>
      <w:r w:rsidR="00B13D14" w:rsidRPr="0083048A">
        <w:rPr>
          <w:rFonts w:asciiTheme="minorHAnsi" w:eastAsia="MS Mincho" w:hAnsiTheme="minorHAnsi"/>
          <w:lang w:val="sq-AL"/>
        </w:rPr>
        <w:t xml:space="preserve"> vendimeve të GJEDNJ-së</w:t>
      </w:r>
      <w:r w:rsidR="00B13D14">
        <w:rPr>
          <w:rFonts w:asciiTheme="minorHAnsi" w:eastAsia="MS Mincho" w:hAnsiTheme="minorHAnsi"/>
          <w:lang w:val="sq-AL"/>
        </w:rPr>
        <w:t xml:space="preserve"> me detyrim financiar mbi 10.000 Euro dhe as vendime për ekzekutim nën këtë vlerë.</w:t>
      </w:r>
      <w:r w:rsidR="0083048A" w:rsidRPr="0083048A">
        <w:rPr>
          <w:rFonts w:asciiTheme="minorHAnsi" w:eastAsia="MS Mincho" w:hAnsiTheme="minorHAnsi"/>
          <w:i/>
          <w:lang w:val="sq-AL"/>
        </w:rPr>
        <w:t xml:space="preserve"> </w:t>
      </w:r>
      <w:r w:rsidR="00B13D14">
        <w:rPr>
          <w:rFonts w:asciiTheme="minorHAnsi" w:hAnsiTheme="minorHAnsi"/>
          <w:lang w:val="sq-AL"/>
        </w:rPr>
        <w:t>Mëposhtë paraqitet tabela përmbledhëse e detyrimeve faktike dhe kontigjente për vendimet e Gjykatës Evropiane të të Drejtave të Njeriut, për periudhën deri në Qershor 2023:</w:t>
      </w:r>
    </w:p>
    <w:p w14:paraId="0DFC1FC5" w14:textId="77777777" w:rsidR="0083048A" w:rsidRPr="0083048A" w:rsidRDefault="0083048A" w:rsidP="0083048A">
      <w:pPr>
        <w:jc w:val="both"/>
        <w:rPr>
          <w:rFonts w:asciiTheme="minorHAnsi" w:eastAsia="MS Mincho" w:hAnsiTheme="minorHAnsi"/>
          <w:sz w:val="8"/>
          <w:szCs w:val="8"/>
          <w:lang w:val="sq-AL"/>
        </w:rPr>
      </w:pPr>
    </w:p>
    <w:p w14:paraId="5D85D827" w14:textId="5AE93488" w:rsidR="00016ECD" w:rsidRPr="00D407A2" w:rsidRDefault="0068071B" w:rsidP="0083048A">
      <w:pPr>
        <w:ind w:left="360" w:hanging="360"/>
        <w:contextualSpacing/>
        <w:rPr>
          <w:rFonts w:asciiTheme="minorHAnsi" w:hAnsiTheme="minorHAnsi"/>
          <w:b/>
          <w:bCs/>
          <w:sz w:val="6"/>
          <w:szCs w:val="8"/>
          <w:lang w:val="sq-AL"/>
        </w:rPr>
      </w:pPr>
      <w:bookmarkStart w:id="166" w:name="_Toc107496764"/>
      <w:r w:rsidRPr="00343167">
        <w:rPr>
          <w:rFonts w:asciiTheme="minorHAnsi" w:hAnsiTheme="minorHAnsi"/>
          <w:bCs/>
          <w:i/>
          <w:noProof/>
          <w:sz w:val="22"/>
        </w:rPr>
        <w:t xml:space="preserve">Tabela </w:t>
      </w:r>
      <w:r w:rsidRPr="00343167">
        <w:rPr>
          <w:rFonts w:asciiTheme="minorHAnsi" w:hAnsiTheme="minorHAnsi"/>
          <w:bCs/>
          <w:i/>
          <w:noProof/>
          <w:sz w:val="22"/>
        </w:rPr>
        <w:fldChar w:fldCharType="begin"/>
      </w:r>
      <w:r w:rsidRPr="00343167">
        <w:rPr>
          <w:rFonts w:asciiTheme="minorHAnsi" w:hAnsiTheme="minorHAnsi"/>
          <w:bCs/>
          <w:i/>
          <w:noProof/>
          <w:sz w:val="22"/>
        </w:rPr>
        <w:instrText xml:space="preserve"> SEQ Tabela \* ARABIC </w:instrText>
      </w:r>
      <w:r w:rsidRPr="00343167">
        <w:rPr>
          <w:rFonts w:asciiTheme="minorHAnsi" w:hAnsiTheme="minorHAnsi"/>
          <w:bCs/>
          <w:i/>
          <w:noProof/>
          <w:sz w:val="22"/>
        </w:rPr>
        <w:fldChar w:fldCharType="separate"/>
      </w:r>
      <w:r w:rsidR="00C153A9">
        <w:rPr>
          <w:rFonts w:asciiTheme="minorHAnsi" w:hAnsiTheme="minorHAnsi"/>
          <w:bCs/>
          <w:i/>
          <w:noProof/>
          <w:sz w:val="22"/>
        </w:rPr>
        <w:t>27</w:t>
      </w:r>
      <w:r w:rsidRPr="00343167">
        <w:rPr>
          <w:rFonts w:asciiTheme="minorHAnsi" w:hAnsiTheme="minorHAnsi"/>
          <w:bCs/>
          <w:i/>
          <w:noProof/>
          <w:sz w:val="22"/>
        </w:rPr>
        <w:fldChar w:fldCharType="end"/>
      </w:r>
      <w:r>
        <w:rPr>
          <w:rFonts w:asciiTheme="minorHAnsi" w:hAnsiTheme="minorHAnsi"/>
          <w:bCs/>
          <w:i/>
          <w:noProof/>
          <w:sz w:val="22"/>
        </w:rPr>
        <w:t>:</w:t>
      </w:r>
      <w:r w:rsidR="00016ECD" w:rsidRPr="00F30139">
        <w:rPr>
          <w:rFonts w:asciiTheme="minorHAnsi" w:hAnsiTheme="minorHAnsi"/>
          <w:bCs/>
          <w:i/>
          <w:sz w:val="22"/>
          <w:lang w:val="sq-AL"/>
        </w:rPr>
        <w:t xml:space="preserve"> </w:t>
      </w:r>
      <w:r w:rsidR="00016ECD">
        <w:rPr>
          <w:rFonts w:asciiTheme="minorHAnsi" w:hAnsiTheme="minorHAnsi"/>
          <w:bCs/>
          <w:i/>
          <w:sz w:val="22"/>
          <w:lang w:val="sq-AL"/>
        </w:rPr>
        <w:t>Detyrimet faktike dhe kontigjente nga vendimet e GJEDNJ-së</w:t>
      </w:r>
      <w:r w:rsidR="00016ECD" w:rsidRPr="00F30139">
        <w:rPr>
          <w:rFonts w:asciiTheme="minorHAnsi" w:hAnsiTheme="minorHAnsi"/>
          <w:bCs/>
          <w:i/>
          <w:sz w:val="22"/>
          <w:lang w:val="sq-AL"/>
        </w:rPr>
        <w:t xml:space="preserve"> (në </w:t>
      </w:r>
      <w:r w:rsidR="00016ECD">
        <w:rPr>
          <w:rFonts w:asciiTheme="minorHAnsi" w:hAnsiTheme="minorHAnsi"/>
          <w:bCs/>
          <w:i/>
          <w:sz w:val="22"/>
          <w:lang w:val="sq-AL"/>
        </w:rPr>
        <w:t>Euro</w:t>
      </w:r>
      <w:r w:rsidR="00016ECD" w:rsidRPr="00F30139">
        <w:rPr>
          <w:rFonts w:asciiTheme="minorHAnsi" w:hAnsiTheme="minorHAnsi"/>
          <w:bCs/>
          <w:i/>
          <w:sz w:val="22"/>
          <w:lang w:val="sq-AL"/>
        </w:rPr>
        <w:t>)</w:t>
      </w:r>
      <w:bookmarkEnd w:id="166"/>
    </w:p>
    <w:p w14:paraId="72C22941" w14:textId="34526DEA" w:rsidR="00016ECD" w:rsidRDefault="00B13D14" w:rsidP="00B13D14">
      <w:pPr>
        <w:contextualSpacing/>
        <w:jc w:val="center"/>
        <w:rPr>
          <w:rFonts w:eastAsia="Calibri"/>
          <w:noProof/>
        </w:rPr>
      </w:pPr>
      <w:r w:rsidRPr="002C0304">
        <w:rPr>
          <w:rFonts w:eastAsia="Calibri"/>
          <w:noProof/>
        </w:rPr>
        <w:drawing>
          <wp:inline distT="0" distB="0" distL="0" distR="0" wp14:anchorId="594F8C16" wp14:editId="202BB19E">
            <wp:extent cx="5568315" cy="34036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582136" cy="3412048"/>
                    </a:xfrm>
                    <a:prstGeom prst="rect">
                      <a:avLst/>
                    </a:prstGeom>
                    <a:noFill/>
                    <a:ln>
                      <a:noFill/>
                    </a:ln>
                  </pic:spPr>
                </pic:pic>
              </a:graphicData>
            </a:graphic>
          </wp:inline>
        </w:drawing>
      </w:r>
    </w:p>
    <w:p w14:paraId="1DB5A1B2" w14:textId="1E10076C" w:rsidR="00016ECD" w:rsidRDefault="00016ECD" w:rsidP="00B13D14">
      <w:pPr>
        <w:spacing w:line="276" w:lineRule="auto"/>
        <w:ind w:firstLine="720"/>
        <w:rPr>
          <w:rFonts w:asciiTheme="minorHAnsi" w:eastAsia="SimSun" w:hAnsiTheme="minorHAnsi"/>
          <w:i/>
          <w:sz w:val="18"/>
          <w:lang w:val="sq-AL"/>
        </w:rPr>
      </w:pPr>
      <w:r w:rsidRPr="00016ECD">
        <w:rPr>
          <w:rFonts w:asciiTheme="minorHAnsi" w:eastAsia="SimSun" w:hAnsiTheme="minorHAnsi"/>
          <w:i/>
          <w:sz w:val="18"/>
          <w:lang w:val="sq-AL"/>
        </w:rPr>
        <w:t>Burimi: Avokatura e Shtetit, Ministria e Financave dhe Ekonomisë (202</w:t>
      </w:r>
      <w:r w:rsidR="00B13D14">
        <w:rPr>
          <w:rFonts w:asciiTheme="minorHAnsi" w:eastAsia="SimSun" w:hAnsiTheme="minorHAnsi"/>
          <w:i/>
          <w:sz w:val="18"/>
          <w:lang w:val="sq-AL"/>
        </w:rPr>
        <w:t>3</w:t>
      </w:r>
      <w:r w:rsidRPr="00016ECD">
        <w:rPr>
          <w:rFonts w:asciiTheme="minorHAnsi" w:eastAsia="SimSun" w:hAnsiTheme="minorHAnsi"/>
          <w:i/>
          <w:sz w:val="18"/>
          <w:lang w:val="sq-AL"/>
        </w:rPr>
        <w:t>)</w:t>
      </w:r>
    </w:p>
    <w:p w14:paraId="5C08DF89" w14:textId="77777777" w:rsidR="0083048A" w:rsidRDefault="0083048A" w:rsidP="00016ECD">
      <w:pPr>
        <w:spacing w:line="276" w:lineRule="auto"/>
        <w:rPr>
          <w:rFonts w:asciiTheme="minorHAnsi" w:eastAsia="SimSun" w:hAnsiTheme="minorHAnsi"/>
          <w:i/>
          <w:sz w:val="18"/>
          <w:lang w:val="sq-AL"/>
        </w:rPr>
      </w:pPr>
    </w:p>
    <w:p w14:paraId="5B747B9C" w14:textId="77777777" w:rsidR="00562780" w:rsidRPr="004C6F8D" w:rsidRDefault="00562780" w:rsidP="00056DE5">
      <w:pPr>
        <w:pStyle w:val="Heading2"/>
        <w:numPr>
          <w:ilvl w:val="0"/>
          <w:numId w:val="22"/>
        </w:numPr>
        <w:ind w:left="810" w:hanging="810"/>
        <w:rPr>
          <w:sz w:val="26"/>
          <w:szCs w:val="26"/>
        </w:rPr>
      </w:pPr>
      <w:bookmarkStart w:id="167" w:name="_Toc11134246"/>
      <w:bookmarkStart w:id="168" w:name="_Toc107497005"/>
      <w:r w:rsidRPr="004C6F8D">
        <w:rPr>
          <w:sz w:val="26"/>
          <w:szCs w:val="26"/>
        </w:rPr>
        <w:lastRenderedPageBreak/>
        <w:t>Vendimet e Gjykatës Ndërkombëtare të ARBITRAZHIT</w:t>
      </w:r>
      <w:bookmarkEnd w:id="167"/>
      <w:bookmarkEnd w:id="168"/>
      <w:r w:rsidRPr="004C6F8D">
        <w:rPr>
          <w:sz w:val="26"/>
          <w:szCs w:val="26"/>
        </w:rPr>
        <w:t xml:space="preserve"> </w:t>
      </w:r>
    </w:p>
    <w:p w14:paraId="1EB6FEA5" w14:textId="77777777" w:rsidR="00FF4AD5" w:rsidRPr="00FF4AD5" w:rsidRDefault="00FF4AD5" w:rsidP="00FF4AD5">
      <w:pPr>
        <w:spacing w:line="276" w:lineRule="auto"/>
        <w:contextualSpacing/>
        <w:jc w:val="both"/>
        <w:rPr>
          <w:rFonts w:asciiTheme="minorHAnsi" w:hAnsiTheme="minorHAnsi"/>
          <w:sz w:val="8"/>
          <w:szCs w:val="8"/>
          <w:lang w:val="sq-AL"/>
        </w:rPr>
      </w:pPr>
    </w:p>
    <w:p w14:paraId="6D53B3CA" w14:textId="77777777" w:rsidR="00545CF4" w:rsidRDefault="00DA03D6" w:rsidP="00DA03D6">
      <w:pPr>
        <w:spacing w:line="276" w:lineRule="auto"/>
        <w:contextualSpacing/>
        <w:jc w:val="both"/>
        <w:rPr>
          <w:rFonts w:asciiTheme="minorHAnsi" w:hAnsiTheme="minorHAnsi"/>
          <w:lang w:val="sq-AL"/>
        </w:rPr>
      </w:pPr>
      <w:r>
        <w:rPr>
          <w:rFonts w:asciiTheme="minorHAnsi" w:hAnsiTheme="minorHAnsi"/>
          <w:lang w:val="sq-AL"/>
        </w:rPr>
        <w:t>Këto vendime</w:t>
      </w:r>
      <w:r w:rsidRPr="004A11B3">
        <w:rPr>
          <w:rFonts w:asciiTheme="minorHAnsi" w:hAnsiTheme="minorHAnsi"/>
          <w:lang w:val="sq-AL"/>
        </w:rPr>
        <w:t xml:space="preserve"> kanë të bëjnë me vendimet e formës së prerë për zgjidhjen e konflikteve në mosmarrëveshjet dy ose shumëpalëshe, në ngarkim të shtetit shqiptar. Duke patur parasysh efektet e qënësishme financiare që rëndom shoqërojnë këto vendime, ato vlerësohen me risk të konsiderueshëm për buxhetin e shtetit. </w:t>
      </w:r>
    </w:p>
    <w:p w14:paraId="3F2540E6" w14:textId="77777777" w:rsidR="00545CF4" w:rsidRPr="00545CF4" w:rsidRDefault="00545CF4" w:rsidP="00DA03D6">
      <w:pPr>
        <w:spacing w:line="276" w:lineRule="auto"/>
        <w:contextualSpacing/>
        <w:jc w:val="both"/>
        <w:rPr>
          <w:rFonts w:asciiTheme="minorHAnsi" w:hAnsiTheme="minorHAnsi"/>
          <w:sz w:val="8"/>
          <w:szCs w:val="8"/>
          <w:lang w:val="sq-AL"/>
        </w:rPr>
      </w:pPr>
    </w:p>
    <w:p w14:paraId="13377C6B" w14:textId="77777777" w:rsidR="00016ECD" w:rsidRDefault="00DA03D6" w:rsidP="00DA03D6">
      <w:pPr>
        <w:spacing w:line="276" w:lineRule="auto"/>
        <w:contextualSpacing/>
        <w:jc w:val="both"/>
        <w:rPr>
          <w:rFonts w:asciiTheme="minorHAnsi" w:hAnsiTheme="minorHAnsi"/>
          <w:lang w:val="sq-AL"/>
        </w:rPr>
      </w:pPr>
      <w:r w:rsidRPr="004A11B3">
        <w:rPr>
          <w:rFonts w:asciiTheme="minorHAnsi" w:hAnsiTheme="minorHAnsi"/>
          <w:lang w:val="sq-AL"/>
        </w:rPr>
        <w:t xml:space="preserve">Në pjesën më të madhe, efektet financiare që rrjedhin nga zbatimi i këtyre vendimeve janë përballuar nga buxheti i vetë institucioneve buxhetore (kryesisht ministri linje), të cilat kanë qenë edhe palë e paditur në gjykimet respektive. Ndërkohë që, në rastet kur palë e paditur cilësohet ‘shteti shqiptar’ apo ‘qeveria shqiptare’, këto vendime likujdohen përmes buxhetit të </w:t>
      </w:r>
      <w:r>
        <w:rPr>
          <w:rFonts w:asciiTheme="minorHAnsi" w:hAnsiTheme="minorHAnsi"/>
          <w:lang w:val="sq-AL"/>
        </w:rPr>
        <w:t>MFE dhe/ose Fondit R</w:t>
      </w:r>
      <w:r w:rsidRPr="004A11B3">
        <w:rPr>
          <w:rFonts w:asciiTheme="minorHAnsi" w:hAnsiTheme="minorHAnsi"/>
          <w:lang w:val="sq-AL"/>
        </w:rPr>
        <w:t xml:space="preserve">ezervë të buxhetit të shtetit, nëse lind nevoja. </w:t>
      </w:r>
    </w:p>
    <w:p w14:paraId="52ACC593" w14:textId="77777777" w:rsidR="00016ECD" w:rsidRPr="00016ECD" w:rsidRDefault="00016ECD" w:rsidP="00DA03D6">
      <w:pPr>
        <w:spacing w:line="276" w:lineRule="auto"/>
        <w:contextualSpacing/>
        <w:jc w:val="both"/>
        <w:rPr>
          <w:rFonts w:asciiTheme="minorHAnsi" w:hAnsiTheme="minorHAnsi"/>
          <w:sz w:val="8"/>
          <w:szCs w:val="8"/>
          <w:lang w:val="sq-AL"/>
        </w:rPr>
      </w:pPr>
    </w:p>
    <w:p w14:paraId="492474CA" w14:textId="77777777" w:rsidR="00DA03D6" w:rsidRDefault="00DA03D6" w:rsidP="00DA03D6">
      <w:pPr>
        <w:spacing w:line="276" w:lineRule="auto"/>
        <w:contextualSpacing/>
        <w:jc w:val="both"/>
        <w:rPr>
          <w:rFonts w:asciiTheme="minorHAnsi" w:hAnsiTheme="minorHAnsi"/>
          <w:lang w:val="sq-AL"/>
        </w:rPr>
      </w:pPr>
      <w:r>
        <w:rPr>
          <w:rFonts w:asciiTheme="minorHAnsi" w:hAnsiTheme="minorHAnsi"/>
          <w:lang w:val="sq-AL"/>
        </w:rPr>
        <w:t>MFE</w:t>
      </w:r>
      <w:r w:rsidRPr="00DE3687">
        <w:rPr>
          <w:rFonts w:asciiTheme="minorHAnsi" w:hAnsiTheme="minorHAnsi"/>
          <w:lang w:val="sq-AL"/>
        </w:rPr>
        <w:t>, në vazhdimësi dhe me këmbëngulje, ka rekomanduar forcimin e rolit negociues të institucioneve buxhetore dhe Avokaturës së Shtetit në çështjet e kësaj natyre, si edhe disiplinimin e proçesit të shlyerjes financiare të përfituesve. Kjo, me qëllimin final të lehtësimit, reduktimit dhe/ose shmangies së barrës financiare mbi buxhetin e shtetit.</w:t>
      </w:r>
      <w:r>
        <w:rPr>
          <w:rFonts w:asciiTheme="minorHAnsi" w:hAnsiTheme="minorHAnsi"/>
          <w:lang w:val="sq-AL"/>
        </w:rPr>
        <w:t xml:space="preserve"> </w:t>
      </w:r>
    </w:p>
    <w:p w14:paraId="16A141CD" w14:textId="77777777" w:rsidR="00DA03D6" w:rsidRPr="002815BF" w:rsidRDefault="00DA03D6" w:rsidP="00DA03D6">
      <w:pPr>
        <w:spacing w:line="276" w:lineRule="auto"/>
        <w:jc w:val="both"/>
        <w:rPr>
          <w:rFonts w:asciiTheme="minorHAnsi" w:hAnsiTheme="minorHAnsi"/>
          <w:sz w:val="8"/>
          <w:szCs w:val="8"/>
          <w:lang w:val="sq-AL"/>
        </w:rPr>
      </w:pPr>
    </w:p>
    <w:p w14:paraId="147DAD1C" w14:textId="79946C1A" w:rsidR="00B13D14" w:rsidRDefault="00B13D14" w:rsidP="00B13D14">
      <w:pPr>
        <w:spacing w:line="276" w:lineRule="auto"/>
        <w:contextualSpacing/>
        <w:jc w:val="both"/>
        <w:rPr>
          <w:rFonts w:asciiTheme="minorHAnsi" w:hAnsiTheme="minorHAnsi"/>
          <w:lang w:val="sq-AL"/>
        </w:rPr>
      </w:pPr>
      <w:r w:rsidRPr="00C05BB2">
        <w:rPr>
          <w:rFonts w:asciiTheme="minorHAnsi" w:hAnsiTheme="minorHAnsi"/>
          <w:lang w:val="sq-AL"/>
        </w:rPr>
        <w:t xml:space="preserve">Monitorimi dhe raportimi i </w:t>
      </w:r>
      <w:r>
        <w:rPr>
          <w:rFonts w:asciiTheme="minorHAnsi" w:hAnsiTheme="minorHAnsi"/>
          <w:lang w:val="sq-AL"/>
        </w:rPr>
        <w:t xml:space="preserve">vendimeve të Arbitrazhit Ndërkombëtar dhe GJEDNJ-së </w:t>
      </w:r>
      <w:r w:rsidRPr="00C05BB2">
        <w:rPr>
          <w:rFonts w:asciiTheme="minorHAnsi" w:hAnsiTheme="minorHAnsi"/>
          <w:lang w:val="sq-AL"/>
        </w:rPr>
        <w:t xml:space="preserve">është institucionalizuar edhe përmes përfshirjes në Udhëzimin Plotësues nr.2 datë 19.01.2023 “Për zbatimin e Buxhetit të vitit 2023” të skedulit të detyrueshëm kohor të raportimit të tyre nga </w:t>
      </w:r>
      <w:r>
        <w:rPr>
          <w:rFonts w:asciiTheme="minorHAnsi" w:hAnsiTheme="minorHAnsi"/>
          <w:lang w:val="sq-AL"/>
        </w:rPr>
        <w:t>ML/IB dhe Avokatura e Shtetit,</w:t>
      </w:r>
      <w:r w:rsidRPr="00C05BB2">
        <w:rPr>
          <w:rFonts w:asciiTheme="minorHAnsi" w:hAnsiTheme="minorHAnsi"/>
          <w:lang w:val="sq-AL"/>
        </w:rPr>
        <w:t xml:space="preserve"> dhe të formateve standarde respektive </w:t>
      </w:r>
      <w:r>
        <w:rPr>
          <w:rFonts w:asciiTheme="minorHAnsi" w:hAnsiTheme="minorHAnsi"/>
          <w:lang w:val="sq-AL"/>
        </w:rPr>
        <w:t xml:space="preserve">për qëllime analize, transparence dhe raportimi të detyrimeve kontigjente të qeverisjes së përgjithshme. </w:t>
      </w:r>
    </w:p>
    <w:p w14:paraId="0E947A2D" w14:textId="77777777" w:rsidR="00B13D14" w:rsidRPr="00B13D14" w:rsidRDefault="00B13D14" w:rsidP="00B13D14">
      <w:pPr>
        <w:spacing w:line="276" w:lineRule="auto"/>
        <w:jc w:val="both"/>
        <w:rPr>
          <w:rFonts w:asciiTheme="minorHAnsi" w:hAnsiTheme="minorHAnsi"/>
          <w:sz w:val="8"/>
          <w:szCs w:val="8"/>
          <w:lang w:val="sq-AL"/>
        </w:rPr>
      </w:pPr>
    </w:p>
    <w:p w14:paraId="436615D6" w14:textId="4E041B34" w:rsidR="00016ECD" w:rsidRPr="002815BF" w:rsidRDefault="00B13D14" w:rsidP="00B13D14">
      <w:pPr>
        <w:spacing w:line="276" w:lineRule="auto"/>
        <w:jc w:val="both"/>
        <w:rPr>
          <w:rFonts w:asciiTheme="minorHAnsi" w:hAnsiTheme="minorHAnsi"/>
          <w:lang w:val="sq-AL"/>
        </w:rPr>
      </w:pPr>
      <w:r w:rsidRPr="002815BF">
        <w:rPr>
          <w:rFonts w:asciiTheme="minorHAnsi" w:hAnsiTheme="minorHAnsi"/>
          <w:lang w:val="sq-AL"/>
        </w:rPr>
        <w:t xml:space="preserve">Për </w:t>
      </w:r>
      <w:r w:rsidRPr="00DA03D6">
        <w:rPr>
          <w:rFonts w:asciiTheme="minorHAnsi" w:hAnsiTheme="minorHAnsi"/>
          <w:lang w:val="sq-AL"/>
        </w:rPr>
        <w:t>periudhën Janar-</w:t>
      </w:r>
      <w:r>
        <w:rPr>
          <w:rFonts w:asciiTheme="minorHAnsi" w:hAnsiTheme="minorHAnsi"/>
          <w:lang w:val="sq-AL"/>
        </w:rPr>
        <w:t xml:space="preserve">Qershor </w:t>
      </w:r>
      <w:r w:rsidRPr="00DA03D6">
        <w:rPr>
          <w:rFonts w:asciiTheme="minorHAnsi" w:hAnsiTheme="minorHAnsi"/>
          <w:lang w:val="sq-AL"/>
        </w:rPr>
        <w:t>202</w:t>
      </w:r>
      <w:r>
        <w:rPr>
          <w:rFonts w:asciiTheme="minorHAnsi" w:hAnsiTheme="minorHAnsi"/>
          <w:lang w:val="sq-AL"/>
        </w:rPr>
        <w:t>3</w:t>
      </w:r>
      <w:r w:rsidRPr="00DA03D6">
        <w:rPr>
          <w:rFonts w:asciiTheme="minorHAnsi" w:hAnsiTheme="minorHAnsi"/>
          <w:lang w:val="sq-AL"/>
        </w:rPr>
        <w:t xml:space="preserve">, </w:t>
      </w:r>
      <w:r w:rsidRPr="007C373C">
        <w:rPr>
          <w:rFonts w:asciiTheme="minorHAnsi" w:hAnsiTheme="minorHAnsi"/>
          <w:lang w:val="sq-AL"/>
        </w:rPr>
        <w:t xml:space="preserve">vlera totale e kostove ligjore, të përfaqësimit, mbrojtjes, shpenzimeve gjyqësore apo kostove të tjera lidhura me vendime të arbitrazhit ndërkombëtar, të paguara nga buxheti i shtetit rezultoi në masën rreth  </w:t>
      </w:r>
      <w:r w:rsidRPr="00A03F37">
        <w:rPr>
          <w:rFonts w:asciiTheme="minorHAnsi" w:hAnsiTheme="minorHAnsi"/>
          <w:lang w:val="sq-AL"/>
        </w:rPr>
        <w:t>231 milion</w:t>
      </w:r>
      <w:r>
        <w:rPr>
          <w:rFonts w:asciiTheme="minorHAnsi" w:hAnsiTheme="minorHAnsi"/>
          <w:lang w:val="sq-AL"/>
        </w:rPr>
        <w:t>ë</w:t>
      </w:r>
      <w:r w:rsidRPr="00A03F37">
        <w:rPr>
          <w:rFonts w:asciiTheme="minorHAnsi" w:hAnsiTheme="minorHAnsi"/>
          <w:lang w:val="sq-AL"/>
        </w:rPr>
        <w:t xml:space="preserve"> </w:t>
      </w:r>
      <w:r>
        <w:rPr>
          <w:rFonts w:asciiTheme="minorHAnsi" w:hAnsiTheme="minorHAnsi"/>
          <w:lang w:val="sq-AL"/>
        </w:rPr>
        <w:t>lekë</w:t>
      </w:r>
      <w:r w:rsidRPr="007C373C">
        <w:rPr>
          <w:rFonts w:asciiTheme="minorHAnsi" w:hAnsiTheme="minorHAnsi"/>
          <w:lang w:val="sq-AL"/>
        </w:rPr>
        <w:t>. Nga këto</w:t>
      </w:r>
      <w:r w:rsidR="00016ECD" w:rsidRPr="002815BF">
        <w:rPr>
          <w:rFonts w:asciiTheme="minorHAnsi" w:hAnsiTheme="minorHAnsi"/>
          <w:lang w:val="sq-AL"/>
        </w:rPr>
        <w:t xml:space="preserve">: </w:t>
      </w:r>
    </w:p>
    <w:p w14:paraId="3A4CA1EB" w14:textId="77777777" w:rsidR="00B13D14" w:rsidRPr="00313ED7" w:rsidRDefault="00B13D14" w:rsidP="00056DE5">
      <w:pPr>
        <w:pStyle w:val="ListParagraph"/>
        <w:numPr>
          <w:ilvl w:val="0"/>
          <w:numId w:val="30"/>
        </w:numPr>
        <w:spacing w:line="276" w:lineRule="auto"/>
        <w:ind w:left="450"/>
        <w:jc w:val="both"/>
        <w:rPr>
          <w:rFonts w:asciiTheme="minorHAnsi" w:hAnsiTheme="minorHAnsi"/>
          <w:i/>
          <w:lang w:val="sq-AL"/>
        </w:rPr>
      </w:pPr>
      <w:r w:rsidRPr="00313ED7">
        <w:rPr>
          <w:rFonts w:asciiTheme="minorHAnsi" w:hAnsiTheme="minorHAnsi"/>
          <w:i/>
          <w:lang w:val="sq-AL"/>
        </w:rPr>
        <w:t xml:space="preserve">Rreth 79.7 milionë </w:t>
      </w:r>
      <w:r>
        <w:rPr>
          <w:rFonts w:asciiTheme="minorHAnsi" w:hAnsiTheme="minorHAnsi"/>
          <w:i/>
          <w:lang w:val="sq-AL"/>
        </w:rPr>
        <w:t>lekë</w:t>
      </w:r>
      <w:r w:rsidRPr="00313ED7">
        <w:rPr>
          <w:rFonts w:asciiTheme="minorHAnsi" w:hAnsiTheme="minorHAnsi"/>
          <w:i/>
          <w:lang w:val="sq-AL"/>
        </w:rPr>
        <w:t xml:space="preserve"> Ministria e Financave dhe Ekonomisë, për pagesën e shërbimeve juridike dhe kosto të tjera ligjore për përfaqësimin dhe mbrojtjen e Republikës së Shqipërisë në çështje të arbitrazhit ndërkombëtar.</w:t>
      </w:r>
    </w:p>
    <w:p w14:paraId="28EC9302" w14:textId="77777777" w:rsidR="00B13D14" w:rsidRPr="00313ED7" w:rsidRDefault="00B13D14" w:rsidP="00056DE5">
      <w:pPr>
        <w:pStyle w:val="ListParagraph"/>
        <w:numPr>
          <w:ilvl w:val="0"/>
          <w:numId w:val="30"/>
        </w:numPr>
        <w:spacing w:line="276" w:lineRule="auto"/>
        <w:ind w:left="450"/>
        <w:jc w:val="both"/>
        <w:rPr>
          <w:rFonts w:asciiTheme="minorHAnsi" w:hAnsiTheme="minorHAnsi"/>
          <w:i/>
          <w:lang w:val="sq-AL"/>
        </w:rPr>
      </w:pPr>
      <w:r w:rsidRPr="00313ED7">
        <w:rPr>
          <w:rFonts w:asciiTheme="minorHAnsi" w:hAnsiTheme="minorHAnsi"/>
          <w:i/>
          <w:lang w:val="sq-AL"/>
        </w:rPr>
        <w:t xml:space="preserve">Rreth 39 milionë </w:t>
      </w:r>
      <w:r>
        <w:rPr>
          <w:rFonts w:asciiTheme="minorHAnsi" w:hAnsiTheme="minorHAnsi"/>
          <w:i/>
          <w:lang w:val="sq-AL"/>
        </w:rPr>
        <w:t>lek</w:t>
      </w:r>
      <w:r w:rsidRPr="00313ED7">
        <w:rPr>
          <w:rFonts w:asciiTheme="minorHAnsi" w:hAnsiTheme="minorHAnsi"/>
          <w:i/>
          <w:lang w:val="sq-AL"/>
        </w:rPr>
        <w:t xml:space="preserve">ë nga Ministria e Bujqësisë dhe Zhvillimit Rural, për pagesën e kostove ligjore dhe administrative të Gjykatës lidhur me një çështje të arbitrazhit ndërkombëtar. </w:t>
      </w:r>
    </w:p>
    <w:p w14:paraId="16D07704" w14:textId="77777777" w:rsidR="00B13D14" w:rsidRPr="00313ED7" w:rsidRDefault="00B13D14" w:rsidP="00056DE5">
      <w:pPr>
        <w:pStyle w:val="ListParagraph"/>
        <w:numPr>
          <w:ilvl w:val="0"/>
          <w:numId w:val="30"/>
        </w:numPr>
        <w:spacing w:line="276" w:lineRule="auto"/>
        <w:ind w:left="450"/>
        <w:jc w:val="both"/>
        <w:rPr>
          <w:rFonts w:asciiTheme="minorHAnsi" w:hAnsiTheme="minorHAnsi"/>
          <w:i/>
          <w:lang w:val="sq-AL"/>
        </w:rPr>
      </w:pPr>
      <w:r w:rsidRPr="00313ED7">
        <w:rPr>
          <w:rFonts w:asciiTheme="minorHAnsi" w:hAnsiTheme="minorHAnsi"/>
          <w:i/>
          <w:lang w:val="sq-AL"/>
        </w:rPr>
        <w:t xml:space="preserve">Rreth 27.8 milionë </w:t>
      </w:r>
      <w:r>
        <w:rPr>
          <w:rFonts w:asciiTheme="minorHAnsi" w:hAnsiTheme="minorHAnsi"/>
          <w:i/>
          <w:lang w:val="sq-AL"/>
        </w:rPr>
        <w:t>lek</w:t>
      </w:r>
      <w:r w:rsidRPr="00313ED7">
        <w:rPr>
          <w:rFonts w:asciiTheme="minorHAnsi" w:hAnsiTheme="minorHAnsi"/>
          <w:i/>
          <w:lang w:val="sq-AL"/>
        </w:rPr>
        <w:t>ë nga Ministria e Infrastrukturës dhe Energjisë, për pagesën e shërbimeve juridike  për përfaqësim dhe mbrojtje në çështje të arbitrazhit ndërkombëtar.</w:t>
      </w:r>
    </w:p>
    <w:p w14:paraId="56728C46" w14:textId="77777777" w:rsidR="00B13D14" w:rsidRPr="00313ED7" w:rsidRDefault="00B13D14" w:rsidP="00056DE5">
      <w:pPr>
        <w:pStyle w:val="ListParagraph"/>
        <w:numPr>
          <w:ilvl w:val="0"/>
          <w:numId w:val="30"/>
        </w:numPr>
        <w:spacing w:line="276" w:lineRule="auto"/>
        <w:ind w:left="450"/>
        <w:jc w:val="both"/>
        <w:rPr>
          <w:rFonts w:asciiTheme="minorHAnsi" w:hAnsiTheme="minorHAnsi"/>
          <w:i/>
          <w:lang w:val="sq-AL"/>
        </w:rPr>
      </w:pPr>
      <w:r w:rsidRPr="00313ED7">
        <w:rPr>
          <w:rFonts w:asciiTheme="minorHAnsi" w:hAnsiTheme="minorHAnsi"/>
          <w:i/>
          <w:lang w:val="sq-AL"/>
        </w:rPr>
        <w:t xml:space="preserve">Rreth 2.4 milionë </w:t>
      </w:r>
      <w:r>
        <w:rPr>
          <w:rFonts w:asciiTheme="minorHAnsi" w:hAnsiTheme="minorHAnsi"/>
          <w:i/>
          <w:lang w:val="sq-AL"/>
        </w:rPr>
        <w:t>lek</w:t>
      </w:r>
      <w:r w:rsidRPr="00313ED7">
        <w:rPr>
          <w:rFonts w:asciiTheme="minorHAnsi" w:hAnsiTheme="minorHAnsi"/>
          <w:i/>
          <w:lang w:val="sq-AL"/>
        </w:rPr>
        <w:t>ë nga Agjencia Kombëtare e Burimeve Natyrore, për pagesën e kostove ligjore për përfaqësim dhe mbrojtje për çështje të arbitrazhit ndërkombëtar.</w:t>
      </w:r>
    </w:p>
    <w:p w14:paraId="037C3FA3" w14:textId="77777777" w:rsidR="00B13D14" w:rsidRPr="00313ED7" w:rsidRDefault="00B13D14" w:rsidP="00056DE5">
      <w:pPr>
        <w:pStyle w:val="ListParagraph"/>
        <w:numPr>
          <w:ilvl w:val="0"/>
          <w:numId w:val="30"/>
        </w:numPr>
        <w:spacing w:line="276" w:lineRule="auto"/>
        <w:ind w:left="450"/>
        <w:jc w:val="both"/>
        <w:rPr>
          <w:rFonts w:asciiTheme="minorHAnsi" w:hAnsiTheme="minorHAnsi"/>
          <w:i/>
          <w:lang w:val="sq-AL"/>
        </w:rPr>
      </w:pPr>
      <w:r w:rsidRPr="00313ED7">
        <w:rPr>
          <w:rFonts w:asciiTheme="minorHAnsi" w:hAnsiTheme="minorHAnsi"/>
          <w:i/>
          <w:lang w:val="sq-AL"/>
        </w:rPr>
        <w:t xml:space="preserve">Rreth 47 milionë </w:t>
      </w:r>
      <w:r>
        <w:rPr>
          <w:rFonts w:asciiTheme="minorHAnsi" w:hAnsiTheme="minorHAnsi"/>
          <w:i/>
          <w:lang w:val="sq-AL"/>
        </w:rPr>
        <w:t>lek</w:t>
      </w:r>
      <w:r w:rsidRPr="00313ED7">
        <w:rPr>
          <w:rFonts w:asciiTheme="minorHAnsi" w:hAnsiTheme="minorHAnsi"/>
          <w:i/>
          <w:lang w:val="sq-AL"/>
        </w:rPr>
        <w:t>ë nga</w:t>
      </w:r>
      <w:r w:rsidRPr="00AD417B">
        <w:rPr>
          <w:lang w:val="sq-AL"/>
        </w:rPr>
        <w:t xml:space="preserve"> </w:t>
      </w:r>
      <w:r w:rsidRPr="00313ED7">
        <w:rPr>
          <w:rFonts w:asciiTheme="minorHAnsi" w:hAnsiTheme="minorHAnsi"/>
          <w:i/>
          <w:lang w:val="sq-AL"/>
        </w:rPr>
        <w:t>Albpetrol Sh.a, për pagesën e shpenzimeve gjyqësore, kostove administrative/ligjore për përfaqësim dhe mbrojtje për çështje të arbitrazhit ndërkombëtar.</w:t>
      </w:r>
    </w:p>
    <w:p w14:paraId="50A1FA66" w14:textId="77777777" w:rsidR="00B13D14" w:rsidRPr="00313ED7" w:rsidRDefault="00B13D14" w:rsidP="00056DE5">
      <w:pPr>
        <w:pStyle w:val="ListParagraph"/>
        <w:numPr>
          <w:ilvl w:val="0"/>
          <w:numId w:val="30"/>
        </w:numPr>
        <w:ind w:left="450"/>
        <w:jc w:val="both"/>
        <w:rPr>
          <w:rFonts w:asciiTheme="minorHAnsi" w:hAnsiTheme="minorHAnsi"/>
          <w:i/>
          <w:lang w:val="sq-AL"/>
        </w:rPr>
      </w:pPr>
      <w:r w:rsidRPr="00313ED7">
        <w:rPr>
          <w:rFonts w:asciiTheme="minorHAnsi" w:hAnsiTheme="minorHAnsi"/>
          <w:i/>
          <w:lang w:val="sq-AL"/>
        </w:rPr>
        <w:t xml:space="preserve">Rreth 34.7 milionë </w:t>
      </w:r>
      <w:r>
        <w:rPr>
          <w:rFonts w:asciiTheme="minorHAnsi" w:hAnsiTheme="minorHAnsi"/>
          <w:i/>
          <w:lang w:val="sq-AL"/>
        </w:rPr>
        <w:t>lek</w:t>
      </w:r>
      <w:r w:rsidRPr="00313ED7">
        <w:rPr>
          <w:rFonts w:asciiTheme="minorHAnsi" w:hAnsiTheme="minorHAnsi"/>
          <w:i/>
          <w:lang w:val="sq-AL"/>
        </w:rPr>
        <w:t>ë nga Autoriteti Portual Durrës, për pagesën e shërbimeve juridike për çështje të arbitrazhit ndërkombëtar.</w:t>
      </w:r>
    </w:p>
    <w:p w14:paraId="50A8D279" w14:textId="77777777" w:rsidR="00016ECD" w:rsidRPr="0083048A" w:rsidRDefault="00016ECD" w:rsidP="00056DE5">
      <w:pPr>
        <w:pStyle w:val="ListParagraph"/>
        <w:numPr>
          <w:ilvl w:val="0"/>
          <w:numId w:val="30"/>
        </w:numPr>
        <w:spacing w:line="276" w:lineRule="auto"/>
        <w:ind w:left="450"/>
        <w:jc w:val="both"/>
        <w:rPr>
          <w:rFonts w:asciiTheme="minorHAnsi" w:hAnsiTheme="minorHAnsi"/>
          <w:i/>
          <w:lang w:val="sq-AL"/>
        </w:rPr>
      </w:pPr>
      <w:r w:rsidRPr="0083048A">
        <w:rPr>
          <w:rFonts w:asciiTheme="minorHAnsi" w:hAnsiTheme="minorHAnsi"/>
          <w:i/>
          <w:lang w:val="sq-AL"/>
        </w:rPr>
        <w:t>22.7 milion LEK nga Ministria e Financave dhe Ekonomisë, për pagesën e shërbimeve juridike për përfaqësimin dhe mbrojtjen në çështjen e arbitrazhit ndërkombëtar</w:t>
      </w:r>
      <w:r w:rsidRPr="0083048A">
        <w:rPr>
          <w:rFonts w:asciiTheme="minorHAnsi" w:hAnsiTheme="minorHAnsi"/>
          <w:lang w:val="sq-AL"/>
        </w:rPr>
        <w:t xml:space="preserve"> </w:t>
      </w:r>
      <w:r w:rsidRPr="0083048A">
        <w:rPr>
          <w:rFonts w:asciiTheme="minorHAnsi" w:hAnsiTheme="minorHAnsi"/>
          <w:i/>
          <w:lang w:val="sq-AL"/>
        </w:rPr>
        <w:t>ICSID nr.ARB/15/28 “Hydro dhe të tjerët kundër Shqipërisë”.</w:t>
      </w:r>
    </w:p>
    <w:p w14:paraId="779F5D18" w14:textId="710FFF02" w:rsidR="00016ECD" w:rsidRDefault="00016ECD" w:rsidP="00016ECD">
      <w:pPr>
        <w:spacing w:line="276" w:lineRule="auto"/>
        <w:jc w:val="both"/>
        <w:rPr>
          <w:rFonts w:asciiTheme="minorHAnsi" w:hAnsiTheme="minorHAnsi"/>
          <w:lang w:val="sq-AL"/>
        </w:rPr>
      </w:pPr>
    </w:p>
    <w:p w14:paraId="0DB6D568" w14:textId="3A25BCFD" w:rsidR="00B13D14" w:rsidRDefault="00B13D14" w:rsidP="00016ECD">
      <w:pPr>
        <w:spacing w:line="276" w:lineRule="auto"/>
        <w:jc w:val="both"/>
        <w:rPr>
          <w:rFonts w:asciiTheme="minorHAnsi" w:hAnsiTheme="minorHAnsi"/>
          <w:lang w:val="sq-AL"/>
        </w:rPr>
      </w:pPr>
    </w:p>
    <w:p w14:paraId="54D01751" w14:textId="77777777" w:rsidR="00B13D14" w:rsidRDefault="00B13D14" w:rsidP="00016ECD">
      <w:pPr>
        <w:spacing w:line="276" w:lineRule="auto"/>
        <w:jc w:val="both"/>
        <w:rPr>
          <w:rFonts w:asciiTheme="minorHAnsi" w:hAnsiTheme="minorHAnsi"/>
          <w:lang w:val="sq-AL"/>
        </w:rPr>
      </w:pPr>
    </w:p>
    <w:p w14:paraId="37C36C90" w14:textId="77777777" w:rsidR="00016ECD" w:rsidRDefault="00016ECD" w:rsidP="00016ECD">
      <w:pPr>
        <w:spacing w:line="276" w:lineRule="auto"/>
        <w:jc w:val="both"/>
        <w:rPr>
          <w:rFonts w:asciiTheme="minorHAnsi" w:hAnsiTheme="minorHAnsi"/>
          <w:lang w:val="sq-AL"/>
        </w:rPr>
      </w:pPr>
      <w:r>
        <w:rPr>
          <w:rFonts w:asciiTheme="minorHAnsi" w:hAnsiTheme="minorHAnsi"/>
          <w:lang w:val="sq-AL"/>
        </w:rPr>
        <w:lastRenderedPageBreak/>
        <w:t xml:space="preserve">Mëposhtë paraqitet tabela përmbledhëse e detyrimeve për vendimet e Arbitrazhit Ndërkombëtar, </w:t>
      </w:r>
      <w:r w:rsidRPr="008B0AD0">
        <w:rPr>
          <w:rFonts w:asciiTheme="minorHAnsi" w:hAnsiTheme="minorHAnsi"/>
          <w:lang w:val="sq-AL"/>
        </w:rPr>
        <w:t xml:space="preserve"> </w:t>
      </w:r>
      <w:r>
        <w:rPr>
          <w:rFonts w:asciiTheme="minorHAnsi" w:hAnsiTheme="minorHAnsi"/>
          <w:lang w:val="sq-AL"/>
        </w:rPr>
        <w:t>bazuar në informacionin që disponon Ministria e Financave dhe Ekonomisë.</w:t>
      </w:r>
    </w:p>
    <w:p w14:paraId="5F289A1E" w14:textId="77777777" w:rsidR="0083048A" w:rsidRPr="00B13D14" w:rsidRDefault="0083048A" w:rsidP="00016ECD">
      <w:pPr>
        <w:spacing w:line="276" w:lineRule="auto"/>
        <w:jc w:val="both"/>
        <w:rPr>
          <w:rFonts w:asciiTheme="minorHAnsi" w:hAnsiTheme="minorHAnsi"/>
          <w:sz w:val="8"/>
          <w:szCs w:val="8"/>
          <w:lang w:val="sq-AL"/>
        </w:rPr>
      </w:pPr>
    </w:p>
    <w:p w14:paraId="33AD4784" w14:textId="5593B333" w:rsidR="008F207A" w:rsidRPr="00E2618C" w:rsidRDefault="008F207A" w:rsidP="008F207A">
      <w:pPr>
        <w:spacing w:after="240" w:line="276" w:lineRule="auto"/>
        <w:contextualSpacing/>
        <w:rPr>
          <w:rFonts w:ascii="Calibri" w:hAnsi="Calibri"/>
          <w:sz w:val="22"/>
          <w:lang w:val="sq-AL"/>
        </w:rPr>
      </w:pPr>
      <w:bookmarkStart w:id="169" w:name="_Toc107496765"/>
      <w:r w:rsidRPr="00E2618C">
        <w:rPr>
          <w:rFonts w:ascii="Calibri" w:hAnsi="Calibri"/>
          <w:bCs/>
          <w:i/>
          <w:sz w:val="22"/>
          <w:lang w:val="sq-AL"/>
        </w:rPr>
        <w:t xml:space="preserve">Tabela </w:t>
      </w:r>
      <w:r w:rsidRPr="00E2618C">
        <w:rPr>
          <w:rFonts w:ascii="Calibri" w:hAnsi="Calibri"/>
          <w:bCs/>
          <w:i/>
          <w:sz w:val="22"/>
          <w:lang w:val="sq-AL"/>
        </w:rPr>
        <w:fldChar w:fldCharType="begin"/>
      </w:r>
      <w:r w:rsidRPr="00E2618C">
        <w:rPr>
          <w:rFonts w:ascii="Calibri" w:hAnsi="Calibri"/>
          <w:bCs/>
          <w:i/>
          <w:sz w:val="22"/>
          <w:lang w:val="sq-AL"/>
        </w:rPr>
        <w:instrText xml:space="preserve"> SEQ Tabela \* ARABIC </w:instrText>
      </w:r>
      <w:r w:rsidRPr="00E2618C">
        <w:rPr>
          <w:rFonts w:ascii="Calibri" w:hAnsi="Calibri"/>
          <w:bCs/>
          <w:i/>
          <w:sz w:val="22"/>
          <w:lang w:val="sq-AL"/>
        </w:rPr>
        <w:fldChar w:fldCharType="separate"/>
      </w:r>
      <w:r w:rsidR="00C153A9">
        <w:rPr>
          <w:rFonts w:ascii="Calibri" w:hAnsi="Calibri"/>
          <w:bCs/>
          <w:i/>
          <w:noProof/>
          <w:sz w:val="22"/>
          <w:lang w:val="sq-AL"/>
        </w:rPr>
        <w:t>28</w:t>
      </w:r>
      <w:r w:rsidRPr="00E2618C">
        <w:rPr>
          <w:rFonts w:ascii="Calibri" w:hAnsi="Calibri"/>
          <w:bCs/>
          <w:i/>
          <w:sz w:val="22"/>
          <w:lang w:val="sq-AL"/>
        </w:rPr>
        <w:fldChar w:fldCharType="end"/>
      </w:r>
      <w:r w:rsidRPr="00E2618C">
        <w:rPr>
          <w:rFonts w:ascii="Calibri" w:hAnsi="Calibri"/>
          <w:bCs/>
          <w:i/>
          <w:sz w:val="22"/>
          <w:lang w:val="sq-AL"/>
        </w:rPr>
        <w:t xml:space="preserve">: </w:t>
      </w:r>
      <w:r w:rsidRPr="00E2618C">
        <w:rPr>
          <w:rFonts w:ascii="Calibri" w:hAnsi="Calibri"/>
          <w:i/>
          <w:sz w:val="22"/>
          <w:lang w:val="sq-AL"/>
        </w:rPr>
        <w:t>Detyrime për vendimet e Arbitrazhit Ndërkombëtar</w:t>
      </w:r>
      <w:r w:rsidRPr="00E2618C">
        <w:rPr>
          <w:rFonts w:ascii="Calibri" w:hAnsi="Calibri"/>
          <w:sz w:val="22"/>
          <w:lang w:val="sq-AL"/>
        </w:rPr>
        <w:t xml:space="preserve"> (n</w:t>
      </w:r>
      <w:r w:rsidR="002323A5" w:rsidRPr="00E2618C">
        <w:rPr>
          <w:rFonts w:ascii="Calibri" w:hAnsi="Calibri"/>
          <w:sz w:val="22"/>
          <w:lang w:val="sq-AL"/>
        </w:rPr>
        <w:t>ë</w:t>
      </w:r>
      <w:r w:rsidRPr="00E2618C">
        <w:rPr>
          <w:rFonts w:ascii="Calibri" w:hAnsi="Calibri"/>
          <w:sz w:val="22"/>
          <w:lang w:val="sq-AL"/>
        </w:rPr>
        <w:t xml:space="preserve"> EUR)</w:t>
      </w:r>
      <w:bookmarkEnd w:id="169"/>
      <w:r w:rsidRPr="00E2618C">
        <w:rPr>
          <w:rFonts w:ascii="Calibri" w:hAnsi="Calibri"/>
          <w:sz w:val="22"/>
          <w:lang w:val="sq-AL"/>
        </w:rPr>
        <w:t xml:space="preserve">                                                                    </w:t>
      </w:r>
    </w:p>
    <w:p w14:paraId="3263EF4E" w14:textId="77777777" w:rsidR="00B13D14" w:rsidRDefault="00B13D14" w:rsidP="00B13D14">
      <w:pPr>
        <w:ind w:left="-360"/>
        <w:jc w:val="center"/>
        <w:rPr>
          <w:rFonts w:asciiTheme="minorHAnsi" w:hAnsiTheme="minorHAnsi"/>
          <w:i/>
          <w:sz w:val="22"/>
          <w:lang w:val="sq-AL"/>
        </w:rPr>
      </w:pPr>
      <w:r w:rsidRPr="00F84B66">
        <w:rPr>
          <w:noProof/>
        </w:rPr>
        <w:drawing>
          <wp:inline distT="0" distB="0" distL="0" distR="0" wp14:anchorId="3EE06199" wp14:editId="410CF164">
            <wp:extent cx="6737299" cy="7298399"/>
            <wp:effectExtent l="0" t="0" r="6985"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741334" cy="7302770"/>
                    </a:xfrm>
                    <a:prstGeom prst="rect">
                      <a:avLst/>
                    </a:prstGeom>
                    <a:noFill/>
                    <a:ln>
                      <a:noFill/>
                    </a:ln>
                  </pic:spPr>
                </pic:pic>
              </a:graphicData>
            </a:graphic>
          </wp:inline>
        </w:drawing>
      </w:r>
    </w:p>
    <w:p w14:paraId="4740FAF8" w14:textId="77777777" w:rsidR="00EF1561" w:rsidRPr="00EF1561" w:rsidRDefault="00EF1561" w:rsidP="008F207A">
      <w:pPr>
        <w:spacing w:line="276" w:lineRule="auto"/>
        <w:ind w:firstLine="720"/>
        <w:rPr>
          <w:rFonts w:asciiTheme="minorHAnsi" w:eastAsia="SimSun" w:hAnsiTheme="minorHAnsi"/>
          <w:i/>
          <w:sz w:val="4"/>
          <w:lang w:val="sq-AL"/>
        </w:rPr>
      </w:pPr>
    </w:p>
    <w:p w14:paraId="22E8E093" w14:textId="77777777" w:rsidR="00545CF4" w:rsidRDefault="00545CF4" w:rsidP="00545CF4">
      <w:pPr>
        <w:spacing w:line="276" w:lineRule="auto"/>
        <w:jc w:val="both"/>
        <w:rPr>
          <w:rFonts w:asciiTheme="minorHAnsi" w:eastAsia="SimSun" w:hAnsiTheme="minorHAnsi"/>
          <w:i/>
          <w:sz w:val="18"/>
          <w:lang w:val="sq-AL"/>
        </w:rPr>
      </w:pPr>
      <w:r w:rsidRPr="00653723">
        <w:rPr>
          <w:rFonts w:asciiTheme="minorHAnsi" w:eastAsia="SimSun" w:hAnsiTheme="minorHAnsi"/>
          <w:i/>
          <w:sz w:val="18"/>
          <w:lang w:val="sq-AL"/>
        </w:rPr>
        <w:t xml:space="preserve">Burimi: </w:t>
      </w:r>
      <w:r>
        <w:rPr>
          <w:rFonts w:asciiTheme="minorHAnsi" w:eastAsia="SimSun" w:hAnsiTheme="minorHAnsi"/>
          <w:i/>
          <w:sz w:val="18"/>
          <w:lang w:val="sq-AL"/>
        </w:rPr>
        <w:t xml:space="preserve">Avokatura e Shtetit, Ministritë e Linjës, </w:t>
      </w:r>
      <w:r w:rsidRPr="00653723">
        <w:rPr>
          <w:rFonts w:asciiTheme="minorHAnsi" w:eastAsia="SimSun" w:hAnsiTheme="minorHAnsi"/>
          <w:i/>
          <w:sz w:val="18"/>
          <w:lang w:val="sq-AL"/>
        </w:rPr>
        <w:t>Ministria e Financave dhe Ekonomisë (202</w:t>
      </w:r>
      <w:r>
        <w:rPr>
          <w:rFonts w:asciiTheme="minorHAnsi" w:eastAsia="SimSun" w:hAnsiTheme="minorHAnsi"/>
          <w:i/>
          <w:sz w:val="18"/>
          <w:lang w:val="sq-AL"/>
        </w:rPr>
        <w:t>2</w:t>
      </w:r>
      <w:r w:rsidRPr="00653723">
        <w:rPr>
          <w:rFonts w:asciiTheme="minorHAnsi" w:eastAsia="SimSun" w:hAnsiTheme="minorHAnsi"/>
          <w:i/>
          <w:sz w:val="18"/>
          <w:lang w:val="sq-AL"/>
        </w:rPr>
        <w:t>)</w:t>
      </w:r>
    </w:p>
    <w:p w14:paraId="19159638" w14:textId="04AB8C61" w:rsidR="00F07CFC" w:rsidRDefault="00B13D14" w:rsidP="00B13D14">
      <w:pPr>
        <w:spacing w:line="276" w:lineRule="auto"/>
        <w:rPr>
          <w:rFonts w:asciiTheme="minorHAnsi" w:eastAsia="SimSun" w:hAnsiTheme="minorHAnsi"/>
          <w:i/>
          <w:sz w:val="18"/>
          <w:lang w:val="sq-AL"/>
        </w:rPr>
      </w:pPr>
      <w:r w:rsidRPr="009B2D09">
        <w:rPr>
          <w:rFonts w:eastAsia="SimSun"/>
          <w:noProof/>
        </w:rPr>
        <w:drawing>
          <wp:inline distT="0" distB="0" distL="0" distR="0" wp14:anchorId="44350DC6" wp14:editId="79216C0D">
            <wp:extent cx="6457950" cy="88265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458180" cy="882681"/>
                    </a:xfrm>
                    <a:prstGeom prst="rect">
                      <a:avLst/>
                    </a:prstGeom>
                    <a:noFill/>
                    <a:ln>
                      <a:noFill/>
                    </a:ln>
                  </pic:spPr>
                </pic:pic>
              </a:graphicData>
            </a:graphic>
          </wp:inline>
        </w:drawing>
      </w:r>
    </w:p>
    <w:p w14:paraId="6C30A3FB" w14:textId="77777777" w:rsidR="00F07CFC" w:rsidRDefault="00F07CFC" w:rsidP="008F207A">
      <w:pPr>
        <w:spacing w:line="276" w:lineRule="auto"/>
        <w:ind w:firstLine="720"/>
        <w:rPr>
          <w:rFonts w:asciiTheme="minorHAnsi" w:eastAsia="SimSun" w:hAnsiTheme="minorHAnsi"/>
          <w:i/>
          <w:sz w:val="18"/>
          <w:lang w:val="sq-AL"/>
        </w:rPr>
      </w:pPr>
    </w:p>
    <w:p w14:paraId="6CE9102E" w14:textId="77777777" w:rsidR="00F02D9D" w:rsidRPr="00F02D9D" w:rsidRDefault="00F02D9D" w:rsidP="008F207A">
      <w:pPr>
        <w:spacing w:line="276" w:lineRule="auto"/>
        <w:ind w:firstLine="720"/>
        <w:rPr>
          <w:rFonts w:asciiTheme="minorHAnsi" w:eastAsia="SimSun" w:hAnsiTheme="minorHAnsi"/>
          <w:i/>
          <w:sz w:val="4"/>
          <w:lang w:val="sq-AL"/>
        </w:rPr>
      </w:pPr>
    </w:p>
    <w:p w14:paraId="441EA9C0" w14:textId="77777777" w:rsidR="00880BDE" w:rsidRPr="008A27A7" w:rsidRDefault="00765663" w:rsidP="00F02D9D">
      <w:pPr>
        <w:pStyle w:val="Heading1"/>
        <w:numPr>
          <w:ilvl w:val="0"/>
          <w:numId w:val="1"/>
        </w:numPr>
        <w:spacing w:before="0" w:line="276" w:lineRule="auto"/>
        <w:ind w:left="720"/>
        <w:jc w:val="both"/>
        <w:rPr>
          <w:color w:val="C00000"/>
          <w:sz w:val="32"/>
          <w:u w:val="none"/>
        </w:rPr>
      </w:pPr>
      <w:bookmarkStart w:id="170" w:name="_Toc107497006"/>
      <w:r w:rsidRPr="008A27A7">
        <w:rPr>
          <w:color w:val="C00000"/>
          <w:sz w:val="32"/>
          <w:u w:val="none"/>
        </w:rPr>
        <w:t>KONKLUZIONE DHE PROPOZIME</w:t>
      </w:r>
      <w:bookmarkEnd w:id="170"/>
    </w:p>
    <w:p w14:paraId="1D15E080" w14:textId="3119B810" w:rsidR="00B81595" w:rsidRPr="00F60B38" w:rsidRDefault="00B81595" w:rsidP="00F74F2F">
      <w:pPr>
        <w:jc w:val="both"/>
        <w:rPr>
          <w:rFonts w:asciiTheme="minorHAnsi" w:hAnsiTheme="minorHAnsi" w:cstheme="minorHAnsi"/>
          <w:noProof/>
          <w:lang w:val="sq-AL"/>
        </w:rPr>
      </w:pPr>
      <w:r w:rsidRPr="001B460B">
        <w:rPr>
          <w:rFonts w:asciiTheme="minorHAnsi" w:hAnsiTheme="minorHAnsi" w:cstheme="minorHAnsi"/>
          <w:i/>
          <w:noProof/>
          <w:lang w:val="sq-AL"/>
        </w:rPr>
        <w:t>Parashikimi per vitin aktual 2023 është pozitiv</w:t>
      </w:r>
      <w:r w:rsidRPr="00F60B38">
        <w:rPr>
          <w:rFonts w:asciiTheme="minorHAnsi" w:hAnsiTheme="minorHAnsi" w:cstheme="minorHAnsi"/>
          <w:noProof/>
          <w:lang w:val="sq-AL"/>
        </w:rPr>
        <w:t xml:space="preserve"> dhe pritet që ekonomia të vazhdojë në ritmet pozitive të rritjes dhe pse m</w:t>
      </w:r>
      <w:r w:rsidR="001B460B">
        <w:rPr>
          <w:rFonts w:asciiTheme="minorHAnsi" w:hAnsiTheme="minorHAnsi" w:cstheme="minorHAnsi"/>
          <w:noProof/>
          <w:lang w:val="sq-AL"/>
        </w:rPr>
        <w:t>e</w:t>
      </w:r>
      <w:r w:rsidRPr="00F60B38">
        <w:rPr>
          <w:rFonts w:asciiTheme="minorHAnsi" w:hAnsiTheme="minorHAnsi" w:cstheme="minorHAnsi"/>
          <w:noProof/>
          <w:lang w:val="sq-AL"/>
        </w:rPr>
        <w:t xml:space="preserve"> një normë më të përmbajtur në krahasim me vitin e kaluar, në nivelin prej 3.</w:t>
      </w:r>
      <w:r>
        <w:rPr>
          <w:rFonts w:asciiTheme="minorHAnsi" w:hAnsiTheme="minorHAnsi" w:cstheme="minorHAnsi"/>
          <w:noProof/>
          <w:lang w:val="sq-AL"/>
        </w:rPr>
        <w:t>7</w:t>
      </w:r>
      <w:r w:rsidRPr="00F60B38">
        <w:rPr>
          <w:rFonts w:asciiTheme="minorHAnsi" w:hAnsiTheme="minorHAnsi" w:cstheme="minorHAnsi"/>
          <w:noProof/>
          <w:lang w:val="sq-AL"/>
        </w:rPr>
        <w:t>%</w:t>
      </w:r>
      <w:r>
        <w:rPr>
          <w:rFonts w:asciiTheme="minorHAnsi" w:hAnsiTheme="minorHAnsi" w:cstheme="minorHAnsi"/>
          <w:noProof/>
          <w:lang w:val="sq-AL"/>
        </w:rPr>
        <w:t xml:space="preserve">. </w:t>
      </w:r>
      <w:r w:rsidRPr="00F60B38">
        <w:rPr>
          <w:rFonts w:asciiTheme="minorHAnsi" w:hAnsiTheme="minorHAnsi" w:cstheme="minorHAnsi"/>
          <w:noProof/>
          <w:lang w:val="sq-AL"/>
        </w:rPr>
        <w:t xml:space="preserve">Gjatë periudhës afatmesme rritja pritet të gjenerohet kryesisht nga kërkesa e brendshme, si konsumi ashtu edhe investimet. Ndërkohë kërkesa e huaj neto (eksport – import) pritet të ketë një efekt të moderuar pozitiv. </w:t>
      </w:r>
    </w:p>
    <w:p w14:paraId="5DEA2815" w14:textId="77777777" w:rsidR="00F74F2F" w:rsidRPr="00F74F2F" w:rsidRDefault="00F74F2F" w:rsidP="00F74F2F">
      <w:pPr>
        <w:tabs>
          <w:tab w:val="left" w:pos="2730"/>
        </w:tabs>
        <w:jc w:val="both"/>
        <w:rPr>
          <w:rFonts w:asciiTheme="minorHAnsi" w:hAnsiTheme="minorHAnsi"/>
          <w:i/>
          <w:sz w:val="8"/>
          <w:szCs w:val="8"/>
          <w:lang w:val="sq-AL"/>
        </w:rPr>
      </w:pPr>
    </w:p>
    <w:p w14:paraId="2E1DB9BE" w14:textId="2ABADE2D" w:rsidR="008A27A7" w:rsidRPr="008A27A7" w:rsidRDefault="008A27A7" w:rsidP="00F74F2F">
      <w:pPr>
        <w:tabs>
          <w:tab w:val="left" w:pos="2730"/>
        </w:tabs>
        <w:jc w:val="both"/>
        <w:rPr>
          <w:rFonts w:asciiTheme="minorHAnsi" w:eastAsia="Calibri" w:hAnsiTheme="minorHAnsi"/>
          <w:noProof/>
          <w:lang w:eastAsia="ja-JP"/>
        </w:rPr>
      </w:pPr>
      <w:r w:rsidRPr="00397DA3">
        <w:rPr>
          <w:rFonts w:asciiTheme="minorHAnsi" w:hAnsiTheme="minorHAnsi"/>
          <w:i/>
          <w:lang w:val="sq-AL"/>
        </w:rPr>
        <w:t>Pritshmëria e borxhit publik</w:t>
      </w:r>
      <w:r w:rsidR="001B460B">
        <w:rPr>
          <w:rFonts w:asciiTheme="minorHAnsi" w:hAnsiTheme="minorHAnsi"/>
          <w:i/>
          <w:lang w:val="sq-AL"/>
        </w:rPr>
        <w:t>.</w:t>
      </w:r>
      <w:r>
        <w:rPr>
          <w:rFonts w:asciiTheme="minorHAnsi" w:hAnsiTheme="minorHAnsi"/>
          <w:lang w:val="sq-AL"/>
        </w:rPr>
        <w:t xml:space="preserve"> </w:t>
      </w:r>
      <w:r w:rsidR="001B460B" w:rsidRPr="008757B8">
        <w:rPr>
          <w:rFonts w:asciiTheme="minorHAnsi" w:eastAsia="Calibri" w:hAnsiTheme="minorHAnsi"/>
          <w:noProof/>
          <w:lang w:eastAsia="ja-JP"/>
        </w:rPr>
        <w:t xml:space="preserve">Gjatë pjesës së mbetur të vitit 2023, menaxhimi i borxhit do të ketë në fokus plotësimin e nevojave për huamarrje në kuadër të rimëkëmbjes së ekonomisë pas situatës së krijuar nga ndikimi i konfliktit Rusi-Ukrainë, duke mbajtur në konsideratë përmirësimin e mëtejshëm të strukturës së borxhit </w:t>
      </w:r>
      <w:r w:rsidR="001B460B" w:rsidRPr="008757B8">
        <w:rPr>
          <w:rFonts w:asciiTheme="minorHAnsi" w:eastAsia="Calibri" w:hAnsiTheme="minorHAnsi"/>
          <w:i/>
          <w:noProof/>
          <w:lang w:eastAsia="ja-JP"/>
        </w:rPr>
        <w:t>(kryesisht strukturën e portofolit të borxhit të brendshëm)</w:t>
      </w:r>
      <w:r w:rsidR="001B460B" w:rsidRPr="008757B8">
        <w:rPr>
          <w:rFonts w:asciiTheme="minorHAnsi" w:eastAsia="Calibri" w:hAnsiTheme="minorHAnsi"/>
          <w:noProof/>
          <w:lang w:eastAsia="ja-JP"/>
        </w:rPr>
        <w:t xml:space="preserve"> në drejtim të uljes së ekspozimit ndaj risqeve, si edhe mbajtjes nën kontroll të kostos. Në tregun e brendshëm, nëpërmjet titujve afatshkurtër do të synohet kryesisht rifinancimi i titujve ekzistues, si dhe menaxhimi aktiv i nevojave për likuiditet. Ndërkohë, nëpërmjet titujve afatgjatë do të synohet të mbulohet financimi i deficitit. Financimi i huaj do të shërbejë si plotësues i burimeve të brendshme dhe përveç të tjerash edhe si optimizues i kostove të borxhit</w:t>
      </w:r>
      <w:r>
        <w:rPr>
          <w:rFonts w:asciiTheme="minorHAnsi" w:eastAsia="Calibri" w:hAnsiTheme="minorHAnsi"/>
          <w:noProof/>
          <w:lang w:eastAsia="ja-JP"/>
        </w:rPr>
        <w:t>.</w:t>
      </w:r>
      <w:r>
        <w:rPr>
          <w:rFonts w:asciiTheme="minorHAnsi" w:hAnsiTheme="minorHAnsi"/>
          <w:lang w:val="sq-AL"/>
        </w:rPr>
        <w:t xml:space="preserve"> </w:t>
      </w:r>
    </w:p>
    <w:p w14:paraId="4554CAD1" w14:textId="77777777" w:rsidR="00F74F2F" w:rsidRPr="00F74F2F" w:rsidRDefault="00F74F2F" w:rsidP="00F74F2F">
      <w:pPr>
        <w:jc w:val="both"/>
        <w:rPr>
          <w:rFonts w:asciiTheme="minorHAnsi" w:hAnsiTheme="minorHAnsi"/>
          <w:i/>
          <w:sz w:val="8"/>
          <w:szCs w:val="8"/>
          <w:lang w:val="sq-AL"/>
        </w:rPr>
      </w:pPr>
    </w:p>
    <w:p w14:paraId="025B5529" w14:textId="7B108F42" w:rsidR="001B460B" w:rsidRPr="00853EB9" w:rsidRDefault="00D57893" w:rsidP="00F74F2F">
      <w:pPr>
        <w:jc w:val="both"/>
        <w:rPr>
          <w:rFonts w:asciiTheme="minorHAnsi" w:hAnsiTheme="minorHAnsi" w:cstheme="minorHAnsi"/>
          <w:noProof/>
          <w:lang w:val="sq-AL"/>
        </w:rPr>
      </w:pPr>
      <w:r>
        <w:rPr>
          <w:rFonts w:asciiTheme="minorHAnsi" w:hAnsiTheme="minorHAnsi"/>
          <w:i/>
          <w:lang w:val="sq-AL"/>
        </w:rPr>
        <w:t>Pritshm</w:t>
      </w:r>
      <w:r w:rsidR="000B7B21">
        <w:rPr>
          <w:rFonts w:asciiTheme="minorHAnsi" w:hAnsiTheme="minorHAnsi"/>
          <w:i/>
          <w:lang w:val="sq-AL"/>
        </w:rPr>
        <w:t>ë</w:t>
      </w:r>
      <w:r>
        <w:rPr>
          <w:rFonts w:asciiTheme="minorHAnsi" w:hAnsiTheme="minorHAnsi"/>
          <w:i/>
          <w:lang w:val="sq-AL"/>
        </w:rPr>
        <w:t>ria n</w:t>
      </w:r>
      <w:r w:rsidR="00BA5358">
        <w:rPr>
          <w:rFonts w:asciiTheme="minorHAnsi" w:hAnsiTheme="minorHAnsi"/>
          <w:i/>
          <w:lang w:val="sq-AL"/>
        </w:rPr>
        <w:t xml:space="preserve">ë kahun e </w:t>
      </w:r>
      <w:r w:rsidR="0078470D" w:rsidRPr="00C74FE0">
        <w:rPr>
          <w:rFonts w:asciiTheme="minorHAnsi" w:hAnsiTheme="minorHAnsi"/>
          <w:i/>
          <w:lang w:val="sq-AL"/>
        </w:rPr>
        <w:t>të ardhurave buxhetore</w:t>
      </w:r>
      <w:r w:rsidR="001B460B">
        <w:rPr>
          <w:rFonts w:asciiTheme="minorHAnsi" w:hAnsiTheme="minorHAnsi"/>
          <w:i/>
          <w:lang w:val="sq-AL"/>
        </w:rPr>
        <w:t>.</w:t>
      </w:r>
      <w:r w:rsidR="0078470D" w:rsidRPr="00C74FE0">
        <w:rPr>
          <w:rFonts w:asciiTheme="minorHAnsi" w:hAnsiTheme="minorHAnsi"/>
          <w:lang w:val="sq-AL"/>
        </w:rPr>
        <w:t xml:space="preserve"> </w:t>
      </w:r>
      <w:r w:rsidR="001B460B" w:rsidRPr="00853EB9">
        <w:rPr>
          <w:rFonts w:asciiTheme="minorHAnsi" w:hAnsiTheme="minorHAnsi" w:cstheme="minorHAnsi"/>
          <w:color w:val="000000" w:themeColor="text1"/>
          <w:lang w:val="sq-AL"/>
        </w:rPr>
        <w:t>Bazuar në performancën Janar-Maj 2023, si dhe në analizën e faktorëve që mund të impaktojnë realizimin e të ardhurave tatimore dhe doganore për 7</w:t>
      </w:r>
      <w:r w:rsidR="001B460B">
        <w:rPr>
          <w:rFonts w:asciiTheme="minorHAnsi" w:hAnsiTheme="minorHAnsi" w:cstheme="minorHAnsi"/>
          <w:color w:val="000000" w:themeColor="text1"/>
          <w:lang w:val="sq-AL"/>
        </w:rPr>
        <w:t xml:space="preserve"> </w:t>
      </w:r>
      <w:r w:rsidR="001B460B" w:rsidRPr="00853EB9">
        <w:rPr>
          <w:rFonts w:asciiTheme="minorHAnsi" w:hAnsiTheme="minorHAnsi" w:cstheme="minorHAnsi"/>
          <w:color w:val="000000" w:themeColor="text1"/>
          <w:lang w:val="sq-AL"/>
        </w:rPr>
        <w:t>mujorin në vijim të cilat administrohen nga DPT dhe DPD</w:t>
      </w:r>
      <w:r w:rsidR="00723D4C">
        <w:rPr>
          <w:rFonts w:asciiTheme="minorHAnsi" w:hAnsiTheme="minorHAnsi" w:cstheme="minorHAnsi"/>
          <w:color w:val="000000" w:themeColor="text1"/>
          <w:lang w:val="sq-AL"/>
        </w:rPr>
        <w:t>,</w:t>
      </w:r>
      <w:r w:rsidR="001B460B" w:rsidRPr="00853EB9">
        <w:rPr>
          <w:rFonts w:asciiTheme="minorHAnsi" w:hAnsiTheme="minorHAnsi" w:cstheme="minorHAnsi"/>
          <w:color w:val="000000" w:themeColor="text1"/>
          <w:lang w:val="sq-AL"/>
        </w:rPr>
        <w:t xml:space="preserve"> </w:t>
      </w:r>
      <w:r w:rsidR="001B460B" w:rsidRPr="00853EB9">
        <w:rPr>
          <w:rFonts w:asciiTheme="minorHAnsi" w:hAnsiTheme="minorHAnsi" w:cstheme="minorHAnsi"/>
          <w:noProof/>
          <w:lang w:val="sq-AL"/>
        </w:rPr>
        <w:t>bazuar</w:t>
      </w:r>
      <w:r w:rsidR="00723D4C">
        <w:rPr>
          <w:rFonts w:asciiTheme="minorHAnsi" w:hAnsiTheme="minorHAnsi" w:cstheme="minorHAnsi"/>
          <w:noProof/>
          <w:lang w:val="sq-AL"/>
        </w:rPr>
        <w:t xml:space="preserve"> </w:t>
      </w:r>
      <w:r w:rsidR="001B460B" w:rsidRPr="00853EB9">
        <w:rPr>
          <w:rFonts w:asciiTheme="minorHAnsi" w:hAnsiTheme="minorHAnsi" w:cstheme="minorHAnsi"/>
          <w:noProof/>
          <w:lang w:val="sq-AL"/>
        </w:rPr>
        <w:t>në ecurinë e deritanishme gjykojmë të jenë në parametrat e planifikuar me ndonjë rënie të lehtë për shkak të faktoreve që po impaktojnë vitin 2023 si:</w:t>
      </w:r>
    </w:p>
    <w:p w14:paraId="04DEB9F9" w14:textId="77777777" w:rsidR="001B460B" w:rsidRPr="00F43353" w:rsidRDefault="001B460B" w:rsidP="00F74F2F">
      <w:pPr>
        <w:pStyle w:val="ListParagraph"/>
        <w:widowControl w:val="0"/>
        <w:numPr>
          <w:ilvl w:val="0"/>
          <w:numId w:val="8"/>
        </w:numPr>
        <w:ind w:left="540"/>
        <w:jc w:val="both"/>
        <w:rPr>
          <w:rFonts w:asciiTheme="minorHAnsi" w:hAnsiTheme="minorHAnsi" w:cstheme="minorHAnsi"/>
          <w:i/>
          <w:sz w:val="22"/>
          <w:lang w:val="sq-AL"/>
        </w:rPr>
      </w:pPr>
      <w:r w:rsidRPr="00F43353">
        <w:rPr>
          <w:rFonts w:asciiTheme="minorHAnsi" w:hAnsiTheme="minorHAnsi" w:cstheme="minorHAnsi"/>
          <w:i/>
          <w:sz w:val="22"/>
          <w:lang w:val="sq-AL"/>
        </w:rPr>
        <w:t>Kursi i këmbimit i cili ka reduktuar të ardhurat e TVSH nga importet. Sqarojmë se TVSH e importeve përbën 2/3 e TVSH në total.</w:t>
      </w:r>
    </w:p>
    <w:p w14:paraId="0DE163B2" w14:textId="6F914226" w:rsidR="008A27A7" w:rsidRPr="00F43353" w:rsidRDefault="001B460B" w:rsidP="00F74F2F">
      <w:pPr>
        <w:pStyle w:val="ListParagraph"/>
        <w:widowControl w:val="0"/>
        <w:numPr>
          <w:ilvl w:val="0"/>
          <w:numId w:val="8"/>
        </w:numPr>
        <w:ind w:left="540"/>
        <w:jc w:val="both"/>
        <w:rPr>
          <w:rFonts w:asciiTheme="minorHAnsi" w:hAnsiTheme="minorHAnsi" w:cstheme="minorHAnsi"/>
          <w:i/>
          <w:sz w:val="22"/>
          <w:lang w:val="sq-AL"/>
        </w:rPr>
      </w:pPr>
      <w:r w:rsidRPr="00F43353">
        <w:rPr>
          <w:rFonts w:asciiTheme="minorHAnsi" w:hAnsiTheme="minorHAnsi" w:cstheme="minorHAnsi"/>
          <w:i/>
          <w:sz w:val="22"/>
          <w:lang w:val="sq-AL"/>
        </w:rPr>
        <w:t>Reduktimi i importit të energjisë elektrike, e cila paguan TVSH më të lartë në import krahasuar me atë që llogaritet për prodhimin vendas për shkak të çmimit</w:t>
      </w:r>
      <w:r w:rsidR="008A27A7" w:rsidRPr="00F43353">
        <w:rPr>
          <w:rFonts w:asciiTheme="minorHAnsi" w:hAnsiTheme="minorHAnsi" w:cstheme="minorHAnsi"/>
          <w:i/>
          <w:sz w:val="22"/>
          <w:lang w:val="sq-AL"/>
        </w:rPr>
        <w:t>.</w:t>
      </w:r>
    </w:p>
    <w:p w14:paraId="4643F5C6" w14:textId="77777777" w:rsidR="00F74F2F" w:rsidRPr="00F74F2F" w:rsidRDefault="00F74F2F" w:rsidP="00F74F2F">
      <w:pPr>
        <w:jc w:val="both"/>
        <w:rPr>
          <w:rFonts w:asciiTheme="minorHAnsi" w:hAnsiTheme="minorHAnsi"/>
          <w:i/>
          <w:sz w:val="8"/>
          <w:szCs w:val="8"/>
          <w:lang w:val="sq-AL"/>
        </w:rPr>
      </w:pPr>
    </w:p>
    <w:p w14:paraId="1ABA67DA" w14:textId="0F441825" w:rsidR="00F74F2F" w:rsidRPr="00F43353" w:rsidRDefault="00F02D9D" w:rsidP="00F74F2F">
      <w:pPr>
        <w:jc w:val="both"/>
        <w:rPr>
          <w:rFonts w:asciiTheme="minorHAnsi" w:hAnsiTheme="minorHAnsi" w:cstheme="minorHAnsi"/>
          <w:i/>
          <w:sz w:val="22"/>
          <w:lang w:val="sq-AL"/>
        </w:rPr>
      </w:pPr>
      <w:r w:rsidRPr="00F02D9D">
        <w:rPr>
          <w:rFonts w:asciiTheme="minorHAnsi" w:hAnsiTheme="minorHAnsi"/>
          <w:i/>
          <w:lang w:val="sq-AL"/>
        </w:rPr>
        <w:t xml:space="preserve">Pritshmëria </w:t>
      </w:r>
      <w:r w:rsidR="00A40EC7">
        <w:rPr>
          <w:rFonts w:asciiTheme="minorHAnsi" w:hAnsiTheme="minorHAnsi"/>
          <w:i/>
          <w:lang w:val="sq-AL"/>
        </w:rPr>
        <w:t>lidhur me</w:t>
      </w:r>
      <w:r w:rsidRPr="00F02D9D">
        <w:rPr>
          <w:rFonts w:asciiTheme="minorHAnsi" w:hAnsiTheme="minorHAnsi"/>
          <w:i/>
          <w:lang w:val="sq-AL"/>
        </w:rPr>
        <w:t xml:space="preserve"> ecurinë e shpenzimeve buxhetore</w:t>
      </w:r>
      <w:r w:rsidR="00636241">
        <w:rPr>
          <w:rFonts w:asciiTheme="minorHAnsi" w:hAnsiTheme="minorHAnsi"/>
          <w:i/>
          <w:lang w:val="sq-AL"/>
        </w:rPr>
        <w:t>.</w:t>
      </w:r>
      <w:r w:rsidR="00F74F2F" w:rsidRPr="00F74F2F">
        <w:rPr>
          <w:rFonts w:asciiTheme="minorHAnsi" w:hAnsiTheme="minorHAnsi"/>
          <w:lang w:val="sq-AL"/>
        </w:rPr>
        <w:t xml:space="preserve"> </w:t>
      </w:r>
      <w:r w:rsidR="00F74F2F" w:rsidRPr="0065598A">
        <w:rPr>
          <w:rFonts w:asciiTheme="minorHAnsi" w:hAnsiTheme="minorHAnsi"/>
          <w:lang w:val="sq-AL"/>
        </w:rPr>
        <w:t>Shpenzimet</w:t>
      </w:r>
      <w:r w:rsidR="00F74F2F" w:rsidRPr="0065598A">
        <w:rPr>
          <w:rFonts w:asciiTheme="minorHAnsi" w:hAnsiTheme="minorHAnsi"/>
          <w:noProof/>
          <w:lang w:val="sq-AL"/>
        </w:rPr>
        <w:t xml:space="preserve"> e përgjithshme për vitin 20</w:t>
      </w:r>
      <w:r w:rsidR="00F74F2F">
        <w:rPr>
          <w:rFonts w:asciiTheme="minorHAnsi" w:hAnsiTheme="minorHAnsi"/>
          <w:noProof/>
          <w:lang w:val="sq-AL"/>
        </w:rPr>
        <w:t>23</w:t>
      </w:r>
      <w:r w:rsidR="00F74F2F" w:rsidRPr="0065598A">
        <w:rPr>
          <w:rFonts w:asciiTheme="minorHAnsi" w:hAnsiTheme="minorHAnsi"/>
          <w:noProof/>
          <w:lang w:val="sq-AL"/>
        </w:rPr>
        <w:t>, vlerësuar mbi bazën e ecurisë dhe performancës së tyre gjatë periudhës Janar-Maj 20</w:t>
      </w:r>
      <w:r w:rsidR="00F74F2F">
        <w:rPr>
          <w:rFonts w:asciiTheme="minorHAnsi" w:hAnsiTheme="minorHAnsi"/>
          <w:noProof/>
          <w:lang w:val="sq-AL"/>
        </w:rPr>
        <w:t>23</w:t>
      </w:r>
      <w:r w:rsidR="00F74F2F" w:rsidRPr="0065598A">
        <w:rPr>
          <w:rFonts w:asciiTheme="minorHAnsi" w:hAnsiTheme="minorHAnsi"/>
          <w:noProof/>
          <w:lang w:val="sq-AL"/>
        </w:rPr>
        <w:t xml:space="preserve">, paraqesin një pritshmëri përgjithësisht në linjë me parashikimet </w:t>
      </w:r>
      <w:r w:rsidR="00F74F2F">
        <w:rPr>
          <w:rFonts w:asciiTheme="minorHAnsi" w:hAnsiTheme="minorHAnsi"/>
          <w:noProof/>
          <w:lang w:val="sq-AL"/>
        </w:rPr>
        <w:t>e Ministrisë së Financave dhe Ekonomisë, sipas drejtimeve të politikave kryesore.</w:t>
      </w:r>
      <w:r w:rsidR="00F74F2F" w:rsidRPr="007E571D">
        <w:rPr>
          <w:rFonts w:asciiTheme="minorHAnsi" w:hAnsiTheme="minorHAnsi"/>
          <w:noProof/>
          <w:lang w:val="sq-AL"/>
        </w:rPr>
        <w:t xml:space="preserve"> Sidoqoftë, një parashikim më i saktë lidhur me pritshmërinë deri në fund të vitit 20</w:t>
      </w:r>
      <w:r w:rsidR="00F74F2F">
        <w:rPr>
          <w:rFonts w:asciiTheme="minorHAnsi" w:hAnsiTheme="minorHAnsi"/>
          <w:noProof/>
          <w:lang w:val="sq-AL"/>
        </w:rPr>
        <w:t>23</w:t>
      </w:r>
      <w:r w:rsidR="00F74F2F" w:rsidRPr="007E571D">
        <w:rPr>
          <w:rFonts w:asciiTheme="minorHAnsi" w:hAnsiTheme="minorHAnsi"/>
          <w:noProof/>
          <w:lang w:val="sq-AL"/>
        </w:rPr>
        <w:t xml:space="preserve"> </w:t>
      </w:r>
      <w:r w:rsidR="00F74F2F">
        <w:rPr>
          <w:rFonts w:asciiTheme="minorHAnsi" w:hAnsiTheme="minorHAnsi"/>
          <w:noProof/>
          <w:lang w:val="sq-AL"/>
        </w:rPr>
        <w:t>të</w:t>
      </w:r>
      <w:r w:rsidR="00F74F2F" w:rsidRPr="007E571D">
        <w:rPr>
          <w:rFonts w:asciiTheme="minorHAnsi" w:hAnsiTheme="minorHAnsi"/>
          <w:noProof/>
          <w:lang w:val="sq-AL"/>
        </w:rPr>
        <w:t xml:space="preserve"> realizmit të </w:t>
      </w:r>
      <w:r w:rsidR="00F74F2F">
        <w:rPr>
          <w:rFonts w:asciiTheme="minorHAnsi" w:hAnsiTheme="minorHAnsi"/>
          <w:noProof/>
          <w:lang w:val="sq-AL"/>
        </w:rPr>
        <w:t>shpenzimeve, sidomos investimeve publike,</w:t>
      </w:r>
      <w:r w:rsidR="00F74F2F" w:rsidRPr="007E571D">
        <w:rPr>
          <w:rFonts w:asciiTheme="minorHAnsi" w:hAnsiTheme="minorHAnsi"/>
          <w:noProof/>
          <w:lang w:val="sq-AL"/>
        </w:rPr>
        <w:t xml:space="preserve"> do të jetë i mundur vetëm pas analizës së ecurisë 9 mujore të tyre. Kjo, duke konsideruar tremujorin e fundit të çdo viti buxhetor</w:t>
      </w:r>
      <w:r w:rsidR="00F74F2F">
        <w:rPr>
          <w:rFonts w:asciiTheme="minorHAnsi" w:hAnsiTheme="minorHAnsi"/>
          <w:noProof/>
          <w:lang w:val="sq-AL"/>
        </w:rPr>
        <w:t>,</w:t>
      </w:r>
      <w:r w:rsidR="00F74F2F" w:rsidRPr="007E571D">
        <w:rPr>
          <w:rFonts w:asciiTheme="minorHAnsi" w:hAnsiTheme="minorHAnsi"/>
          <w:noProof/>
          <w:lang w:val="sq-AL"/>
        </w:rPr>
        <w:t xml:space="preserve"> si periudhën me performancë më të lartë përsa i përket investimeve publike në tërësi dhe atyre në infrastrukturë në veçanti</w:t>
      </w:r>
    </w:p>
    <w:p w14:paraId="6AD94DC5" w14:textId="77777777" w:rsidR="00F74F2F" w:rsidRPr="00F74F2F" w:rsidRDefault="00F74F2F" w:rsidP="00F74F2F">
      <w:pPr>
        <w:jc w:val="both"/>
        <w:rPr>
          <w:rFonts w:asciiTheme="minorHAnsi" w:hAnsiTheme="minorHAnsi"/>
          <w:noProof/>
          <w:sz w:val="12"/>
          <w:szCs w:val="8"/>
          <w:lang w:val="sq-AL"/>
        </w:rPr>
      </w:pPr>
    </w:p>
    <w:p w14:paraId="520AEC85" w14:textId="44800973" w:rsidR="0078470D" w:rsidRPr="00A42657" w:rsidRDefault="0078470D" w:rsidP="00F74F2F">
      <w:pPr>
        <w:jc w:val="both"/>
        <w:rPr>
          <w:rFonts w:asciiTheme="minorHAnsi" w:hAnsiTheme="minorHAnsi"/>
          <w:noProof/>
          <w:lang w:val="sq-AL"/>
        </w:rPr>
      </w:pPr>
      <w:r w:rsidRPr="00A42657">
        <w:rPr>
          <w:rFonts w:asciiTheme="minorHAnsi" w:hAnsiTheme="minorHAnsi"/>
          <w:noProof/>
          <w:lang w:val="sq-AL"/>
        </w:rPr>
        <w:t xml:space="preserve">Në përfundim, nën dritën e analizës së mësipërme mbi ecurinë </w:t>
      </w:r>
      <w:r w:rsidR="00A40EC7" w:rsidRPr="00A42657">
        <w:rPr>
          <w:rFonts w:asciiTheme="minorHAnsi" w:hAnsiTheme="minorHAnsi"/>
          <w:noProof/>
          <w:lang w:val="sq-AL"/>
        </w:rPr>
        <w:t>thuajse 6</w:t>
      </w:r>
      <w:r w:rsidR="00F74F2F">
        <w:rPr>
          <w:rFonts w:asciiTheme="minorHAnsi" w:hAnsiTheme="minorHAnsi"/>
          <w:noProof/>
          <w:lang w:val="sq-AL"/>
        </w:rPr>
        <w:t xml:space="preserve"> </w:t>
      </w:r>
      <w:r w:rsidRPr="00A42657">
        <w:rPr>
          <w:rFonts w:asciiTheme="minorHAnsi" w:hAnsiTheme="minorHAnsi"/>
          <w:noProof/>
          <w:lang w:val="sq-AL"/>
        </w:rPr>
        <w:t>mujore dhe pritshmëritë deri n</w:t>
      </w:r>
      <w:r w:rsidR="00CB2AA1" w:rsidRPr="00A42657">
        <w:rPr>
          <w:rFonts w:asciiTheme="minorHAnsi" w:hAnsiTheme="minorHAnsi"/>
          <w:noProof/>
          <w:lang w:val="sq-AL"/>
        </w:rPr>
        <w:t>ë</w:t>
      </w:r>
      <w:r w:rsidRPr="00A42657">
        <w:rPr>
          <w:rFonts w:asciiTheme="minorHAnsi" w:hAnsiTheme="minorHAnsi"/>
          <w:noProof/>
          <w:lang w:val="sq-AL"/>
        </w:rPr>
        <w:t xml:space="preserve"> fund t</w:t>
      </w:r>
      <w:r w:rsidR="00CB2AA1" w:rsidRPr="00A42657">
        <w:rPr>
          <w:rFonts w:asciiTheme="minorHAnsi" w:hAnsiTheme="minorHAnsi"/>
          <w:noProof/>
          <w:lang w:val="sq-AL"/>
        </w:rPr>
        <w:t>ë</w:t>
      </w:r>
      <w:r w:rsidRPr="00A42657">
        <w:rPr>
          <w:rFonts w:asciiTheme="minorHAnsi" w:hAnsiTheme="minorHAnsi"/>
          <w:noProof/>
          <w:lang w:val="sq-AL"/>
        </w:rPr>
        <w:t xml:space="preserve"> vitit fiskal 20</w:t>
      </w:r>
      <w:r w:rsidR="00FF4AD5" w:rsidRPr="00A42657">
        <w:rPr>
          <w:rFonts w:asciiTheme="minorHAnsi" w:hAnsiTheme="minorHAnsi"/>
          <w:noProof/>
          <w:lang w:val="sq-AL"/>
        </w:rPr>
        <w:t>2</w:t>
      </w:r>
      <w:r w:rsidR="00F74F2F">
        <w:rPr>
          <w:rFonts w:asciiTheme="minorHAnsi" w:hAnsiTheme="minorHAnsi"/>
          <w:noProof/>
          <w:lang w:val="sq-AL"/>
        </w:rPr>
        <w:t>3</w:t>
      </w:r>
      <w:r w:rsidRPr="00A42657">
        <w:rPr>
          <w:rFonts w:asciiTheme="minorHAnsi" w:hAnsiTheme="minorHAnsi"/>
          <w:noProof/>
          <w:lang w:val="sq-AL"/>
        </w:rPr>
        <w:t xml:space="preserve">, Ministria e Financave dhe Ekonomisë gjykon se vlerësimi i performancës </w:t>
      </w:r>
      <w:r w:rsidR="00A40EC7" w:rsidRPr="00A42657">
        <w:rPr>
          <w:rFonts w:asciiTheme="minorHAnsi" w:hAnsiTheme="minorHAnsi"/>
          <w:noProof/>
          <w:lang w:val="sq-AL"/>
        </w:rPr>
        <w:t>s</w:t>
      </w:r>
      <w:r w:rsidRPr="00A42657">
        <w:rPr>
          <w:rFonts w:asciiTheme="minorHAnsi" w:hAnsiTheme="minorHAnsi"/>
          <w:noProof/>
          <w:lang w:val="sq-AL"/>
        </w:rPr>
        <w:t>ë ecurisë së treguesve të konsoliduar makro-fiskal dhe buxhetorë, si të të ardhurave ashtu edhe të shp</w:t>
      </w:r>
      <w:r w:rsidR="00A40EC7" w:rsidRPr="00A42657">
        <w:rPr>
          <w:rFonts w:asciiTheme="minorHAnsi" w:hAnsiTheme="minorHAnsi"/>
          <w:noProof/>
          <w:lang w:val="sq-AL"/>
        </w:rPr>
        <w:t xml:space="preserve">enzimeve </w:t>
      </w:r>
      <w:r w:rsidR="00A42657" w:rsidRPr="00A42657">
        <w:rPr>
          <w:rFonts w:asciiTheme="minorHAnsi" w:hAnsiTheme="minorHAnsi"/>
          <w:noProof/>
          <w:lang w:val="sq-AL"/>
        </w:rPr>
        <w:t xml:space="preserve">të paktën </w:t>
      </w:r>
      <w:r w:rsidR="00A40EC7" w:rsidRPr="00A42657">
        <w:rPr>
          <w:rFonts w:asciiTheme="minorHAnsi" w:hAnsiTheme="minorHAnsi"/>
          <w:noProof/>
          <w:lang w:val="sq-AL"/>
        </w:rPr>
        <w:t>n</w:t>
      </w:r>
      <w:r w:rsidR="00657BC2" w:rsidRPr="00A42657">
        <w:rPr>
          <w:rFonts w:asciiTheme="minorHAnsi" w:hAnsiTheme="minorHAnsi"/>
          <w:noProof/>
          <w:lang w:val="sq-AL"/>
        </w:rPr>
        <w:t>ë</w:t>
      </w:r>
      <w:r w:rsidR="00A40EC7" w:rsidRPr="00A42657">
        <w:rPr>
          <w:rFonts w:asciiTheme="minorHAnsi" w:hAnsiTheme="minorHAnsi"/>
          <w:noProof/>
          <w:lang w:val="sq-AL"/>
        </w:rPr>
        <w:t xml:space="preserve"> nivel 9</w:t>
      </w:r>
      <w:r w:rsidR="00B716F6">
        <w:rPr>
          <w:rFonts w:asciiTheme="minorHAnsi" w:hAnsiTheme="minorHAnsi"/>
          <w:noProof/>
          <w:lang w:val="sq-AL"/>
        </w:rPr>
        <w:t>M</w:t>
      </w:r>
      <w:r w:rsidR="00A40EC7" w:rsidRPr="00A42657">
        <w:rPr>
          <w:rFonts w:asciiTheme="minorHAnsi" w:hAnsiTheme="minorHAnsi"/>
          <w:noProof/>
          <w:lang w:val="sq-AL"/>
        </w:rPr>
        <w:t xml:space="preserve">, </w:t>
      </w:r>
      <w:r w:rsidRPr="00A42657">
        <w:rPr>
          <w:rFonts w:asciiTheme="minorHAnsi" w:hAnsiTheme="minorHAnsi"/>
          <w:noProof/>
          <w:lang w:val="sq-AL"/>
        </w:rPr>
        <w:t xml:space="preserve">do të jetë vendimtar në drejtim të </w:t>
      </w:r>
      <w:r w:rsidR="00417DCB" w:rsidRPr="00A42657">
        <w:rPr>
          <w:rFonts w:asciiTheme="minorHAnsi" w:hAnsiTheme="minorHAnsi"/>
          <w:noProof/>
          <w:lang w:val="sq-AL"/>
        </w:rPr>
        <w:t>angazhimit</w:t>
      </w:r>
      <w:r w:rsidRPr="00A42657">
        <w:rPr>
          <w:rFonts w:asciiTheme="minorHAnsi" w:hAnsiTheme="minorHAnsi"/>
          <w:noProof/>
          <w:lang w:val="sq-AL"/>
        </w:rPr>
        <w:t xml:space="preserve"> për një rishikim eventual të </w:t>
      </w:r>
      <w:r w:rsidR="00417DCB" w:rsidRPr="00A42657">
        <w:rPr>
          <w:rFonts w:asciiTheme="minorHAnsi" w:hAnsiTheme="minorHAnsi"/>
          <w:noProof/>
          <w:lang w:val="sq-AL"/>
        </w:rPr>
        <w:t>ligjit t</w:t>
      </w:r>
      <w:r w:rsidR="000D1394" w:rsidRPr="00A42657">
        <w:rPr>
          <w:rFonts w:asciiTheme="minorHAnsi" w:hAnsiTheme="minorHAnsi"/>
          <w:noProof/>
          <w:lang w:val="sq-AL"/>
        </w:rPr>
        <w:t>ë</w:t>
      </w:r>
      <w:r w:rsidR="00417DCB" w:rsidRPr="00A42657">
        <w:rPr>
          <w:rFonts w:asciiTheme="minorHAnsi" w:hAnsiTheme="minorHAnsi"/>
          <w:noProof/>
          <w:lang w:val="sq-AL"/>
        </w:rPr>
        <w:t xml:space="preserve"> </w:t>
      </w:r>
      <w:r w:rsidRPr="00A42657">
        <w:rPr>
          <w:rFonts w:asciiTheme="minorHAnsi" w:hAnsiTheme="minorHAnsi"/>
          <w:noProof/>
          <w:lang w:val="sq-AL"/>
        </w:rPr>
        <w:t xml:space="preserve">buxhetit të </w:t>
      </w:r>
      <w:r w:rsidR="00417DCB" w:rsidRPr="00A42657">
        <w:rPr>
          <w:rFonts w:asciiTheme="minorHAnsi" w:hAnsiTheme="minorHAnsi"/>
          <w:noProof/>
          <w:lang w:val="sq-AL"/>
        </w:rPr>
        <w:t>vitit</w:t>
      </w:r>
      <w:r w:rsidRPr="00A42657">
        <w:rPr>
          <w:rFonts w:asciiTheme="minorHAnsi" w:hAnsiTheme="minorHAnsi"/>
          <w:noProof/>
          <w:lang w:val="sq-AL"/>
        </w:rPr>
        <w:t xml:space="preserve"> 20</w:t>
      </w:r>
      <w:r w:rsidR="00FF4AD5" w:rsidRPr="00A42657">
        <w:rPr>
          <w:rFonts w:asciiTheme="minorHAnsi" w:hAnsiTheme="minorHAnsi"/>
          <w:noProof/>
          <w:lang w:val="sq-AL"/>
        </w:rPr>
        <w:t>2</w:t>
      </w:r>
      <w:r w:rsidR="00F74F2F">
        <w:rPr>
          <w:rFonts w:asciiTheme="minorHAnsi" w:hAnsiTheme="minorHAnsi"/>
          <w:noProof/>
          <w:lang w:val="sq-AL"/>
        </w:rPr>
        <w:t>3</w:t>
      </w:r>
      <w:r w:rsidRPr="00A42657">
        <w:rPr>
          <w:rFonts w:asciiTheme="minorHAnsi" w:hAnsiTheme="minorHAnsi"/>
          <w:noProof/>
          <w:lang w:val="sq-AL"/>
        </w:rPr>
        <w:t>.</w:t>
      </w:r>
    </w:p>
    <w:p w14:paraId="08208A61" w14:textId="77777777" w:rsidR="00E5712C" w:rsidRPr="00E5712C" w:rsidRDefault="00E5712C" w:rsidP="00F74F2F">
      <w:pPr>
        <w:ind w:left="3060"/>
        <w:jc w:val="both"/>
        <w:rPr>
          <w:rFonts w:asciiTheme="minorHAnsi" w:hAnsiTheme="minorHAnsi"/>
          <w:b/>
          <w:sz w:val="16"/>
          <w:lang w:val="sq-AL"/>
        </w:rPr>
      </w:pPr>
      <w:r w:rsidRPr="00E5712C">
        <w:rPr>
          <w:rFonts w:asciiTheme="minorHAnsi" w:hAnsiTheme="minorHAnsi"/>
          <w:b/>
          <w:sz w:val="20"/>
          <w:lang w:val="sq-AL"/>
        </w:rPr>
        <w:tab/>
      </w:r>
    </w:p>
    <w:p w14:paraId="63695978" w14:textId="425EF20C" w:rsidR="00E5712C" w:rsidRDefault="00E5712C" w:rsidP="00E5712C">
      <w:pPr>
        <w:spacing w:line="276" w:lineRule="auto"/>
        <w:ind w:left="3060"/>
        <w:jc w:val="both"/>
        <w:rPr>
          <w:rFonts w:asciiTheme="minorHAnsi" w:hAnsiTheme="minorHAnsi"/>
          <w:b/>
          <w:sz w:val="10"/>
          <w:lang w:val="sq-AL"/>
        </w:rPr>
      </w:pPr>
    </w:p>
    <w:p w14:paraId="4F788F73" w14:textId="77777777" w:rsidR="00F74F2F" w:rsidRPr="00E5712C" w:rsidRDefault="00F74F2F" w:rsidP="00E5712C">
      <w:pPr>
        <w:spacing w:line="276" w:lineRule="auto"/>
        <w:ind w:left="3060"/>
        <w:jc w:val="both"/>
        <w:rPr>
          <w:rFonts w:asciiTheme="minorHAnsi" w:hAnsiTheme="minorHAnsi"/>
          <w:b/>
          <w:sz w:val="10"/>
          <w:lang w:val="sq-AL"/>
        </w:rPr>
      </w:pPr>
    </w:p>
    <w:p w14:paraId="5B9A2D34" w14:textId="5D6971D7" w:rsidR="00E5712C" w:rsidRDefault="00E5712C" w:rsidP="00E5712C">
      <w:pPr>
        <w:spacing w:line="276" w:lineRule="auto"/>
        <w:ind w:left="3780" w:firstLine="540"/>
        <w:jc w:val="both"/>
        <w:rPr>
          <w:rFonts w:asciiTheme="minorHAnsi" w:hAnsiTheme="minorHAnsi"/>
          <w:b/>
          <w:bCs/>
          <w:lang w:val="sq-AL"/>
        </w:rPr>
      </w:pPr>
      <w:r w:rsidRPr="00E5712C">
        <w:rPr>
          <w:rFonts w:asciiTheme="minorHAnsi" w:hAnsiTheme="minorHAnsi"/>
          <w:b/>
          <w:bCs/>
          <w:lang w:val="sq-AL"/>
        </w:rPr>
        <w:t>MINISTRI I FINANCAVE DHE EKONOMISË</w:t>
      </w:r>
    </w:p>
    <w:p w14:paraId="31413D24" w14:textId="77777777" w:rsidR="00F74F2F" w:rsidRDefault="00F74F2F" w:rsidP="00E5712C">
      <w:pPr>
        <w:spacing w:line="276" w:lineRule="auto"/>
        <w:ind w:left="3780" w:firstLine="540"/>
        <w:jc w:val="both"/>
        <w:rPr>
          <w:rFonts w:asciiTheme="minorHAnsi" w:hAnsiTheme="minorHAnsi"/>
          <w:b/>
          <w:bCs/>
          <w:lang w:val="sq-AL"/>
        </w:rPr>
      </w:pPr>
    </w:p>
    <w:p w14:paraId="44C51136" w14:textId="77777777" w:rsidR="00E5712C" w:rsidRPr="00E5712C" w:rsidRDefault="00E5712C" w:rsidP="00E5712C">
      <w:pPr>
        <w:spacing w:line="276" w:lineRule="auto"/>
        <w:ind w:left="3780" w:firstLine="540"/>
        <w:jc w:val="both"/>
        <w:rPr>
          <w:rFonts w:asciiTheme="minorHAnsi" w:hAnsiTheme="minorHAnsi"/>
          <w:b/>
          <w:bCs/>
          <w:sz w:val="12"/>
          <w:lang w:val="sq-AL"/>
        </w:rPr>
      </w:pPr>
    </w:p>
    <w:p w14:paraId="57321EFB" w14:textId="77777777" w:rsidR="00E5712C" w:rsidRPr="00E5712C" w:rsidRDefault="00E5712C" w:rsidP="00E5712C">
      <w:pPr>
        <w:spacing w:line="276" w:lineRule="auto"/>
        <w:ind w:left="3600" w:firstLine="180"/>
        <w:jc w:val="both"/>
        <w:rPr>
          <w:rFonts w:asciiTheme="minorHAnsi" w:hAnsiTheme="minorHAnsi"/>
          <w:sz w:val="20"/>
          <w:lang w:val="sq-AL"/>
        </w:rPr>
      </w:pPr>
      <w:r>
        <w:rPr>
          <w:rFonts w:asciiTheme="minorHAnsi" w:hAnsiTheme="minorHAnsi"/>
          <w:sz w:val="20"/>
          <w:lang w:val="sq-AL"/>
        </w:rPr>
        <w:t xml:space="preserve">    </w:t>
      </w:r>
      <w:r w:rsidRPr="00E5712C">
        <w:rPr>
          <w:rFonts w:asciiTheme="minorHAnsi" w:hAnsiTheme="minorHAnsi"/>
          <w:sz w:val="20"/>
          <w:lang w:val="sq-AL"/>
        </w:rPr>
        <w:t>______________________________________________</w:t>
      </w:r>
    </w:p>
    <w:p w14:paraId="38DB5F45" w14:textId="77777777" w:rsidR="00E5712C" w:rsidRPr="00E5712C" w:rsidRDefault="00E5712C" w:rsidP="00E5712C">
      <w:pPr>
        <w:spacing w:line="276" w:lineRule="auto"/>
        <w:ind w:left="4320" w:firstLine="720"/>
        <w:jc w:val="both"/>
        <w:rPr>
          <w:rFonts w:asciiTheme="minorHAnsi" w:hAnsiTheme="minorHAnsi"/>
          <w:b/>
          <w:lang w:val="sq-AL"/>
        </w:rPr>
      </w:pPr>
      <w:r>
        <w:rPr>
          <w:rFonts w:asciiTheme="minorHAnsi" w:hAnsiTheme="minorHAnsi"/>
          <w:b/>
          <w:lang w:val="sq-AL"/>
        </w:rPr>
        <w:t xml:space="preserve">     </w:t>
      </w:r>
      <w:r w:rsidRPr="00E5712C">
        <w:rPr>
          <w:rFonts w:asciiTheme="minorHAnsi" w:hAnsiTheme="minorHAnsi"/>
          <w:b/>
          <w:lang w:val="sq-AL"/>
        </w:rPr>
        <w:t>DELINA IBRAHIMAJ</w:t>
      </w:r>
    </w:p>
    <w:p w14:paraId="52E2BCF9" w14:textId="77777777" w:rsidR="00E5712C" w:rsidRDefault="00E5712C" w:rsidP="00E5712C">
      <w:pPr>
        <w:pStyle w:val="NoSpacing"/>
        <w:rPr>
          <w:rFonts w:ascii="Times New Roman" w:hAnsi="Times New Roman"/>
          <w:i/>
          <w:sz w:val="8"/>
          <w:szCs w:val="8"/>
          <w:lang w:val="sq-AL"/>
        </w:rPr>
      </w:pPr>
    </w:p>
    <w:p w14:paraId="04404904" w14:textId="77777777" w:rsidR="00F74F2F" w:rsidRDefault="00F74F2F" w:rsidP="00E5712C">
      <w:pPr>
        <w:pStyle w:val="NoSpacing"/>
        <w:rPr>
          <w:i/>
          <w:sz w:val="16"/>
          <w:szCs w:val="18"/>
          <w:lang w:val="sq-AL"/>
        </w:rPr>
      </w:pPr>
    </w:p>
    <w:p w14:paraId="295E23A5" w14:textId="77777777" w:rsidR="00F74F2F" w:rsidRDefault="00F74F2F" w:rsidP="00E5712C">
      <w:pPr>
        <w:pStyle w:val="NoSpacing"/>
        <w:rPr>
          <w:i/>
          <w:sz w:val="16"/>
          <w:szCs w:val="18"/>
          <w:lang w:val="sq-AL"/>
        </w:rPr>
      </w:pPr>
    </w:p>
    <w:p w14:paraId="7D608276" w14:textId="77777777" w:rsidR="000A1A4D" w:rsidRPr="0065598A" w:rsidRDefault="00D3619E" w:rsidP="00B95810">
      <w:pPr>
        <w:pStyle w:val="Heading1"/>
        <w:numPr>
          <w:ilvl w:val="0"/>
          <w:numId w:val="1"/>
        </w:numPr>
        <w:spacing w:line="276" w:lineRule="auto"/>
        <w:ind w:left="720"/>
        <w:jc w:val="both"/>
        <w:rPr>
          <w:sz w:val="32"/>
          <w:u w:val="none"/>
        </w:rPr>
      </w:pPr>
      <w:bookmarkStart w:id="171" w:name="_Toc107497007"/>
      <w:bookmarkStart w:id="172" w:name="_GoBack"/>
      <w:bookmarkEnd w:id="172"/>
      <w:r w:rsidRPr="0065598A">
        <w:rPr>
          <w:sz w:val="32"/>
          <w:u w:val="none"/>
        </w:rPr>
        <w:lastRenderedPageBreak/>
        <w:t>SHTOJCAT</w:t>
      </w:r>
      <w:bookmarkEnd w:id="171"/>
    </w:p>
    <w:p w14:paraId="7A79EC97" w14:textId="77777777" w:rsidR="000A1A4D" w:rsidRPr="00FA4974" w:rsidRDefault="000A1A4D" w:rsidP="00056DE5">
      <w:pPr>
        <w:pStyle w:val="Heading2"/>
        <w:numPr>
          <w:ilvl w:val="0"/>
          <w:numId w:val="33"/>
        </w:numPr>
        <w:ind w:left="360"/>
        <w:rPr>
          <w:sz w:val="26"/>
          <w:szCs w:val="26"/>
        </w:rPr>
      </w:pPr>
      <w:bookmarkStart w:id="173" w:name="_Toc107497008"/>
      <w:r w:rsidRPr="00FA4974">
        <w:rPr>
          <w:sz w:val="26"/>
          <w:szCs w:val="26"/>
        </w:rPr>
        <w:t xml:space="preserve">Ecuria e </w:t>
      </w:r>
      <w:r w:rsidR="003D082B" w:rsidRPr="00FA4974">
        <w:rPr>
          <w:sz w:val="26"/>
          <w:szCs w:val="26"/>
        </w:rPr>
        <w:t xml:space="preserve">detajuar e </w:t>
      </w:r>
      <w:r w:rsidRPr="00FA4974">
        <w:rPr>
          <w:sz w:val="26"/>
          <w:szCs w:val="26"/>
        </w:rPr>
        <w:t>treguesve makroekonomik</w:t>
      </w:r>
      <w:r w:rsidR="00CB4E18" w:rsidRPr="00FA4974">
        <w:rPr>
          <w:sz w:val="26"/>
          <w:szCs w:val="26"/>
        </w:rPr>
        <w:t>ë</w:t>
      </w:r>
      <w:r w:rsidRPr="00FA4974">
        <w:rPr>
          <w:sz w:val="26"/>
          <w:szCs w:val="26"/>
        </w:rPr>
        <w:t xml:space="preserve"> gjat</w:t>
      </w:r>
      <w:r w:rsidR="00CB4E18" w:rsidRPr="00FA4974">
        <w:rPr>
          <w:sz w:val="26"/>
          <w:szCs w:val="26"/>
        </w:rPr>
        <w:t>ë</w:t>
      </w:r>
      <w:r w:rsidRPr="00FA4974">
        <w:rPr>
          <w:sz w:val="26"/>
          <w:szCs w:val="26"/>
        </w:rPr>
        <w:t xml:space="preserve"> </w:t>
      </w:r>
      <w:r w:rsidR="00545CF4" w:rsidRPr="00FA4974">
        <w:rPr>
          <w:sz w:val="26"/>
          <w:szCs w:val="26"/>
        </w:rPr>
        <w:t>J</w:t>
      </w:r>
      <w:r w:rsidRPr="00FA4974">
        <w:rPr>
          <w:sz w:val="26"/>
          <w:szCs w:val="26"/>
        </w:rPr>
        <w:t>anar-</w:t>
      </w:r>
      <w:r w:rsidR="00545CF4" w:rsidRPr="00FA4974">
        <w:rPr>
          <w:sz w:val="26"/>
          <w:szCs w:val="26"/>
        </w:rPr>
        <w:t>M</w:t>
      </w:r>
      <w:r w:rsidRPr="00FA4974">
        <w:rPr>
          <w:sz w:val="26"/>
          <w:szCs w:val="26"/>
        </w:rPr>
        <w:t>aj 20</w:t>
      </w:r>
      <w:r w:rsidR="001F417D" w:rsidRPr="00FA4974">
        <w:rPr>
          <w:sz w:val="26"/>
          <w:szCs w:val="26"/>
        </w:rPr>
        <w:t>2</w:t>
      </w:r>
      <w:r w:rsidR="00367A15">
        <w:rPr>
          <w:sz w:val="26"/>
          <w:szCs w:val="26"/>
        </w:rPr>
        <w:t>3</w:t>
      </w:r>
      <w:r w:rsidR="00302A6A" w:rsidRPr="00FA4974">
        <w:rPr>
          <w:sz w:val="26"/>
          <w:szCs w:val="26"/>
          <w:vertAlign w:val="superscript"/>
        </w:rPr>
        <w:footnoteReference w:id="5"/>
      </w:r>
      <w:bookmarkEnd w:id="173"/>
      <w:r w:rsidR="00365407" w:rsidRPr="00FA4974">
        <w:rPr>
          <w:sz w:val="26"/>
          <w:szCs w:val="26"/>
        </w:rPr>
        <w:t xml:space="preserve"> </w:t>
      </w:r>
    </w:p>
    <w:p w14:paraId="32764349" w14:textId="77777777" w:rsidR="000A1A4D" w:rsidRPr="0065598A" w:rsidRDefault="000A1A4D" w:rsidP="000A1A4D">
      <w:pPr>
        <w:autoSpaceDE w:val="0"/>
        <w:autoSpaceDN w:val="0"/>
        <w:adjustRightInd w:val="0"/>
        <w:spacing w:line="276" w:lineRule="auto"/>
        <w:contextualSpacing/>
        <w:jc w:val="both"/>
        <w:rPr>
          <w:rFonts w:asciiTheme="minorHAnsi" w:hAnsiTheme="minorHAnsi"/>
          <w:b/>
          <w:i/>
          <w:noProof/>
          <w:sz w:val="8"/>
          <w:lang w:val="sq-AL"/>
        </w:rPr>
      </w:pPr>
    </w:p>
    <w:p w14:paraId="7E0006AE" w14:textId="77777777" w:rsidR="00704F6C" w:rsidRPr="005C5B2F" w:rsidRDefault="00704F6C" w:rsidP="00704F6C">
      <w:pPr>
        <w:autoSpaceDE w:val="0"/>
        <w:autoSpaceDN w:val="0"/>
        <w:adjustRightInd w:val="0"/>
        <w:spacing w:after="120" w:line="276" w:lineRule="auto"/>
        <w:jc w:val="both"/>
        <w:rPr>
          <w:rFonts w:ascii="Calibri" w:hAnsi="Calibri"/>
          <w:i/>
          <w:noProof/>
          <w:u w:val="single"/>
          <w:lang w:val="sq-AL"/>
        </w:rPr>
      </w:pPr>
      <w:bookmarkStart w:id="174" w:name="_Toc107496766"/>
      <w:r w:rsidRPr="00D65EF9">
        <w:rPr>
          <w:rFonts w:ascii="Calibri" w:hAnsi="Calibri"/>
          <w:i/>
          <w:noProof/>
          <w:u w:val="single"/>
          <w:lang w:val="sq-AL"/>
        </w:rPr>
        <w:t xml:space="preserve">Sektori real  </w:t>
      </w:r>
    </w:p>
    <w:p w14:paraId="620D4622" w14:textId="77777777" w:rsidR="00704F6C" w:rsidRPr="00D65EF9" w:rsidRDefault="00704F6C" w:rsidP="005855D2">
      <w:pPr>
        <w:spacing w:before="120" w:line="276" w:lineRule="auto"/>
        <w:jc w:val="both"/>
        <w:rPr>
          <w:rFonts w:asciiTheme="minorHAnsi" w:hAnsiTheme="minorHAnsi" w:cstheme="minorHAnsi"/>
          <w:lang w:val="sq-AL"/>
        </w:rPr>
      </w:pPr>
      <w:r w:rsidRPr="00D65EF9">
        <w:rPr>
          <w:rFonts w:asciiTheme="minorHAnsi" w:hAnsiTheme="minorHAnsi" w:cstheme="minorHAnsi"/>
          <w:lang w:val="sq-AL"/>
        </w:rPr>
        <w:t xml:space="preserve">Mbështetur në informacionet më të fundit të disponueshme, INSTAT jep një vlerësim paraprak të PBB për vitin 2022, i cili bazuar në vlerësimet tremujore, shënoi një rritje prej 4.84%, krahasuar me vitin 2021. Zgjerimi i kërkesës për mallra e shërbime solli rritjen e prodhimit, të pagave e të punësimit, si dhe përmirësimin e situatës financiare të bizneseve dhe familjeve. Rritja ekonomike ishte e fortë në </w:t>
      </w:r>
      <w:r w:rsidR="000C3505">
        <w:rPr>
          <w:rFonts w:asciiTheme="minorHAnsi" w:hAnsiTheme="minorHAnsi" w:cstheme="minorHAnsi"/>
          <w:lang w:val="sq-AL"/>
        </w:rPr>
        <w:t>T1</w:t>
      </w:r>
      <w:r w:rsidRPr="00D65EF9">
        <w:rPr>
          <w:rFonts w:asciiTheme="minorHAnsi" w:hAnsiTheme="minorHAnsi" w:cstheme="minorHAnsi"/>
          <w:lang w:val="sq-AL"/>
        </w:rPr>
        <w:t xml:space="preserve"> prej rreth 6.96</w:t>
      </w:r>
      <w:r w:rsidR="000C3505">
        <w:rPr>
          <w:rFonts w:asciiTheme="minorHAnsi" w:hAnsiTheme="minorHAnsi" w:cstheme="minorHAnsi"/>
          <w:lang w:val="sq-AL"/>
        </w:rPr>
        <w:t>%</w:t>
      </w:r>
      <w:r w:rsidRPr="00D65EF9">
        <w:rPr>
          <w:rFonts w:asciiTheme="minorHAnsi" w:hAnsiTheme="minorHAnsi" w:cstheme="minorHAnsi"/>
          <w:lang w:val="sq-AL"/>
        </w:rPr>
        <w:t>, më pas u ngadalësua ndjeshëm në 3.10</w:t>
      </w:r>
      <w:r w:rsidR="000C3505">
        <w:rPr>
          <w:rFonts w:asciiTheme="minorHAnsi" w:hAnsiTheme="minorHAnsi" w:cstheme="minorHAnsi"/>
          <w:lang w:val="sq-AL"/>
        </w:rPr>
        <w:t>%</w:t>
      </w:r>
      <w:r w:rsidRPr="00D65EF9">
        <w:rPr>
          <w:rFonts w:asciiTheme="minorHAnsi" w:hAnsiTheme="minorHAnsi" w:cstheme="minorHAnsi"/>
          <w:lang w:val="sq-AL"/>
        </w:rPr>
        <w:t xml:space="preserve"> në </w:t>
      </w:r>
      <w:r w:rsidR="000C3505">
        <w:rPr>
          <w:rFonts w:asciiTheme="minorHAnsi" w:hAnsiTheme="minorHAnsi" w:cstheme="minorHAnsi"/>
          <w:lang w:val="sq-AL"/>
        </w:rPr>
        <w:t>T2</w:t>
      </w:r>
      <w:r w:rsidRPr="00D65EF9">
        <w:rPr>
          <w:rFonts w:asciiTheme="minorHAnsi" w:hAnsiTheme="minorHAnsi" w:cstheme="minorHAnsi"/>
          <w:lang w:val="sq-AL"/>
        </w:rPr>
        <w:t xml:space="preserve">, kryesisht për shkak të pasigurisë së menjëhershme të ngritur nga fillimi i luftës në Ukrainë. Rritja rifitoi sërish ritmin në </w:t>
      </w:r>
      <w:r w:rsidR="000C3505">
        <w:rPr>
          <w:rFonts w:asciiTheme="minorHAnsi" w:hAnsiTheme="minorHAnsi" w:cstheme="minorHAnsi"/>
          <w:lang w:val="sq-AL"/>
        </w:rPr>
        <w:t>T3 dhe T4,</w:t>
      </w:r>
      <w:r w:rsidRPr="00D65EF9">
        <w:rPr>
          <w:rFonts w:asciiTheme="minorHAnsi" w:hAnsiTheme="minorHAnsi" w:cstheme="minorHAnsi"/>
          <w:lang w:val="sq-AL"/>
        </w:rPr>
        <w:t xml:space="preserve"> në 4.93 dhe 4.73</w:t>
      </w:r>
      <w:r w:rsidR="000C3505">
        <w:rPr>
          <w:rFonts w:asciiTheme="minorHAnsi" w:hAnsiTheme="minorHAnsi" w:cstheme="minorHAnsi"/>
          <w:lang w:val="sq-AL"/>
        </w:rPr>
        <w:t>%</w:t>
      </w:r>
      <w:r w:rsidRPr="00D65EF9">
        <w:rPr>
          <w:rFonts w:asciiTheme="minorHAnsi" w:hAnsiTheme="minorHAnsi" w:cstheme="minorHAnsi"/>
          <w:lang w:val="sq-AL"/>
        </w:rPr>
        <w:t xml:space="preserve">, </w:t>
      </w:r>
      <w:r>
        <w:rPr>
          <w:rFonts w:asciiTheme="minorHAnsi" w:hAnsiTheme="minorHAnsi" w:cstheme="minorHAnsi"/>
          <w:lang w:val="sq-AL"/>
        </w:rPr>
        <w:t>si rezultat i</w:t>
      </w:r>
      <w:r w:rsidRPr="00D65EF9">
        <w:rPr>
          <w:rFonts w:asciiTheme="minorHAnsi" w:hAnsiTheme="minorHAnsi" w:cstheme="minorHAnsi"/>
          <w:lang w:val="sq-AL"/>
        </w:rPr>
        <w:t xml:space="preserve"> një sezoni turistik relativisht mjaft të mirë dhe performancës</w:t>
      </w:r>
      <w:r>
        <w:rPr>
          <w:rFonts w:asciiTheme="minorHAnsi" w:hAnsiTheme="minorHAnsi" w:cstheme="minorHAnsi"/>
          <w:lang w:val="sq-AL"/>
        </w:rPr>
        <w:t xml:space="preserve"> pozitive</w:t>
      </w:r>
      <w:r w:rsidRPr="00D65EF9">
        <w:rPr>
          <w:rFonts w:asciiTheme="minorHAnsi" w:hAnsiTheme="minorHAnsi" w:cstheme="minorHAnsi"/>
          <w:lang w:val="sq-AL"/>
        </w:rPr>
        <w:t xml:space="preserve"> </w:t>
      </w:r>
      <w:r>
        <w:rPr>
          <w:rFonts w:asciiTheme="minorHAnsi" w:hAnsiTheme="minorHAnsi" w:cstheme="minorHAnsi"/>
          <w:lang w:val="sq-AL"/>
        </w:rPr>
        <w:t>të</w:t>
      </w:r>
      <w:r w:rsidRPr="00D65EF9">
        <w:rPr>
          <w:rFonts w:asciiTheme="minorHAnsi" w:hAnsiTheme="minorHAnsi" w:cstheme="minorHAnsi"/>
          <w:lang w:val="sq-AL"/>
        </w:rPr>
        <w:t xml:space="preserve"> sektorit të ndërtimit. Rritja kumulative në vitin 2022 ishte rreth 4.84</w:t>
      </w:r>
      <w:r w:rsidR="000C3505">
        <w:rPr>
          <w:rFonts w:asciiTheme="minorHAnsi" w:hAnsiTheme="minorHAnsi" w:cstheme="minorHAnsi"/>
          <w:lang w:val="sq-AL"/>
        </w:rPr>
        <w:t>%</w:t>
      </w:r>
      <w:r w:rsidRPr="00D65EF9">
        <w:rPr>
          <w:rFonts w:asciiTheme="minorHAnsi" w:hAnsiTheme="minorHAnsi" w:cstheme="minorHAnsi"/>
          <w:lang w:val="sq-AL"/>
        </w:rPr>
        <w:t xml:space="preserve">, e gjeneruar kryesisht nga kërkesa e brendshme </w:t>
      </w:r>
      <w:r w:rsidR="000C3505">
        <w:rPr>
          <w:rFonts w:asciiTheme="minorHAnsi" w:hAnsiTheme="minorHAnsi" w:cstheme="minorHAnsi"/>
          <w:lang w:val="sq-AL"/>
        </w:rPr>
        <w:t>(</w:t>
      </w:r>
      <w:r w:rsidRPr="00D65EF9">
        <w:rPr>
          <w:rFonts w:asciiTheme="minorHAnsi" w:hAnsiTheme="minorHAnsi" w:cstheme="minorHAnsi"/>
          <w:lang w:val="sq-AL"/>
        </w:rPr>
        <w:t>konsumi</w:t>
      </w:r>
      <w:r w:rsidR="000C3505">
        <w:rPr>
          <w:rFonts w:asciiTheme="minorHAnsi" w:hAnsiTheme="minorHAnsi" w:cstheme="minorHAnsi"/>
          <w:lang w:val="sq-AL"/>
        </w:rPr>
        <w:t>,</w:t>
      </w:r>
      <w:r w:rsidRPr="00D65EF9">
        <w:rPr>
          <w:rFonts w:asciiTheme="minorHAnsi" w:hAnsiTheme="minorHAnsi" w:cstheme="minorHAnsi"/>
          <w:lang w:val="sq-AL"/>
        </w:rPr>
        <w:t xml:space="preserve"> investimet</w:t>
      </w:r>
      <w:r w:rsidR="000C3505">
        <w:rPr>
          <w:rFonts w:asciiTheme="minorHAnsi" w:hAnsiTheme="minorHAnsi" w:cstheme="minorHAnsi"/>
          <w:lang w:val="sq-AL"/>
        </w:rPr>
        <w:t>)</w:t>
      </w:r>
      <w:r w:rsidRPr="00D65EF9">
        <w:rPr>
          <w:rFonts w:asciiTheme="minorHAnsi" w:hAnsiTheme="minorHAnsi" w:cstheme="minorHAnsi"/>
          <w:lang w:val="sq-AL"/>
        </w:rPr>
        <w:t>, ashtu dhe kërkesa e huaj neto.</w:t>
      </w:r>
    </w:p>
    <w:p w14:paraId="3248692F" w14:textId="77777777" w:rsidR="00704F6C" w:rsidRPr="00D65EF9" w:rsidRDefault="00704F6C" w:rsidP="005855D2">
      <w:pPr>
        <w:spacing w:before="120" w:line="276" w:lineRule="auto"/>
        <w:jc w:val="both"/>
        <w:rPr>
          <w:rFonts w:asciiTheme="minorHAnsi" w:hAnsiTheme="minorHAnsi" w:cstheme="minorHAnsi"/>
          <w:lang w:val="sq-AL"/>
        </w:rPr>
      </w:pPr>
      <w:r w:rsidRPr="00D65EF9">
        <w:rPr>
          <w:rFonts w:asciiTheme="minorHAnsi" w:hAnsiTheme="minorHAnsi" w:cstheme="minorHAnsi"/>
          <w:lang w:val="sq-AL"/>
        </w:rPr>
        <w:t xml:space="preserve">Të gjitha kategoritë e shpenzimeve vijuan rritjen gjatë periudhës, konsumi final i popullatës shënoi rritje me 5.36% dhe kontribuoi </w:t>
      </w:r>
      <w:r>
        <w:rPr>
          <w:rFonts w:asciiTheme="minorHAnsi" w:hAnsiTheme="minorHAnsi" w:cstheme="minorHAnsi"/>
          <w:lang w:val="sq-AL"/>
        </w:rPr>
        <w:t xml:space="preserve">me </w:t>
      </w:r>
      <w:r w:rsidRPr="00D65EF9">
        <w:rPr>
          <w:rFonts w:asciiTheme="minorHAnsi" w:hAnsiTheme="minorHAnsi" w:cstheme="minorHAnsi"/>
          <w:lang w:val="sq-AL"/>
        </w:rPr>
        <w:t>9.82 pikë</w:t>
      </w:r>
      <w:r w:rsidR="000C3505">
        <w:rPr>
          <w:rFonts w:asciiTheme="minorHAnsi" w:hAnsiTheme="minorHAnsi" w:cstheme="minorHAnsi"/>
          <w:lang w:val="sq-AL"/>
        </w:rPr>
        <w:t>%</w:t>
      </w:r>
      <w:r w:rsidRPr="00D65EF9">
        <w:rPr>
          <w:rFonts w:asciiTheme="minorHAnsi" w:hAnsiTheme="minorHAnsi" w:cstheme="minorHAnsi"/>
          <w:lang w:val="sq-AL"/>
        </w:rPr>
        <w:t xml:space="preserve"> në rritjen ekonomike, ndërsa konsumi privat shënoi rritje prej 7.17% dhe kontribuoi me 11.46 pikë</w:t>
      </w:r>
      <w:r w:rsidR="000C3505">
        <w:rPr>
          <w:rFonts w:asciiTheme="minorHAnsi" w:hAnsiTheme="minorHAnsi" w:cstheme="minorHAnsi"/>
          <w:lang w:val="sq-AL"/>
        </w:rPr>
        <w:t>%</w:t>
      </w:r>
      <w:r w:rsidRPr="00D65EF9">
        <w:rPr>
          <w:rFonts w:asciiTheme="minorHAnsi" w:hAnsiTheme="minorHAnsi" w:cstheme="minorHAnsi"/>
          <w:lang w:val="sq-AL"/>
        </w:rPr>
        <w:t>. Formimi bruto i kapitalit fiks u rrit me 6.53% dhe kontribuoi me 3.73 pikë</w:t>
      </w:r>
      <w:r w:rsidR="000C3505">
        <w:rPr>
          <w:rFonts w:asciiTheme="minorHAnsi" w:hAnsiTheme="minorHAnsi" w:cstheme="minorHAnsi"/>
          <w:lang w:val="sq-AL"/>
        </w:rPr>
        <w:t>%</w:t>
      </w:r>
      <w:r>
        <w:rPr>
          <w:rFonts w:asciiTheme="minorHAnsi" w:hAnsiTheme="minorHAnsi" w:cstheme="minorHAnsi"/>
          <w:lang w:val="sq-AL"/>
        </w:rPr>
        <w:t>,</w:t>
      </w:r>
      <w:r w:rsidRPr="00D65EF9">
        <w:rPr>
          <w:rFonts w:asciiTheme="minorHAnsi" w:hAnsiTheme="minorHAnsi" w:cstheme="minorHAnsi"/>
          <w:lang w:val="sq-AL"/>
        </w:rPr>
        <w:t xml:space="preserve"> nëpërmjet investimeve më të larta publike dhe private. </w:t>
      </w:r>
    </w:p>
    <w:p w14:paraId="1EF7F9F5" w14:textId="77777777" w:rsidR="000C3505" w:rsidRDefault="00704F6C" w:rsidP="005855D2">
      <w:pPr>
        <w:spacing w:before="120" w:line="276" w:lineRule="auto"/>
        <w:jc w:val="both"/>
        <w:rPr>
          <w:rFonts w:asciiTheme="minorHAnsi" w:hAnsiTheme="minorHAnsi" w:cstheme="minorHAnsi"/>
          <w:lang w:val="sq-AL"/>
        </w:rPr>
      </w:pPr>
      <w:r w:rsidRPr="00D65EF9">
        <w:rPr>
          <w:rFonts w:asciiTheme="minorHAnsi" w:hAnsiTheme="minorHAnsi" w:cstheme="minorHAnsi"/>
          <w:lang w:val="sq-AL"/>
        </w:rPr>
        <w:t>Nga ana e ofertës, tregtia, shërbimet e lidhura me turizmin dhe ndërtimi kanë udhëhequr rritjen në vitin 2022. Rritje pozitive kanë pasur edhe sektorët e tjerë kryesorë, me përjashtim natyrisht të energjisë elektrike që ka pasur një vit jo të mirë hidrik, veçanërisht krahasuar me 2021. Sektori i ndërtimit është rritur me 14</w:t>
      </w:r>
      <w:r>
        <w:rPr>
          <w:rFonts w:asciiTheme="minorHAnsi" w:hAnsiTheme="minorHAnsi" w:cstheme="minorHAnsi"/>
          <w:lang w:val="sq-AL"/>
        </w:rPr>
        <w:t>.</w:t>
      </w:r>
      <w:r w:rsidRPr="00D65EF9">
        <w:rPr>
          <w:rFonts w:asciiTheme="minorHAnsi" w:hAnsiTheme="minorHAnsi" w:cstheme="minorHAnsi"/>
          <w:lang w:val="sq-AL"/>
        </w:rPr>
        <w:t>5%, industria është rritur me 6</w:t>
      </w:r>
      <w:r>
        <w:rPr>
          <w:rFonts w:asciiTheme="minorHAnsi" w:hAnsiTheme="minorHAnsi" w:cstheme="minorHAnsi"/>
          <w:lang w:val="sq-AL"/>
        </w:rPr>
        <w:t>.</w:t>
      </w:r>
      <w:r w:rsidRPr="00D65EF9">
        <w:rPr>
          <w:rFonts w:asciiTheme="minorHAnsi" w:hAnsiTheme="minorHAnsi" w:cstheme="minorHAnsi"/>
          <w:lang w:val="sq-AL"/>
        </w:rPr>
        <w:t>2%, tregtia me shumicë është rritur me 5</w:t>
      </w:r>
      <w:r>
        <w:rPr>
          <w:rFonts w:asciiTheme="minorHAnsi" w:hAnsiTheme="minorHAnsi" w:cstheme="minorHAnsi"/>
          <w:lang w:val="sq-AL"/>
        </w:rPr>
        <w:t>.</w:t>
      </w:r>
      <w:r w:rsidRPr="00D65EF9">
        <w:rPr>
          <w:rFonts w:asciiTheme="minorHAnsi" w:hAnsiTheme="minorHAnsi" w:cstheme="minorHAnsi"/>
          <w:lang w:val="sq-AL"/>
        </w:rPr>
        <w:t>6%, informacioni dhe komunikimi me 13</w:t>
      </w:r>
      <w:r>
        <w:rPr>
          <w:rFonts w:asciiTheme="minorHAnsi" w:hAnsiTheme="minorHAnsi" w:cstheme="minorHAnsi"/>
          <w:lang w:val="sq-AL"/>
        </w:rPr>
        <w:t>.</w:t>
      </w:r>
      <w:r w:rsidRPr="00D65EF9">
        <w:rPr>
          <w:rFonts w:asciiTheme="minorHAnsi" w:hAnsiTheme="minorHAnsi" w:cstheme="minorHAnsi"/>
          <w:lang w:val="sq-AL"/>
        </w:rPr>
        <w:t>8%, aktiviteti financiar i sigurimeve me 12</w:t>
      </w:r>
      <w:r>
        <w:rPr>
          <w:rFonts w:asciiTheme="minorHAnsi" w:hAnsiTheme="minorHAnsi" w:cstheme="minorHAnsi"/>
          <w:lang w:val="sq-AL"/>
        </w:rPr>
        <w:t>.</w:t>
      </w:r>
      <w:r w:rsidRPr="00D65EF9">
        <w:rPr>
          <w:rFonts w:asciiTheme="minorHAnsi" w:hAnsiTheme="minorHAnsi" w:cstheme="minorHAnsi"/>
          <w:lang w:val="sq-AL"/>
        </w:rPr>
        <w:t xml:space="preserve">97%. I vetmi sektor që pati një ecuri më të ngadaltë ishte bujqësia, rezultat i së cilës u ndikua kryesisht nga rritja e çmimeve në tregjet ndërkombëtare dhe vendase. </w:t>
      </w:r>
      <w:r w:rsidR="000C3505">
        <w:rPr>
          <w:rFonts w:asciiTheme="minorHAnsi" w:hAnsiTheme="minorHAnsi" w:cstheme="minorHAnsi"/>
          <w:lang w:val="sq-AL"/>
        </w:rPr>
        <w:t>R</w:t>
      </w:r>
      <w:r w:rsidRPr="00D65EF9">
        <w:rPr>
          <w:rFonts w:asciiTheme="minorHAnsi" w:hAnsiTheme="minorHAnsi" w:cstheme="minorHAnsi"/>
          <w:lang w:val="sq-AL"/>
        </w:rPr>
        <w:t xml:space="preserve">ritja reale për bujqësinë përgjatë </w:t>
      </w:r>
      <w:r w:rsidR="000C3505">
        <w:rPr>
          <w:rFonts w:asciiTheme="minorHAnsi" w:hAnsiTheme="minorHAnsi" w:cstheme="minorHAnsi"/>
          <w:lang w:val="sq-AL"/>
        </w:rPr>
        <w:t>2022</w:t>
      </w:r>
      <w:r w:rsidRPr="00D65EF9">
        <w:rPr>
          <w:rFonts w:asciiTheme="minorHAnsi" w:hAnsiTheme="minorHAnsi" w:cstheme="minorHAnsi"/>
          <w:lang w:val="sq-AL"/>
        </w:rPr>
        <w:t xml:space="preserve"> ka qenë neutrale. </w:t>
      </w:r>
    </w:p>
    <w:p w14:paraId="2A3CE33A" w14:textId="77777777" w:rsidR="00704F6C" w:rsidRPr="00D65EF9" w:rsidRDefault="00704F6C" w:rsidP="005855D2">
      <w:pPr>
        <w:spacing w:before="120" w:line="276" w:lineRule="auto"/>
        <w:jc w:val="both"/>
        <w:rPr>
          <w:rFonts w:asciiTheme="minorHAnsi" w:hAnsiTheme="minorHAnsi" w:cstheme="minorHAnsi"/>
          <w:noProof/>
          <w:lang w:val="sq-AL"/>
        </w:rPr>
      </w:pPr>
      <w:r w:rsidRPr="000C3505">
        <w:rPr>
          <w:rFonts w:asciiTheme="minorHAnsi" w:hAnsiTheme="minorHAnsi" w:cstheme="minorHAnsi"/>
          <w:b/>
          <w:lang w:val="sq-AL"/>
        </w:rPr>
        <w:t>Në tërësi, fillimi i vitit 2023 e gjeti ekonominë shqiptare në një moment pozitiv zhvillimi</w:t>
      </w:r>
      <w:r w:rsidRPr="00D65EF9">
        <w:rPr>
          <w:rFonts w:asciiTheme="minorHAnsi" w:hAnsiTheme="minorHAnsi" w:cstheme="minorHAnsi"/>
          <w:lang w:val="sq-AL"/>
        </w:rPr>
        <w:t>.</w:t>
      </w:r>
      <w:r w:rsidR="000C3505">
        <w:rPr>
          <w:rFonts w:asciiTheme="minorHAnsi" w:hAnsiTheme="minorHAnsi" w:cstheme="minorHAnsi"/>
          <w:lang w:val="sq-AL"/>
        </w:rPr>
        <w:t xml:space="preserve"> </w:t>
      </w:r>
      <w:r w:rsidRPr="00D65EF9">
        <w:rPr>
          <w:rFonts w:asciiTheme="minorHAnsi" w:hAnsiTheme="minorHAnsi" w:cstheme="minorHAnsi"/>
          <w:noProof/>
          <w:lang w:val="sq-AL"/>
        </w:rPr>
        <w:t xml:space="preserve">Shifrat e punësimit kanë mbështetur vijimin e ecurisë së aktivitetit ekonomik ku për </w:t>
      </w:r>
      <w:r w:rsidR="000C3505">
        <w:rPr>
          <w:rFonts w:asciiTheme="minorHAnsi" w:hAnsiTheme="minorHAnsi" w:cstheme="minorHAnsi"/>
          <w:noProof/>
          <w:lang w:val="sq-AL"/>
        </w:rPr>
        <w:t>T1</w:t>
      </w:r>
      <w:r w:rsidRPr="00D65EF9">
        <w:rPr>
          <w:rFonts w:asciiTheme="minorHAnsi" w:hAnsiTheme="minorHAnsi" w:cstheme="minorHAnsi"/>
          <w:noProof/>
          <w:lang w:val="sq-AL"/>
        </w:rPr>
        <w:t xml:space="preserve"> 2023 papunësia për grup moshën mbi 15 vjeç ka shënuar nivelin prej 10.9%, duke  u ulur me 0.4 pikë</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në terma vjetorë, dhe duke u rritur me 0.1 pikë</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krahasuar me </w:t>
      </w:r>
      <w:r w:rsidR="000C3505">
        <w:rPr>
          <w:rFonts w:asciiTheme="minorHAnsi" w:hAnsiTheme="minorHAnsi" w:cstheme="minorHAnsi"/>
          <w:noProof/>
          <w:lang w:val="sq-AL"/>
        </w:rPr>
        <w:t>T4</w:t>
      </w:r>
      <w:r w:rsidRPr="00D65EF9">
        <w:rPr>
          <w:rFonts w:asciiTheme="minorHAnsi" w:hAnsiTheme="minorHAnsi" w:cstheme="minorHAnsi"/>
          <w:noProof/>
          <w:lang w:val="sq-AL"/>
        </w:rPr>
        <w:t xml:space="preserve"> 2022. Ndërkohë që edhe shkalla e punësimit ka vijuar të shënojë rritje duke rezultuar në 57.% për popullsinë mbi 15 vjeç. Ritmi vjetor i ndryshimit të punësimit për popullsinë 15 vjeç e lart, nga </w:t>
      </w:r>
      <w:r w:rsidR="000C3505">
        <w:rPr>
          <w:rFonts w:asciiTheme="minorHAnsi" w:hAnsiTheme="minorHAnsi" w:cstheme="minorHAnsi"/>
          <w:noProof/>
          <w:lang w:val="sq-AL"/>
        </w:rPr>
        <w:t>T1</w:t>
      </w:r>
      <w:r w:rsidRPr="00D65EF9">
        <w:rPr>
          <w:rFonts w:asciiTheme="minorHAnsi" w:hAnsiTheme="minorHAnsi" w:cstheme="minorHAnsi"/>
          <w:noProof/>
          <w:lang w:val="sq-AL"/>
        </w:rPr>
        <w:t xml:space="preserve"> 2022 në </w:t>
      </w:r>
      <w:r w:rsidR="000C3505">
        <w:rPr>
          <w:rFonts w:asciiTheme="minorHAnsi" w:hAnsiTheme="minorHAnsi" w:cstheme="minorHAnsi"/>
          <w:noProof/>
          <w:lang w:val="sq-AL"/>
        </w:rPr>
        <w:t>T1</w:t>
      </w:r>
      <w:r w:rsidRPr="00D65EF9">
        <w:rPr>
          <w:rFonts w:asciiTheme="minorHAnsi" w:hAnsiTheme="minorHAnsi" w:cstheme="minorHAnsi"/>
          <w:noProof/>
          <w:lang w:val="sq-AL"/>
        </w:rPr>
        <w:t xml:space="preserve"> 2023, është +2.8 pikë</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ndërsa krahasuar me </w:t>
      </w:r>
      <w:r w:rsidR="000C3505">
        <w:rPr>
          <w:rFonts w:asciiTheme="minorHAnsi" w:hAnsiTheme="minorHAnsi" w:cstheme="minorHAnsi"/>
          <w:noProof/>
          <w:lang w:val="sq-AL"/>
        </w:rPr>
        <w:t>T4</w:t>
      </w:r>
      <w:r w:rsidRPr="00D65EF9">
        <w:rPr>
          <w:rFonts w:asciiTheme="minorHAnsi" w:hAnsiTheme="minorHAnsi" w:cstheme="minorHAnsi"/>
          <w:noProof/>
          <w:lang w:val="sq-AL"/>
        </w:rPr>
        <w:t xml:space="preserve"> 2022 punësimi është rritur me 0.7 pikë</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Në terma vjetorë, punësimi është ulur me 2.7% në sektorin e industrisë, është rritur me 11% në sektorin e shërbimeve dhe me 0.4% në sektorin e bujqësisë. Gjithashtu, edhe paga mesatare  mujore bruto  për  një  të  punësuar  me  pagë, gjatë </w:t>
      </w:r>
      <w:r w:rsidR="000C3505">
        <w:rPr>
          <w:rFonts w:asciiTheme="minorHAnsi" w:hAnsiTheme="minorHAnsi" w:cstheme="minorHAnsi"/>
          <w:noProof/>
          <w:lang w:val="sq-AL"/>
        </w:rPr>
        <w:t xml:space="preserve">T1 </w:t>
      </w:r>
      <w:r w:rsidRPr="00D65EF9">
        <w:rPr>
          <w:rFonts w:asciiTheme="minorHAnsi" w:hAnsiTheme="minorHAnsi" w:cstheme="minorHAnsi"/>
          <w:noProof/>
          <w:lang w:val="sq-AL"/>
        </w:rPr>
        <w:t xml:space="preserve">2023 është 64,706 lekë, duke u rritur me 9.2% krahasuar me </w:t>
      </w:r>
      <w:r w:rsidR="000C3505">
        <w:rPr>
          <w:rFonts w:asciiTheme="minorHAnsi" w:hAnsiTheme="minorHAnsi" w:cstheme="minorHAnsi"/>
          <w:noProof/>
          <w:lang w:val="sq-AL"/>
        </w:rPr>
        <w:t>T1 2022</w:t>
      </w:r>
      <w:r w:rsidRPr="00D65EF9">
        <w:rPr>
          <w:rFonts w:asciiTheme="minorHAnsi" w:hAnsiTheme="minorHAnsi" w:cstheme="minorHAnsi"/>
          <w:noProof/>
          <w:lang w:val="sq-AL"/>
        </w:rPr>
        <w:t xml:space="preserve">. Pra, tendencat e punësimit dhe papunësisë sipas vlerësimeve të INSTAT për </w:t>
      </w:r>
      <w:r w:rsidR="000C3505">
        <w:rPr>
          <w:rFonts w:asciiTheme="minorHAnsi" w:hAnsiTheme="minorHAnsi" w:cstheme="minorHAnsi"/>
          <w:noProof/>
          <w:lang w:val="sq-AL"/>
        </w:rPr>
        <w:t>T1</w:t>
      </w:r>
      <w:r>
        <w:rPr>
          <w:rFonts w:asciiTheme="minorHAnsi" w:hAnsiTheme="minorHAnsi" w:cstheme="minorHAnsi"/>
          <w:noProof/>
          <w:lang w:val="sq-AL"/>
        </w:rPr>
        <w:t xml:space="preserve"> 2023</w:t>
      </w:r>
      <w:r w:rsidRPr="00D65EF9">
        <w:rPr>
          <w:rFonts w:asciiTheme="minorHAnsi" w:hAnsiTheme="minorHAnsi" w:cstheme="minorHAnsi"/>
          <w:noProof/>
          <w:lang w:val="sq-AL"/>
        </w:rPr>
        <w:t>, tregojnë vlera të qëndrueshme pranë mesatareve pozitive të viteve të fundit.</w:t>
      </w:r>
    </w:p>
    <w:p w14:paraId="7CE5FCE3" w14:textId="77777777" w:rsidR="00704F6C" w:rsidRPr="00E239E4" w:rsidRDefault="00704F6C" w:rsidP="005855D2">
      <w:pPr>
        <w:tabs>
          <w:tab w:val="left" w:pos="2730"/>
        </w:tabs>
        <w:spacing w:before="120" w:line="276" w:lineRule="auto"/>
        <w:jc w:val="both"/>
        <w:rPr>
          <w:rFonts w:asciiTheme="minorHAnsi" w:hAnsiTheme="minorHAnsi" w:cstheme="minorHAnsi"/>
          <w:noProof/>
          <w:sz w:val="8"/>
          <w:lang w:val="sq-AL"/>
        </w:rPr>
      </w:pPr>
      <w:r w:rsidRPr="00D65EF9">
        <w:rPr>
          <w:rFonts w:asciiTheme="minorHAnsi" w:hAnsiTheme="minorHAnsi" w:cstheme="minorHAnsi"/>
          <w:noProof/>
          <w:lang w:val="sq-AL"/>
        </w:rPr>
        <w:lastRenderedPageBreak/>
        <w:t xml:space="preserve">Një tjetër tregues i rëndësishëm që jep sinjale mbi rritjen ekonomike është treguesi i ndjesisë ekonomike (TNE) i cili  shënoi nivelin 118.6 në muajin maj 2023, duke shënuar një rritje prej 3.9 pikë nga muaji i kaluar dhe një rritje me 12.2 pikë </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në krahasim me të njëtën periudhë të një vit më parë. Niveli aktual i TNE-së qëndron 18.0 pikë mbi mesataren afatgjatë  (në nivelin 100) dhe rreth 18.6 pikë </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mbi mesataren historike (maj_2017-maj_2023). Rritja e treguesit të agreguar TNE reflekton kryesisht rritjen e besimit në sektorin e shërbimeve. Besimi u rrit gjithashtu në sektorët e industrisë, të ndërtimit dhe të tregtisë. Nga ana tjetër, besimi konsumator ka regjistruar rënie të lehtë këtë muaj. Treguesi i besimit në sektorin e industrisë (TBI) shënoi nivelin 7.7 pikë </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në maj 2023 (10.0 pikë </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më shumë krahasuar me maj 2022), dhe një rritje mujore prej 2.6 pikë </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Treguesi i besimit në sektorin e ndërtimit (TBN) shënoi nivelin 8.62 pikë </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në maj 2023 (25.3 pikë </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më shumë krahasuar me maj 2022), dhe duke shënuar një rritje mujore prej 5.4 pikë </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Treguesi i besimit në shërbime (TBSH) shënoi nivelin 35.9 pikë </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në mja 2023 (11.8 pikë </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më shumë krahasuar me maj 2022), dhe duke shënuar një rritje mujore me rreth 11.0 pikë </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Treguesi i besimit të tregtisë shënoi nivelin 12.6 në maj 2023, duke pësuar një rritje vjetore prej 4.5 pikë </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dhe një rritje mujore me 1.6 pikë </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Treguesi i besimit të konsumatorëve (TBK) shënoi nivelin -25.0 pikë </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në maj 2023 (9.3 pikë </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më shumë krahasuar me një vit më parë), duke shënuar një rënie mujore me 0.6 pikë </w:t>
      </w:r>
      <w:r w:rsidR="000C3505">
        <w:rPr>
          <w:rFonts w:asciiTheme="minorHAnsi" w:hAnsiTheme="minorHAnsi" w:cstheme="minorHAnsi"/>
          <w:noProof/>
          <w:lang w:val="sq-AL"/>
        </w:rPr>
        <w:t>%</w:t>
      </w:r>
      <w:r w:rsidRPr="00D65EF9">
        <w:rPr>
          <w:rFonts w:asciiTheme="minorHAnsi" w:hAnsiTheme="minorHAnsi" w:cstheme="minorHAnsi"/>
          <w:noProof/>
          <w:lang w:val="sq-AL"/>
        </w:rPr>
        <w:t>.</w:t>
      </w:r>
    </w:p>
    <w:p w14:paraId="1E2381FC" w14:textId="77777777" w:rsidR="00704F6C" w:rsidRPr="00DA3D6C" w:rsidRDefault="00704F6C" w:rsidP="000C3505">
      <w:pPr>
        <w:autoSpaceDE w:val="0"/>
        <w:autoSpaceDN w:val="0"/>
        <w:adjustRightInd w:val="0"/>
        <w:spacing w:before="240" w:line="276" w:lineRule="auto"/>
        <w:jc w:val="both"/>
        <w:rPr>
          <w:rFonts w:ascii="Calibri" w:hAnsi="Calibri"/>
          <w:b/>
          <w:i/>
          <w:noProof/>
          <w:u w:val="single"/>
          <w:lang w:val="sq-AL"/>
        </w:rPr>
      </w:pPr>
      <w:r w:rsidRPr="00DA3D6C">
        <w:rPr>
          <w:rFonts w:ascii="Calibri" w:hAnsi="Calibri"/>
          <w:i/>
          <w:noProof/>
          <w:u w:val="single"/>
          <w:lang w:val="sq-AL"/>
        </w:rPr>
        <w:t xml:space="preserve">Sektori i jashtëm </w:t>
      </w:r>
    </w:p>
    <w:p w14:paraId="533E5B37" w14:textId="77777777" w:rsidR="00704F6C" w:rsidRDefault="00704F6C" w:rsidP="000C3505">
      <w:pPr>
        <w:keepNext/>
        <w:spacing w:before="120" w:line="276" w:lineRule="auto"/>
        <w:jc w:val="both"/>
        <w:rPr>
          <w:rFonts w:asciiTheme="minorHAnsi" w:hAnsiTheme="minorHAnsi" w:cstheme="minorHAnsi"/>
          <w:noProof/>
          <w:lang w:val="sq-AL"/>
        </w:rPr>
      </w:pPr>
      <w:r w:rsidRPr="00D65EF9">
        <w:rPr>
          <w:rFonts w:asciiTheme="minorHAnsi" w:hAnsiTheme="minorHAnsi" w:cstheme="minorHAnsi"/>
          <w:noProof/>
          <w:lang w:val="sq-AL"/>
        </w:rPr>
        <w:t xml:space="preserve">Eksportet e mallrave për periudhёn janar - </w:t>
      </w:r>
      <w:r>
        <w:rPr>
          <w:rFonts w:asciiTheme="minorHAnsi" w:hAnsiTheme="minorHAnsi" w:cstheme="minorHAnsi"/>
          <w:noProof/>
          <w:lang w:val="sq-AL"/>
        </w:rPr>
        <w:t>maj</w:t>
      </w:r>
      <w:r w:rsidRPr="00D65EF9">
        <w:rPr>
          <w:rFonts w:asciiTheme="minorHAnsi" w:hAnsiTheme="minorHAnsi" w:cstheme="minorHAnsi"/>
          <w:noProof/>
          <w:lang w:val="sq-AL"/>
        </w:rPr>
        <w:t xml:space="preserve"> 2023 shënuan rënie prej </w:t>
      </w:r>
      <w:r>
        <w:rPr>
          <w:rFonts w:asciiTheme="minorHAnsi" w:hAnsiTheme="minorHAnsi" w:cstheme="minorHAnsi"/>
          <w:noProof/>
          <w:lang w:val="sq-AL"/>
        </w:rPr>
        <w:t>5.2</w:t>
      </w:r>
      <w:r w:rsidRPr="00D65EF9">
        <w:rPr>
          <w:rFonts w:asciiTheme="minorHAnsi" w:hAnsiTheme="minorHAnsi" w:cstheme="minorHAnsi"/>
          <w:noProof/>
          <w:lang w:val="sq-AL"/>
        </w:rPr>
        <w:t>% krahasuar me një vit më parë. G</w:t>
      </w:r>
      <w:r>
        <w:rPr>
          <w:rFonts w:asciiTheme="minorHAnsi" w:hAnsiTheme="minorHAnsi" w:cstheme="minorHAnsi"/>
          <w:noProof/>
          <w:lang w:val="sq-AL"/>
        </w:rPr>
        <w:t>jithashtu vetëm pёr muajin maj</w:t>
      </w:r>
      <w:r w:rsidRPr="00D65EF9">
        <w:rPr>
          <w:rFonts w:asciiTheme="minorHAnsi" w:hAnsiTheme="minorHAnsi" w:cstheme="minorHAnsi"/>
          <w:noProof/>
          <w:lang w:val="sq-AL"/>
        </w:rPr>
        <w:t xml:space="preserve"> 2023, eksportet shёnuan rënie prej 1</w:t>
      </w:r>
      <w:r>
        <w:rPr>
          <w:rFonts w:asciiTheme="minorHAnsi" w:hAnsiTheme="minorHAnsi" w:cstheme="minorHAnsi"/>
          <w:noProof/>
          <w:lang w:val="sq-AL"/>
        </w:rPr>
        <w:t>1.7</w:t>
      </w:r>
      <w:r w:rsidRPr="00D65EF9">
        <w:rPr>
          <w:rFonts w:asciiTheme="minorHAnsi" w:hAnsiTheme="minorHAnsi" w:cstheme="minorHAnsi"/>
          <w:noProof/>
          <w:lang w:val="sq-AL"/>
        </w:rPr>
        <w:t>% nё</w:t>
      </w:r>
      <w:r>
        <w:rPr>
          <w:rFonts w:asciiTheme="minorHAnsi" w:hAnsiTheme="minorHAnsi" w:cstheme="minorHAnsi"/>
          <w:noProof/>
          <w:lang w:val="sq-AL"/>
        </w:rPr>
        <w:t xml:space="preserve"> krahasim me maj</w:t>
      </w:r>
      <w:r w:rsidRPr="00D65EF9">
        <w:rPr>
          <w:rFonts w:asciiTheme="minorHAnsi" w:hAnsiTheme="minorHAnsi" w:cstheme="minorHAnsi"/>
          <w:noProof/>
          <w:lang w:val="sq-AL"/>
        </w:rPr>
        <w:t xml:space="preserve"> 2022. Në </w:t>
      </w:r>
      <w:r>
        <w:rPr>
          <w:rFonts w:asciiTheme="minorHAnsi" w:hAnsiTheme="minorHAnsi" w:cstheme="minorHAnsi"/>
          <w:noProof/>
          <w:lang w:val="sq-AL"/>
        </w:rPr>
        <w:t>maj</w:t>
      </w:r>
      <w:r w:rsidRPr="00D65EF9">
        <w:rPr>
          <w:rFonts w:asciiTheme="minorHAnsi" w:hAnsiTheme="minorHAnsi" w:cstheme="minorHAnsi"/>
          <w:noProof/>
          <w:lang w:val="sq-AL"/>
        </w:rPr>
        <w:t xml:space="preserve"> 2023 eksportet e mallrave arritën vlerën 3</w:t>
      </w:r>
      <w:r>
        <w:rPr>
          <w:rFonts w:asciiTheme="minorHAnsi" w:hAnsiTheme="minorHAnsi" w:cstheme="minorHAnsi"/>
          <w:noProof/>
          <w:lang w:val="sq-AL"/>
        </w:rPr>
        <w:t>9.68</w:t>
      </w:r>
      <w:r w:rsidRPr="00D65EF9">
        <w:rPr>
          <w:rFonts w:asciiTheme="minorHAnsi" w:hAnsiTheme="minorHAnsi" w:cstheme="minorHAnsi"/>
          <w:noProof/>
          <w:lang w:val="sq-AL"/>
        </w:rPr>
        <w:t xml:space="preserve"> miliardë lekë, duke rënë me 1</w:t>
      </w:r>
      <w:r>
        <w:rPr>
          <w:rFonts w:asciiTheme="minorHAnsi" w:hAnsiTheme="minorHAnsi" w:cstheme="minorHAnsi"/>
          <w:noProof/>
          <w:lang w:val="sq-AL"/>
        </w:rPr>
        <w:t>1.7</w:t>
      </w:r>
      <w:r w:rsidRPr="00D65EF9">
        <w:rPr>
          <w:rFonts w:asciiTheme="minorHAnsi" w:hAnsiTheme="minorHAnsi" w:cstheme="minorHAnsi"/>
          <w:noProof/>
          <w:lang w:val="sq-AL"/>
        </w:rPr>
        <w:t>%, krahasuar me një vit më parë</w:t>
      </w:r>
      <w:r>
        <w:rPr>
          <w:rFonts w:asciiTheme="minorHAnsi" w:hAnsiTheme="minorHAnsi" w:cstheme="minorHAnsi"/>
          <w:noProof/>
          <w:lang w:val="sq-AL"/>
        </w:rPr>
        <w:t xml:space="preserve"> dhe një rritje prej 16.8% në krahasim me prill 2023</w:t>
      </w:r>
      <w:r w:rsidRPr="00D65EF9">
        <w:rPr>
          <w:rFonts w:asciiTheme="minorHAnsi" w:hAnsiTheme="minorHAnsi" w:cstheme="minorHAnsi"/>
          <w:noProof/>
          <w:lang w:val="sq-AL"/>
        </w:rPr>
        <w:t>. Rënia vjetore e eksporteve është ndikuar nga grupet: “materiale ndërtimi dhe metale” me kontribut -10.</w:t>
      </w:r>
      <w:r>
        <w:rPr>
          <w:rFonts w:asciiTheme="minorHAnsi" w:hAnsiTheme="minorHAnsi" w:cstheme="minorHAnsi"/>
          <w:noProof/>
          <w:lang w:val="sq-AL"/>
        </w:rPr>
        <w:t>4</w:t>
      </w:r>
      <w:r w:rsidRPr="00D65EF9">
        <w:rPr>
          <w:rFonts w:asciiTheme="minorHAnsi" w:hAnsiTheme="minorHAnsi" w:cstheme="minorHAnsi"/>
          <w:noProof/>
          <w:lang w:val="sq-AL"/>
        </w:rPr>
        <w:t xml:space="preserve"> pikë </w:t>
      </w:r>
      <w:r w:rsidR="000C3505">
        <w:rPr>
          <w:rFonts w:asciiTheme="minorHAnsi" w:hAnsiTheme="minorHAnsi" w:cstheme="minorHAnsi"/>
          <w:noProof/>
          <w:lang w:val="sq-AL"/>
        </w:rPr>
        <w:t>%</w:t>
      </w:r>
      <w:r w:rsidRPr="00D65EF9">
        <w:rPr>
          <w:rFonts w:asciiTheme="minorHAnsi" w:hAnsiTheme="minorHAnsi" w:cstheme="minorHAnsi"/>
          <w:noProof/>
          <w:lang w:val="sq-AL"/>
        </w:rPr>
        <w:t>, “minerale, lëndë djegëse dhe energji elektrike” me -</w:t>
      </w:r>
      <w:r>
        <w:rPr>
          <w:rFonts w:asciiTheme="minorHAnsi" w:hAnsiTheme="minorHAnsi" w:cstheme="minorHAnsi"/>
          <w:noProof/>
          <w:lang w:val="sq-AL"/>
        </w:rPr>
        <w:t>7.1</w:t>
      </w:r>
      <w:r w:rsidRPr="00D65EF9">
        <w:rPr>
          <w:rFonts w:asciiTheme="minorHAnsi" w:hAnsiTheme="minorHAnsi" w:cstheme="minorHAnsi"/>
          <w:noProof/>
          <w:lang w:val="sq-AL"/>
        </w:rPr>
        <w:t xml:space="preserve"> pikë </w:t>
      </w:r>
      <w:r w:rsidR="000C3505">
        <w:rPr>
          <w:rFonts w:asciiTheme="minorHAnsi" w:hAnsiTheme="minorHAnsi" w:cstheme="minorHAnsi"/>
          <w:noProof/>
          <w:lang w:val="sq-AL"/>
        </w:rPr>
        <w:t>%</w:t>
      </w:r>
      <w:r w:rsidRPr="00D65EF9">
        <w:rPr>
          <w:rFonts w:asciiTheme="minorHAnsi" w:hAnsiTheme="minorHAnsi" w:cstheme="minorHAnsi"/>
          <w:noProof/>
          <w:lang w:val="sq-AL"/>
        </w:rPr>
        <w:t xml:space="preserve">. </w:t>
      </w:r>
    </w:p>
    <w:p w14:paraId="1A3E2F70" w14:textId="77777777" w:rsidR="000C3505" w:rsidRPr="000C3505" w:rsidRDefault="000C3505" w:rsidP="00067F05">
      <w:pPr>
        <w:keepNext/>
        <w:jc w:val="both"/>
        <w:rPr>
          <w:rFonts w:asciiTheme="minorHAnsi" w:hAnsiTheme="minorHAnsi"/>
          <w:i/>
          <w:noProof/>
          <w:sz w:val="16"/>
        </w:rPr>
      </w:pPr>
    </w:p>
    <w:p w14:paraId="5EAEA916" w14:textId="7846BFFF" w:rsidR="00B31CF7" w:rsidRPr="002C40CB" w:rsidRDefault="00B31CF7" w:rsidP="00067F05">
      <w:pPr>
        <w:keepNext/>
        <w:jc w:val="both"/>
        <w:rPr>
          <w:rFonts w:asciiTheme="minorHAnsi" w:hAnsiTheme="minorHAnsi"/>
          <w:i/>
          <w:noProof/>
          <w:sz w:val="22"/>
        </w:rPr>
      </w:pPr>
      <w:r w:rsidRPr="002C40CB">
        <w:rPr>
          <w:rFonts w:asciiTheme="minorHAnsi" w:hAnsiTheme="minorHAnsi"/>
          <w:i/>
          <w:noProof/>
          <w:sz w:val="22"/>
        </w:rPr>
        <w:t xml:space="preserve">Tabela </w:t>
      </w:r>
      <w:r w:rsidRPr="002C40CB">
        <w:rPr>
          <w:rFonts w:asciiTheme="minorHAnsi" w:hAnsiTheme="minorHAnsi"/>
          <w:i/>
          <w:noProof/>
          <w:sz w:val="22"/>
        </w:rPr>
        <w:fldChar w:fldCharType="begin"/>
      </w:r>
      <w:r w:rsidRPr="002C40CB">
        <w:rPr>
          <w:rFonts w:asciiTheme="minorHAnsi" w:hAnsiTheme="minorHAnsi"/>
          <w:i/>
          <w:noProof/>
          <w:sz w:val="22"/>
        </w:rPr>
        <w:instrText xml:space="preserve"> SEQ Tabela \* ARABIC </w:instrText>
      </w:r>
      <w:r w:rsidRPr="002C40CB">
        <w:rPr>
          <w:rFonts w:asciiTheme="minorHAnsi" w:hAnsiTheme="minorHAnsi"/>
          <w:i/>
          <w:noProof/>
          <w:sz w:val="22"/>
        </w:rPr>
        <w:fldChar w:fldCharType="separate"/>
      </w:r>
      <w:r w:rsidR="00C153A9">
        <w:rPr>
          <w:rFonts w:asciiTheme="minorHAnsi" w:hAnsiTheme="minorHAnsi"/>
          <w:i/>
          <w:noProof/>
          <w:sz w:val="22"/>
        </w:rPr>
        <w:t>29</w:t>
      </w:r>
      <w:r w:rsidRPr="002C40CB">
        <w:rPr>
          <w:rFonts w:asciiTheme="minorHAnsi" w:hAnsiTheme="minorHAnsi"/>
          <w:i/>
          <w:noProof/>
          <w:sz w:val="22"/>
        </w:rPr>
        <w:fldChar w:fldCharType="end"/>
      </w:r>
      <w:r w:rsidRPr="002C40CB">
        <w:rPr>
          <w:rFonts w:asciiTheme="minorHAnsi" w:hAnsiTheme="minorHAnsi"/>
          <w:i/>
          <w:noProof/>
          <w:sz w:val="22"/>
        </w:rPr>
        <w:t>: Rritja e eksportit të mallrave, sipas kategorive kryesore</w:t>
      </w:r>
      <w:bookmarkEnd w:id="174"/>
    </w:p>
    <w:p w14:paraId="6D99A32E" w14:textId="77777777" w:rsidR="00704F6C" w:rsidRPr="00B12796" w:rsidRDefault="00704F6C" w:rsidP="00704F6C">
      <w:pPr>
        <w:spacing w:before="120" w:after="120" w:line="276" w:lineRule="auto"/>
        <w:contextualSpacing/>
        <w:jc w:val="center"/>
        <w:rPr>
          <w:rFonts w:ascii="Calibri" w:hAnsi="Calibri"/>
          <w:noProof/>
          <w:highlight w:val="yellow"/>
          <w:lang w:val="sq-AL"/>
        </w:rPr>
      </w:pPr>
      <w:r w:rsidRPr="005F238F">
        <w:rPr>
          <w:noProof/>
        </w:rPr>
        <w:drawing>
          <wp:inline distT="0" distB="0" distL="0" distR="0" wp14:anchorId="1BB6709B" wp14:editId="410A9B9D">
            <wp:extent cx="6115000" cy="2240280"/>
            <wp:effectExtent l="0" t="0" r="635"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18560" cy="2241584"/>
                    </a:xfrm>
                    <a:prstGeom prst="rect">
                      <a:avLst/>
                    </a:prstGeom>
                    <a:noFill/>
                    <a:ln>
                      <a:noFill/>
                    </a:ln>
                  </pic:spPr>
                </pic:pic>
              </a:graphicData>
            </a:graphic>
          </wp:inline>
        </w:drawing>
      </w:r>
    </w:p>
    <w:p w14:paraId="3A161505" w14:textId="77777777" w:rsidR="00704F6C" w:rsidRDefault="00704F6C" w:rsidP="00704F6C">
      <w:pPr>
        <w:spacing w:before="120" w:after="120" w:line="276" w:lineRule="auto"/>
        <w:contextualSpacing/>
        <w:jc w:val="center"/>
        <w:rPr>
          <w:rFonts w:ascii="Calibri" w:hAnsi="Calibri"/>
          <w:i/>
          <w:noProof/>
          <w:sz w:val="20"/>
          <w:szCs w:val="22"/>
          <w:lang w:val="sq-AL"/>
        </w:rPr>
      </w:pPr>
    </w:p>
    <w:p w14:paraId="7C313DA6" w14:textId="77777777" w:rsidR="00B31CF7" w:rsidRPr="00CD3BAD" w:rsidRDefault="00B31CF7" w:rsidP="00B31CF7">
      <w:pPr>
        <w:spacing w:before="120" w:after="120" w:line="276" w:lineRule="auto"/>
        <w:contextualSpacing/>
        <w:rPr>
          <w:rFonts w:ascii="Calibri" w:hAnsi="Calibri"/>
          <w:i/>
          <w:noProof/>
          <w:sz w:val="20"/>
          <w:szCs w:val="22"/>
          <w:lang w:val="sq-AL"/>
        </w:rPr>
      </w:pPr>
      <w:r w:rsidRPr="00CD3BAD">
        <w:rPr>
          <w:rFonts w:ascii="Calibri" w:hAnsi="Calibri"/>
          <w:i/>
          <w:noProof/>
          <w:sz w:val="20"/>
          <w:szCs w:val="22"/>
          <w:lang w:val="sq-AL"/>
        </w:rPr>
        <w:t>Burimi: INSTAT, Qershor 202</w:t>
      </w:r>
      <w:r w:rsidR="000C3505">
        <w:rPr>
          <w:rFonts w:ascii="Calibri" w:hAnsi="Calibri"/>
          <w:i/>
          <w:noProof/>
          <w:sz w:val="20"/>
          <w:szCs w:val="22"/>
          <w:lang w:val="sq-AL"/>
        </w:rPr>
        <w:t>2</w:t>
      </w:r>
    </w:p>
    <w:p w14:paraId="08170B89" w14:textId="77777777" w:rsidR="000C3505" w:rsidRDefault="000C3505" w:rsidP="00B31CF7">
      <w:pPr>
        <w:spacing w:before="240" w:line="276" w:lineRule="auto"/>
        <w:rPr>
          <w:rFonts w:ascii="Calibri" w:hAnsi="Calibri"/>
          <w:noProof/>
          <w:lang w:val="sq-AL"/>
        </w:rPr>
      </w:pPr>
    </w:p>
    <w:p w14:paraId="77222E8E" w14:textId="77777777" w:rsidR="00B31CF7" w:rsidRPr="0065598A" w:rsidRDefault="00B31CF7" w:rsidP="00B31CF7">
      <w:pPr>
        <w:spacing w:before="240" w:line="276" w:lineRule="auto"/>
        <w:rPr>
          <w:rFonts w:ascii="Calibri" w:hAnsi="Calibri"/>
          <w:noProof/>
          <w:lang w:val="sq-AL"/>
        </w:rPr>
      </w:pPr>
      <w:r w:rsidRPr="0065598A">
        <w:rPr>
          <w:rFonts w:ascii="Calibri" w:hAnsi="Calibri"/>
          <w:noProof/>
          <w:lang w:val="sq-AL"/>
        </w:rPr>
        <w:t xml:space="preserve">Në grafikun e mëposhtëm paraqitet rritja mujore e totalit të eksporteve në përqindje, kundrejt të njëjtit muaj të një viti më parë. </w:t>
      </w:r>
    </w:p>
    <w:p w14:paraId="7560E8BB" w14:textId="77777777" w:rsidR="000C3505" w:rsidRDefault="000C3505" w:rsidP="00067F05">
      <w:pPr>
        <w:rPr>
          <w:rFonts w:asciiTheme="minorHAnsi" w:hAnsiTheme="minorHAnsi"/>
          <w:i/>
          <w:noProof/>
          <w:sz w:val="22"/>
        </w:rPr>
      </w:pPr>
      <w:bookmarkStart w:id="175" w:name="_Toc107498141"/>
    </w:p>
    <w:p w14:paraId="21CD448C" w14:textId="0A2F7683" w:rsidR="00B31CF7" w:rsidRPr="002C40CB" w:rsidRDefault="00B31CF7" w:rsidP="00067F05">
      <w:pPr>
        <w:rPr>
          <w:rFonts w:asciiTheme="minorHAnsi" w:hAnsiTheme="minorHAnsi"/>
          <w:i/>
          <w:noProof/>
          <w:sz w:val="22"/>
        </w:rPr>
      </w:pPr>
      <w:r w:rsidRPr="002C40CB">
        <w:rPr>
          <w:rFonts w:asciiTheme="minorHAnsi" w:hAnsiTheme="minorHAnsi"/>
          <w:i/>
          <w:noProof/>
          <w:sz w:val="22"/>
        </w:rPr>
        <w:lastRenderedPageBreak/>
        <w:t xml:space="preserve">Grafiku </w:t>
      </w:r>
      <w:r w:rsidRPr="002C40CB">
        <w:rPr>
          <w:rFonts w:asciiTheme="minorHAnsi" w:hAnsiTheme="minorHAnsi"/>
          <w:i/>
          <w:noProof/>
          <w:sz w:val="22"/>
        </w:rPr>
        <w:fldChar w:fldCharType="begin"/>
      </w:r>
      <w:r w:rsidRPr="002C40CB">
        <w:rPr>
          <w:rFonts w:asciiTheme="minorHAnsi" w:hAnsiTheme="minorHAnsi"/>
          <w:i/>
          <w:noProof/>
          <w:sz w:val="22"/>
        </w:rPr>
        <w:instrText xml:space="preserve"> SEQ Grafiku \* ARABIC </w:instrText>
      </w:r>
      <w:r w:rsidRPr="002C40CB">
        <w:rPr>
          <w:rFonts w:asciiTheme="minorHAnsi" w:hAnsiTheme="minorHAnsi"/>
          <w:i/>
          <w:noProof/>
          <w:sz w:val="22"/>
        </w:rPr>
        <w:fldChar w:fldCharType="separate"/>
      </w:r>
      <w:r w:rsidR="00C153A9">
        <w:rPr>
          <w:rFonts w:asciiTheme="minorHAnsi" w:hAnsiTheme="minorHAnsi"/>
          <w:i/>
          <w:noProof/>
          <w:sz w:val="22"/>
        </w:rPr>
        <w:t>49</w:t>
      </w:r>
      <w:r w:rsidRPr="002C40CB">
        <w:rPr>
          <w:rFonts w:asciiTheme="minorHAnsi" w:hAnsiTheme="minorHAnsi"/>
          <w:i/>
          <w:noProof/>
          <w:sz w:val="22"/>
        </w:rPr>
        <w:fldChar w:fldCharType="end"/>
      </w:r>
      <w:r w:rsidRPr="002C40CB">
        <w:rPr>
          <w:rFonts w:asciiTheme="minorHAnsi" w:hAnsiTheme="minorHAnsi"/>
          <w:i/>
          <w:noProof/>
          <w:sz w:val="22"/>
        </w:rPr>
        <w:t>: Rritja mujore e totalit të eksporteve, në përqindje</w:t>
      </w:r>
      <w:bookmarkEnd w:id="175"/>
    </w:p>
    <w:p w14:paraId="5ACB7704" w14:textId="77777777" w:rsidR="00704F6C" w:rsidRPr="0020055C" w:rsidRDefault="00704F6C" w:rsidP="00704F6C">
      <w:pPr>
        <w:keepNext/>
        <w:jc w:val="center"/>
        <w:rPr>
          <w:rFonts w:ascii="Calibri" w:hAnsi="Calibri"/>
          <w:i/>
          <w:lang w:val="sq-AL"/>
        </w:rPr>
      </w:pPr>
      <w:r w:rsidRPr="0020055C">
        <w:rPr>
          <w:noProof/>
        </w:rPr>
        <w:drawing>
          <wp:inline distT="0" distB="0" distL="0" distR="0" wp14:anchorId="7FAD42A4" wp14:editId="34E29918">
            <wp:extent cx="6114414" cy="16306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128028" cy="1634311"/>
                    </a:xfrm>
                    <a:prstGeom prst="rect">
                      <a:avLst/>
                    </a:prstGeom>
                    <a:noFill/>
                    <a:ln>
                      <a:noFill/>
                    </a:ln>
                  </pic:spPr>
                </pic:pic>
              </a:graphicData>
            </a:graphic>
          </wp:inline>
        </w:drawing>
      </w:r>
    </w:p>
    <w:p w14:paraId="4AA1AB38" w14:textId="77777777" w:rsidR="00B31CF7" w:rsidRDefault="00B31CF7" w:rsidP="00067F05">
      <w:pPr>
        <w:spacing w:before="120" w:after="120" w:line="276" w:lineRule="auto"/>
        <w:ind w:firstLine="720"/>
        <w:contextualSpacing/>
        <w:rPr>
          <w:rFonts w:ascii="Calibri" w:hAnsi="Calibri"/>
          <w:i/>
          <w:noProof/>
          <w:sz w:val="20"/>
          <w:szCs w:val="22"/>
          <w:lang w:val="sq-AL"/>
        </w:rPr>
      </w:pPr>
      <w:r w:rsidRPr="00CD3BAD">
        <w:rPr>
          <w:rFonts w:ascii="Calibri" w:hAnsi="Calibri"/>
          <w:i/>
          <w:noProof/>
          <w:sz w:val="20"/>
          <w:szCs w:val="22"/>
          <w:lang w:val="sq-AL"/>
        </w:rPr>
        <w:t>Burimi: INSTAT, Qershor 202</w:t>
      </w:r>
      <w:r w:rsidR="000C3505">
        <w:rPr>
          <w:rFonts w:ascii="Calibri" w:hAnsi="Calibri"/>
          <w:i/>
          <w:noProof/>
          <w:sz w:val="20"/>
          <w:szCs w:val="22"/>
          <w:lang w:val="sq-AL"/>
        </w:rPr>
        <w:t>3</w:t>
      </w:r>
    </w:p>
    <w:p w14:paraId="37326A39" w14:textId="77777777" w:rsidR="00704F6C" w:rsidRPr="00CD3BAD" w:rsidRDefault="00704F6C" w:rsidP="00067F05">
      <w:pPr>
        <w:spacing w:before="120" w:after="120" w:line="276" w:lineRule="auto"/>
        <w:ind w:firstLine="720"/>
        <w:contextualSpacing/>
        <w:rPr>
          <w:rFonts w:ascii="Calibri" w:hAnsi="Calibri"/>
          <w:i/>
          <w:noProof/>
          <w:sz w:val="20"/>
          <w:szCs w:val="22"/>
          <w:lang w:val="sq-AL"/>
        </w:rPr>
      </w:pPr>
    </w:p>
    <w:p w14:paraId="2421CF3F" w14:textId="77777777" w:rsidR="00704F6C" w:rsidRPr="0020055C" w:rsidRDefault="00704F6C" w:rsidP="00704F6C">
      <w:pPr>
        <w:spacing w:after="120" w:line="276" w:lineRule="auto"/>
        <w:jc w:val="both"/>
        <w:rPr>
          <w:rFonts w:asciiTheme="minorHAnsi" w:hAnsiTheme="minorHAnsi" w:cstheme="minorHAnsi"/>
          <w:lang w:val="sq-AL"/>
        </w:rPr>
      </w:pPr>
      <w:bookmarkStart w:id="176" w:name="_Toc107496767"/>
      <w:r w:rsidRPr="0020055C">
        <w:rPr>
          <w:rFonts w:asciiTheme="minorHAnsi" w:hAnsiTheme="minorHAnsi" w:cstheme="minorHAnsi"/>
          <w:bCs/>
          <w:i/>
          <w:noProof/>
          <w:lang w:val="sq-AL"/>
        </w:rPr>
        <w:t>Importet e mallrave</w:t>
      </w:r>
      <w:r w:rsidRPr="0020055C">
        <w:rPr>
          <w:rFonts w:asciiTheme="minorHAnsi" w:hAnsiTheme="minorHAnsi" w:cstheme="minorHAnsi"/>
          <w:bCs/>
          <w:noProof/>
          <w:lang w:val="sq-AL"/>
        </w:rPr>
        <w:t xml:space="preserve"> për periudhёn janar – maj 2023 shënuan r</w:t>
      </w:r>
      <w:r>
        <w:rPr>
          <w:rFonts w:asciiTheme="minorHAnsi" w:hAnsiTheme="minorHAnsi" w:cstheme="minorHAnsi"/>
          <w:bCs/>
          <w:noProof/>
          <w:lang w:val="sq-AL"/>
        </w:rPr>
        <w:t>ë</w:t>
      </w:r>
      <w:r w:rsidRPr="0020055C">
        <w:rPr>
          <w:rFonts w:asciiTheme="minorHAnsi" w:hAnsiTheme="minorHAnsi" w:cstheme="minorHAnsi"/>
          <w:bCs/>
          <w:noProof/>
          <w:lang w:val="sq-AL"/>
        </w:rPr>
        <w:t>nie vjetore prej 0.3% krahasuar me një vit më parё, ndërsa vetëm për maj 2023 importet shënuan rritje vjetore prej 1.2% në krahasim me maj 2022. Në maj 2023 importet e mallrave arritën vlerën 80.60 miliardë lekë duke u rritur me 1.2%, krahasuar me një vit më parë dhe me 7.7% n</w:t>
      </w:r>
      <w:r>
        <w:rPr>
          <w:rFonts w:asciiTheme="minorHAnsi" w:hAnsiTheme="minorHAnsi" w:cstheme="minorHAnsi"/>
          <w:bCs/>
          <w:noProof/>
          <w:lang w:val="sq-AL"/>
        </w:rPr>
        <w:t>ë</w:t>
      </w:r>
      <w:r w:rsidRPr="0020055C">
        <w:rPr>
          <w:rFonts w:asciiTheme="minorHAnsi" w:hAnsiTheme="minorHAnsi" w:cstheme="minorHAnsi"/>
          <w:bCs/>
          <w:noProof/>
          <w:lang w:val="sq-AL"/>
        </w:rPr>
        <w:t xml:space="preserve"> krahasim me prill 2023. </w:t>
      </w:r>
      <w:r w:rsidRPr="0020055C">
        <w:rPr>
          <w:rFonts w:asciiTheme="minorHAnsi" w:hAnsiTheme="minorHAnsi" w:cstheme="minorHAnsi"/>
          <w:lang w:val="sq-AL"/>
        </w:rPr>
        <w:t>Rritja vjetore e importeve është ndikuar kryesisht nga grupet: “makineri, pajisje dhe pjes</w:t>
      </w:r>
      <w:r>
        <w:rPr>
          <w:rFonts w:asciiTheme="minorHAnsi" w:hAnsiTheme="minorHAnsi" w:cstheme="minorHAnsi"/>
          <w:lang w:val="sq-AL"/>
        </w:rPr>
        <w:t>ë</w:t>
      </w:r>
      <w:r w:rsidRPr="0020055C">
        <w:rPr>
          <w:rFonts w:asciiTheme="minorHAnsi" w:hAnsiTheme="minorHAnsi" w:cstheme="minorHAnsi"/>
          <w:lang w:val="sq-AL"/>
        </w:rPr>
        <w:t xml:space="preserve"> k</w:t>
      </w:r>
      <w:r>
        <w:rPr>
          <w:rFonts w:asciiTheme="minorHAnsi" w:hAnsiTheme="minorHAnsi" w:cstheme="minorHAnsi"/>
          <w:lang w:val="sq-AL"/>
        </w:rPr>
        <w:t>ë</w:t>
      </w:r>
      <w:r w:rsidRPr="0020055C">
        <w:rPr>
          <w:rFonts w:asciiTheme="minorHAnsi" w:hAnsiTheme="minorHAnsi" w:cstheme="minorHAnsi"/>
          <w:lang w:val="sq-AL"/>
        </w:rPr>
        <w:t>mbimi” me kontribut pozitiv 4.8 pik</w:t>
      </w:r>
      <w:r>
        <w:rPr>
          <w:rFonts w:asciiTheme="minorHAnsi" w:hAnsiTheme="minorHAnsi" w:cstheme="minorHAnsi"/>
          <w:lang w:val="sq-AL"/>
        </w:rPr>
        <w:t>ë</w:t>
      </w:r>
      <w:r w:rsidR="000C3505">
        <w:rPr>
          <w:rFonts w:asciiTheme="minorHAnsi" w:hAnsiTheme="minorHAnsi" w:cstheme="minorHAnsi"/>
          <w:lang w:val="sq-AL"/>
        </w:rPr>
        <w:t>%</w:t>
      </w:r>
      <w:r w:rsidRPr="0020055C">
        <w:rPr>
          <w:rFonts w:asciiTheme="minorHAnsi" w:hAnsiTheme="minorHAnsi" w:cstheme="minorHAnsi"/>
          <w:lang w:val="sq-AL"/>
        </w:rPr>
        <w:t xml:space="preserve"> dhe rritje vjetore prej 23.8%. </w:t>
      </w:r>
      <w:r w:rsidRPr="0020055C">
        <w:rPr>
          <w:rFonts w:asciiTheme="minorHAnsi" w:hAnsiTheme="minorHAnsi" w:cstheme="minorHAnsi"/>
          <w:bCs/>
          <w:noProof/>
          <w:lang w:val="sq-AL"/>
        </w:rPr>
        <w:t>Zhvillimet sipas kategorive kryesore të mallrave të importit, si dhe kontributi i tyre në totalin e importeve, paraqiten në tabelën e mëposhtme</w:t>
      </w:r>
    </w:p>
    <w:p w14:paraId="401862C0" w14:textId="1385A769" w:rsidR="00B31CF7" w:rsidRPr="002C40CB" w:rsidRDefault="00B31CF7" w:rsidP="00B31CF7">
      <w:pPr>
        <w:contextualSpacing/>
        <w:rPr>
          <w:rFonts w:ascii="Calibri" w:hAnsi="Calibri"/>
          <w:i/>
          <w:sz w:val="22"/>
          <w:lang w:val="sq-AL"/>
        </w:rPr>
      </w:pPr>
      <w:r w:rsidRPr="002C40CB">
        <w:rPr>
          <w:rFonts w:ascii="Calibri" w:hAnsi="Calibri"/>
          <w:i/>
          <w:sz w:val="22"/>
          <w:lang w:val="sq-AL"/>
        </w:rPr>
        <w:t xml:space="preserve">Tabela </w:t>
      </w:r>
      <w:r w:rsidRPr="002C40CB">
        <w:rPr>
          <w:rFonts w:ascii="Calibri" w:hAnsi="Calibri"/>
          <w:i/>
          <w:sz w:val="22"/>
          <w:lang w:val="sq-AL"/>
        </w:rPr>
        <w:fldChar w:fldCharType="begin"/>
      </w:r>
      <w:r w:rsidRPr="002C40CB">
        <w:rPr>
          <w:rFonts w:ascii="Calibri" w:hAnsi="Calibri"/>
          <w:i/>
          <w:sz w:val="22"/>
          <w:lang w:val="sq-AL"/>
        </w:rPr>
        <w:instrText xml:space="preserve"> SEQ Tabela \* ARABIC </w:instrText>
      </w:r>
      <w:r w:rsidRPr="002C40CB">
        <w:rPr>
          <w:rFonts w:ascii="Calibri" w:hAnsi="Calibri"/>
          <w:i/>
          <w:sz w:val="22"/>
          <w:lang w:val="sq-AL"/>
        </w:rPr>
        <w:fldChar w:fldCharType="separate"/>
      </w:r>
      <w:r w:rsidR="00C153A9">
        <w:rPr>
          <w:rFonts w:ascii="Calibri" w:hAnsi="Calibri"/>
          <w:i/>
          <w:noProof/>
          <w:sz w:val="22"/>
          <w:lang w:val="sq-AL"/>
        </w:rPr>
        <w:t>30</w:t>
      </w:r>
      <w:r w:rsidRPr="002C40CB">
        <w:rPr>
          <w:rFonts w:ascii="Calibri" w:hAnsi="Calibri"/>
          <w:i/>
          <w:sz w:val="22"/>
          <w:lang w:val="sq-AL"/>
        </w:rPr>
        <w:fldChar w:fldCharType="end"/>
      </w:r>
      <w:r w:rsidRPr="002C40CB">
        <w:rPr>
          <w:rFonts w:ascii="Calibri" w:hAnsi="Calibri"/>
          <w:i/>
          <w:sz w:val="22"/>
          <w:lang w:val="sq-AL"/>
        </w:rPr>
        <w:t>: Rritja e importit të mallrave, sipas kategorive kryesore</w:t>
      </w:r>
      <w:bookmarkEnd w:id="176"/>
    </w:p>
    <w:p w14:paraId="029148CE" w14:textId="77777777" w:rsidR="00704F6C" w:rsidRPr="0020055C" w:rsidRDefault="00704F6C" w:rsidP="00704F6C">
      <w:pPr>
        <w:contextualSpacing/>
        <w:jc w:val="center"/>
        <w:rPr>
          <w:rFonts w:ascii="Calibri" w:hAnsi="Calibri"/>
          <w:noProof/>
          <w:lang w:val="sq-AL"/>
        </w:rPr>
      </w:pPr>
      <w:r w:rsidRPr="0020055C">
        <w:rPr>
          <w:noProof/>
        </w:rPr>
        <w:drawing>
          <wp:inline distT="0" distB="0" distL="0" distR="0" wp14:anchorId="67C6630E" wp14:editId="40D2EFD8">
            <wp:extent cx="6114415" cy="2042160"/>
            <wp:effectExtent l="0" t="0" r="63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19152" cy="2043742"/>
                    </a:xfrm>
                    <a:prstGeom prst="rect">
                      <a:avLst/>
                    </a:prstGeom>
                    <a:noFill/>
                    <a:ln>
                      <a:noFill/>
                    </a:ln>
                  </pic:spPr>
                </pic:pic>
              </a:graphicData>
            </a:graphic>
          </wp:inline>
        </w:drawing>
      </w:r>
    </w:p>
    <w:p w14:paraId="1AA2AD47" w14:textId="77777777" w:rsidR="00B31CF7" w:rsidRPr="00CD3BAD" w:rsidRDefault="00B31CF7" w:rsidP="00B31CF7">
      <w:pPr>
        <w:spacing w:before="120" w:after="120" w:line="276" w:lineRule="auto"/>
        <w:contextualSpacing/>
        <w:rPr>
          <w:rFonts w:ascii="Calibri" w:hAnsi="Calibri"/>
          <w:i/>
          <w:noProof/>
          <w:sz w:val="20"/>
          <w:szCs w:val="22"/>
          <w:lang w:val="sq-AL"/>
        </w:rPr>
      </w:pPr>
      <w:r w:rsidRPr="00CD3BAD">
        <w:rPr>
          <w:rFonts w:ascii="Calibri" w:hAnsi="Calibri"/>
          <w:i/>
          <w:noProof/>
          <w:sz w:val="20"/>
          <w:szCs w:val="22"/>
          <w:lang w:val="sq-AL"/>
        </w:rPr>
        <w:t>Burimi: INSTAT, Qershor 202</w:t>
      </w:r>
      <w:r w:rsidR="000C3505">
        <w:rPr>
          <w:rFonts w:ascii="Calibri" w:hAnsi="Calibri"/>
          <w:i/>
          <w:noProof/>
          <w:sz w:val="20"/>
          <w:szCs w:val="22"/>
          <w:lang w:val="sq-AL"/>
        </w:rPr>
        <w:t>3</w:t>
      </w:r>
    </w:p>
    <w:p w14:paraId="6DDE373D" w14:textId="77777777" w:rsidR="00B31CF7" w:rsidRPr="00717846" w:rsidRDefault="00B31CF7" w:rsidP="00B31CF7">
      <w:pPr>
        <w:spacing w:line="276" w:lineRule="auto"/>
        <w:jc w:val="both"/>
        <w:rPr>
          <w:rFonts w:ascii="Calibri" w:hAnsi="Calibri"/>
          <w:noProof/>
          <w:sz w:val="12"/>
          <w:lang w:val="sq-AL"/>
        </w:rPr>
      </w:pPr>
    </w:p>
    <w:p w14:paraId="00FA03B8" w14:textId="77777777" w:rsidR="00B31CF7" w:rsidRDefault="00B31CF7" w:rsidP="00B31CF7">
      <w:pPr>
        <w:spacing w:line="276" w:lineRule="auto"/>
        <w:jc w:val="both"/>
        <w:rPr>
          <w:rFonts w:ascii="Calibri" w:hAnsi="Calibri"/>
          <w:noProof/>
          <w:lang w:val="sq-AL"/>
        </w:rPr>
      </w:pPr>
      <w:r w:rsidRPr="0065598A">
        <w:rPr>
          <w:rFonts w:ascii="Calibri" w:hAnsi="Calibri"/>
          <w:noProof/>
          <w:lang w:val="sq-AL"/>
        </w:rPr>
        <w:t xml:space="preserve">Në grafikun e mëposhtëm paraqitet rritja mujore e totalit të importeve në përqindje, kundrejt të njëjtit muaj të një viti më parë. </w:t>
      </w:r>
    </w:p>
    <w:p w14:paraId="126D5455" w14:textId="77777777" w:rsidR="00B31CF7" w:rsidRPr="002257B4" w:rsidRDefault="00B31CF7" w:rsidP="00B31CF7">
      <w:pPr>
        <w:spacing w:line="276" w:lineRule="auto"/>
        <w:jc w:val="both"/>
        <w:rPr>
          <w:rFonts w:ascii="Calibri" w:hAnsi="Calibri"/>
          <w:noProof/>
          <w:sz w:val="8"/>
          <w:lang w:val="sq-AL"/>
        </w:rPr>
      </w:pPr>
    </w:p>
    <w:p w14:paraId="0748F3FC" w14:textId="055C8E6D" w:rsidR="00B31CF7" w:rsidRPr="002C40CB" w:rsidRDefault="00B31CF7" w:rsidP="00717846">
      <w:pPr>
        <w:contextualSpacing/>
        <w:jc w:val="both"/>
        <w:rPr>
          <w:rFonts w:ascii="Calibri" w:hAnsi="Calibri"/>
          <w:i/>
          <w:noProof/>
          <w:sz w:val="22"/>
          <w:lang w:val="sq-AL"/>
        </w:rPr>
      </w:pPr>
      <w:bookmarkStart w:id="177" w:name="_Toc107498142"/>
      <w:r w:rsidRPr="002C40CB">
        <w:rPr>
          <w:rFonts w:ascii="Calibri" w:hAnsi="Calibri"/>
          <w:i/>
          <w:sz w:val="22"/>
          <w:lang w:val="sq-AL"/>
        </w:rPr>
        <w:t xml:space="preserve">Grafiku </w:t>
      </w:r>
      <w:r w:rsidRPr="002C40CB">
        <w:rPr>
          <w:rFonts w:ascii="Calibri" w:hAnsi="Calibri"/>
          <w:i/>
          <w:sz w:val="22"/>
          <w:lang w:val="sq-AL"/>
        </w:rPr>
        <w:fldChar w:fldCharType="begin"/>
      </w:r>
      <w:r w:rsidRPr="002C40CB">
        <w:rPr>
          <w:rFonts w:ascii="Calibri" w:hAnsi="Calibri"/>
          <w:i/>
          <w:sz w:val="22"/>
          <w:lang w:val="sq-AL"/>
        </w:rPr>
        <w:instrText xml:space="preserve"> SEQ Grafiku \* ARABIC </w:instrText>
      </w:r>
      <w:r w:rsidRPr="002C40CB">
        <w:rPr>
          <w:rFonts w:ascii="Calibri" w:hAnsi="Calibri"/>
          <w:i/>
          <w:sz w:val="22"/>
          <w:lang w:val="sq-AL"/>
        </w:rPr>
        <w:fldChar w:fldCharType="separate"/>
      </w:r>
      <w:r w:rsidR="00C153A9">
        <w:rPr>
          <w:rFonts w:ascii="Calibri" w:hAnsi="Calibri"/>
          <w:i/>
          <w:noProof/>
          <w:sz w:val="22"/>
          <w:lang w:val="sq-AL"/>
        </w:rPr>
        <w:t>50</w:t>
      </w:r>
      <w:r w:rsidRPr="002C40CB">
        <w:rPr>
          <w:rFonts w:ascii="Calibri" w:hAnsi="Calibri"/>
          <w:i/>
          <w:sz w:val="22"/>
          <w:lang w:val="sq-AL"/>
        </w:rPr>
        <w:fldChar w:fldCharType="end"/>
      </w:r>
      <w:r w:rsidRPr="002C40CB">
        <w:rPr>
          <w:rFonts w:ascii="Calibri" w:hAnsi="Calibri"/>
          <w:i/>
          <w:sz w:val="22"/>
          <w:lang w:val="sq-AL"/>
        </w:rPr>
        <w:t>: Rritja mujore e totalit të importeve, në përqindje</w:t>
      </w:r>
      <w:bookmarkEnd w:id="177"/>
    </w:p>
    <w:p w14:paraId="14C4C4E2" w14:textId="77777777" w:rsidR="00704F6C" w:rsidRPr="00B12796" w:rsidRDefault="00704F6C" w:rsidP="00704F6C">
      <w:pPr>
        <w:spacing w:before="120" w:after="120" w:line="276" w:lineRule="auto"/>
        <w:contextualSpacing/>
        <w:jc w:val="center"/>
        <w:rPr>
          <w:rFonts w:ascii="Calibri" w:hAnsi="Calibri"/>
          <w:noProof/>
          <w:highlight w:val="yellow"/>
          <w:lang w:val="sq-AL"/>
        </w:rPr>
      </w:pPr>
      <w:r w:rsidRPr="0020055C">
        <w:rPr>
          <w:noProof/>
        </w:rPr>
        <w:drawing>
          <wp:inline distT="0" distB="0" distL="0" distR="0" wp14:anchorId="4FF0B53F" wp14:editId="60661A56">
            <wp:extent cx="6114415" cy="1706880"/>
            <wp:effectExtent l="0" t="0" r="635"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15741" cy="1707250"/>
                    </a:xfrm>
                    <a:prstGeom prst="rect">
                      <a:avLst/>
                    </a:prstGeom>
                    <a:noFill/>
                    <a:ln>
                      <a:noFill/>
                    </a:ln>
                  </pic:spPr>
                </pic:pic>
              </a:graphicData>
            </a:graphic>
          </wp:inline>
        </w:drawing>
      </w:r>
    </w:p>
    <w:p w14:paraId="5BC1C204" w14:textId="77777777" w:rsidR="00B31CF7" w:rsidRPr="00CD3BAD" w:rsidRDefault="00B31CF7" w:rsidP="00B31CF7">
      <w:pPr>
        <w:spacing w:before="120" w:after="120" w:line="276" w:lineRule="auto"/>
        <w:contextualSpacing/>
        <w:rPr>
          <w:rFonts w:ascii="Calibri" w:hAnsi="Calibri"/>
          <w:i/>
          <w:noProof/>
          <w:sz w:val="20"/>
          <w:szCs w:val="22"/>
          <w:lang w:val="sq-AL"/>
        </w:rPr>
      </w:pPr>
      <w:r w:rsidRPr="00CD3BAD">
        <w:rPr>
          <w:rFonts w:ascii="Calibri" w:hAnsi="Calibri"/>
          <w:i/>
          <w:noProof/>
          <w:sz w:val="20"/>
          <w:szCs w:val="22"/>
          <w:lang w:val="sq-AL"/>
        </w:rPr>
        <w:t>Burimi: INSTAT, Qershor 202</w:t>
      </w:r>
      <w:r w:rsidR="000C3505">
        <w:rPr>
          <w:rFonts w:ascii="Calibri" w:hAnsi="Calibri"/>
          <w:i/>
          <w:noProof/>
          <w:sz w:val="20"/>
          <w:szCs w:val="22"/>
          <w:lang w:val="sq-AL"/>
        </w:rPr>
        <w:t>3</w:t>
      </w:r>
    </w:p>
    <w:p w14:paraId="333D0695" w14:textId="77777777" w:rsidR="00B31CF7" w:rsidRDefault="00B31CF7" w:rsidP="00B31CF7">
      <w:pPr>
        <w:spacing w:before="240" w:line="276" w:lineRule="auto"/>
        <w:contextualSpacing/>
        <w:jc w:val="both"/>
        <w:rPr>
          <w:rFonts w:ascii="Calibri" w:hAnsi="Calibri"/>
          <w:noProof/>
          <w:lang w:val="sq-AL"/>
        </w:rPr>
      </w:pPr>
    </w:p>
    <w:p w14:paraId="47324C4F" w14:textId="77777777" w:rsidR="000C3505" w:rsidRDefault="000C3505" w:rsidP="00204FA9">
      <w:pPr>
        <w:spacing w:before="240" w:line="276" w:lineRule="auto"/>
        <w:contextualSpacing/>
        <w:jc w:val="both"/>
        <w:rPr>
          <w:rFonts w:asciiTheme="minorHAnsi" w:hAnsiTheme="minorHAnsi" w:cstheme="minorHAnsi"/>
          <w:noProof/>
          <w:lang w:val="sq-AL"/>
        </w:rPr>
      </w:pPr>
      <w:bookmarkStart w:id="178" w:name="_Toc107496768"/>
    </w:p>
    <w:p w14:paraId="58D06771" w14:textId="48C776ED" w:rsidR="00204FA9" w:rsidRDefault="00204FA9" w:rsidP="00E7612F">
      <w:pPr>
        <w:spacing w:before="240" w:line="276" w:lineRule="auto"/>
        <w:contextualSpacing/>
        <w:jc w:val="both"/>
        <w:rPr>
          <w:rFonts w:ascii="Calibri" w:hAnsi="Calibri"/>
          <w:noProof/>
          <w:lang w:val="sq-AL"/>
        </w:rPr>
      </w:pPr>
      <w:r w:rsidRPr="00E7612F">
        <w:rPr>
          <w:rFonts w:asciiTheme="minorHAnsi" w:hAnsiTheme="minorHAnsi" w:cstheme="minorHAnsi"/>
          <w:noProof/>
          <w:lang w:val="sq-AL"/>
        </w:rPr>
        <w:lastRenderedPageBreak/>
        <w:t xml:space="preserve">Këto zhvillime në tregtinë e jashtme janë reflektuar dhe tek deficiti tregtar. </w:t>
      </w:r>
      <w:r w:rsidR="00E7612F" w:rsidRPr="00E7612F">
        <w:rPr>
          <w:rFonts w:asciiTheme="minorHAnsi" w:hAnsiTheme="minorHAnsi" w:cstheme="minorHAnsi"/>
          <w:noProof/>
          <w:lang w:val="sq-AL"/>
        </w:rPr>
        <w:t>Gjatë periudhës janar-maj 2023, bilanci tregtar u përkeqësua me rreth 6% krahasuar me të njëjtën periudhë të 2022. Deficiti tregtar në muajin maj 2023 është 40.92 mld lekë, duke u thelluar deri në nivelin prej 17.8%, krahasuar me Maj 2022</w:t>
      </w:r>
      <w:r w:rsidRPr="00E7612F">
        <w:rPr>
          <w:rFonts w:ascii="Calibri" w:hAnsi="Calibri"/>
          <w:noProof/>
          <w:lang w:val="sq-AL"/>
        </w:rPr>
        <w:t>.</w:t>
      </w:r>
    </w:p>
    <w:p w14:paraId="272A4F32" w14:textId="77777777" w:rsidR="00E7612F" w:rsidRPr="00DA3D6C" w:rsidRDefault="00E7612F" w:rsidP="00E7612F">
      <w:pPr>
        <w:spacing w:before="240" w:line="276" w:lineRule="auto"/>
        <w:contextualSpacing/>
        <w:jc w:val="both"/>
        <w:rPr>
          <w:rFonts w:ascii="Calibri" w:hAnsi="Calibri"/>
          <w:noProof/>
          <w:lang w:val="sq-AL"/>
        </w:rPr>
      </w:pPr>
    </w:p>
    <w:p w14:paraId="4E1D4D11" w14:textId="172C09A5" w:rsidR="00B31CF7" w:rsidRPr="002C40CB" w:rsidRDefault="00B31CF7" w:rsidP="00717846">
      <w:pPr>
        <w:keepNext/>
        <w:tabs>
          <w:tab w:val="left" w:pos="5025"/>
        </w:tabs>
        <w:jc w:val="both"/>
        <w:rPr>
          <w:rFonts w:ascii="Calibri" w:hAnsi="Calibri"/>
          <w:i/>
          <w:sz w:val="22"/>
          <w:lang w:val="sq-AL"/>
        </w:rPr>
      </w:pPr>
      <w:r w:rsidRPr="002C40CB">
        <w:rPr>
          <w:rFonts w:ascii="Calibri" w:hAnsi="Calibri"/>
          <w:i/>
          <w:sz w:val="22"/>
          <w:lang w:val="sq-AL"/>
        </w:rPr>
        <w:t xml:space="preserve">Tabela </w:t>
      </w:r>
      <w:r w:rsidRPr="002C40CB">
        <w:rPr>
          <w:rFonts w:ascii="Calibri" w:hAnsi="Calibri"/>
          <w:i/>
          <w:sz w:val="22"/>
          <w:lang w:val="sq-AL"/>
        </w:rPr>
        <w:fldChar w:fldCharType="begin"/>
      </w:r>
      <w:r w:rsidRPr="002C40CB">
        <w:rPr>
          <w:rFonts w:ascii="Calibri" w:hAnsi="Calibri"/>
          <w:i/>
          <w:sz w:val="22"/>
          <w:lang w:val="sq-AL"/>
        </w:rPr>
        <w:instrText xml:space="preserve"> SEQ Tabela \* ARABIC </w:instrText>
      </w:r>
      <w:r w:rsidRPr="002C40CB">
        <w:rPr>
          <w:rFonts w:ascii="Calibri" w:hAnsi="Calibri"/>
          <w:i/>
          <w:sz w:val="22"/>
          <w:lang w:val="sq-AL"/>
        </w:rPr>
        <w:fldChar w:fldCharType="separate"/>
      </w:r>
      <w:r w:rsidR="00C153A9">
        <w:rPr>
          <w:rFonts w:ascii="Calibri" w:hAnsi="Calibri"/>
          <w:i/>
          <w:noProof/>
          <w:sz w:val="22"/>
          <w:lang w:val="sq-AL"/>
        </w:rPr>
        <w:t>31</w:t>
      </w:r>
      <w:r w:rsidRPr="002C40CB">
        <w:rPr>
          <w:rFonts w:ascii="Calibri" w:hAnsi="Calibri"/>
          <w:i/>
          <w:sz w:val="22"/>
          <w:lang w:val="sq-AL"/>
        </w:rPr>
        <w:fldChar w:fldCharType="end"/>
      </w:r>
      <w:r w:rsidRPr="002C40CB">
        <w:rPr>
          <w:rFonts w:ascii="Calibri" w:hAnsi="Calibri"/>
          <w:i/>
          <w:sz w:val="22"/>
          <w:lang w:val="sq-AL"/>
        </w:rPr>
        <w:t>: Bilanci tregtar, sipas kategorive kryesore</w:t>
      </w:r>
      <w:bookmarkEnd w:id="178"/>
      <w:r w:rsidRPr="002C40CB">
        <w:rPr>
          <w:rFonts w:ascii="Calibri" w:hAnsi="Calibri"/>
          <w:i/>
          <w:sz w:val="22"/>
          <w:lang w:val="sq-AL"/>
        </w:rPr>
        <w:tab/>
      </w:r>
    </w:p>
    <w:p w14:paraId="5522580C" w14:textId="77777777" w:rsidR="00204FA9" w:rsidRPr="00DA3D6C" w:rsidRDefault="00204FA9" w:rsidP="00204FA9">
      <w:pPr>
        <w:contextualSpacing/>
        <w:jc w:val="center"/>
        <w:rPr>
          <w:rFonts w:ascii="Calibri" w:hAnsi="Calibri"/>
          <w:noProof/>
          <w:lang w:val="sq-AL"/>
        </w:rPr>
      </w:pPr>
      <w:r w:rsidRPr="00DA3D6C">
        <w:rPr>
          <w:noProof/>
        </w:rPr>
        <w:drawing>
          <wp:inline distT="0" distB="0" distL="0" distR="0" wp14:anchorId="56C3DDC5" wp14:editId="331FC481">
            <wp:extent cx="6113145" cy="1318260"/>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16414" cy="1318965"/>
                    </a:xfrm>
                    <a:prstGeom prst="rect">
                      <a:avLst/>
                    </a:prstGeom>
                    <a:noFill/>
                    <a:ln>
                      <a:noFill/>
                    </a:ln>
                  </pic:spPr>
                </pic:pic>
              </a:graphicData>
            </a:graphic>
          </wp:inline>
        </w:drawing>
      </w:r>
    </w:p>
    <w:p w14:paraId="21989A28" w14:textId="77777777" w:rsidR="00B31CF7" w:rsidRDefault="00B31CF7" w:rsidP="00B31CF7">
      <w:pPr>
        <w:spacing w:before="120" w:after="120" w:line="276" w:lineRule="auto"/>
        <w:contextualSpacing/>
        <w:rPr>
          <w:rFonts w:ascii="Calibri" w:hAnsi="Calibri"/>
          <w:i/>
          <w:noProof/>
          <w:sz w:val="20"/>
          <w:szCs w:val="22"/>
          <w:lang w:val="sq-AL"/>
        </w:rPr>
      </w:pPr>
      <w:r w:rsidRPr="00FE7976">
        <w:rPr>
          <w:rFonts w:ascii="Calibri" w:hAnsi="Calibri"/>
          <w:i/>
          <w:noProof/>
          <w:sz w:val="20"/>
          <w:szCs w:val="22"/>
          <w:lang w:val="sq-AL"/>
        </w:rPr>
        <w:t>Burimi: INSTAT, Qershor 202</w:t>
      </w:r>
      <w:r w:rsidR="000C3505">
        <w:rPr>
          <w:rFonts w:ascii="Calibri" w:hAnsi="Calibri"/>
          <w:i/>
          <w:noProof/>
          <w:sz w:val="20"/>
          <w:szCs w:val="22"/>
          <w:lang w:val="sq-AL"/>
        </w:rPr>
        <w:t>3</w:t>
      </w:r>
    </w:p>
    <w:p w14:paraId="765EA32E" w14:textId="77777777" w:rsidR="00B31CF7" w:rsidRPr="00FE7976" w:rsidRDefault="00B31CF7" w:rsidP="00B31CF7">
      <w:pPr>
        <w:spacing w:before="120" w:after="120" w:line="276" w:lineRule="auto"/>
        <w:contextualSpacing/>
        <w:rPr>
          <w:rFonts w:ascii="Calibri" w:hAnsi="Calibri"/>
          <w:i/>
          <w:noProof/>
          <w:sz w:val="8"/>
          <w:szCs w:val="22"/>
          <w:lang w:val="sq-AL"/>
        </w:rPr>
      </w:pPr>
    </w:p>
    <w:p w14:paraId="27A713D3" w14:textId="77777777" w:rsidR="00B31CF7" w:rsidRPr="004872EF" w:rsidRDefault="00B31CF7" w:rsidP="000C3505">
      <w:pPr>
        <w:spacing w:before="240" w:after="120" w:line="276" w:lineRule="auto"/>
        <w:jc w:val="both"/>
        <w:rPr>
          <w:rFonts w:asciiTheme="minorHAnsi" w:hAnsiTheme="minorHAnsi"/>
          <w:i/>
          <w:noProof/>
          <w:u w:val="single"/>
          <w:lang w:val="sq-AL"/>
        </w:rPr>
      </w:pPr>
      <w:r w:rsidRPr="004872EF">
        <w:rPr>
          <w:rFonts w:asciiTheme="minorHAnsi" w:hAnsiTheme="minorHAnsi"/>
          <w:i/>
          <w:noProof/>
          <w:u w:val="single"/>
          <w:lang w:val="sq-AL"/>
        </w:rPr>
        <w:t xml:space="preserve">Sektori monetar  </w:t>
      </w:r>
    </w:p>
    <w:p w14:paraId="4FB03FB9" w14:textId="77777777" w:rsidR="00204FA9" w:rsidRDefault="00204FA9" w:rsidP="000C3505">
      <w:pPr>
        <w:keepNext/>
        <w:spacing w:line="276" w:lineRule="auto"/>
        <w:jc w:val="both"/>
        <w:rPr>
          <w:rFonts w:asciiTheme="minorHAnsi" w:hAnsiTheme="minorHAnsi" w:cstheme="minorHAnsi"/>
          <w:lang w:val="da-DK"/>
        </w:rPr>
      </w:pPr>
      <w:bookmarkStart w:id="179" w:name="_Toc107498143"/>
      <w:r w:rsidRPr="00DA3D6C">
        <w:rPr>
          <w:rFonts w:asciiTheme="minorHAnsi" w:hAnsiTheme="minorHAnsi" w:cstheme="minorHAnsi"/>
          <w:lang w:val="da-DK"/>
        </w:rPr>
        <w:t>Në muajin Maj 2023 ndryshimi vjetor i indeksit të çmimeve të konsumit është +4.7%, një vit më parë ky ndryshim ishte +6.7%. Ndryshimi mujor i indeksit të çmimeve të konsumit në muajin Maj 2023, krahasuar me Prill 2023, është -0.3%. Inflacioni mesatar pёr periudhёn Janar – Maj 2023 është +5.8%. Nё grafikun më poshtë paraqitet ecuria mujore e çmimeve të konsumit për tre vitet e fundit:</w:t>
      </w:r>
    </w:p>
    <w:p w14:paraId="37896D48" w14:textId="77777777" w:rsidR="00204FA9" w:rsidRPr="00204FA9" w:rsidRDefault="00204FA9" w:rsidP="00B31CF7">
      <w:pPr>
        <w:keepNext/>
        <w:jc w:val="both"/>
        <w:rPr>
          <w:rFonts w:asciiTheme="minorHAnsi" w:hAnsiTheme="minorHAnsi"/>
          <w:i/>
          <w:sz w:val="12"/>
          <w:lang w:val="sq-AL"/>
        </w:rPr>
      </w:pPr>
    </w:p>
    <w:p w14:paraId="2E322B2A" w14:textId="421EA3D7" w:rsidR="00B31CF7" w:rsidRPr="002C40CB" w:rsidRDefault="00B31CF7" w:rsidP="00B31CF7">
      <w:pPr>
        <w:keepNext/>
        <w:jc w:val="both"/>
        <w:rPr>
          <w:rFonts w:asciiTheme="minorHAnsi" w:hAnsiTheme="minorHAnsi"/>
          <w:i/>
          <w:sz w:val="22"/>
          <w:lang w:val="sq-AL"/>
        </w:rPr>
      </w:pPr>
      <w:r w:rsidRPr="002C40CB">
        <w:rPr>
          <w:rFonts w:asciiTheme="minorHAnsi" w:hAnsiTheme="minorHAnsi"/>
          <w:i/>
          <w:sz w:val="22"/>
          <w:lang w:val="sq-AL"/>
        </w:rPr>
        <w:t xml:space="preserve">Grafiku </w:t>
      </w:r>
      <w:r w:rsidRPr="002C40CB">
        <w:rPr>
          <w:rFonts w:asciiTheme="minorHAnsi" w:hAnsiTheme="minorHAnsi"/>
          <w:i/>
          <w:sz w:val="22"/>
          <w:lang w:val="sq-AL"/>
        </w:rPr>
        <w:fldChar w:fldCharType="begin"/>
      </w:r>
      <w:r w:rsidRPr="002C40CB">
        <w:rPr>
          <w:rFonts w:asciiTheme="minorHAnsi" w:hAnsiTheme="minorHAnsi"/>
          <w:i/>
          <w:sz w:val="22"/>
          <w:lang w:val="sq-AL"/>
        </w:rPr>
        <w:instrText xml:space="preserve"> SEQ Grafiku \* ARABIC </w:instrText>
      </w:r>
      <w:r w:rsidRPr="002C40CB">
        <w:rPr>
          <w:rFonts w:asciiTheme="minorHAnsi" w:hAnsiTheme="minorHAnsi"/>
          <w:i/>
          <w:sz w:val="22"/>
          <w:lang w:val="sq-AL"/>
        </w:rPr>
        <w:fldChar w:fldCharType="separate"/>
      </w:r>
      <w:r w:rsidR="00C153A9">
        <w:rPr>
          <w:rFonts w:asciiTheme="minorHAnsi" w:hAnsiTheme="minorHAnsi"/>
          <w:i/>
          <w:noProof/>
          <w:sz w:val="22"/>
          <w:lang w:val="sq-AL"/>
        </w:rPr>
        <w:t>51</w:t>
      </w:r>
      <w:r w:rsidRPr="002C40CB">
        <w:rPr>
          <w:rFonts w:asciiTheme="minorHAnsi" w:hAnsiTheme="minorHAnsi"/>
          <w:i/>
          <w:sz w:val="22"/>
          <w:lang w:val="sq-AL"/>
        </w:rPr>
        <w:fldChar w:fldCharType="end"/>
      </w:r>
      <w:r w:rsidRPr="002C40CB">
        <w:rPr>
          <w:rFonts w:asciiTheme="minorHAnsi" w:hAnsiTheme="minorHAnsi"/>
          <w:i/>
          <w:sz w:val="22"/>
          <w:lang w:val="sq-AL"/>
        </w:rPr>
        <w:t>: Ndryshimi vjetor i Inflacionit, në përqindje</w:t>
      </w:r>
      <w:bookmarkEnd w:id="179"/>
    </w:p>
    <w:p w14:paraId="55AEB316" w14:textId="77777777" w:rsidR="00204FA9" w:rsidRPr="00B12796" w:rsidRDefault="00204FA9" w:rsidP="00204FA9">
      <w:pPr>
        <w:jc w:val="center"/>
        <w:rPr>
          <w:rFonts w:ascii="Calibri" w:hAnsi="Calibri"/>
          <w:noProof/>
          <w:highlight w:val="yellow"/>
          <w:lang w:val="sq-AL"/>
        </w:rPr>
      </w:pPr>
      <w:r w:rsidRPr="00385591">
        <w:rPr>
          <w:noProof/>
        </w:rPr>
        <w:drawing>
          <wp:inline distT="0" distB="0" distL="0" distR="0" wp14:anchorId="13DE41AC" wp14:editId="508A1EFA">
            <wp:extent cx="6113780" cy="1714500"/>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117487" cy="1715540"/>
                    </a:xfrm>
                    <a:prstGeom prst="rect">
                      <a:avLst/>
                    </a:prstGeom>
                    <a:noFill/>
                    <a:ln>
                      <a:noFill/>
                    </a:ln>
                  </pic:spPr>
                </pic:pic>
              </a:graphicData>
            </a:graphic>
          </wp:inline>
        </w:drawing>
      </w:r>
    </w:p>
    <w:p w14:paraId="2A19421D" w14:textId="77777777" w:rsidR="00B31CF7" w:rsidRPr="00FE7976" w:rsidRDefault="00B31CF7" w:rsidP="00B31CF7">
      <w:pPr>
        <w:spacing w:line="276" w:lineRule="auto"/>
        <w:jc w:val="both"/>
        <w:rPr>
          <w:rFonts w:ascii="Calibri" w:hAnsi="Calibri"/>
          <w:i/>
          <w:noProof/>
          <w:sz w:val="20"/>
          <w:szCs w:val="22"/>
          <w:lang w:val="sq-AL"/>
        </w:rPr>
      </w:pPr>
      <w:r w:rsidRPr="00FE7976">
        <w:rPr>
          <w:rFonts w:ascii="Calibri" w:hAnsi="Calibri"/>
          <w:i/>
          <w:noProof/>
          <w:sz w:val="20"/>
          <w:szCs w:val="22"/>
          <w:lang w:val="sq-AL"/>
        </w:rPr>
        <w:t>Burimi: INSTAT, Qershor 202</w:t>
      </w:r>
      <w:r w:rsidR="000C3505">
        <w:rPr>
          <w:rFonts w:ascii="Calibri" w:hAnsi="Calibri"/>
          <w:i/>
          <w:noProof/>
          <w:sz w:val="20"/>
          <w:szCs w:val="22"/>
          <w:lang w:val="sq-AL"/>
        </w:rPr>
        <w:t>3</w:t>
      </w:r>
    </w:p>
    <w:p w14:paraId="260A1453" w14:textId="77777777" w:rsidR="00B31CF7" w:rsidRPr="00717846" w:rsidRDefault="00B31CF7" w:rsidP="00B31CF7">
      <w:pPr>
        <w:spacing w:line="276" w:lineRule="auto"/>
        <w:jc w:val="both"/>
        <w:rPr>
          <w:rFonts w:ascii="Calibri" w:hAnsi="Calibri"/>
          <w:noProof/>
          <w:sz w:val="16"/>
          <w:lang w:val="sq-AL"/>
        </w:rPr>
      </w:pPr>
    </w:p>
    <w:p w14:paraId="6BBA7A0F" w14:textId="31A6A017" w:rsidR="005855D2" w:rsidRPr="002C40CB" w:rsidRDefault="005855D2" w:rsidP="005855D2">
      <w:pPr>
        <w:keepNext/>
        <w:jc w:val="both"/>
        <w:rPr>
          <w:rFonts w:ascii="Calibri" w:hAnsi="Calibri"/>
          <w:i/>
          <w:sz w:val="22"/>
          <w:lang w:val="sq-AL"/>
        </w:rPr>
      </w:pPr>
      <w:bookmarkStart w:id="180" w:name="_Toc107496769"/>
      <w:r w:rsidRPr="002C40CB">
        <w:rPr>
          <w:rFonts w:ascii="Calibri" w:hAnsi="Calibri"/>
          <w:i/>
          <w:sz w:val="22"/>
          <w:lang w:val="sq-AL"/>
        </w:rPr>
        <w:t xml:space="preserve">Tabela </w:t>
      </w:r>
      <w:r w:rsidRPr="002C40CB">
        <w:rPr>
          <w:rFonts w:ascii="Calibri" w:hAnsi="Calibri"/>
          <w:i/>
          <w:sz w:val="22"/>
          <w:lang w:val="sq-AL"/>
        </w:rPr>
        <w:fldChar w:fldCharType="begin"/>
      </w:r>
      <w:r w:rsidRPr="002C40CB">
        <w:rPr>
          <w:rFonts w:ascii="Calibri" w:hAnsi="Calibri"/>
          <w:i/>
          <w:sz w:val="22"/>
          <w:lang w:val="sq-AL"/>
        </w:rPr>
        <w:instrText xml:space="preserve"> SEQ Tabela \* ARABIC </w:instrText>
      </w:r>
      <w:r w:rsidRPr="002C40CB">
        <w:rPr>
          <w:rFonts w:ascii="Calibri" w:hAnsi="Calibri"/>
          <w:i/>
          <w:sz w:val="22"/>
          <w:lang w:val="sq-AL"/>
        </w:rPr>
        <w:fldChar w:fldCharType="separate"/>
      </w:r>
      <w:r w:rsidR="00C153A9">
        <w:rPr>
          <w:rFonts w:ascii="Calibri" w:hAnsi="Calibri"/>
          <w:i/>
          <w:noProof/>
          <w:sz w:val="22"/>
          <w:lang w:val="sq-AL"/>
        </w:rPr>
        <w:t>32</w:t>
      </w:r>
      <w:r w:rsidRPr="002C40CB">
        <w:rPr>
          <w:rFonts w:ascii="Calibri" w:hAnsi="Calibri"/>
          <w:i/>
          <w:sz w:val="22"/>
          <w:lang w:val="sq-AL"/>
        </w:rPr>
        <w:fldChar w:fldCharType="end"/>
      </w:r>
      <w:r w:rsidRPr="002C40CB">
        <w:rPr>
          <w:rFonts w:ascii="Calibri" w:hAnsi="Calibri"/>
          <w:i/>
          <w:sz w:val="22"/>
          <w:lang w:val="sq-AL"/>
        </w:rPr>
        <w:t>: Rritja vjetore e çmimeve, në përqindje</w:t>
      </w:r>
      <w:bookmarkEnd w:id="180"/>
    </w:p>
    <w:p w14:paraId="5BA2C17B" w14:textId="30328D03" w:rsidR="00E7612F" w:rsidRDefault="005855D2" w:rsidP="00E7612F">
      <w:pPr>
        <w:spacing w:line="276" w:lineRule="auto"/>
        <w:jc w:val="both"/>
        <w:rPr>
          <w:rFonts w:asciiTheme="minorHAnsi" w:hAnsiTheme="minorHAnsi" w:cstheme="minorHAnsi"/>
          <w:noProof/>
          <w:lang w:val="sq-AL"/>
        </w:rPr>
      </w:pPr>
      <w:r w:rsidRPr="00385591">
        <w:rPr>
          <w:noProof/>
        </w:rPr>
        <w:drawing>
          <wp:anchor distT="0" distB="0" distL="114300" distR="114300" simplePos="0" relativeHeight="251682304" behindDoc="0" locked="0" layoutInCell="1" allowOverlap="1" wp14:anchorId="2A01D5BD" wp14:editId="28080042">
            <wp:simplePos x="0" y="0"/>
            <wp:positionH relativeFrom="margin">
              <wp:posOffset>52705</wp:posOffset>
            </wp:positionH>
            <wp:positionV relativeFrom="paragraph">
              <wp:posOffset>41275</wp:posOffset>
            </wp:positionV>
            <wp:extent cx="3295650" cy="2048510"/>
            <wp:effectExtent l="0" t="0" r="0" b="8890"/>
            <wp:wrapThrough wrapText="bothSides">
              <wp:wrapPolygon edited="0">
                <wp:start x="0" y="0"/>
                <wp:lineTo x="0" y="21493"/>
                <wp:lineTo x="21475" y="21493"/>
                <wp:lineTo x="21475"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95650" cy="2048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5591">
        <w:rPr>
          <w:rFonts w:asciiTheme="minorHAnsi" w:hAnsiTheme="minorHAnsi" w:cstheme="minorHAnsi"/>
          <w:noProof/>
          <w:lang w:val="sq-AL"/>
        </w:rPr>
        <w:t>Pёrgjatё kёsaj periudhe, nga tërësia e mallrave dhe shërbimeve që përbëjnë shportën e konsumit, kontributin mё tё lartё nё inflacionin e pёrgjithshёm e ka pasur zёri i ushqimeve dhe pije jo alkoolike. Në tabelë mund të vihen re kontributet dhe rritjet respektive në çmime për çdo grup mallrash pёr muajin maj 2023</w:t>
      </w:r>
      <w:r w:rsidR="00B31CF7" w:rsidRPr="0065598A">
        <w:rPr>
          <w:rFonts w:ascii="Calibri" w:hAnsi="Calibri"/>
          <w:noProof/>
          <w:lang w:val="sq-AL"/>
        </w:rPr>
        <w:t>.</w:t>
      </w:r>
      <w:r w:rsidR="00E7612F">
        <w:rPr>
          <w:rFonts w:ascii="Calibri" w:hAnsi="Calibri"/>
          <w:noProof/>
          <w:lang w:val="sq-AL"/>
        </w:rPr>
        <w:t xml:space="preserve"> </w:t>
      </w:r>
      <w:r w:rsidRPr="00385591">
        <w:rPr>
          <w:rFonts w:asciiTheme="minorHAnsi" w:hAnsiTheme="minorHAnsi" w:cstheme="minorHAnsi"/>
          <w:noProof/>
          <w:lang w:val="sq-AL"/>
        </w:rPr>
        <w:t xml:space="preserve">Rezultatet e Vrojtimit të Aktivitetit Kreditues për tremujorin e parë të vitit 2023 tregojnë se standardet u shtrënguan në kreditë e reja akorduar bizneseve, e së bashku me to edhe kushtet e termat e kreditimit. </w:t>
      </w:r>
    </w:p>
    <w:p w14:paraId="32CF1BB4" w14:textId="432ACA61" w:rsidR="005855D2" w:rsidRDefault="005855D2" w:rsidP="005855D2">
      <w:pPr>
        <w:keepNext/>
        <w:spacing w:line="276" w:lineRule="auto"/>
        <w:jc w:val="both"/>
        <w:rPr>
          <w:rFonts w:asciiTheme="minorHAnsi" w:hAnsiTheme="minorHAnsi" w:cstheme="minorHAnsi"/>
          <w:noProof/>
          <w:lang w:val="sq-AL"/>
        </w:rPr>
      </w:pPr>
      <w:r w:rsidRPr="00385591">
        <w:rPr>
          <w:rFonts w:asciiTheme="minorHAnsi" w:hAnsiTheme="minorHAnsi" w:cstheme="minorHAnsi"/>
          <w:noProof/>
          <w:lang w:val="sq-AL"/>
        </w:rPr>
        <w:lastRenderedPageBreak/>
        <w:t>Ndonëse në masë më të ulët sesa në tremujorët e mëparshëm, bankat ende vijojnë të shprehin shqetësimin e tyre lidhur me aftësinë paguese të kredimarrësve, si edhe situatën ekonomike e perspektivën e saj, duke e bazuar vendimmarrjen e tyre brenda një bande më të ngushtë tolerance kundrejt rrezikut. Ndërkohë, bankat raportuan lehtësim të standardeve të kreditimit për individët, pas dy tremujorësh shtrëngimi në radhë. Trysnia nga konkurrenca në sistemin bankar duket se ka shtyrë bankat të jenë më proaktive në treg, duke ndërmarrë politika lehtësuese në funksion të gjenerimit të kërkesës për kredi nga individët.</w:t>
      </w:r>
    </w:p>
    <w:p w14:paraId="4E6684DB" w14:textId="77777777" w:rsidR="00B31CF7" w:rsidRPr="005855D2" w:rsidRDefault="005855D2" w:rsidP="005855D2">
      <w:pPr>
        <w:keepNext/>
        <w:spacing w:before="120" w:line="276" w:lineRule="auto"/>
        <w:jc w:val="both"/>
        <w:rPr>
          <w:rFonts w:asciiTheme="minorHAnsi" w:hAnsiTheme="minorHAnsi" w:cstheme="minorHAnsi"/>
          <w:noProof/>
          <w:lang w:val="sq-AL"/>
        </w:rPr>
      </w:pPr>
      <w:r w:rsidRPr="00385591">
        <w:rPr>
          <w:rFonts w:asciiTheme="minorHAnsi" w:hAnsiTheme="minorHAnsi" w:cstheme="minorHAnsi"/>
          <w:noProof/>
          <w:lang w:val="sq-AL"/>
        </w:rPr>
        <w:t xml:space="preserve">Bankat raportuan për një shtrëngim të standardeve për kredinë dhënë bizneseve gjatë tremujorit të parë të 2023 në niveli -11.3% për biznesin e vogël dhe të mesëm, për biznesin e madh në nivelin  -8.2%, për kredinë dhënë me qëllim investimi u shtrëngua në nivelin -9.9%, dhe për likuiditete në nivelin -9.5%. Gjithashtu, edhe kërkesa e individëve për kredi u perceptua më e ulët në tremujorin e parë si për kreditë për blerjen e banesave, ashtu edhe për ato konsumatore. Për individët, bankat raportuan se përgjatë tremujorit të parë kërkesa për kredi për shtëpi shënoi një rënie prej -15.1%, nga një rënie prej -10.1% të shënuar në tremujorin e katërt të vitit 2022. Ndërkohë, për kredinë e individëve për konsum u raportua një rënie prej -17.4%, nga niveli prej -19.4% që u shënua në </w:t>
      </w:r>
      <w:r w:rsidRPr="00DD3FC0">
        <w:rPr>
          <w:rFonts w:asciiTheme="minorHAnsi" w:hAnsiTheme="minorHAnsi" w:cstheme="minorHAnsi"/>
          <w:noProof/>
          <w:lang w:val="sq-AL"/>
        </w:rPr>
        <w:t>tremujorin e mëparshëm.</w:t>
      </w:r>
    </w:p>
    <w:p w14:paraId="4E03B5CD" w14:textId="77777777" w:rsidR="00B31CF7" w:rsidRPr="002257B4" w:rsidRDefault="00B31CF7" w:rsidP="002454B1">
      <w:pPr>
        <w:keepNext/>
        <w:spacing w:line="276" w:lineRule="auto"/>
        <w:jc w:val="both"/>
        <w:rPr>
          <w:rFonts w:ascii="Calibri" w:hAnsi="Calibri"/>
          <w:i/>
          <w:sz w:val="8"/>
          <w:szCs w:val="8"/>
          <w:lang w:val="sq-AL"/>
        </w:rPr>
      </w:pPr>
    </w:p>
    <w:p w14:paraId="7F62570E" w14:textId="69C7D3A6" w:rsidR="00B31CF7" w:rsidRPr="002C40CB" w:rsidRDefault="00B31CF7" w:rsidP="00B31CF7">
      <w:pPr>
        <w:keepNext/>
        <w:jc w:val="both"/>
        <w:rPr>
          <w:rFonts w:ascii="Calibri" w:hAnsi="Calibri"/>
          <w:i/>
          <w:sz w:val="22"/>
          <w:lang w:val="sq-AL"/>
        </w:rPr>
      </w:pPr>
      <w:bookmarkStart w:id="181" w:name="_Toc107498144"/>
      <w:r w:rsidRPr="002C40CB">
        <w:rPr>
          <w:rFonts w:ascii="Calibri" w:hAnsi="Calibri"/>
          <w:i/>
          <w:sz w:val="22"/>
          <w:lang w:val="sq-AL"/>
        </w:rPr>
        <w:t xml:space="preserve">Grafiku </w:t>
      </w:r>
      <w:r w:rsidRPr="002C40CB">
        <w:rPr>
          <w:rFonts w:ascii="Calibri" w:hAnsi="Calibri"/>
          <w:i/>
          <w:sz w:val="22"/>
          <w:lang w:val="sq-AL"/>
        </w:rPr>
        <w:fldChar w:fldCharType="begin"/>
      </w:r>
      <w:r w:rsidRPr="002C40CB">
        <w:rPr>
          <w:rFonts w:ascii="Calibri" w:hAnsi="Calibri"/>
          <w:i/>
          <w:sz w:val="22"/>
          <w:lang w:val="sq-AL"/>
        </w:rPr>
        <w:instrText xml:space="preserve"> SEQ Grafiku \* ARABIC </w:instrText>
      </w:r>
      <w:r w:rsidRPr="002C40CB">
        <w:rPr>
          <w:rFonts w:ascii="Calibri" w:hAnsi="Calibri"/>
          <w:i/>
          <w:sz w:val="22"/>
          <w:lang w:val="sq-AL"/>
        </w:rPr>
        <w:fldChar w:fldCharType="separate"/>
      </w:r>
      <w:r w:rsidR="00C153A9">
        <w:rPr>
          <w:rFonts w:ascii="Calibri" w:hAnsi="Calibri"/>
          <w:i/>
          <w:noProof/>
          <w:sz w:val="22"/>
          <w:lang w:val="sq-AL"/>
        </w:rPr>
        <w:t>52</w:t>
      </w:r>
      <w:r w:rsidRPr="002C40CB">
        <w:rPr>
          <w:rFonts w:ascii="Calibri" w:hAnsi="Calibri"/>
          <w:i/>
          <w:sz w:val="22"/>
          <w:lang w:val="sq-AL"/>
        </w:rPr>
        <w:fldChar w:fldCharType="end"/>
      </w:r>
      <w:r w:rsidRPr="002C40CB">
        <w:rPr>
          <w:rFonts w:ascii="Calibri" w:hAnsi="Calibri"/>
          <w:i/>
          <w:sz w:val="22"/>
          <w:lang w:val="sq-AL"/>
        </w:rPr>
        <w:t>: Ecuria e stokut të depozitave 202</w:t>
      </w:r>
      <w:r w:rsidR="00717846">
        <w:rPr>
          <w:rFonts w:ascii="Calibri" w:hAnsi="Calibri"/>
          <w:i/>
          <w:sz w:val="22"/>
          <w:lang w:val="sq-AL"/>
        </w:rPr>
        <w:t>1</w:t>
      </w:r>
      <w:r w:rsidRPr="002C40CB">
        <w:rPr>
          <w:rFonts w:ascii="Calibri" w:hAnsi="Calibri"/>
          <w:i/>
          <w:sz w:val="22"/>
          <w:lang w:val="sq-AL"/>
        </w:rPr>
        <w:t>-202</w:t>
      </w:r>
      <w:r w:rsidR="00717846">
        <w:rPr>
          <w:rFonts w:ascii="Calibri" w:hAnsi="Calibri"/>
          <w:i/>
          <w:sz w:val="22"/>
          <w:lang w:val="sq-AL"/>
        </w:rPr>
        <w:t>2</w:t>
      </w:r>
      <w:r w:rsidRPr="002C40CB">
        <w:rPr>
          <w:rFonts w:ascii="Calibri" w:hAnsi="Calibri"/>
          <w:i/>
          <w:sz w:val="22"/>
          <w:lang w:val="sq-AL"/>
        </w:rPr>
        <w:t>, në përqindje</w:t>
      </w:r>
      <w:bookmarkEnd w:id="181"/>
      <w:r w:rsidRPr="002C40CB">
        <w:rPr>
          <w:rFonts w:ascii="Calibri" w:hAnsi="Calibri"/>
          <w:i/>
          <w:sz w:val="22"/>
          <w:lang w:val="sq-AL"/>
        </w:rPr>
        <w:t xml:space="preserve"> </w:t>
      </w:r>
    </w:p>
    <w:p w14:paraId="7AB2AF44" w14:textId="77777777" w:rsidR="00B31CF7" w:rsidRDefault="005855D2" w:rsidP="002454B1">
      <w:pPr>
        <w:jc w:val="both"/>
        <w:rPr>
          <w:rFonts w:asciiTheme="minorHAnsi" w:hAnsiTheme="minorHAnsi"/>
          <w:noProof/>
          <w:lang w:val="sq-AL"/>
        </w:rPr>
      </w:pPr>
      <w:r w:rsidRPr="00385591">
        <w:rPr>
          <w:noProof/>
          <w:highlight w:val="yellow"/>
        </w:rPr>
        <w:drawing>
          <wp:anchor distT="0" distB="0" distL="114300" distR="114300" simplePos="0" relativeHeight="251684352" behindDoc="0" locked="0" layoutInCell="1" allowOverlap="1" wp14:anchorId="771E11A9" wp14:editId="57986B64">
            <wp:simplePos x="0" y="0"/>
            <wp:positionH relativeFrom="margin">
              <wp:posOffset>49530</wp:posOffset>
            </wp:positionH>
            <wp:positionV relativeFrom="paragraph">
              <wp:posOffset>40005</wp:posOffset>
            </wp:positionV>
            <wp:extent cx="4137660" cy="1965960"/>
            <wp:effectExtent l="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137660" cy="1965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55D2">
        <w:rPr>
          <w:rFonts w:asciiTheme="minorHAnsi" w:hAnsiTheme="minorHAnsi" w:cstheme="minorHAnsi"/>
          <w:noProof/>
          <w:lang w:val="sq-AL"/>
        </w:rPr>
        <w:t xml:space="preserve"> </w:t>
      </w:r>
      <w:r w:rsidRPr="00385591">
        <w:rPr>
          <w:rFonts w:asciiTheme="minorHAnsi" w:hAnsiTheme="minorHAnsi" w:cstheme="minorHAnsi"/>
          <w:noProof/>
          <w:lang w:val="sq-AL"/>
        </w:rPr>
        <w:t xml:space="preserve">Referuar tё dhёnave tё deritanishme, gjatë muajit prill të vitit 2023  stoku total i depozitave bankare ka shënuar rritje me 2.1% krahasuar me prillin e vitit 2022. Stoku total i depozitave në Lekë pësoi rritje me 1.0%, ndërsa ai në valutë është rritur me 3.0% krahasuar me të njëjtin muaj të vitit 2022. Në muajin prill 2023 rezulton se rreth 43.3% e totalit të stokut të depozitave përbëhet nga depozitat në Lekë, ndërsa pjesa tjetër prej 56.7% përbëhet nga depozitimet në valutë të huaj. Stoku total i depozitave vetëm për muajin Prill 2023 shënoi rënie me 14.3 miliardë Lekë kundrejt muajit paraardhës (Mars 2023). Stoku total i depozitave të bizneseve në muajin Prill të vitit 2023 shënoi rritje prej 13.3% krahasuar me Prillin e vitit 2022, ndërsa stoku total i depozitave të individëve ka </w:t>
      </w:r>
      <w:r w:rsidRPr="00DD3FC0">
        <w:rPr>
          <w:rFonts w:asciiTheme="minorHAnsi" w:hAnsiTheme="minorHAnsi" w:cstheme="minorHAnsi"/>
          <w:noProof/>
          <w:lang w:val="sq-AL"/>
        </w:rPr>
        <w:t>shënuar rënie prej 0.6% krahasuar me Prill 202</w:t>
      </w:r>
      <w:r w:rsidR="00B31CF7" w:rsidRPr="00CA71C5">
        <w:rPr>
          <w:rFonts w:asciiTheme="minorHAnsi" w:hAnsiTheme="minorHAnsi"/>
          <w:noProof/>
          <w:lang w:val="sq-AL"/>
        </w:rPr>
        <w:t xml:space="preserve">. </w:t>
      </w:r>
    </w:p>
    <w:p w14:paraId="33FAB538" w14:textId="77777777" w:rsidR="002454B1" w:rsidRPr="002454B1" w:rsidRDefault="002454B1" w:rsidP="002454B1">
      <w:pPr>
        <w:jc w:val="both"/>
        <w:rPr>
          <w:rFonts w:asciiTheme="minorHAnsi" w:hAnsiTheme="minorHAnsi"/>
          <w:noProof/>
          <w:sz w:val="12"/>
          <w:lang w:val="sq-AL"/>
        </w:rPr>
      </w:pPr>
    </w:p>
    <w:p w14:paraId="34070660" w14:textId="37F4610D" w:rsidR="00B31CF7" w:rsidRPr="002C40CB" w:rsidRDefault="00B31CF7" w:rsidP="00B31CF7">
      <w:pPr>
        <w:keepNext/>
        <w:jc w:val="both"/>
        <w:rPr>
          <w:rFonts w:ascii="Calibri" w:hAnsi="Calibri"/>
          <w:i/>
          <w:sz w:val="22"/>
          <w:lang w:val="sq-AL"/>
        </w:rPr>
      </w:pPr>
      <w:bookmarkStart w:id="182" w:name="_Toc107496770"/>
      <w:r w:rsidRPr="002C40CB">
        <w:rPr>
          <w:rFonts w:ascii="Calibri" w:hAnsi="Calibri"/>
          <w:i/>
          <w:sz w:val="22"/>
          <w:lang w:val="sq-AL"/>
        </w:rPr>
        <w:t xml:space="preserve">Tabela </w:t>
      </w:r>
      <w:r w:rsidRPr="002C40CB">
        <w:rPr>
          <w:rFonts w:ascii="Calibri" w:hAnsi="Calibri"/>
          <w:i/>
          <w:sz w:val="22"/>
          <w:lang w:val="sq-AL"/>
        </w:rPr>
        <w:fldChar w:fldCharType="begin"/>
      </w:r>
      <w:r w:rsidRPr="002C40CB">
        <w:rPr>
          <w:rFonts w:ascii="Calibri" w:hAnsi="Calibri"/>
          <w:i/>
          <w:sz w:val="22"/>
          <w:lang w:val="sq-AL"/>
        </w:rPr>
        <w:instrText xml:space="preserve"> SEQ Tabela \* ARABIC </w:instrText>
      </w:r>
      <w:r w:rsidRPr="002C40CB">
        <w:rPr>
          <w:rFonts w:ascii="Calibri" w:hAnsi="Calibri"/>
          <w:i/>
          <w:sz w:val="22"/>
          <w:lang w:val="sq-AL"/>
        </w:rPr>
        <w:fldChar w:fldCharType="separate"/>
      </w:r>
      <w:r w:rsidR="00C153A9">
        <w:rPr>
          <w:rFonts w:ascii="Calibri" w:hAnsi="Calibri"/>
          <w:i/>
          <w:noProof/>
          <w:sz w:val="22"/>
          <w:lang w:val="sq-AL"/>
        </w:rPr>
        <w:t>33</w:t>
      </w:r>
      <w:r w:rsidRPr="002C40CB">
        <w:rPr>
          <w:rFonts w:ascii="Calibri" w:hAnsi="Calibri"/>
          <w:i/>
          <w:sz w:val="22"/>
          <w:lang w:val="sq-AL"/>
        </w:rPr>
        <w:fldChar w:fldCharType="end"/>
      </w:r>
      <w:r w:rsidRPr="002C40CB">
        <w:rPr>
          <w:rFonts w:ascii="Calibri" w:hAnsi="Calibri"/>
          <w:i/>
          <w:sz w:val="22"/>
          <w:lang w:val="sq-AL"/>
        </w:rPr>
        <w:t>: Ecuria e kredisë për bizneset dhe individët, në përqindje</w:t>
      </w:r>
      <w:bookmarkEnd w:id="182"/>
    </w:p>
    <w:p w14:paraId="0C8C7356" w14:textId="77777777" w:rsidR="00B31CF7" w:rsidRDefault="005855D2" w:rsidP="00F256DB">
      <w:pPr>
        <w:jc w:val="center"/>
        <w:rPr>
          <w:rFonts w:ascii="Calibri" w:hAnsi="Calibri"/>
          <w:noProof/>
          <w:lang w:val="sq-AL"/>
        </w:rPr>
      </w:pPr>
      <w:r w:rsidRPr="00DD3FC0">
        <w:rPr>
          <w:noProof/>
        </w:rPr>
        <w:drawing>
          <wp:inline distT="0" distB="0" distL="0" distR="0" wp14:anchorId="445525F5" wp14:editId="119DF6C2">
            <wp:extent cx="6105525" cy="1120140"/>
            <wp:effectExtent l="0" t="0" r="9525"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05525" cy="1120140"/>
                    </a:xfrm>
                    <a:prstGeom prst="rect">
                      <a:avLst/>
                    </a:prstGeom>
                    <a:noFill/>
                    <a:ln>
                      <a:noFill/>
                    </a:ln>
                  </pic:spPr>
                </pic:pic>
              </a:graphicData>
            </a:graphic>
          </wp:inline>
        </w:drawing>
      </w:r>
    </w:p>
    <w:p w14:paraId="03315149" w14:textId="77777777" w:rsidR="00301600" w:rsidRPr="00301600" w:rsidRDefault="00301600" w:rsidP="00F256DB">
      <w:pPr>
        <w:autoSpaceDE w:val="0"/>
        <w:autoSpaceDN w:val="0"/>
        <w:adjustRightInd w:val="0"/>
        <w:spacing w:after="100" w:afterAutospacing="1" w:line="276" w:lineRule="auto"/>
        <w:ind w:firstLine="720"/>
        <w:contextualSpacing/>
        <w:jc w:val="both"/>
        <w:rPr>
          <w:rFonts w:asciiTheme="minorHAnsi" w:hAnsiTheme="minorHAnsi" w:cstheme="minorHAnsi"/>
          <w:bCs/>
          <w:i/>
          <w:iCs/>
          <w:sz w:val="22"/>
          <w:szCs w:val="22"/>
          <w:lang w:val="sq-AL"/>
        </w:rPr>
      </w:pPr>
      <w:r w:rsidRPr="00301600">
        <w:rPr>
          <w:rFonts w:asciiTheme="minorHAnsi" w:hAnsiTheme="minorHAnsi" w:cstheme="minorHAnsi"/>
          <w:bCs/>
          <w:i/>
          <w:iCs/>
          <w:sz w:val="22"/>
          <w:szCs w:val="22"/>
          <w:lang w:val="sq-AL"/>
        </w:rPr>
        <w:t>Burimi: Banka e Shqipërisë, Maj 202</w:t>
      </w:r>
      <w:r w:rsidR="000C3505">
        <w:rPr>
          <w:rFonts w:asciiTheme="minorHAnsi" w:hAnsiTheme="minorHAnsi" w:cstheme="minorHAnsi"/>
          <w:bCs/>
          <w:i/>
          <w:iCs/>
          <w:sz w:val="22"/>
          <w:szCs w:val="22"/>
          <w:lang w:val="sq-AL"/>
        </w:rPr>
        <w:t>3</w:t>
      </w:r>
      <w:r w:rsidRPr="00301600">
        <w:rPr>
          <w:rFonts w:asciiTheme="minorHAnsi" w:hAnsiTheme="minorHAnsi" w:cstheme="minorHAnsi"/>
          <w:bCs/>
          <w:i/>
          <w:iCs/>
          <w:sz w:val="22"/>
          <w:szCs w:val="22"/>
          <w:lang w:val="sq-AL"/>
        </w:rPr>
        <w:t xml:space="preserve"> </w:t>
      </w:r>
    </w:p>
    <w:p w14:paraId="160802FD" w14:textId="77777777" w:rsidR="00B31CF7" w:rsidRPr="00301600" w:rsidRDefault="00B31CF7" w:rsidP="00B31CF7">
      <w:pPr>
        <w:spacing w:line="276" w:lineRule="auto"/>
        <w:jc w:val="both"/>
        <w:rPr>
          <w:rFonts w:ascii="Calibri" w:hAnsi="Calibri"/>
          <w:noProof/>
          <w:sz w:val="8"/>
          <w:lang w:val="sq-AL"/>
        </w:rPr>
      </w:pPr>
    </w:p>
    <w:p w14:paraId="4C67507F" w14:textId="55FE9AC0" w:rsidR="000C3505" w:rsidRDefault="000C3505" w:rsidP="00B31CF7">
      <w:pPr>
        <w:spacing w:line="276" w:lineRule="auto"/>
        <w:jc w:val="both"/>
        <w:rPr>
          <w:rFonts w:asciiTheme="minorHAnsi" w:hAnsiTheme="minorHAnsi" w:cstheme="minorHAnsi"/>
          <w:noProof/>
          <w:lang w:val="sq-AL"/>
        </w:rPr>
      </w:pPr>
    </w:p>
    <w:p w14:paraId="23838920" w14:textId="77777777" w:rsidR="00E7612F" w:rsidRDefault="00E7612F" w:rsidP="00B31CF7">
      <w:pPr>
        <w:spacing w:line="276" w:lineRule="auto"/>
        <w:jc w:val="both"/>
        <w:rPr>
          <w:rFonts w:asciiTheme="minorHAnsi" w:hAnsiTheme="minorHAnsi" w:cstheme="minorHAnsi"/>
          <w:noProof/>
          <w:lang w:val="sq-AL"/>
        </w:rPr>
      </w:pPr>
    </w:p>
    <w:p w14:paraId="3287E58A" w14:textId="77777777" w:rsidR="00B31CF7" w:rsidRPr="007F0065" w:rsidRDefault="005855D2" w:rsidP="00B31CF7">
      <w:pPr>
        <w:spacing w:line="276" w:lineRule="auto"/>
        <w:jc w:val="both"/>
        <w:rPr>
          <w:rFonts w:asciiTheme="minorHAnsi" w:hAnsiTheme="minorHAnsi" w:cstheme="minorHAnsi"/>
          <w:noProof/>
          <w:lang w:val="sq-AL"/>
        </w:rPr>
      </w:pPr>
      <w:r w:rsidRPr="00385591">
        <w:rPr>
          <w:rFonts w:asciiTheme="minorHAnsi" w:hAnsiTheme="minorHAnsi" w:cstheme="minorHAnsi"/>
          <w:noProof/>
          <w:lang w:val="sq-AL"/>
        </w:rPr>
        <w:lastRenderedPageBreak/>
        <w:t>Referuar të dhënave të deritanishme, gjatë muajit prill të vitit 2023, stoku total i kredive bankare pati një rritje me 3.0%, krahasuar me muajin prill të vitit 2022. Stoku i kredive në lekë shënoi një rritje prej 4.6%, ndërsa ai në valutë rritje prej 1.3%, krahasuar me muajin prill të vitit të kaluar. Stoku i kredive akorduar bizneseve jo-financiare (private dhe publike) për muajin Prill 2023 shënoi një rënie me 1.6%. Kredia vetëm për bizneset private jo-financiare u zvogëlua me 1.2%, duke kontribuar negativisht me 0.7 pikë përqindje në ndryshimin e stokut total të kredisë. Ndërsa, stoku i kredive akorduar bizneseve publike jo-financiare për muajin Prill të vitit 2023 ka shënuar rënie me 9.6%, krahasuar me Prill 2022, me kontribut negativ prej 0.3 pikë përqindje. Në prill 2023 rezulton se rreth 52.3% e totalit të stokut të kredive përbëhet nga kreditë në Lekë, ndërsa pjesa tjetër prej 47.7% përbëhet nga kreditë në valutë</w:t>
      </w:r>
      <w:r w:rsidR="00B31CF7" w:rsidRPr="007F0065">
        <w:rPr>
          <w:rFonts w:asciiTheme="minorHAnsi" w:hAnsiTheme="minorHAnsi" w:cstheme="minorHAnsi"/>
          <w:noProof/>
          <w:lang w:val="sq-AL"/>
        </w:rPr>
        <w:t>.</w:t>
      </w:r>
    </w:p>
    <w:p w14:paraId="227DAAF6" w14:textId="77777777" w:rsidR="00B31CF7" w:rsidRPr="002C40CB" w:rsidRDefault="00B31CF7" w:rsidP="00B31CF7">
      <w:pPr>
        <w:spacing w:line="276" w:lineRule="auto"/>
        <w:jc w:val="both"/>
        <w:rPr>
          <w:rFonts w:ascii="Calibri" w:hAnsi="Calibri"/>
          <w:noProof/>
          <w:sz w:val="8"/>
          <w:lang w:val="sq-AL"/>
        </w:rPr>
      </w:pPr>
    </w:p>
    <w:p w14:paraId="4A147250" w14:textId="7293BC6C" w:rsidR="00B31CF7" w:rsidRPr="002C40CB" w:rsidRDefault="00B31CF7" w:rsidP="00B31CF7">
      <w:pPr>
        <w:spacing w:line="276" w:lineRule="auto"/>
        <w:jc w:val="both"/>
        <w:rPr>
          <w:rFonts w:ascii="Calibri" w:hAnsi="Calibri"/>
          <w:i/>
          <w:noProof/>
          <w:sz w:val="22"/>
          <w:lang w:val="sq-AL"/>
        </w:rPr>
      </w:pPr>
      <w:bookmarkStart w:id="183" w:name="_Toc107496771"/>
      <w:r w:rsidRPr="002C40CB">
        <w:rPr>
          <w:rFonts w:ascii="Calibri" w:hAnsi="Calibri"/>
          <w:i/>
          <w:sz w:val="22"/>
          <w:lang w:val="sq-AL"/>
        </w:rPr>
        <w:t xml:space="preserve">Tabela </w:t>
      </w:r>
      <w:r w:rsidRPr="002C40CB">
        <w:rPr>
          <w:rFonts w:ascii="Calibri" w:hAnsi="Calibri"/>
          <w:i/>
          <w:sz w:val="22"/>
          <w:lang w:val="sq-AL"/>
        </w:rPr>
        <w:fldChar w:fldCharType="begin"/>
      </w:r>
      <w:r w:rsidRPr="002C40CB">
        <w:rPr>
          <w:rFonts w:ascii="Calibri" w:hAnsi="Calibri"/>
          <w:i/>
          <w:sz w:val="22"/>
          <w:lang w:val="sq-AL"/>
        </w:rPr>
        <w:instrText xml:space="preserve"> SEQ Tabela \* ARABIC </w:instrText>
      </w:r>
      <w:r w:rsidRPr="002C40CB">
        <w:rPr>
          <w:rFonts w:ascii="Calibri" w:hAnsi="Calibri"/>
          <w:i/>
          <w:sz w:val="22"/>
          <w:lang w:val="sq-AL"/>
        </w:rPr>
        <w:fldChar w:fldCharType="separate"/>
      </w:r>
      <w:r w:rsidR="00C153A9">
        <w:rPr>
          <w:rFonts w:ascii="Calibri" w:hAnsi="Calibri"/>
          <w:i/>
          <w:noProof/>
          <w:sz w:val="22"/>
          <w:lang w:val="sq-AL"/>
        </w:rPr>
        <w:t>34</w:t>
      </w:r>
      <w:r w:rsidRPr="002C40CB">
        <w:rPr>
          <w:rFonts w:ascii="Calibri" w:hAnsi="Calibri"/>
          <w:i/>
          <w:sz w:val="22"/>
          <w:lang w:val="sq-AL"/>
        </w:rPr>
        <w:fldChar w:fldCharType="end"/>
      </w:r>
      <w:r w:rsidRPr="002C40CB">
        <w:rPr>
          <w:rFonts w:ascii="Calibri" w:hAnsi="Calibri"/>
          <w:i/>
          <w:sz w:val="22"/>
          <w:lang w:val="sq-AL"/>
        </w:rPr>
        <w:t>: Ecuria e kredive të këqija, në përqindje</w:t>
      </w:r>
      <w:bookmarkEnd w:id="183"/>
    </w:p>
    <w:p w14:paraId="0D7243D4" w14:textId="77777777" w:rsidR="00B31CF7" w:rsidRPr="0065598A" w:rsidRDefault="00F256DB" w:rsidP="00F256DB">
      <w:pPr>
        <w:jc w:val="center"/>
        <w:rPr>
          <w:rFonts w:ascii="Calibri" w:hAnsi="Calibri"/>
          <w:noProof/>
          <w:lang w:val="sq-AL"/>
        </w:rPr>
      </w:pPr>
      <w:r w:rsidRPr="00F60B38">
        <w:rPr>
          <w:rFonts w:asciiTheme="minorHAnsi" w:hAnsiTheme="minorHAnsi" w:cstheme="minorHAnsi"/>
          <w:i/>
          <w:noProof/>
          <w:sz w:val="22"/>
        </w:rPr>
        <w:drawing>
          <wp:inline distT="0" distB="0" distL="0" distR="0" wp14:anchorId="74102047" wp14:editId="29B33FA7">
            <wp:extent cx="5937885" cy="810895"/>
            <wp:effectExtent l="0" t="0" r="5715" b="8255"/>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37885" cy="810895"/>
                    </a:xfrm>
                    <a:prstGeom prst="rect">
                      <a:avLst/>
                    </a:prstGeom>
                    <a:noFill/>
                  </pic:spPr>
                </pic:pic>
              </a:graphicData>
            </a:graphic>
          </wp:inline>
        </w:drawing>
      </w:r>
    </w:p>
    <w:p w14:paraId="73A0CA8B" w14:textId="77777777" w:rsidR="00F256DB" w:rsidRPr="00301600" w:rsidRDefault="00F256DB" w:rsidP="00F256DB">
      <w:pPr>
        <w:autoSpaceDE w:val="0"/>
        <w:autoSpaceDN w:val="0"/>
        <w:adjustRightInd w:val="0"/>
        <w:spacing w:after="100" w:afterAutospacing="1" w:line="276" w:lineRule="auto"/>
        <w:ind w:firstLine="720"/>
        <w:contextualSpacing/>
        <w:jc w:val="both"/>
        <w:rPr>
          <w:rFonts w:asciiTheme="minorHAnsi" w:hAnsiTheme="minorHAnsi" w:cstheme="minorHAnsi"/>
          <w:bCs/>
          <w:i/>
          <w:iCs/>
          <w:sz w:val="22"/>
          <w:szCs w:val="22"/>
          <w:lang w:val="sq-AL"/>
        </w:rPr>
      </w:pPr>
      <w:r w:rsidRPr="00301600">
        <w:rPr>
          <w:rFonts w:asciiTheme="minorHAnsi" w:hAnsiTheme="minorHAnsi" w:cstheme="minorHAnsi"/>
          <w:bCs/>
          <w:i/>
          <w:iCs/>
          <w:sz w:val="22"/>
          <w:szCs w:val="22"/>
          <w:lang w:val="sq-AL"/>
        </w:rPr>
        <w:t>Burimi: Banka e Shqipërisë, Maj 202</w:t>
      </w:r>
      <w:r w:rsidR="000C3505">
        <w:rPr>
          <w:rFonts w:asciiTheme="minorHAnsi" w:hAnsiTheme="minorHAnsi" w:cstheme="minorHAnsi"/>
          <w:bCs/>
          <w:i/>
          <w:iCs/>
          <w:sz w:val="22"/>
          <w:szCs w:val="22"/>
          <w:lang w:val="sq-AL"/>
        </w:rPr>
        <w:t>3</w:t>
      </w:r>
      <w:r w:rsidRPr="00301600">
        <w:rPr>
          <w:rFonts w:asciiTheme="minorHAnsi" w:hAnsiTheme="minorHAnsi" w:cstheme="minorHAnsi"/>
          <w:bCs/>
          <w:i/>
          <w:iCs/>
          <w:sz w:val="22"/>
          <w:szCs w:val="22"/>
          <w:lang w:val="sq-AL"/>
        </w:rPr>
        <w:t xml:space="preserve"> </w:t>
      </w:r>
    </w:p>
    <w:p w14:paraId="7A872EFA" w14:textId="77777777" w:rsidR="00F256DB" w:rsidRPr="00F256DB" w:rsidRDefault="00F256DB" w:rsidP="00B31CF7">
      <w:pPr>
        <w:spacing w:before="120" w:line="276" w:lineRule="auto"/>
        <w:jc w:val="both"/>
        <w:rPr>
          <w:rFonts w:asciiTheme="minorHAnsi" w:hAnsiTheme="minorHAnsi"/>
          <w:noProof/>
          <w:sz w:val="8"/>
          <w:szCs w:val="8"/>
          <w:lang w:val="sq-AL"/>
        </w:rPr>
      </w:pPr>
    </w:p>
    <w:p w14:paraId="2F223005" w14:textId="77777777" w:rsidR="000C3505" w:rsidRPr="000C3505" w:rsidRDefault="000C3505" w:rsidP="005855D2">
      <w:pPr>
        <w:spacing w:line="276" w:lineRule="auto"/>
        <w:jc w:val="both"/>
        <w:rPr>
          <w:rFonts w:asciiTheme="minorHAnsi" w:hAnsiTheme="minorHAnsi" w:cstheme="minorHAnsi"/>
          <w:noProof/>
          <w:sz w:val="16"/>
          <w:lang w:val="sq-AL"/>
        </w:rPr>
      </w:pPr>
    </w:p>
    <w:p w14:paraId="4D990BC1" w14:textId="77777777" w:rsidR="005855D2" w:rsidRPr="00385591" w:rsidRDefault="005855D2" w:rsidP="005855D2">
      <w:pPr>
        <w:spacing w:line="276" w:lineRule="auto"/>
        <w:jc w:val="both"/>
        <w:rPr>
          <w:rFonts w:asciiTheme="minorHAnsi" w:hAnsiTheme="minorHAnsi" w:cstheme="minorHAnsi"/>
          <w:noProof/>
          <w:lang w:val="sq-AL"/>
        </w:rPr>
      </w:pPr>
      <w:r w:rsidRPr="00385591">
        <w:rPr>
          <w:rFonts w:asciiTheme="minorHAnsi" w:hAnsiTheme="minorHAnsi" w:cstheme="minorHAnsi"/>
          <w:noProof/>
          <w:lang w:val="sq-AL"/>
        </w:rPr>
        <w:t xml:space="preserve">Referuar të dhënave të deritanishme, sa i takon ecurisë së normave të interesit vihet re:  </w:t>
      </w:r>
    </w:p>
    <w:p w14:paraId="0364C016" w14:textId="77777777" w:rsidR="005855D2" w:rsidRPr="005855D2" w:rsidRDefault="005855D2" w:rsidP="00056DE5">
      <w:pPr>
        <w:pStyle w:val="ListParagraph"/>
        <w:numPr>
          <w:ilvl w:val="0"/>
          <w:numId w:val="36"/>
        </w:numPr>
        <w:spacing w:before="120"/>
        <w:ind w:left="357" w:hanging="357"/>
        <w:contextualSpacing w:val="0"/>
        <w:jc w:val="both"/>
        <w:rPr>
          <w:rFonts w:asciiTheme="minorHAnsi" w:hAnsiTheme="minorHAnsi" w:cstheme="minorHAnsi"/>
          <w:b/>
          <w:i/>
          <w:noProof/>
          <w:lang w:val="sq-AL"/>
        </w:rPr>
      </w:pPr>
      <w:r w:rsidRPr="005855D2">
        <w:rPr>
          <w:rFonts w:asciiTheme="minorHAnsi" w:hAnsiTheme="minorHAnsi" w:cstheme="minorHAnsi"/>
          <w:b/>
          <w:i/>
          <w:noProof/>
          <w:lang w:val="sq-AL"/>
        </w:rPr>
        <w:t>Depozitat në Lekë</w:t>
      </w:r>
      <w:r w:rsidRPr="005855D2">
        <w:rPr>
          <w:rFonts w:asciiTheme="minorHAnsi" w:hAnsiTheme="minorHAnsi" w:cstheme="minorHAnsi"/>
          <w:i/>
          <w:noProof/>
          <w:lang w:val="sq-AL"/>
        </w:rPr>
        <w:t xml:space="preserve"> - Norma mesatare e interesit për totalin e depozitave të reja (duke përfshirë të gjitha maturimet) në muajin Prill 2023 shënoi </w:t>
      </w:r>
      <w:r w:rsidRPr="005855D2">
        <w:rPr>
          <w:rFonts w:asciiTheme="minorHAnsi" w:hAnsiTheme="minorHAnsi" w:cstheme="minorHAnsi"/>
          <w:i/>
          <w:noProof/>
          <w:color w:val="000000" w:themeColor="text1"/>
          <w:lang w:val="sq-AL"/>
        </w:rPr>
        <w:t xml:space="preserve">1.42%, </w:t>
      </w:r>
      <w:r w:rsidRPr="005855D2">
        <w:rPr>
          <w:rFonts w:asciiTheme="minorHAnsi" w:hAnsiTheme="minorHAnsi" w:cstheme="minorHAnsi"/>
          <w:i/>
          <w:noProof/>
          <w:lang w:val="sq-AL"/>
        </w:rPr>
        <w:t>duke u rritur me 0.61 p.p krahasuar me të njëjtën periudhë të vitit të kaluar dhe duke u ulur me 0.05 p.p krahasuar me muajin paraardhës. Ndërkohë, interesat mesatar për Individët shënuan vlerën 1.41%, ose 0.68 p.p më shumë krahasuar me të njëjtën periudhë të një viti më parë dhe janë ulur me 0.05 p.p krahasuar me muajin paraardhës. Ndërsa, normat mesatare për Korporatat jo-financiare shënuan 1.59%, duke u ulur me 0.02 p.p krahasuar me të njëjtën periudhë vitin e kaluar dhe janë ulur me 0.20 p.p krahasuar me muajin paraardhës.</w:t>
      </w:r>
    </w:p>
    <w:p w14:paraId="4B29BEB8" w14:textId="77777777" w:rsidR="005855D2" w:rsidRPr="005855D2" w:rsidRDefault="005855D2" w:rsidP="00056DE5">
      <w:pPr>
        <w:pStyle w:val="ListParagraph"/>
        <w:numPr>
          <w:ilvl w:val="0"/>
          <w:numId w:val="36"/>
        </w:numPr>
        <w:spacing w:before="120"/>
        <w:contextualSpacing w:val="0"/>
        <w:jc w:val="both"/>
        <w:rPr>
          <w:rFonts w:asciiTheme="minorHAnsi" w:hAnsiTheme="minorHAnsi" w:cstheme="minorHAnsi"/>
          <w:i/>
          <w:noProof/>
          <w:lang w:val="sq-AL"/>
        </w:rPr>
      </w:pPr>
      <w:r w:rsidRPr="005855D2">
        <w:rPr>
          <w:rFonts w:asciiTheme="minorHAnsi" w:hAnsiTheme="minorHAnsi" w:cstheme="minorHAnsi"/>
          <w:b/>
          <w:i/>
          <w:noProof/>
          <w:lang w:val="sq-AL"/>
        </w:rPr>
        <w:t xml:space="preserve">Depozitat në EUR (€) - </w:t>
      </w:r>
      <w:r w:rsidRPr="005855D2">
        <w:rPr>
          <w:rFonts w:asciiTheme="minorHAnsi" w:hAnsiTheme="minorHAnsi" w:cstheme="minorHAnsi"/>
          <w:i/>
          <w:noProof/>
          <w:lang w:val="sq-AL"/>
        </w:rPr>
        <w:t>Norma mesatare e interesit për totalin e depozitave shënoi vlerën 0.68%, duke u rritur me 0.32 p.p krahasuar me një vit më parë dhe duke rënë me 0.06 p.p krahasuar me një muaj më parë. Ndërkohë, norma e interesit për Individë u rrit me 0.44 p.p krahasuar me një vit më parë  dhe u ul me 0.12 p.p krahasuar me një muaj më parë ndërsa për Korporata jo-financiare  u ul me 0.36 p.p krahasuar me një vit më parë  ndërsa krahasuar me një muaj më parë dhe u ul me 0.61 p.p.</w:t>
      </w:r>
    </w:p>
    <w:p w14:paraId="1B867190" w14:textId="77777777" w:rsidR="005855D2" w:rsidRPr="005855D2" w:rsidRDefault="005855D2" w:rsidP="00056DE5">
      <w:pPr>
        <w:pStyle w:val="ListParagraph"/>
        <w:numPr>
          <w:ilvl w:val="0"/>
          <w:numId w:val="36"/>
        </w:numPr>
        <w:spacing w:before="120"/>
        <w:ind w:left="357" w:hanging="357"/>
        <w:contextualSpacing w:val="0"/>
        <w:jc w:val="both"/>
        <w:rPr>
          <w:rFonts w:asciiTheme="minorHAnsi" w:hAnsiTheme="minorHAnsi" w:cstheme="minorHAnsi"/>
          <w:b/>
          <w:i/>
          <w:noProof/>
          <w:lang w:val="sq-AL"/>
        </w:rPr>
      </w:pPr>
      <w:r w:rsidRPr="005855D2">
        <w:rPr>
          <w:rFonts w:asciiTheme="minorHAnsi" w:hAnsiTheme="minorHAnsi" w:cstheme="minorHAnsi"/>
          <w:b/>
          <w:i/>
          <w:noProof/>
          <w:lang w:val="sq-AL"/>
        </w:rPr>
        <w:t xml:space="preserve">Depozitat në US ($) – </w:t>
      </w:r>
      <w:r w:rsidRPr="005855D2">
        <w:rPr>
          <w:rFonts w:asciiTheme="minorHAnsi" w:hAnsiTheme="minorHAnsi" w:cstheme="minorHAnsi"/>
          <w:i/>
          <w:noProof/>
          <w:lang w:val="sq-AL"/>
        </w:rPr>
        <w:t xml:space="preserve">Norma mesatare e interesit për totalin e depozitave shënoi vlerën 1.19 përqind, ose 0.8 p.p. më shumë krahasuar me një vit më parë dhe duke u rritur me 0.07 p.p krahasuar  me një muaj më parë. </w:t>
      </w:r>
    </w:p>
    <w:p w14:paraId="0FBF5730" w14:textId="77777777" w:rsidR="005855D2" w:rsidRPr="005855D2" w:rsidRDefault="005855D2" w:rsidP="00056DE5">
      <w:pPr>
        <w:pStyle w:val="ListParagraph"/>
        <w:numPr>
          <w:ilvl w:val="0"/>
          <w:numId w:val="36"/>
        </w:numPr>
        <w:spacing w:before="120"/>
        <w:ind w:left="357" w:hanging="357"/>
        <w:contextualSpacing w:val="0"/>
        <w:jc w:val="both"/>
        <w:rPr>
          <w:rFonts w:asciiTheme="minorHAnsi" w:hAnsiTheme="minorHAnsi" w:cstheme="minorHAnsi"/>
          <w:i/>
          <w:noProof/>
          <w:lang w:val="sq-AL"/>
        </w:rPr>
      </w:pPr>
      <w:r w:rsidRPr="005855D2">
        <w:rPr>
          <w:rFonts w:asciiTheme="minorHAnsi" w:hAnsiTheme="minorHAnsi" w:cstheme="minorHAnsi"/>
          <w:b/>
          <w:i/>
          <w:noProof/>
          <w:lang w:val="sq-AL"/>
        </w:rPr>
        <w:t>Kreditë në Lekë</w:t>
      </w:r>
      <w:r w:rsidRPr="005855D2">
        <w:rPr>
          <w:rFonts w:asciiTheme="minorHAnsi" w:hAnsiTheme="minorHAnsi" w:cstheme="minorHAnsi"/>
          <w:i/>
          <w:noProof/>
          <w:lang w:val="sq-AL"/>
        </w:rPr>
        <w:t xml:space="preserve"> - Norma mesatare e interesit për totalin e kredive (duke përfshirë të gjitha maturimet) për Prill 2023 shënoi vlerën 6.66%, ose 0.92 p.p. më shumë se e njëjta periudhë e vitit të kaluar dhe duke rënë me 0.96 p.p. krahasuar me muajin paraardhës. Interesi mesatar i kredive për Individë ka shënuar 7.21%, ose 0.41 p.p më shumë se e njëjta periudhë e vitit të kaluar dhe 0.39 p.p më pak se muaji i kaluar. Rritje kanë shënuar si interesi mesatar i kredive për blerje banesash, ashtu edhe ai i kredive konsumatore, niveli i të cilave ka arritur përkatësisht 4.23% dhe 9.57%. Ndërsa, interesi mesatar i kredive për bizneset rezultoi 6.14% në muajin Prill, duke u rritur 0.99 p.p krahasuar me vitin e kaluar dhe duke u ulur me 1.10 p.p me muajin paraardhës.</w:t>
      </w:r>
    </w:p>
    <w:p w14:paraId="3A8096EB" w14:textId="77777777" w:rsidR="000C3505" w:rsidRPr="000C3505" w:rsidRDefault="000C3505" w:rsidP="000C3505">
      <w:pPr>
        <w:pStyle w:val="ListParagraph"/>
        <w:spacing w:before="120"/>
        <w:ind w:left="357"/>
        <w:contextualSpacing w:val="0"/>
        <w:jc w:val="both"/>
        <w:rPr>
          <w:rFonts w:asciiTheme="minorHAnsi" w:hAnsiTheme="minorHAnsi" w:cstheme="minorHAnsi"/>
          <w:i/>
          <w:noProof/>
          <w:lang w:val="sq-AL"/>
        </w:rPr>
      </w:pPr>
    </w:p>
    <w:p w14:paraId="722A7DF9" w14:textId="77777777" w:rsidR="005855D2" w:rsidRPr="005855D2" w:rsidRDefault="005855D2" w:rsidP="00056DE5">
      <w:pPr>
        <w:pStyle w:val="ListParagraph"/>
        <w:numPr>
          <w:ilvl w:val="0"/>
          <w:numId w:val="36"/>
        </w:numPr>
        <w:spacing w:before="120"/>
        <w:ind w:left="357" w:hanging="357"/>
        <w:contextualSpacing w:val="0"/>
        <w:jc w:val="both"/>
        <w:rPr>
          <w:rFonts w:asciiTheme="minorHAnsi" w:hAnsiTheme="minorHAnsi" w:cstheme="minorHAnsi"/>
          <w:i/>
          <w:noProof/>
          <w:lang w:val="sq-AL"/>
        </w:rPr>
      </w:pPr>
      <w:r w:rsidRPr="005855D2">
        <w:rPr>
          <w:rFonts w:asciiTheme="minorHAnsi" w:hAnsiTheme="minorHAnsi" w:cstheme="minorHAnsi"/>
          <w:b/>
          <w:i/>
          <w:noProof/>
          <w:lang w:val="sq-AL"/>
        </w:rPr>
        <w:lastRenderedPageBreak/>
        <w:t xml:space="preserve">Kreditë në EUR (€) </w:t>
      </w:r>
      <w:r w:rsidRPr="005855D2">
        <w:rPr>
          <w:rFonts w:asciiTheme="minorHAnsi" w:hAnsiTheme="minorHAnsi" w:cstheme="minorHAnsi"/>
          <w:i/>
          <w:noProof/>
          <w:lang w:val="sq-AL"/>
        </w:rPr>
        <w:t>- Norma mesatare e interesit për totalin e kredive për muajin Prill 2023 shënoi vlerën 5.60 përqind, ose 1.09 p.p. më shumë se e njëjta periudhë e vitit të kaluar dhe 0.02 p.p më pak krahasuar me një muaj më parë. Interesi mesatar i kredive për Individë ka shënuar 4.74%, ose 0.51 p.p më shumë se e njëjta periudhë e vitit të kaluar dhe 0.44 p.p më shumë se muaji i kaluar. Rritje kanë shënuar si interesi mesatar i kredive për blerja banesash, ashtu edhe ai i kredive konsumatore, niveli i të cilave ka arritur përkatësisht 4.52% dhe 5.23%. Ndërsa, interesi mesatar i kredive për bizneset rezultoi 6.0% në muajin Prill, duke u rritur me 1.35 p.p krahasuar me vitin e kaluar dhe duke u rritur me 0.04 p.p me muajin paraardhës.</w:t>
      </w:r>
    </w:p>
    <w:p w14:paraId="632FBA08" w14:textId="77777777" w:rsidR="005855D2" w:rsidRPr="005855D2" w:rsidRDefault="005855D2" w:rsidP="00056DE5">
      <w:pPr>
        <w:pStyle w:val="ListParagraph"/>
        <w:numPr>
          <w:ilvl w:val="0"/>
          <w:numId w:val="36"/>
        </w:numPr>
        <w:spacing w:before="120"/>
        <w:ind w:left="357" w:hanging="357"/>
        <w:contextualSpacing w:val="0"/>
        <w:jc w:val="both"/>
        <w:rPr>
          <w:rFonts w:asciiTheme="minorHAnsi" w:hAnsiTheme="minorHAnsi" w:cstheme="minorHAnsi"/>
          <w:i/>
          <w:noProof/>
          <w:lang w:val="sq-AL"/>
        </w:rPr>
      </w:pPr>
      <w:r w:rsidRPr="005855D2">
        <w:rPr>
          <w:rFonts w:asciiTheme="minorHAnsi" w:hAnsiTheme="minorHAnsi" w:cstheme="minorHAnsi"/>
          <w:b/>
          <w:i/>
          <w:noProof/>
          <w:lang w:val="sq-AL"/>
        </w:rPr>
        <w:t xml:space="preserve">Kreditë në US($) </w:t>
      </w:r>
      <w:r w:rsidRPr="005855D2">
        <w:rPr>
          <w:rFonts w:asciiTheme="minorHAnsi" w:hAnsiTheme="minorHAnsi" w:cstheme="minorHAnsi"/>
          <w:i/>
          <w:noProof/>
          <w:lang w:val="sq-AL"/>
        </w:rPr>
        <w:t xml:space="preserve">- Norma mesatare e interesit për totalin e kredive për muajin Prill 2023 shënoi vlerën 5.6  përqind, duke shënuar rritje me 0.38 p.p. krahasuar me një vit më parë dhe një rritje  me 1.11 p.p krahasuar me muajin Dhjetor 2022. </w:t>
      </w:r>
    </w:p>
    <w:p w14:paraId="3900B96C" w14:textId="77777777" w:rsidR="000C3505" w:rsidRDefault="000C3505" w:rsidP="005855D2">
      <w:pPr>
        <w:spacing w:before="120" w:line="276" w:lineRule="auto"/>
        <w:jc w:val="both"/>
        <w:rPr>
          <w:rFonts w:asciiTheme="minorHAnsi" w:hAnsiTheme="minorHAnsi" w:cstheme="minorHAnsi"/>
          <w:noProof/>
          <w:lang w:val="sq-AL"/>
        </w:rPr>
      </w:pPr>
    </w:p>
    <w:p w14:paraId="6BD62904" w14:textId="77777777" w:rsidR="005855D2" w:rsidRDefault="005855D2" w:rsidP="005855D2">
      <w:pPr>
        <w:spacing w:before="120" w:line="276" w:lineRule="auto"/>
        <w:jc w:val="both"/>
        <w:rPr>
          <w:rFonts w:asciiTheme="minorHAnsi" w:hAnsiTheme="minorHAnsi" w:cstheme="minorHAnsi"/>
          <w:noProof/>
          <w:lang w:val="sq-AL"/>
        </w:rPr>
      </w:pPr>
      <w:r w:rsidRPr="00EB4AEF">
        <w:rPr>
          <w:rFonts w:asciiTheme="minorHAnsi" w:hAnsiTheme="minorHAnsi" w:cstheme="minorHAnsi"/>
          <w:noProof/>
          <w:lang w:val="sq-AL"/>
        </w:rPr>
        <w:t>Gjatë muajit maj 2023, kursi mesatar i këmbimit të lekut kundrejt euros arriti 111.10 lekë/euro duke pësuar një rënie mujore në vlerë</w:t>
      </w:r>
      <w:r>
        <w:rPr>
          <w:rFonts w:asciiTheme="minorHAnsi" w:hAnsiTheme="minorHAnsi" w:cstheme="minorHAnsi"/>
          <w:noProof/>
          <w:lang w:val="sq-AL"/>
        </w:rPr>
        <w:t xml:space="preserve"> me 1.14% dhe një rënie me 7.78</w:t>
      </w:r>
      <w:r w:rsidRPr="00EB4AEF">
        <w:rPr>
          <w:rFonts w:asciiTheme="minorHAnsi" w:hAnsiTheme="minorHAnsi" w:cstheme="minorHAnsi"/>
          <w:noProof/>
          <w:lang w:val="sq-AL"/>
        </w:rPr>
        <w:t xml:space="preserve">% në terma vjetore. Kursi mesatar i këmbimit të lekut kundrejt dollarit amerikan në muajin maj arriti në 102.26 lekë/dollar amerikan duke shënuar një </w:t>
      </w:r>
      <w:r>
        <w:rPr>
          <w:rFonts w:asciiTheme="minorHAnsi" w:hAnsiTheme="minorHAnsi" w:cstheme="minorHAnsi"/>
          <w:noProof/>
          <w:lang w:val="sq-AL"/>
        </w:rPr>
        <w:t>rënie mujore me 0.19% dhe një r</w:t>
      </w:r>
      <w:r w:rsidRPr="00EB4AEF">
        <w:rPr>
          <w:rFonts w:asciiTheme="minorHAnsi" w:hAnsiTheme="minorHAnsi" w:cstheme="minorHAnsi"/>
          <w:noProof/>
          <w:lang w:val="sq-AL"/>
        </w:rPr>
        <w:t>ënie vjetore me 10.25%.</w:t>
      </w:r>
    </w:p>
    <w:p w14:paraId="11F074EB" w14:textId="77777777" w:rsidR="00B31CF7" w:rsidRPr="0065598A" w:rsidRDefault="00B31CF7" w:rsidP="00B31CF7">
      <w:pPr>
        <w:jc w:val="both"/>
        <w:rPr>
          <w:rFonts w:ascii="Calibri" w:hAnsi="Calibri"/>
          <w:noProof/>
          <w:sz w:val="8"/>
          <w:lang w:val="sq-AL"/>
        </w:rPr>
      </w:pPr>
    </w:p>
    <w:p w14:paraId="50C21597" w14:textId="3FAAD0B9" w:rsidR="00B31CF7" w:rsidRPr="002C40CB" w:rsidRDefault="00B31CF7" w:rsidP="00B31CF7">
      <w:pPr>
        <w:keepNext/>
        <w:jc w:val="both"/>
        <w:rPr>
          <w:rFonts w:ascii="Calibri" w:hAnsi="Calibri"/>
          <w:i/>
          <w:sz w:val="22"/>
          <w:lang w:val="sq-AL"/>
        </w:rPr>
      </w:pPr>
      <w:bookmarkStart w:id="184" w:name="_Toc107496772"/>
      <w:r w:rsidRPr="002C40CB">
        <w:rPr>
          <w:rFonts w:ascii="Calibri" w:hAnsi="Calibri"/>
          <w:i/>
          <w:sz w:val="22"/>
          <w:lang w:val="sq-AL"/>
        </w:rPr>
        <w:t xml:space="preserve">Tabela </w:t>
      </w:r>
      <w:r w:rsidRPr="002C40CB">
        <w:rPr>
          <w:rFonts w:ascii="Calibri" w:hAnsi="Calibri"/>
          <w:i/>
          <w:sz w:val="22"/>
          <w:lang w:val="sq-AL"/>
        </w:rPr>
        <w:fldChar w:fldCharType="begin"/>
      </w:r>
      <w:r w:rsidRPr="002C40CB">
        <w:rPr>
          <w:rFonts w:ascii="Calibri" w:hAnsi="Calibri"/>
          <w:i/>
          <w:sz w:val="22"/>
          <w:lang w:val="sq-AL"/>
        </w:rPr>
        <w:instrText xml:space="preserve"> SEQ Tabela \* ARABIC </w:instrText>
      </w:r>
      <w:r w:rsidRPr="002C40CB">
        <w:rPr>
          <w:rFonts w:ascii="Calibri" w:hAnsi="Calibri"/>
          <w:i/>
          <w:sz w:val="22"/>
          <w:lang w:val="sq-AL"/>
        </w:rPr>
        <w:fldChar w:fldCharType="separate"/>
      </w:r>
      <w:r w:rsidR="00C153A9">
        <w:rPr>
          <w:rFonts w:ascii="Calibri" w:hAnsi="Calibri"/>
          <w:i/>
          <w:noProof/>
          <w:sz w:val="22"/>
          <w:lang w:val="sq-AL"/>
        </w:rPr>
        <w:t>35</w:t>
      </w:r>
      <w:r w:rsidRPr="002C40CB">
        <w:rPr>
          <w:rFonts w:ascii="Calibri" w:hAnsi="Calibri"/>
          <w:i/>
          <w:sz w:val="22"/>
          <w:lang w:val="sq-AL"/>
        </w:rPr>
        <w:fldChar w:fldCharType="end"/>
      </w:r>
      <w:r w:rsidRPr="002C40CB">
        <w:rPr>
          <w:rFonts w:ascii="Calibri" w:hAnsi="Calibri"/>
          <w:i/>
          <w:sz w:val="22"/>
          <w:lang w:val="sq-AL"/>
        </w:rPr>
        <w:t>: Ecuria e kursit të këmbimit 2015-202</w:t>
      </w:r>
      <w:r w:rsidR="00935F98">
        <w:rPr>
          <w:rFonts w:ascii="Calibri" w:hAnsi="Calibri"/>
          <w:i/>
          <w:sz w:val="22"/>
          <w:lang w:val="sq-AL"/>
        </w:rPr>
        <w:t>2</w:t>
      </w:r>
      <w:bookmarkEnd w:id="184"/>
    </w:p>
    <w:p w14:paraId="40C320DD" w14:textId="77777777" w:rsidR="00B31CF7" w:rsidRDefault="005855D2" w:rsidP="00935F98">
      <w:pPr>
        <w:jc w:val="center"/>
        <w:rPr>
          <w:rFonts w:ascii="Calibri" w:hAnsi="Calibri"/>
          <w:noProof/>
          <w:lang w:val="sq-AL"/>
        </w:rPr>
      </w:pPr>
      <w:r w:rsidRPr="00DD3FC0">
        <w:rPr>
          <w:noProof/>
        </w:rPr>
        <w:drawing>
          <wp:inline distT="0" distB="0" distL="0" distR="0" wp14:anchorId="5C9DA6E2" wp14:editId="2718154D">
            <wp:extent cx="6105525" cy="1079500"/>
            <wp:effectExtent l="0" t="0" r="9525"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05525" cy="1079500"/>
                    </a:xfrm>
                    <a:prstGeom prst="rect">
                      <a:avLst/>
                    </a:prstGeom>
                    <a:noFill/>
                    <a:ln>
                      <a:noFill/>
                    </a:ln>
                  </pic:spPr>
                </pic:pic>
              </a:graphicData>
            </a:graphic>
          </wp:inline>
        </w:drawing>
      </w:r>
    </w:p>
    <w:p w14:paraId="18D0A46A" w14:textId="77777777" w:rsidR="00935F98" w:rsidRPr="00935F98" w:rsidRDefault="00935F98" w:rsidP="00935F98">
      <w:pPr>
        <w:keepNext/>
        <w:ind w:firstLine="720"/>
        <w:jc w:val="both"/>
        <w:rPr>
          <w:rFonts w:asciiTheme="minorHAnsi" w:hAnsiTheme="minorHAnsi" w:cstheme="minorHAnsi"/>
          <w:i/>
          <w:sz w:val="22"/>
          <w:lang w:val="sq-AL"/>
        </w:rPr>
      </w:pPr>
      <w:r w:rsidRPr="00935F98">
        <w:rPr>
          <w:rFonts w:asciiTheme="minorHAnsi" w:hAnsiTheme="minorHAnsi" w:cstheme="minorHAnsi"/>
          <w:i/>
          <w:sz w:val="22"/>
          <w:lang w:val="sq-AL"/>
        </w:rPr>
        <w:t>Burimi:Banka e Shqipërisë, Qershor 202</w:t>
      </w:r>
      <w:r w:rsidR="000C3505">
        <w:rPr>
          <w:rFonts w:asciiTheme="minorHAnsi" w:hAnsiTheme="minorHAnsi" w:cstheme="minorHAnsi"/>
          <w:i/>
          <w:sz w:val="22"/>
          <w:lang w:val="sq-AL"/>
        </w:rPr>
        <w:t>3</w:t>
      </w:r>
    </w:p>
    <w:p w14:paraId="17404017" w14:textId="77777777" w:rsidR="00AD66E2" w:rsidRDefault="00AD66E2" w:rsidP="001F417D">
      <w:pPr>
        <w:spacing w:before="120" w:after="120" w:line="276" w:lineRule="auto"/>
        <w:jc w:val="center"/>
        <w:rPr>
          <w:rFonts w:ascii="Calibri" w:hAnsi="Calibri"/>
          <w:noProof/>
          <w:lang w:val="sq-AL"/>
        </w:rPr>
      </w:pPr>
    </w:p>
    <w:p w14:paraId="16E77412" w14:textId="77777777" w:rsidR="000C3505" w:rsidRDefault="000C3505" w:rsidP="001F417D">
      <w:pPr>
        <w:spacing w:before="120" w:after="120" w:line="276" w:lineRule="auto"/>
        <w:jc w:val="center"/>
        <w:rPr>
          <w:rFonts w:ascii="Calibri" w:hAnsi="Calibri"/>
          <w:noProof/>
          <w:lang w:val="sq-AL"/>
        </w:rPr>
      </w:pPr>
    </w:p>
    <w:p w14:paraId="485C957B" w14:textId="77777777" w:rsidR="000C3505" w:rsidRDefault="000C3505" w:rsidP="001F417D">
      <w:pPr>
        <w:spacing w:before="120" w:after="120" w:line="276" w:lineRule="auto"/>
        <w:jc w:val="center"/>
        <w:rPr>
          <w:rFonts w:ascii="Calibri" w:hAnsi="Calibri"/>
          <w:noProof/>
          <w:lang w:val="sq-AL"/>
        </w:rPr>
      </w:pPr>
    </w:p>
    <w:p w14:paraId="22DF5957" w14:textId="77777777" w:rsidR="000C3505" w:rsidRDefault="000C3505" w:rsidP="001F417D">
      <w:pPr>
        <w:spacing w:before="120" w:after="120" w:line="276" w:lineRule="auto"/>
        <w:jc w:val="center"/>
        <w:rPr>
          <w:rFonts w:ascii="Calibri" w:hAnsi="Calibri"/>
          <w:noProof/>
          <w:lang w:val="sq-AL"/>
        </w:rPr>
      </w:pPr>
    </w:p>
    <w:p w14:paraId="6D732749" w14:textId="77777777" w:rsidR="000C3505" w:rsidRDefault="000C3505" w:rsidP="001F417D">
      <w:pPr>
        <w:spacing w:before="120" w:after="120" w:line="276" w:lineRule="auto"/>
        <w:jc w:val="center"/>
        <w:rPr>
          <w:rFonts w:ascii="Calibri" w:hAnsi="Calibri"/>
          <w:noProof/>
          <w:lang w:val="sq-AL"/>
        </w:rPr>
      </w:pPr>
    </w:p>
    <w:p w14:paraId="75B6FCB3" w14:textId="77777777" w:rsidR="000C3505" w:rsidRDefault="000C3505" w:rsidP="001F417D">
      <w:pPr>
        <w:spacing w:before="120" w:after="120" w:line="276" w:lineRule="auto"/>
        <w:jc w:val="center"/>
        <w:rPr>
          <w:rFonts w:ascii="Calibri" w:hAnsi="Calibri"/>
          <w:noProof/>
          <w:lang w:val="sq-AL"/>
        </w:rPr>
      </w:pPr>
    </w:p>
    <w:p w14:paraId="08094F80" w14:textId="77777777" w:rsidR="000C3505" w:rsidRDefault="000C3505" w:rsidP="001F417D">
      <w:pPr>
        <w:spacing w:before="120" w:after="120" w:line="276" w:lineRule="auto"/>
        <w:jc w:val="center"/>
        <w:rPr>
          <w:rFonts w:ascii="Calibri" w:hAnsi="Calibri"/>
          <w:noProof/>
          <w:lang w:val="sq-AL"/>
        </w:rPr>
      </w:pPr>
    </w:p>
    <w:p w14:paraId="683B8756" w14:textId="77777777" w:rsidR="000C3505" w:rsidRDefault="000C3505" w:rsidP="001F417D">
      <w:pPr>
        <w:spacing w:before="120" w:after="120" w:line="276" w:lineRule="auto"/>
        <w:jc w:val="center"/>
        <w:rPr>
          <w:rFonts w:ascii="Calibri" w:hAnsi="Calibri"/>
          <w:noProof/>
          <w:lang w:val="sq-AL"/>
        </w:rPr>
      </w:pPr>
    </w:p>
    <w:p w14:paraId="4EC3E407" w14:textId="77777777" w:rsidR="000C3505" w:rsidRDefault="000C3505" w:rsidP="001F417D">
      <w:pPr>
        <w:spacing w:before="120" w:after="120" w:line="276" w:lineRule="auto"/>
        <w:jc w:val="center"/>
        <w:rPr>
          <w:rFonts w:ascii="Calibri" w:hAnsi="Calibri"/>
          <w:noProof/>
          <w:lang w:val="sq-AL"/>
        </w:rPr>
      </w:pPr>
    </w:p>
    <w:p w14:paraId="4C0FCF10" w14:textId="77777777" w:rsidR="000C3505" w:rsidRDefault="000C3505" w:rsidP="001F417D">
      <w:pPr>
        <w:spacing w:before="120" w:after="120" w:line="276" w:lineRule="auto"/>
        <w:jc w:val="center"/>
        <w:rPr>
          <w:rFonts w:ascii="Calibri" w:hAnsi="Calibri"/>
          <w:noProof/>
          <w:lang w:val="sq-AL"/>
        </w:rPr>
      </w:pPr>
    </w:p>
    <w:p w14:paraId="15876F95" w14:textId="77777777" w:rsidR="000C3505" w:rsidRDefault="000C3505" w:rsidP="001F417D">
      <w:pPr>
        <w:spacing w:before="120" w:after="120" w:line="276" w:lineRule="auto"/>
        <w:jc w:val="center"/>
        <w:rPr>
          <w:rFonts w:ascii="Calibri" w:hAnsi="Calibri"/>
          <w:noProof/>
          <w:lang w:val="sq-AL"/>
        </w:rPr>
      </w:pPr>
    </w:p>
    <w:p w14:paraId="07D067A5" w14:textId="77777777" w:rsidR="000C3505" w:rsidRDefault="000C3505" w:rsidP="001F417D">
      <w:pPr>
        <w:spacing w:before="120" w:after="120" w:line="276" w:lineRule="auto"/>
        <w:jc w:val="center"/>
        <w:rPr>
          <w:rFonts w:ascii="Calibri" w:hAnsi="Calibri"/>
          <w:noProof/>
          <w:lang w:val="sq-AL"/>
        </w:rPr>
      </w:pPr>
    </w:p>
    <w:p w14:paraId="6124E77A" w14:textId="77777777" w:rsidR="000C3505" w:rsidRDefault="000C3505" w:rsidP="001F417D">
      <w:pPr>
        <w:spacing w:before="120" w:after="120" w:line="276" w:lineRule="auto"/>
        <w:jc w:val="center"/>
        <w:rPr>
          <w:rFonts w:ascii="Calibri" w:hAnsi="Calibri"/>
          <w:noProof/>
          <w:lang w:val="sq-AL"/>
        </w:rPr>
      </w:pPr>
    </w:p>
    <w:p w14:paraId="5FD1188C" w14:textId="77777777" w:rsidR="000C3505" w:rsidRDefault="000C3505" w:rsidP="001F417D">
      <w:pPr>
        <w:spacing w:before="120" w:after="120" w:line="276" w:lineRule="auto"/>
        <w:jc w:val="center"/>
        <w:rPr>
          <w:rFonts w:ascii="Calibri" w:hAnsi="Calibri"/>
          <w:noProof/>
          <w:lang w:val="sq-AL"/>
        </w:rPr>
      </w:pPr>
    </w:p>
    <w:p w14:paraId="73A79BE8" w14:textId="77777777" w:rsidR="000C3505" w:rsidRDefault="000C3505" w:rsidP="001F417D">
      <w:pPr>
        <w:spacing w:before="120" w:after="120" w:line="276" w:lineRule="auto"/>
        <w:jc w:val="center"/>
        <w:rPr>
          <w:rFonts w:ascii="Calibri" w:hAnsi="Calibri"/>
          <w:noProof/>
          <w:lang w:val="sq-AL"/>
        </w:rPr>
      </w:pPr>
    </w:p>
    <w:p w14:paraId="00150673" w14:textId="77777777" w:rsidR="00527686" w:rsidRPr="00FA4974" w:rsidRDefault="00527686" w:rsidP="00056DE5">
      <w:pPr>
        <w:pStyle w:val="Heading2"/>
        <w:numPr>
          <w:ilvl w:val="0"/>
          <w:numId w:val="34"/>
        </w:numPr>
        <w:ind w:left="360"/>
        <w:rPr>
          <w:sz w:val="26"/>
          <w:szCs w:val="26"/>
        </w:rPr>
      </w:pPr>
      <w:bookmarkStart w:id="185" w:name="_Toc11134224"/>
      <w:bookmarkStart w:id="186" w:name="_Toc107497009"/>
      <w:r w:rsidRPr="00FA4974">
        <w:rPr>
          <w:sz w:val="26"/>
          <w:szCs w:val="26"/>
        </w:rPr>
        <w:lastRenderedPageBreak/>
        <w:t>Treguesit kryesorë të performancës sipas ministrive të linjës</w:t>
      </w:r>
      <w:bookmarkEnd w:id="185"/>
      <w:r w:rsidRPr="00FA4974">
        <w:rPr>
          <w:sz w:val="26"/>
          <w:szCs w:val="26"/>
        </w:rPr>
        <w:t>, 4M I 20</w:t>
      </w:r>
      <w:r w:rsidR="00B345A4" w:rsidRPr="00FA4974">
        <w:rPr>
          <w:sz w:val="26"/>
          <w:szCs w:val="26"/>
        </w:rPr>
        <w:t>2</w:t>
      </w:r>
      <w:bookmarkEnd w:id="186"/>
      <w:r w:rsidR="00367A15">
        <w:rPr>
          <w:sz w:val="26"/>
          <w:szCs w:val="26"/>
        </w:rPr>
        <w:t>3</w:t>
      </w:r>
      <w:r w:rsidRPr="00FA4974">
        <w:rPr>
          <w:sz w:val="26"/>
          <w:szCs w:val="26"/>
        </w:rPr>
        <w:t xml:space="preserve"> </w:t>
      </w:r>
    </w:p>
    <w:p w14:paraId="3A950EA0" w14:textId="77777777" w:rsidR="00741D1F" w:rsidRPr="00BD2E49" w:rsidRDefault="00741D1F" w:rsidP="00741D1F">
      <w:pPr>
        <w:spacing w:before="240" w:line="276" w:lineRule="auto"/>
        <w:jc w:val="both"/>
        <w:rPr>
          <w:rFonts w:ascii="Calibri" w:eastAsia="MS Mincho" w:hAnsi="Calibri"/>
          <w:lang w:val="sq-AL"/>
        </w:rPr>
      </w:pPr>
      <w:bookmarkStart w:id="187" w:name="_Toc11135126"/>
      <w:bookmarkStart w:id="188" w:name="_Toc10033295"/>
      <w:r w:rsidRPr="00BD2E49">
        <w:rPr>
          <w:rFonts w:ascii="Calibri" w:hAnsi="Calibri"/>
          <w:lang w:val="sq-AL"/>
        </w:rPr>
        <w:t>Buxheti i vitit 2023, ka financuar 131 programe buxhetore si edhe buxhetin e 61 bashkive dhe 12 qarqeve. Realizimi i buxhetit për 5 mujorin e vitit 2023 për ministritë dhe disa nga institucionet qendrore kryesore, paraqitet në tabelën e mëposhtme</w:t>
      </w:r>
      <w:r w:rsidRPr="00BD2E49">
        <w:rPr>
          <w:rFonts w:ascii="Calibri" w:eastAsia="MS Mincho" w:hAnsi="Calibri"/>
          <w:lang w:val="sq-AL"/>
        </w:rPr>
        <w:t xml:space="preserve">: </w:t>
      </w:r>
      <w:bookmarkStart w:id="189" w:name="_Toc10033294"/>
      <w:bookmarkEnd w:id="189"/>
    </w:p>
    <w:p w14:paraId="035EF1C3" w14:textId="5A984ECF" w:rsidR="00741D1F" w:rsidRPr="00BD2E49" w:rsidRDefault="00741D1F" w:rsidP="00741D1F">
      <w:pPr>
        <w:spacing w:before="240"/>
        <w:rPr>
          <w:rFonts w:ascii="Calibri" w:hAnsi="Calibri"/>
          <w:i/>
          <w:noProof/>
          <w:lang w:val="sq-AL"/>
        </w:rPr>
      </w:pPr>
      <w:bookmarkStart w:id="190" w:name="_Toc107496773"/>
      <w:r w:rsidRPr="00BD2E49">
        <w:rPr>
          <w:rFonts w:ascii="Calibri" w:hAnsi="Calibri"/>
          <w:i/>
          <w:noProof/>
          <w:lang w:val="sq-AL"/>
        </w:rPr>
        <w:t xml:space="preserve">Tabela </w:t>
      </w:r>
      <w:r w:rsidRPr="00BD2E49">
        <w:rPr>
          <w:rFonts w:ascii="Calibri" w:hAnsi="Calibri"/>
          <w:i/>
          <w:noProof/>
          <w:lang w:val="sq-AL"/>
        </w:rPr>
        <w:fldChar w:fldCharType="begin"/>
      </w:r>
      <w:r w:rsidRPr="00BD2E49">
        <w:rPr>
          <w:rFonts w:ascii="Calibri" w:hAnsi="Calibri"/>
          <w:i/>
          <w:noProof/>
          <w:lang w:val="sq-AL"/>
        </w:rPr>
        <w:instrText xml:space="preserve"> SEQ Tabela \* ARABIC </w:instrText>
      </w:r>
      <w:r w:rsidRPr="00BD2E49">
        <w:rPr>
          <w:rFonts w:ascii="Calibri" w:hAnsi="Calibri"/>
          <w:i/>
          <w:noProof/>
          <w:lang w:val="sq-AL"/>
        </w:rPr>
        <w:fldChar w:fldCharType="separate"/>
      </w:r>
      <w:r w:rsidR="00C153A9">
        <w:rPr>
          <w:rFonts w:ascii="Calibri" w:hAnsi="Calibri"/>
          <w:i/>
          <w:noProof/>
          <w:lang w:val="sq-AL"/>
        </w:rPr>
        <w:t>36</w:t>
      </w:r>
      <w:r w:rsidRPr="00BD2E49">
        <w:rPr>
          <w:rFonts w:ascii="Calibri" w:hAnsi="Calibri"/>
          <w:i/>
          <w:noProof/>
          <w:lang w:val="sq-AL"/>
        </w:rPr>
        <w:fldChar w:fldCharType="end"/>
      </w:r>
      <w:r w:rsidRPr="00BD2E49">
        <w:rPr>
          <w:rFonts w:ascii="Calibri" w:hAnsi="Calibri"/>
          <w:i/>
          <w:noProof/>
          <w:lang w:val="sq-AL"/>
        </w:rPr>
        <w:t xml:space="preserve">: </w:t>
      </w:r>
      <w:r w:rsidR="003E1083">
        <w:rPr>
          <w:rFonts w:ascii="Calibri" w:hAnsi="Calibri"/>
          <w:i/>
          <w:noProof/>
          <w:lang w:val="sq-AL"/>
        </w:rPr>
        <w:t>Realizimi Faktik</w:t>
      </w:r>
      <w:r w:rsidRPr="00BD2E49">
        <w:rPr>
          <w:rFonts w:ascii="Calibri" w:hAnsi="Calibri"/>
          <w:i/>
          <w:noProof/>
          <w:lang w:val="sq-AL"/>
        </w:rPr>
        <w:t xml:space="preserve"> sipas ministrive të linjës, </w:t>
      </w:r>
      <w:r w:rsidR="003E1083">
        <w:rPr>
          <w:rFonts w:ascii="Calibri" w:hAnsi="Calibri"/>
          <w:i/>
          <w:noProof/>
          <w:lang w:val="sq-AL"/>
        </w:rPr>
        <w:t>5</w:t>
      </w:r>
      <w:r w:rsidRPr="00BD2E49">
        <w:rPr>
          <w:rFonts w:ascii="Calibri" w:hAnsi="Calibri"/>
          <w:i/>
          <w:noProof/>
          <w:lang w:val="sq-AL"/>
        </w:rPr>
        <w:t>M 202</w:t>
      </w:r>
      <w:bookmarkEnd w:id="190"/>
      <w:r w:rsidRPr="00BD2E49">
        <w:rPr>
          <w:rFonts w:ascii="Calibri" w:hAnsi="Calibri"/>
          <w:i/>
          <w:noProof/>
          <w:lang w:val="sq-AL"/>
        </w:rPr>
        <w:t>3</w:t>
      </w:r>
    </w:p>
    <w:p w14:paraId="6C6D6CF3" w14:textId="1EEBE397" w:rsidR="00741D1F" w:rsidRPr="00BD2E49" w:rsidRDefault="00741D1F" w:rsidP="00741D1F">
      <w:pPr>
        <w:rPr>
          <w:rFonts w:ascii="Calibri" w:hAnsi="Calibri"/>
          <w:i/>
          <w:noProof/>
          <w:lang w:val="sq-AL"/>
        </w:rPr>
      </w:pPr>
      <w:r w:rsidRPr="00BD2E49">
        <w:rPr>
          <w:rFonts w:ascii="Calibri" w:hAnsi="Calibri"/>
          <w:i/>
          <w:noProof/>
          <w:lang w:val="sq-AL"/>
        </w:rPr>
        <w:tab/>
      </w:r>
      <w:r w:rsidRPr="00BD2E49">
        <w:rPr>
          <w:rFonts w:ascii="Calibri" w:hAnsi="Calibri"/>
          <w:i/>
          <w:noProof/>
          <w:lang w:val="sq-AL"/>
        </w:rPr>
        <w:tab/>
      </w:r>
      <w:r w:rsidRPr="00BD2E49">
        <w:rPr>
          <w:rFonts w:ascii="Calibri" w:hAnsi="Calibri"/>
          <w:i/>
          <w:noProof/>
          <w:lang w:val="sq-AL"/>
        </w:rPr>
        <w:tab/>
      </w:r>
      <w:r w:rsidRPr="00BD2E49">
        <w:rPr>
          <w:rFonts w:ascii="Calibri" w:hAnsi="Calibri"/>
          <w:i/>
          <w:noProof/>
          <w:lang w:val="sq-AL"/>
        </w:rPr>
        <w:tab/>
      </w:r>
      <w:r w:rsidRPr="00BD2E49">
        <w:rPr>
          <w:rFonts w:ascii="Calibri" w:hAnsi="Calibri"/>
          <w:i/>
          <w:noProof/>
          <w:lang w:val="sq-AL"/>
        </w:rPr>
        <w:tab/>
      </w:r>
      <w:r w:rsidRPr="00BD2E49">
        <w:rPr>
          <w:rFonts w:ascii="Calibri" w:hAnsi="Calibri"/>
          <w:i/>
          <w:noProof/>
          <w:lang w:val="sq-AL"/>
        </w:rPr>
        <w:tab/>
      </w:r>
      <w:r w:rsidRPr="00BD2E49">
        <w:rPr>
          <w:rFonts w:ascii="Calibri" w:hAnsi="Calibri"/>
          <w:i/>
          <w:noProof/>
          <w:lang w:val="sq-AL"/>
        </w:rPr>
        <w:tab/>
      </w:r>
      <w:r w:rsidRPr="00BD2E49">
        <w:rPr>
          <w:rFonts w:ascii="Calibri" w:hAnsi="Calibri"/>
          <w:i/>
          <w:noProof/>
          <w:lang w:val="sq-AL"/>
        </w:rPr>
        <w:tab/>
      </w:r>
      <w:r w:rsidRPr="00BD2E49">
        <w:rPr>
          <w:rFonts w:ascii="Calibri" w:hAnsi="Calibri"/>
          <w:i/>
          <w:noProof/>
          <w:lang w:val="sq-AL"/>
        </w:rPr>
        <w:tab/>
      </w:r>
      <w:r w:rsidRPr="00BD2E49">
        <w:rPr>
          <w:rFonts w:ascii="Calibri" w:hAnsi="Calibri"/>
          <w:i/>
          <w:noProof/>
          <w:lang w:val="sq-AL"/>
        </w:rPr>
        <w:tab/>
      </w:r>
      <w:r w:rsidRPr="00BD2E49">
        <w:rPr>
          <w:rFonts w:ascii="Calibri" w:hAnsi="Calibri"/>
          <w:i/>
          <w:noProof/>
          <w:lang w:val="sq-AL"/>
        </w:rPr>
        <w:tab/>
      </w:r>
      <w:r w:rsidR="003E1083">
        <w:rPr>
          <w:rFonts w:ascii="Calibri" w:hAnsi="Calibri"/>
          <w:i/>
          <w:noProof/>
          <w:lang w:val="sq-AL"/>
        </w:rPr>
        <w:t xml:space="preserve">          </w:t>
      </w:r>
      <w:r w:rsidRPr="00BD2E49">
        <w:rPr>
          <w:rFonts w:ascii="Calibri" w:hAnsi="Calibri"/>
          <w:i/>
          <w:noProof/>
          <w:lang w:val="sq-AL"/>
        </w:rPr>
        <w:t xml:space="preserve">në mijë lekë </w:t>
      </w:r>
    </w:p>
    <w:tbl>
      <w:tblPr>
        <w:tblW w:w="10427" w:type="dxa"/>
        <w:jc w:val="center"/>
        <w:tblLook w:val="04A0" w:firstRow="1" w:lastRow="0" w:firstColumn="1" w:lastColumn="0" w:noHBand="0" w:noVBand="1"/>
      </w:tblPr>
      <w:tblGrid>
        <w:gridCol w:w="3523"/>
        <w:gridCol w:w="1196"/>
        <w:gridCol w:w="1260"/>
        <w:gridCol w:w="1228"/>
        <w:gridCol w:w="1150"/>
        <w:gridCol w:w="1035"/>
        <w:gridCol w:w="1035"/>
      </w:tblGrid>
      <w:tr w:rsidR="00741D1F" w:rsidRPr="003E1083" w14:paraId="409E22F5" w14:textId="77777777" w:rsidTr="00741D1F">
        <w:trPr>
          <w:trHeight w:val="743"/>
          <w:jc w:val="center"/>
        </w:trPr>
        <w:tc>
          <w:tcPr>
            <w:tcW w:w="3523" w:type="dxa"/>
            <w:tcBorders>
              <w:top w:val="single" w:sz="4" w:space="0" w:color="auto"/>
              <w:left w:val="single" w:sz="4" w:space="0" w:color="auto"/>
              <w:bottom w:val="nil"/>
              <w:right w:val="single" w:sz="4" w:space="0" w:color="4F81BD"/>
            </w:tcBorders>
            <w:shd w:val="clear" w:color="000000" w:fill="B7DEE8"/>
            <w:noWrap/>
            <w:vAlign w:val="center"/>
            <w:hideMark/>
          </w:tcPr>
          <w:p w14:paraId="3CF99F70" w14:textId="77777777" w:rsidR="00741D1F" w:rsidRPr="003E1083" w:rsidRDefault="00741D1F" w:rsidP="003E1083">
            <w:pPr>
              <w:jc w:val="center"/>
              <w:rPr>
                <w:rFonts w:asciiTheme="minorHAnsi" w:hAnsiTheme="minorHAnsi"/>
                <w:b/>
                <w:bCs/>
                <w:sz w:val="18"/>
                <w:szCs w:val="20"/>
                <w:lang w:val="sq-AL"/>
              </w:rPr>
            </w:pPr>
            <w:r w:rsidRPr="003E1083">
              <w:rPr>
                <w:rFonts w:asciiTheme="minorHAnsi" w:hAnsiTheme="minorHAnsi"/>
                <w:b/>
                <w:bCs/>
                <w:sz w:val="18"/>
                <w:szCs w:val="20"/>
                <w:lang w:val="sq-AL"/>
              </w:rPr>
              <w:t>Institucionet</w:t>
            </w:r>
          </w:p>
        </w:tc>
        <w:tc>
          <w:tcPr>
            <w:tcW w:w="1196" w:type="dxa"/>
            <w:tcBorders>
              <w:top w:val="single" w:sz="4" w:space="0" w:color="auto"/>
              <w:left w:val="single" w:sz="4" w:space="0" w:color="4F81BD"/>
              <w:bottom w:val="nil"/>
              <w:right w:val="single" w:sz="4" w:space="0" w:color="4F81BD"/>
            </w:tcBorders>
            <w:shd w:val="clear" w:color="000000" w:fill="B7DEE8"/>
            <w:noWrap/>
            <w:vAlign w:val="center"/>
            <w:hideMark/>
          </w:tcPr>
          <w:p w14:paraId="4F665A96" w14:textId="048805F3" w:rsidR="00741D1F" w:rsidRPr="003E1083" w:rsidRDefault="00741D1F" w:rsidP="003E1083">
            <w:pPr>
              <w:jc w:val="center"/>
              <w:rPr>
                <w:rFonts w:asciiTheme="minorHAnsi" w:hAnsiTheme="minorHAnsi"/>
                <w:b/>
                <w:bCs/>
                <w:sz w:val="18"/>
                <w:szCs w:val="20"/>
                <w:lang w:val="sq-AL"/>
              </w:rPr>
            </w:pPr>
            <w:r w:rsidRPr="003E1083">
              <w:rPr>
                <w:rFonts w:asciiTheme="minorHAnsi" w:hAnsiTheme="minorHAnsi"/>
                <w:b/>
                <w:bCs/>
                <w:sz w:val="18"/>
                <w:szCs w:val="20"/>
                <w:lang w:val="sq-AL"/>
              </w:rPr>
              <w:t>2023</w:t>
            </w:r>
          </w:p>
        </w:tc>
        <w:tc>
          <w:tcPr>
            <w:tcW w:w="1260" w:type="dxa"/>
            <w:tcBorders>
              <w:top w:val="single" w:sz="4" w:space="0" w:color="auto"/>
              <w:left w:val="single" w:sz="4" w:space="0" w:color="4F81BD"/>
              <w:bottom w:val="nil"/>
              <w:right w:val="single" w:sz="4" w:space="0" w:color="4F81BD"/>
            </w:tcBorders>
            <w:shd w:val="clear" w:color="000000" w:fill="B7DEE8"/>
            <w:noWrap/>
            <w:vAlign w:val="center"/>
            <w:hideMark/>
          </w:tcPr>
          <w:p w14:paraId="24AE1099" w14:textId="7158ED40" w:rsidR="00741D1F" w:rsidRPr="003E1083" w:rsidRDefault="00741D1F" w:rsidP="003E1083">
            <w:pPr>
              <w:jc w:val="center"/>
              <w:rPr>
                <w:rFonts w:asciiTheme="minorHAnsi" w:hAnsiTheme="minorHAnsi"/>
                <w:b/>
                <w:bCs/>
                <w:sz w:val="18"/>
                <w:szCs w:val="20"/>
                <w:lang w:val="sq-AL"/>
              </w:rPr>
            </w:pPr>
            <w:r w:rsidRPr="003E1083">
              <w:rPr>
                <w:rFonts w:asciiTheme="minorHAnsi" w:hAnsiTheme="minorHAnsi"/>
                <w:b/>
                <w:bCs/>
                <w:sz w:val="18"/>
                <w:szCs w:val="20"/>
                <w:lang w:val="sq-AL"/>
              </w:rPr>
              <w:t>2023</w:t>
            </w:r>
          </w:p>
        </w:tc>
        <w:tc>
          <w:tcPr>
            <w:tcW w:w="1228" w:type="dxa"/>
            <w:tcBorders>
              <w:top w:val="single" w:sz="4" w:space="0" w:color="auto"/>
              <w:left w:val="single" w:sz="4" w:space="0" w:color="4F81BD"/>
              <w:bottom w:val="nil"/>
              <w:right w:val="single" w:sz="4" w:space="0" w:color="4F81BD"/>
            </w:tcBorders>
            <w:shd w:val="clear" w:color="000000" w:fill="B7DEE8"/>
            <w:noWrap/>
            <w:vAlign w:val="center"/>
            <w:hideMark/>
          </w:tcPr>
          <w:p w14:paraId="44BF8AD5" w14:textId="7B92B65E" w:rsidR="00741D1F" w:rsidRPr="003E1083" w:rsidRDefault="00741D1F" w:rsidP="003E1083">
            <w:pPr>
              <w:jc w:val="center"/>
              <w:rPr>
                <w:rFonts w:asciiTheme="minorHAnsi" w:hAnsiTheme="minorHAnsi"/>
                <w:b/>
                <w:bCs/>
                <w:sz w:val="18"/>
                <w:szCs w:val="20"/>
                <w:lang w:val="sq-AL"/>
              </w:rPr>
            </w:pPr>
            <w:r w:rsidRPr="003E1083">
              <w:rPr>
                <w:rFonts w:asciiTheme="minorHAnsi" w:hAnsiTheme="minorHAnsi"/>
                <w:b/>
                <w:bCs/>
                <w:sz w:val="18"/>
                <w:szCs w:val="20"/>
                <w:lang w:val="sq-AL"/>
              </w:rPr>
              <w:t>2023</w:t>
            </w:r>
          </w:p>
        </w:tc>
        <w:tc>
          <w:tcPr>
            <w:tcW w:w="1150" w:type="dxa"/>
            <w:tcBorders>
              <w:top w:val="single" w:sz="4" w:space="0" w:color="auto"/>
              <w:left w:val="single" w:sz="4" w:space="0" w:color="4F81BD"/>
              <w:bottom w:val="nil"/>
              <w:right w:val="single" w:sz="4" w:space="0" w:color="4F81BD"/>
            </w:tcBorders>
            <w:shd w:val="clear" w:color="000000" w:fill="B7DEE8"/>
            <w:noWrap/>
            <w:vAlign w:val="center"/>
            <w:hideMark/>
          </w:tcPr>
          <w:p w14:paraId="033DF1A3" w14:textId="466B39BF" w:rsidR="00741D1F" w:rsidRPr="003E1083" w:rsidRDefault="00741D1F" w:rsidP="003E1083">
            <w:pPr>
              <w:jc w:val="center"/>
              <w:rPr>
                <w:rFonts w:asciiTheme="minorHAnsi" w:hAnsiTheme="minorHAnsi"/>
                <w:b/>
                <w:bCs/>
                <w:sz w:val="18"/>
                <w:szCs w:val="20"/>
                <w:lang w:val="sq-AL"/>
              </w:rPr>
            </w:pPr>
            <w:r w:rsidRPr="003E1083">
              <w:rPr>
                <w:rFonts w:asciiTheme="minorHAnsi" w:hAnsiTheme="minorHAnsi"/>
                <w:b/>
                <w:bCs/>
                <w:sz w:val="18"/>
                <w:szCs w:val="20"/>
                <w:lang w:val="sq-AL"/>
              </w:rPr>
              <w:t>Total</w:t>
            </w:r>
          </w:p>
        </w:tc>
        <w:tc>
          <w:tcPr>
            <w:tcW w:w="1035" w:type="dxa"/>
            <w:tcBorders>
              <w:top w:val="single" w:sz="4" w:space="0" w:color="auto"/>
              <w:left w:val="single" w:sz="4" w:space="0" w:color="4F81BD"/>
              <w:bottom w:val="nil"/>
              <w:right w:val="single" w:sz="4" w:space="0" w:color="4F81BD"/>
            </w:tcBorders>
            <w:shd w:val="clear" w:color="000000" w:fill="B7DEE8"/>
            <w:vAlign w:val="bottom"/>
            <w:hideMark/>
          </w:tcPr>
          <w:p w14:paraId="7A6BAF09" w14:textId="77777777" w:rsidR="00741D1F" w:rsidRPr="003E1083" w:rsidRDefault="00741D1F" w:rsidP="003E1083">
            <w:pPr>
              <w:jc w:val="center"/>
              <w:rPr>
                <w:rFonts w:asciiTheme="minorHAnsi" w:hAnsiTheme="minorHAnsi"/>
                <w:b/>
                <w:bCs/>
                <w:sz w:val="18"/>
                <w:szCs w:val="20"/>
                <w:lang w:val="sq-AL"/>
              </w:rPr>
            </w:pPr>
            <w:r w:rsidRPr="003E1083">
              <w:rPr>
                <w:rFonts w:asciiTheme="minorHAnsi" w:hAnsiTheme="minorHAnsi"/>
                <w:b/>
                <w:bCs/>
                <w:sz w:val="18"/>
                <w:szCs w:val="20"/>
                <w:lang w:val="sq-AL"/>
              </w:rPr>
              <w:t>Shpenzime korrente</w:t>
            </w:r>
          </w:p>
        </w:tc>
        <w:tc>
          <w:tcPr>
            <w:tcW w:w="1035" w:type="dxa"/>
            <w:tcBorders>
              <w:top w:val="single" w:sz="4" w:space="0" w:color="auto"/>
              <w:left w:val="single" w:sz="4" w:space="0" w:color="4F81BD"/>
              <w:bottom w:val="nil"/>
              <w:right w:val="single" w:sz="4" w:space="0" w:color="auto"/>
            </w:tcBorders>
            <w:shd w:val="clear" w:color="000000" w:fill="B7DEE8"/>
            <w:vAlign w:val="bottom"/>
            <w:hideMark/>
          </w:tcPr>
          <w:p w14:paraId="1026EEA6" w14:textId="77777777" w:rsidR="00741D1F" w:rsidRPr="003E1083" w:rsidRDefault="00741D1F" w:rsidP="003E1083">
            <w:pPr>
              <w:jc w:val="center"/>
              <w:rPr>
                <w:rFonts w:asciiTheme="minorHAnsi" w:hAnsiTheme="minorHAnsi"/>
                <w:b/>
                <w:bCs/>
                <w:sz w:val="18"/>
                <w:szCs w:val="20"/>
                <w:lang w:val="sq-AL"/>
              </w:rPr>
            </w:pPr>
            <w:r w:rsidRPr="003E1083">
              <w:rPr>
                <w:rFonts w:asciiTheme="minorHAnsi" w:hAnsiTheme="minorHAnsi"/>
                <w:b/>
                <w:bCs/>
                <w:sz w:val="18"/>
                <w:szCs w:val="20"/>
                <w:lang w:val="sq-AL"/>
              </w:rPr>
              <w:t>Shpenzime kapitale</w:t>
            </w:r>
          </w:p>
        </w:tc>
      </w:tr>
      <w:tr w:rsidR="00741D1F" w:rsidRPr="003E1083" w14:paraId="02254748" w14:textId="77777777" w:rsidTr="003E1083">
        <w:trPr>
          <w:trHeight w:val="589"/>
          <w:jc w:val="center"/>
        </w:trPr>
        <w:tc>
          <w:tcPr>
            <w:tcW w:w="3523" w:type="dxa"/>
            <w:tcBorders>
              <w:top w:val="nil"/>
              <w:left w:val="single" w:sz="4" w:space="0" w:color="auto"/>
              <w:bottom w:val="single" w:sz="4" w:space="0" w:color="auto"/>
              <w:right w:val="single" w:sz="4" w:space="0" w:color="4F81BD"/>
            </w:tcBorders>
            <w:shd w:val="clear" w:color="000000" w:fill="B7DEE8"/>
            <w:noWrap/>
            <w:vAlign w:val="bottom"/>
            <w:hideMark/>
          </w:tcPr>
          <w:p w14:paraId="0DAFE3E1" w14:textId="1A932922" w:rsidR="00741D1F" w:rsidRPr="003E1083" w:rsidRDefault="00741D1F" w:rsidP="003E1083">
            <w:pPr>
              <w:jc w:val="center"/>
              <w:rPr>
                <w:rFonts w:asciiTheme="minorHAnsi" w:hAnsiTheme="minorHAnsi"/>
                <w:b/>
                <w:bCs/>
                <w:sz w:val="18"/>
                <w:szCs w:val="20"/>
                <w:lang w:val="sq-AL"/>
              </w:rPr>
            </w:pPr>
          </w:p>
        </w:tc>
        <w:tc>
          <w:tcPr>
            <w:tcW w:w="1196" w:type="dxa"/>
            <w:tcBorders>
              <w:top w:val="nil"/>
              <w:left w:val="single" w:sz="4" w:space="0" w:color="4F81BD"/>
              <w:bottom w:val="single" w:sz="4" w:space="0" w:color="auto"/>
              <w:right w:val="single" w:sz="4" w:space="0" w:color="4F81BD"/>
            </w:tcBorders>
            <w:shd w:val="clear" w:color="000000" w:fill="B7DEE8"/>
            <w:noWrap/>
            <w:vAlign w:val="center"/>
            <w:hideMark/>
          </w:tcPr>
          <w:p w14:paraId="2FC5DE2B" w14:textId="1A9DC18A" w:rsidR="00741D1F" w:rsidRPr="003E1083" w:rsidRDefault="00741D1F" w:rsidP="003E1083">
            <w:pPr>
              <w:jc w:val="center"/>
              <w:rPr>
                <w:rFonts w:asciiTheme="minorHAnsi" w:hAnsiTheme="minorHAnsi"/>
                <w:b/>
                <w:bCs/>
                <w:sz w:val="18"/>
                <w:szCs w:val="20"/>
                <w:lang w:val="sq-AL"/>
              </w:rPr>
            </w:pPr>
            <w:r w:rsidRPr="003E1083">
              <w:rPr>
                <w:rFonts w:asciiTheme="minorHAnsi" w:hAnsiTheme="minorHAnsi"/>
                <w:b/>
                <w:bCs/>
                <w:sz w:val="18"/>
                <w:szCs w:val="20"/>
                <w:lang w:val="sq-AL"/>
              </w:rPr>
              <w:t>Plani        Fillestar</w:t>
            </w:r>
          </w:p>
        </w:tc>
        <w:tc>
          <w:tcPr>
            <w:tcW w:w="1260" w:type="dxa"/>
            <w:tcBorders>
              <w:top w:val="nil"/>
              <w:left w:val="single" w:sz="4" w:space="0" w:color="4F81BD"/>
              <w:bottom w:val="single" w:sz="4" w:space="0" w:color="auto"/>
              <w:right w:val="single" w:sz="4" w:space="0" w:color="4F81BD"/>
            </w:tcBorders>
            <w:shd w:val="clear" w:color="000000" w:fill="B7DEE8"/>
            <w:noWrap/>
            <w:vAlign w:val="center"/>
            <w:hideMark/>
          </w:tcPr>
          <w:p w14:paraId="54E8F0A3" w14:textId="77777777" w:rsidR="00741D1F" w:rsidRPr="003E1083" w:rsidRDefault="00741D1F" w:rsidP="003E1083">
            <w:pPr>
              <w:jc w:val="center"/>
              <w:rPr>
                <w:rFonts w:asciiTheme="minorHAnsi" w:hAnsiTheme="minorHAnsi"/>
                <w:b/>
                <w:bCs/>
                <w:sz w:val="18"/>
                <w:szCs w:val="20"/>
                <w:lang w:val="sq-AL"/>
              </w:rPr>
            </w:pPr>
            <w:r w:rsidRPr="003E1083">
              <w:rPr>
                <w:rFonts w:asciiTheme="minorHAnsi" w:hAnsiTheme="minorHAnsi"/>
                <w:b/>
                <w:bCs/>
                <w:sz w:val="18"/>
                <w:szCs w:val="20"/>
                <w:lang w:val="sq-AL"/>
              </w:rPr>
              <w:t>Plani i       Rishikuar</w:t>
            </w:r>
          </w:p>
        </w:tc>
        <w:tc>
          <w:tcPr>
            <w:tcW w:w="1228" w:type="dxa"/>
            <w:tcBorders>
              <w:top w:val="nil"/>
              <w:left w:val="single" w:sz="4" w:space="0" w:color="4F81BD"/>
              <w:bottom w:val="single" w:sz="4" w:space="0" w:color="auto"/>
              <w:right w:val="single" w:sz="4" w:space="0" w:color="4F81BD"/>
            </w:tcBorders>
            <w:shd w:val="clear" w:color="000000" w:fill="B7DEE8"/>
            <w:vAlign w:val="center"/>
            <w:hideMark/>
          </w:tcPr>
          <w:p w14:paraId="07646EF7" w14:textId="77777777" w:rsidR="00741D1F" w:rsidRPr="003E1083" w:rsidRDefault="00741D1F" w:rsidP="003E1083">
            <w:pPr>
              <w:jc w:val="center"/>
              <w:rPr>
                <w:rFonts w:asciiTheme="minorHAnsi" w:hAnsiTheme="minorHAnsi"/>
                <w:b/>
                <w:bCs/>
                <w:sz w:val="18"/>
                <w:szCs w:val="20"/>
                <w:lang w:val="sq-AL"/>
              </w:rPr>
            </w:pPr>
            <w:r w:rsidRPr="003E1083">
              <w:rPr>
                <w:rFonts w:asciiTheme="minorHAnsi" w:hAnsiTheme="minorHAnsi"/>
                <w:b/>
                <w:bCs/>
                <w:sz w:val="18"/>
                <w:szCs w:val="20"/>
                <w:lang w:val="sq-AL"/>
              </w:rPr>
              <w:t>Fakti 5 Mujor</w:t>
            </w:r>
          </w:p>
        </w:tc>
        <w:tc>
          <w:tcPr>
            <w:tcW w:w="1150" w:type="dxa"/>
            <w:tcBorders>
              <w:top w:val="nil"/>
              <w:left w:val="single" w:sz="4" w:space="0" w:color="4F81BD"/>
              <w:bottom w:val="single" w:sz="4" w:space="0" w:color="auto"/>
              <w:right w:val="single" w:sz="4" w:space="0" w:color="4F81BD"/>
            </w:tcBorders>
            <w:shd w:val="clear" w:color="000000" w:fill="B7DEE8"/>
            <w:noWrap/>
            <w:vAlign w:val="center"/>
            <w:hideMark/>
          </w:tcPr>
          <w:p w14:paraId="3301B3BA" w14:textId="77777777" w:rsidR="00741D1F" w:rsidRPr="003E1083" w:rsidRDefault="00741D1F" w:rsidP="003E1083">
            <w:pPr>
              <w:jc w:val="center"/>
              <w:rPr>
                <w:rFonts w:asciiTheme="minorHAnsi" w:hAnsiTheme="minorHAnsi"/>
                <w:b/>
                <w:bCs/>
                <w:sz w:val="18"/>
                <w:szCs w:val="20"/>
                <w:lang w:val="sq-AL"/>
              </w:rPr>
            </w:pPr>
            <w:r w:rsidRPr="003E1083">
              <w:rPr>
                <w:rFonts w:asciiTheme="minorHAnsi" w:hAnsiTheme="minorHAnsi"/>
                <w:b/>
                <w:bCs/>
                <w:sz w:val="18"/>
                <w:szCs w:val="20"/>
                <w:lang w:val="sq-AL"/>
              </w:rPr>
              <w:t>Fakt/Plan Vjetor 2023</w:t>
            </w:r>
          </w:p>
        </w:tc>
        <w:tc>
          <w:tcPr>
            <w:tcW w:w="1035" w:type="dxa"/>
            <w:tcBorders>
              <w:top w:val="nil"/>
              <w:left w:val="single" w:sz="4" w:space="0" w:color="4F81BD"/>
              <w:bottom w:val="single" w:sz="4" w:space="0" w:color="auto"/>
              <w:right w:val="single" w:sz="4" w:space="0" w:color="4F81BD"/>
            </w:tcBorders>
            <w:shd w:val="clear" w:color="000000" w:fill="B7DEE8"/>
            <w:noWrap/>
            <w:vAlign w:val="center"/>
            <w:hideMark/>
          </w:tcPr>
          <w:p w14:paraId="6358B0AC" w14:textId="77777777" w:rsidR="00741D1F" w:rsidRPr="003E1083" w:rsidRDefault="00741D1F" w:rsidP="003E1083">
            <w:pPr>
              <w:jc w:val="center"/>
              <w:rPr>
                <w:rFonts w:asciiTheme="minorHAnsi" w:hAnsiTheme="minorHAnsi"/>
                <w:b/>
                <w:bCs/>
                <w:sz w:val="18"/>
                <w:szCs w:val="20"/>
                <w:lang w:val="sq-AL"/>
              </w:rPr>
            </w:pPr>
            <w:r w:rsidRPr="003E1083">
              <w:rPr>
                <w:rFonts w:asciiTheme="minorHAnsi" w:hAnsiTheme="minorHAnsi"/>
                <w:b/>
                <w:bCs/>
                <w:sz w:val="18"/>
                <w:szCs w:val="20"/>
                <w:lang w:val="sq-AL"/>
              </w:rPr>
              <w:t>Fakt/Plan 2023</w:t>
            </w:r>
          </w:p>
        </w:tc>
        <w:tc>
          <w:tcPr>
            <w:tcW w:w="1035" w:type="dxa"/>
            <w:tcBorders>
              <w:top w:val="nil"/>
              <w:left w:val="single" w:sz="4" w:space="0" w:color="4F81BD"/>
              <w:bottom w:val="single" w:sz="4" w:space="0" w:color="auto"/>
              <w:right w:val="single" w:sz="4" w:space="0" w:color="auto"/>
            </w:tcBorders>
            <w:shd w:val="clear" w:color="000000" w:fill="B7DEE8"/>
            <w:noWrap/>
            <w:vAlign w:val="center"/>
            <w:hideMark/>
          </w:tcPr>
          <w:p w14:paraId="5C7EA8F9" w14:textId="77777777" w:rsidR="00741D1F" w:rsidRPr="003E1083" w:rsidRDefault="00741D1F" w:rsidP="003E1083">
            <w:pPr>
              <w:jc w:val="center"/>
              <w:rPr>
                <w:rFonts w:asciiTheme="minorHAnsi" w:hAnsiTheme="minorHAnsi"/>
                <w:b/>
                <w:bCs/>
                <w:sz w:val="18"/>
                <w:szCs w:val="20"/>
                <w:lang w:val="sq-AL"/>
              </w:rPr>
            </w:pPr>
            <w:r w:rsidRPr="003E1083">
              <w:rPr>
                <w:rFonts w:asciiTheme="minorHAnsi" w:hAnsiTheme="minorHAnsi"/>
                <w:b/>
                <w:bCs/>
                <w:sz w:val="18"/>
                <w:szCs w:val="20"/>
                <w:lang w:val="sq-AL"/>
              </w:rPr>
              <w:t>Fakt/Plan 2023</w:t>
            </w:r>
          </w:p>
        </w:tc>
      </w:tr>
      <w:tr w:rsidR="00741D1F" w:rsidRPr="003E1083" w14:paraId="528919E4"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C3B11" w14:textId="77777777" w:rsidR="00741D1F" w:rsidRPr="003E1083" w:rsidRDefault="00741D1F" w:rsidP="00741D1F">
            <w:pPr>
              <w:rPr>
                <w:rFonts w:asciiTheme="minorHAnsi" w:hAnsiTheme="minorHAnsi"/>
                <w:sz w:val="18"/>
                <w:szCs w:val="20"/>
                <w:lang w:val="sq-AL"/>
              </w:rPr>
            </w:pPr>
            <w:r w:rsidRPr="003E1083">
              <w:rPr>
                <w:rFonts w:asciiTheme="minorHAnsi" w:hAnsiTheme="minorHAnsi"/>
                <w:sz w:val="18"/>
                <w:szCs w:val="20"/>
                <w:lang w:val="sq-AL"/>
              </w:rPr>
              <w:t> </w:t>
            </w:r>
          </w:p>
        </w:tc>
        <w:tc>
          <w:tcPr>
            <w:tcW w:w="11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2F7F0" w14:textId="77777777" w:rsidR="00741D1F" w:rsidRPr="003E1083" w:rsidRDefault="00741D1F" w:rsidP="00741D1F">
            <w:pPr>
              <w:jc w:val="center"/>
              <w:rPr>
                <w:rFonts w:asciiTheme="minorHAnsi" w:hAnsiTheme="minorHAnsi"/>
                <w:sz w:val="18"/>
                <w:szCs w:val="20"/>
                <w:lang w:val="sq-AL"/>
              </w:rPr>
            </w:pP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E66DE" w14:textId="77777777" w:rsidR="00741D1F" w:rsidRPr="003E1083" w:rsidRDefault="00741D1F" w:rsidP="00741D1F">
            <w:pPr>
              <w:jc w:val="center"/>
              <w:rPr>
                <w:rFonts w:asciiTheme="minorHAnsi" w:hAnsiTheme="minorHAnsi"/>
                <w:sz w:val="18"/>
                <w:szCs w:val="20"/>
                <w:lang w:val="sq-AL"/>
              </w:rPr>
            </w:pP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CFA5D" w14:textId="77777777" w:rsidR="00741D1F" w:rsidRPr="003E1083" w:rsidRDefault="00741D1F" w:rsidP="00741D1F">
            <w:pPr>
              <w:jc w:val="center"/>
              <w:rPr>
                <w:rFonts w:asciiTheme="minorHAnsi" w:hAnsiTheme="minorHAnsi"/>
                <w:sz w:val="18"/>
                <w:szCs w:val="20"/>
                <w:lang w:val="sq-AL"/>
              </w:rPr>
            </w:pP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AD7F9B" w14:textId="77777777" w:rsidR="00741D1F" w:rsidRPr="003E1083" w:rsidRDefault="00741D1F" w:rsidP="00741D1F">
            <w:pPr>
              <w:jc w:val="center"/>
              <w:rPr>
                <w:rFonts w:asciiTheme="minorHAnsi" w:hAnsiTheme="minorHAnsi"/>
                <w:sz w:val="18"/>
                <w:szCs w:val="20"/>
                <w:lang w:val="sq-AL"/>
              </w:rPr>
            </w:pP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50B2A" w14:textId="77777777" w:rsidR="00741D1F" w:rsidRPr="003E1083" w:rsidRDefault="00741D1F" w:rsidP="00741D1F">
            <w:pPr>
              <w:jc w:val="center"/>
              <w:rPr>
                <w:rFonts w:asciiTheme="minorHAnsi" w:hAnsiTheme="minorHAnsi"/>
                <w:sz w:val="18"/>
                <w:szCs w:val="20"/>
                <w:lang w:val="sq-AL"/>
              </w:rPr>
            </w:pP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A2A64" w14:textId="77777777" w:rsidR="00741D1F" w:rsidRPr="003E1083" w:rsidRDefault="00741D1F" w:rsidP="00741D1F">
            <w:pPr>
              <w:jc w:val="center"/>
              <w:rPr>
                <w:rFonts w:asciiTheme="minorHAnsi" w:hAnsiTheme="minorHAnsi"/>
                <w:sz w:val="18"/>
                <w:szCs w:val="20"/>
                <w:lang w:val="sq-AL"/>
              </w:rPr>
            </w:pPr>
          </w:p>
        </w:tc>
      </w:tr>
      <w:tr w:rsidR="00741D1F" w:rsidRPr="003E1083" w14:paraId="4EF2E4D1"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70B31851" w14:textId="1CC21508" w:rsidR="00741D1F" w:rsidRPr="003E1083" w:rsidRDefault="00741D1F" w:rsidP="003E1083">
            <w:pPr>
              <w:jc w:val="center"/>
              <w:rPr>
                <w:rFonts w:asciiTheme="minorHAnsi" w:hAnsiTheme="minorHAnsi"/>
                <w:bCs/>
                <w:sz w:val="18"/>
                <w:szCs w:val="20"/>
                <w:lang w:val="sq-AL"/>
              </w:rPr>
            </w:pPr>
            <w:r w:rsidRPr="003E1083">
              <w:rPr>
                <w:rFonts w:asciiTheme="minorHAnsi" w:hAnsiTheme="minorHAnsi"/>
                <w:bCs/>
                <w:sz w:val="18"/>
                <w:szCs w:val="20"/>
                <w:lang w:val="sq-AL"/>
              </w:rPr>
              <w:t>Presidenca</w:t>
            </w:r>
          </w:p>
        </w:tc>
        <w:tc>
          <w:tcPr>
            <w:tcW w:w="1196"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21B8C91F"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279,400</w:t>
            </w:r>
          </w:p>
        </w:tc>
        <w:tc>
          <w:tcPr>
            <w:tcW w:w="1260"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4908811A"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279,700</w:t>
            </w:r>
          </w:p>
        </w:tc>
        <w:tc>
          <w:tcPr>
            <w:tcW w:w="1228"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664DB04A"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69,403</w:t>
            </w:r>
          </w:p>
        </w:tc>
        <w:tc>
          <w:tcPr>
            <w:tcW w:w="1150"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4D70EBA9"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25%</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000D9800"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26%</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248CF72B"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0%</w:t>
            </w:r>
          </w:p>
        </w:tc>
      </w:tr>
      <w:tr w:rsidR="00741D1F" w:rsidRPr="003E1083" w14:paraId="543237C9"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41163E" w14:textId="0C17DF46" w:rsidR="00741D1F" w:rsidRPr="003E1083" w:rsidRDefault="00741D1F" w:rsidP="003E1083">
            <w:pPr>
              <w:jc w:val="center"/>
              <w:rPr>
                <w:rFonts w:asciiTheme="minorHAnsi" w:hAnsiTheme="minorHAnsi"/>
                <w:bCs/>
                <w:sz w:val="18"/>
                <w:szCs w:val="20"/>
                <w:lang w:val="sq-AL"/>
              </w:rPr>
            </w:pPr>
            <w:r w:rsidRPr="003E1083">
              <w:rPr>
                <w:rFonts w:asciiTheme="minorHAnsi" w:hAnsiTheme="minorHAnsi"/>
                <w:bCs/>
                <w:sz w:val="18"/>
                <w:szCs w:val="20"/>
                <w:lang w:val="sq-AL"/>
              </w:rPr>
              <w:t>Kuvendi</w:t>
            </w:r>
          </w:p>
        </w:tc>
        <w:tc>
          <w:tcPr>
            <w:tcW w:w="11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FF2D13"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1,294,266</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7128F7"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1,295,580</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D5756"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414,258</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4C3C49"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32%</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41B17F48"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34%</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516CC0ED"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0%</w:t>
            </w:r>
          </w:p>
        </w:tc>
      </w:tr>
      <w:tr w:rsidR="00741D1F" w:rsidRPr="003E1083" w14:paraId="17ADB6C5"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2593053E" w14:textId="77777777" w:rsidR="00741D1F" w:rsidRPr="003E1083" w:rsidRDefault="00741D1F" w:rsidP="003E1083">
            <w:pPr>
              <w:jc w:val="center"/>
              <w:rPr>
                <w:rFonts w:asciiTheme="minorHAnsi" w:hAnsiTheme="minorHAnsi"/>
                <w:sz w:val="18"/>
                <w:szCs w:val="20"/>
                <w:lang w:val="sq-AL"/>
              </w:rPr>
            </w:pPr>
            <w:r w:rsidRPr="003E1083">
              <w:rPr>
                <w:rFonts w:asciiTheme="minorHAnsi" w:hAnsiTheme="minorHAnsi"/>
                <w:sz w:val="18"/>
                <w:szCs w:val="20"/>
                <w:lang w:val="sq-AL"/>
              </w:rPr>
              <w:t>Kryeministria</w:t>
            </w:r>
          </w:p>
        </w:tc>
        <w:tc>
          <w:tcPr>
            <w:tcW w:w="1196" w:type="dxa"/>
            <w:tcBorders>
              <w:top w:val="single" w:sz="4" w:space="0" w:color="auto"/>
              <w:left w:val="single" w:sz="4" w:space="0" w:color="auto"/>
              <w:bottom w:val="single" w:sz="4" w:space="0" w:color="auto"/>
              <w:right w:val="single" w:sz="4" w:space="0" w:color="auto"/>
            </w:tcBorders>
            <w:shd w:val="clear" w:color="000000" w:fill="DAEEF3"/>
            <w:noWrap/>
          </w:tcPr>
          <w:p w14:paraId="143CF298"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576,500</w:t>
            </w:r>
          </w:p>
        </w:tc>
        <w:tc>
          <w:tcPr>
            <w:tcW w:w="1260" w:type="dxa"/>
            <w:tcBorders>
              <w:top w:val="single" w:sz="4" w:space="0" w:color="auto"/>
              <w:left w:val="single" w:sz="4" w:space="0" w:color="auto"/>
              <w:bottom w:val="single" w:sz="4" w:space="0" w:color="auto"/>
              <w:right w:val="single" w:sz="4" w:space="0" w:color="auto"/>
            </w:tcBorders>
            <w:shd w:val="clear" w:color="000000" w:fill="DAEEF3"/>
            <w:noWrap/>
          </w:tcPr>
          <w:p w14:paraId="0133673F"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576,900</w:t>
            </w:r>
          </w:p>
        </w:tc>
        <w:tc>
          <w:tcPr>
            <w:tcW w:w="1228" w:type="dxa"/>
            <w:tcBorders>
              <w:top w:val="single" w:sz="4" w:space="0" w:color="auto"/>
              <w:left w:val="single" w:sz="4" w:space="0" w:color="auto"/>
              <w:bottom w:val="single" w:sz="4" w:space="0" w:color="auto"/>
              <w:right w:val="single" w:sz="4" w:space="0" w:color="auto"/>
            </w:tcBorders>
            <w:shd w:val="clear" w:color="000000" w:fill="DAEEF3"/>
            <w:noWrap/>
          </w:tcPr>
          <w:p w14:paraId="2C0C8DF1"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201,236</w:t>
            </w:r>
          </w:p>
        </w:tc>
        <w:tc>
          <w:tcPr>
            <w:tcW w:w="1150" w:type="dxa"/>
            <w:tcBorders>
              <w:top w:val="single" w:sz="4" w:space="0" w:color="auto"/>
              <w:left w:val="single" w:sz="4" w:space="0" w:color="auto"/>
              <w:bottom w:val="single" w:sz="4" w:space="0" w:color="auto"/>
              <w:right w:val="single" w:sz="4" w:space="0" w:color="auto"/>
            </w:tcBorders>
            <w:shd w:val="clear" w:color="000000" w:fill="DAEEF3"/>
            <w:noWrap/>
          </w:tcPr>
          <w:p w14:paraId="78AE16EA"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35%</w:t>
            </w:r>
          </w:p>
        </w:tc>
        <w:tc>
          <w:tcPr>
            <w:tcW w:w="1035" w:type="dxa"/>
            <w:tcBorders>
              <w:top w:val="single" w:sz="4" w:space="0" w:color="auto"/>
              <w:left w:val="single" w:sz="4" w:space="0" w:color="auto"/>
              <w:bottom w:val="single" w:sz="4" w:space="0" w:color="auto"/>
              <w:right w:val="single" w:sz="4" w:space="0" w:color="auto"/>
            </w:tcBorders>
            <w:shd w:val="clear" w:color="auto" w:fill="auto"/>
            <w:noWrap/>
          </w:tcPr>
          <w:p w14:paraId="49B1F579"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38%</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tcPr>
          <w:p w14:paraId="4B22F8C0"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1%</w:t>
            </w:r>
          </w:p>
        </w:tc>
      </w:tr>
      <w:tr w:rsidR="00741D1F" w:rsidRPr="003E1083" w14:paraId="74C6B250"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94EF2" w14:textId="60D87713" w:rsidR="00741D1F" w:rsidRPr="003E1083" w:rsidRDefault="00741D1F" w:rsidP="003E1083">
            <w:pPr>
              <w:jc w:val="center"/>
              <w:rPr>
                <w:rFonts w:asciiTheme="minorHAnsi" w:hAnsiTheme="minorHAnsi"/>
                <w:sz w:val="18"/>
                <w:szCs w:val="20"/>
                <w:lang w:val="sq-AL"/>
              </w:rPr>
            </w:pPr>
            <w:r w:rsidRPr="003E1083">
              <w:rPr>
                <w:rFonts w:asciiTheme="minorHAnsi" w:hAnsiTheme="minorHAnsi"/>
                <w:sz w:val="18"/>
                <w:szCs w:val="20"/>
                <w:lang w:val="sq-AL"/>
              </w:rPr>
              <w:t>Ministria e Bujqesise dhe Zhvillimit Rural</w:t>
            </w:r>
          </w:p>
        </w:tc>
        <w:tc>
          <w:tcPr>
            <w:tcW w:w="11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66A0A2"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14,247,832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2D5778"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14,255,532</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170A8"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3,518,512</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BC39C"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25%</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131C04C7"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38%</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34EFF640"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10%</w:t>
            </w:r>
          </w:p>
        </w:tc>
      </w:tr>
      <w:tr w:rsidR="00741D1F" w:rsidRPr="003E1083" w14:paraId="50A117C7"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05B3A8B1" w14:textId="6B0D362C" w:rsidR="00741D1F" w:rsidRPr="003E1083" w:rsidRDefault="00741D1F" w:rsidP="003E1083">
            <w:pPr>
              <w:jc w:val="center"/>
              <w:rPr>
                <w:rFonts w:asciiTheme="minorHAnsi" w:hAnsiTheme="minorHAnsi"/>
                <w:bCs/>
                <w:sz w:val="18"/>
                <w:szCs w:val="20"/>
                <w:lang w:val="sq-AL"/>
              </w:rPr>
            </w:pPr>
            <w:r w:rsidRPr="003E1083">
              <w:rPr>
                <w:rFonts w:asciiTheme="minorHAnsi" w:hAnsiTheme="minorHAnsi"/>
                <w:bCs/>
                <w:sz w:val="18"/>
                <w:szCs w:val="20"/>
                <w:lang w:val="sq-AL"/>
              </w:rPr>
              <w:t>Ministria e Infrastruktures dhe Energjise</w:t>
            </w:r>
          </w:p>
        </w:tc>
        <w:tc>
          <w:tcPr>
            <w:tcW w:w="1196" w:type="dxa"/>
            <w:tcBorders>
              <w:top w:val="single" w:sz="4" w:space="0" w:color="auto"/>
              <w:left w:val="single" w:sz="4" w:space="0" w:color="auto"/>
              <w:bottom w:val="single" w:sz="4" w:space="0" w:color="auto"/>
              <w:right w:val="single" w:sz="4" w:space="0" w:color="auto"/>
            </w:tcBorders>
            <w:shd w:val="clear" w:color="000000" w:fill="DAEEF3"/>
            <w:noWrap/>
          </w:tcPr>
          <w:p w14:paraId="585B4B11"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54,757,489</w:t>
            </w:r>
          </w:p>
        </w:tc>
        <w:tc>
          <w:tcPr>
            <w:tcW w:w="1260" w:type="dxa"/>
            <w:tcBorders>
              <w:top w:val="single" w:sz="4" w:space="0" w:color="auto"/>
              <w:left w:val="single" w:sz="4" w:space="0" w:color="auto"/>
              <w:bottom w:val="single" w:sz="4" w:space="0" w:color="auto"/>
              <w:right w:val="single" w:sz="4" w:space="0" w:color="auto"/>
            </w:tcBorders>
            <w:shd w:val="clear" w:color="000000" w:fill="DAEEF3"/>
            <w:noWrap/>
          </w:tcPr>
          <w:p w14:paraId="415BB0EE"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54,761,989</w:t>
            </w:r>
          </w:p>
        </w:tc>
        <w:tc>
          <w:tcPr>
            <w:tcW w:w="1228" w:type="dxa"/>
            <w:tcBorders>
              <w:top w:val="single" w:sz="4" w:space="0" w:color="auto"/>
              <w:left w:val="single" w:sz="4" w:space="0" w:color="auto"/>
              <w:bottom w:val="single" w:sz="4" w:space="0" w:color="auto"/>
              <w:right w:val="single" w:sz="4" w:space="0" w:color="auto"/>
            </w:tcBorders>
            <w:shd w:val="clear" w:color="000000" w:fill="DAEEF3"/>
            <w:noWrap/>
          </w:tcPr>
          <w:p w14:paraId="759F678F"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14,795,039</w:t>
            </w:r>
          </w:p>
        </w:tc>
        <w:tc>
          <w:tcPr>
            <w:tcW w:w="1150" w:type="dxa"/>
            <w:tcBorders>
              <w:top w:val="single" w:sz="4" w:space="0" w:color="auto"/>
              <w:left w:val="single" w:sz="4" w:space="0" w:color="auto"/>
              <w:bottom w:val="single" w:sz="4" w:space="0" w:color="auto"/>
              <w:right w:val="single" w:sz="4" w:space="0" w:color="auto"/>
            </w:tcBorders>
            <w:shd w:val="clear" w:color="000000" w:fill="DAEEF3"/>
            <w:noWrap/>
          </w:tcPr>
          <w:p w14:paraId="7F54D5A0"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27%</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tcPr>
          <w:p w14:paraId="749464EA"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34%</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tcPr>
          <w:p w14:paraId="7BF066B5"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26%</w:t>
            </w:r>
          </w:p>
        </w:tc>
      </w:tr>
      <w:tr w:rsidR="00741D1F" w:rsidRPr="003E1083" w14:paraId="67025C45"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A0808" w14:textId="6D485780" w:rsidR="00741D1F" w:rsidRPr="003E1083" w:rsidRDefault="00741D1F" w:rsidP="003E1083">
            <w:pPr>
              <w:jc w:val="center"/>
              <w:rPr>
                <w:rFonts w:asciiTheme="minorHAnsi" w:hAnsiTheme="minorHAnsi"/>
                <w:sz w:val="18"/>
                <w:szCs w:val="20"/>
                <w:lang w:val="sq-AL"/>
              </w:rPr>
            </w:pPr>
            <w:r w:rsidRPr="003E1083">
              <w:rPr>
                <w:rFonts w:asciiTheme="minorHAnsi" w:hAnsiTheme="minorHAnsi"/>
                <w:sz w:val="18"/>
                <w:szCs w:val="20"/>
                <w:lang w:val="sq-AL"/>
              </w:rPr>
              <w:t>Ministria e Financave dhe Ekonomise</w:t>
            </w:r>
          </w:p>
        </w:tc>
        <w:tc>
          <w:tcPr>
            <w:tcW w:w="11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2F379"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65,992,432</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33742"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69,435,946</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DBB1B2"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23,571,511</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3CE7E3"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34%</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1598AA5D"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36%</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1CCC5C6C"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6%</w:t>
            </w:r>
          </w:p>
        </w:tc>
      </w:tr>
      <w:tr w:rsidR="00741D1F" w:rsidRPr="003E1083" w14:paraId="49DC4E4B"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609AB661" w14:textId="579D7F36" w:rsidR="00741D1F" w:rsidRPr="003E1083" w:rsidRDefault="00741D1F" w:rsidP="003E1083">
            <w:pPr>
              <w:jc w:val="center"/>
              <w:rPr>
                <w:rFonts w:asciiTheme="minorHAnsi" w:hAnsiTheme="minorHAnsi"/>
                <w:bCs/>
                <w:sz w:val="18"/>
                <w:szCs w:val="20"/>
                <w:lang w:val="sq-AL"/>
              </w:rPr>
            </w:pPr>
            <w:r w:rsidRPr="003E1083">
              <w:rPr>
                <w:rFonts w:asciiTheme="minorHAnsi" w:hAnsiTheme="minorHAnsi"/>
                <w:bCs/>
                <w:sz w:val="18"/>
                <w:szCs w:val="20"/>
                <w:lang w:val="sq-AL"/>
              </w:rPr>
              <w:t>Ministria e Arsimit Sportit dhe Rinise</w:t>
            </w:r>
          </w:p>
        </w:tc>
        <w:tc>
          <w:tcPr>
            <w:tcW w:w="1196" w:type="dxa"/>
            <w:tcBorders>
              <w:top w:val="single" w:sz="4" w:space="0" w:color="auto"/>
              <w:left w:val="single" w:sz="4" w:space="0" w:color="auto"/>
              <w:bottom w:val="single" w:sz="4" w:space="0" w:color="auto"/>
              <w:right w:val="single" w:sz="4" w:space="0" w:color="auto"/>
            </w:tcBorders>
            <w:shd w:val="clear" w:color="000000" w:fill="DAEEF3"/>
            <w:noWrap/>
          </w:tcPr>
          <w:p w14:paraId="2A5395FC"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47,174,000</w:t>
            </w:r>
          </w:p>
        </w:tc>
        <w:tc>
          <w:tcPr>
            <w:tcW w:w="1260" w:type="dxa"/>
            <w:tcBorders>
              <w:top w:val="single" w:sz="4" w:space="0" w:color="auto"/>
              <w:left w:val="single" w:sz="4" w:space="0" w:color="auto"/>
              <w:bottom w:val="single" w:sz="4" w:space="0" w:color="auto"/>
              <w:right w:val="single" w:sz="4" w:space="0" w:color="auto"/>
            </w:tcBorders>
            <w:shd w:val="clear" w:color="000000" w:fill="DAEEF3"/>
            <w:noWrap/>
          </w:tcPr>
          <w:p w14:paraId="63ADA9DB"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50,690,620</w:t>
            </w:r>
          </w:p>
        </w:tc>
        <w:tc>
          <w:tcPr>
            <w:tcW w:w="1228" w:type="dxa"/>
            <w:tcBorders>
              <w:top w:val="single" w:sz="4" w:space="0" w:color="auto"/>
              <w:left w:val="single" w:sz="4" w:space="0" w:color="auto"/>
              <w:bottom w:val="single" w:sz="4" w:space="0" w:color="auto"/>
              <w:right w:val="single" w:sz="4" w:space="0" w:color="auto"/>
            </w:tcBorders>
            <w:shd w:val="clear" w:color="000000" w:fill="DAEEF3"/>
            <w:noWrap/>
          </w:tcPr>
          <w:p w14:paraId="185A1113"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18,231,764</w:t>
            </w:r>
          </w:p>
        </w:tc>
        <w:tc>
          <w:tcPr>
            <w:tcW w:w="1150" w:type="dxa"/>
            <w:tcBorders>
              <w:top w:val="single" w:sz="4" w:space="0" w:color="auto"/>
              <w:left w:val="single" w:sz="4" w:space="0" w:color="auto"/>
              <w:bottom w:val="single" w:sz="4" w:space="0" w:color="auto"/>
              <w:right w:val="single" w:sz="4" w:space="0" w:color="auto"/>
            </w:tcBorders>
            <w:shd w:val="clear" w:color="000000" w:fill="DAEEF3"/>
            <w:noWrap/>
          </w:tcPr>
          <w:p w14:paraId="524DC990"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36%</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tcPr>
          <w:p w14:paraId="0D3A73FB"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38%</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tcPr>
          <w:p w14:paraId="16800F6C"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14%</w:t>
            </w:r>
          </w:p>
        </w:tc>
      </w:tr>
      <w:tr w:rsidR="00741D1F" w:rsidRPr="003E1083" w14:paraId="34475DE7"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46598" w14:textId="617B2C33" w:rsidR="00741D1F" w:rsidRPr="003E1083" w:rsidRDefault="00741D1F" w:rsidP="003E1083">
            <w:pPr>
              <w:jc w:val="center"/>
              <w:rPr>
                <w:rFonts w:asciiTheme="minorHAnsi" w:hAnsiTheme="minorHAnsi"/>
                <w:bCs/>
                <w:sz w:val="18"/>
                <w:szCs w:val="20"/>
                <w:lang w:val="sq-AL"/>
              </w:rPr>
            </w:pPr>
            <w:r w:rsidRPr="003E1083">
              <w:rPr>
                <w:rFonts w:asciiTheme="minorHAnsi" w:hAnsiTheme="minorHAnsi"/>
                <w:bCs/>
                <w:sz w:val="18"/>
                <w:szCs w:val="20"/>
                <w:lang w:val="sq-AL"/>
              </w:rPr>
              <w:t>Ministria e Kultures</w:t>
            </w:r>
          </w:p>
        </w:tc>
        <w:tc>
          <w:tcPr>
            <w:tcW w:w="11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AA4398"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3,972,481</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F01415"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4,150,832</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F38C1"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755,069</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7116C3"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19%</w:t>
            </w: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82F7BA"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29%</w:t>
            </w:r>
          </w:p>
        </w:tc>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667FF2"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6.93%</w:t>
            </w:r>
          </w:p>
        </w:tc>
      </w:tr>
      <w:tr w:rsidR="00741D1F" w:rsidRPr="003E1083" w14:paraId="54BF8528"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30EA2B7B" w14:textId="49C59612" w:rsidR="00741D1F" w:rsidRPr="003E1083" w:rsidRDefault="00741D1F" w:rsidP="003E1083">
            <w:pPr>
              <w:jc w:val="center"/>
              <w:rPr>
                <w:rFonts w:asciiTheme="minorHAnsi" w:hAnsiTheme="minorHAnsi"/>
                <w:bCs/>
                <w:sz w:val="18"/>
                <w:szCs w:val="20"/>
                <w:lang w:val="sq-AL"/>
              </w:rPr>
            </w:pPr>
            <w:r w:rsidRPr="003E1083">
              <w:rPr>
                <w:rFonts w:asciiTheme="minorHAnsi" w:hAnsiTheme="minorHAnsi"/>
                <w:bCs/>
                <w:sz w:val="18"/>
                <w:szCs w:val="20"/>
                <w:lang w:val="sq-AL"/>
              </w:rPr>
              <w:t>Ministria e Shendetesise dhe Mbrojtjes Sociale</w:t>
            </w:r>
          </w:p>
        </w:tc>
        <w:tc>
          <w:tcPr>
            <w:tcW w:w="1196" w:type="dxa"/>
            <w:tcBorders>
              <w:top w:val="single" w:sz="4" w:space="0" w:color="auto"/>
              <w:left w:val="single" w:sz="4" w:space="0" w:color="auto"/>
              <w:bottom w:val="single" w:sz="4" w:space="0" w:color="auto"/>
              <w:right w:val="single" w:sz="4" w:space="0" w:color="auto"/>
            </w:tcBorders>
            <w:shd w:val="clear" w:color="000000" w:fill="DAEEF3"/>
            <w:noWrap/>
          </w:tcPr>
          <w:p w14:paraId="2292C8E1"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78,045,728</w:t>
            </w:r>
          </w:p>
        </w:tc>
        <w:tc>
          <w:tcPr>
            <w:tcW w:w="1260" w:type="dxa"/>
            <w:tcBorders>
              <w:top w:val="single" w:sz="4" w:space="0" w:color="auto"/>
              <w:left w:val="single" w:sz="4" w:space="0" w:color="auto"/>
              <w:bottom w:val="single" w:sz="4" w:space="0" w:color="auto"/>
              <w:right w:val="single" w:sz="4" w:space="0" w:color="auto"/>
            </w:tcBorders>
            <w:shd w:val="clear" w:color="000000" w:fill="DAEEF3"/>
            <w:noWrap/>
          </w:tcPr>
          <w:p w14:paraId="7431263E"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79,857,728</w:t>
            </w:r>
          </w:p>
        </w:tc>
        <w:tc>
          <w:tcPr>
            <w:tcW w:w="1228" w:type="dxa"/>
            <w:tcBorders>
              <w:top w:val="single" w:sz="4" w:space="0" w:color="auto"/>
              <w:left w:val="single" w:sz="4" w:space="0" w:color="auto"/>
              <w:bottom w:val="single" w:sz="4" w:space="0" w:color="auto"/>
              <w:right w:val="single" w:sz="4" w:space="0" w:color="auto"/>
            </w:tcBorders>
            <w:shd w:val="clear" w:color="000000" w:fill="DAEEF3"/>
            <w:noWrap/>
          </w:tcPr>
          <w:p w14:paraId="1C9515CE"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29,655,212</w:t>
            </w:r>
          </w:p>
        </w:tc>
        <w:tc>
          <w:tcPr>
            <w:tcW w:w="1150" w:type="dxa"/>
            <w:tcBorders>
              <w:top w:val="single" w:sz="4" w:space="0" w:color="auto"/>
              <w:left w:val="single" w:sz="4" w:space="0" w:color="auto"/>
              <w:bottom w:val="single" w:sz="4" w:space="0" w:color="auto"/>
              <w:right w:val="single" w:sz="4" w:space="0" w:color="auto"/>
            </w:tcBorders>
            <w:shd w:val="clear" w:color="000000" w:fill="DAEEF3"/>
            <w:noWrap/>
          </w:tcPr>
          <w:p w14:paraId="1E724E4A"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37%</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tcPr>
          <w:p w14:paraId="2232272E"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38%</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tcPr>
          <w:p w14:paraId="7915CF52"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14%</w:t>
            </w:r>
          </w:p>
        </w:tc>
      </w:tr>
      <w:tr w:rsidR="00741D1F" w:rsidRPr="003E1083" w14:paraId="6BB7AFB3"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43FD9" w14:textId="73AF2550" w:rsidR="00741D1F" w:rsidRPr="003E1083" w:rsidRDefault="00741D1F" w:rsidP="003E1083">
            <w:pPr>
              <w:jc w:val="center"/>
              <w:rPr>
                <w:rFonts w:asciiTheme="minorHAnsi" w:hAnsiTheme="minorHAnsi"/>
                <w:sz w:val="18"/>
                <w:szCs w:val="20"/>
                <w:lang w:val="sq-AL"/>
              </w:rPr>
            </w:pPr>
            <w:r w:rsidRPr="003E1083">
              <w:rPr>
                <w:rFonts w:asciiTheme="minorHAnsi" w:hAnsiTheme="minorHAnsi"/>
                <w:sz w:val="18"/>
                <w:szCs w:val="20"/>
                <w:lang w:val="sq-AL"/>
              </w:rPr>
              <w:t>Ministria e Drejtesise</w:t>
            </w:r>
          </w:p>
        </w:tc>
        <w:tc>
          <w:tcPr>
            <w:tcW w:w="1196" w:type="dxa"/>
            <w:tcBorders>
              <w:top w:val="single" w:sz="4" w:space="0" w:color="auto"/>
              <w:left w:val="single" w:sz="4" w:space="0" w:color="auto"/>
              <w:bottom w:val="single" w:sz="4" w:space="0" w:color="auto"/>
              <w:right w:val="single" w:sz="4" w:space="0" w:color="auto"/>
            </w:tcBorders>
            <w:shd w:val="clear" w:color="auto" w:fill="auto"/>
            <w:noWrap/>
          </w:tcPr>
          <w:p w14:paraId="6AF24C62"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12,327,665</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6C6942A9"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12,337,665</w:t>
            </w:r>
          </w:p>
        </w:tc>
        <w:tc>
          <w:tcPr>
            <w:tcW w:w="1228" w:type="dxa"/>
            <w:tcBorders>
              <w:top w:val="single" w:sz="4" w:space="0" w:color="auto"/>
              <w:left w:val="single" w:sz="4" w:space="0" w:color="auto"/>
              <w:bottom w:val="single" w:sz="4" w:space="0" w:color="auto"/>
              <w:right w:val="single" w:sz="4" w:space="0" w:color="auto"/>
            </w:tcBorders>
            <w:shd w:val="clear" w:color="auto" w:fill="auto"/>
            <w:noWrap/>
          </w:tcPr>
          <w:p w14:paraId="1D2F3F5D"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2,970,893</w:t>
            </w:r>
          </w:p>
        </w:tc>
        <w:tc>
          <w:tcPr>
            <w:tcW w:w="1150" w:type="dxa"/>
            <w:tcBorders>
              <w:top w:val="single" w:sz="4" w:space="0" w:color="auto"/>
              <w:left w:val="single" w:sz="4" w:space="0" w:color="auto"/>
              <w:bottom w:val="single" w:sz="4" w:space="0" w:color="auto"/>
              <w:right w:val="single" w:sz="4" w:space="0" w:color="auto"/>
            </w:tcBorders>
            <w:shd w:val="clear" w:color="auto" w:fill="auto"/>
            <w:noWrap/>
          </w:tcPr>
          <w:p w14:paraId="389E90E7"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24%</w:t>
            </w:r>
          </w:p>
        </w:tc>
        <w:tc>
          <w:tcPr>
            <w:tcW w:w="1035" w:type="dxa"/>
            <w:tcBorders>
              <w:top w:val="single" w:sz="4" w:space="0" w:color="auto"/>
              <w:left w:val="single" w:sz="4" w:space="0" w:color="auto"/>
              <w:bottom w:val="single" w:sz="4" w:space="0" w:color="auto"/>
              <w:right w:val="single" w:sz="4" w:space="0" w:color="auto"/>
            </w:tcBorders>
            <w:shd w:val="clear" w:color="auto" w:fill="auto"/>
            <w:noWrap/>
          </w:tcPr>
          <w:p w14:paraId="3629B7A6"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26%</w:t>
            </w:r>
          </w:p>
        </w:tc>
        <w:tc>
          <w:tcPr>
            <w:tcW w:w="1035" w:type="dxa"/>
            <w:tcBorders>
              <w:top w:val="single" w:sz="4" w:space="0" w:color="auto"/>
              <w:left w:val="single" w:sz="4" w:space="0" w:color="auto"/>
              <w:bottom w:val="single" w:sz="4" w:space="0" w:color="auto"/>
              <w:right w:val="single" w:sz="4" w:space="0" w:color="auto"/>
            </w:tcBorders>
            <w:shd w:val="clear" w:color="auto" w:fill="auto"/>
            <w:noWrap/>
          </w:tcPr>
          <w:p w14:paraId="79772AF3"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1%</w:t>
            </w:r>
          </w:p>
        </w:tc>
      </w:tr>
      <w:tr w:rsidR="00741D1F" w:rsidRPr="003E1083" w14:paraId="65BF047A"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00DC56F3" w14:textId="6662DA50" w:rsidR="00741D1F" w:rsidRPr="003E1083" w:rsidRDefault="00741D1F" w:rsidP="003E1083">
            <w:pPr>
              <w:jc w:val="center"/>
              <w:rPr>
                <w:rFonts w:asciiTheme="minorHAnsi" w:hAnsiTheme="minorHAnsi"/>
                <w:sz w:val="18"/>
                <w:szCs w:val="20"/>
                <w:lang w:val="sq-AL"/>
              </w:rPr>
            </w:pPr>
            <w:r w:rsidRPr="003E1083">
              <w:rPr>
                <w:rFonts w:asciiTheme="minorHAnsi" w:hAnsiTheme="minorHAnsi"/>
                <w:sz w:val="18"/>
                <w:szCs w:val="20"/>
                <w:lang w:val="sq-AL"/>
              </w:rPr>
              <w:t>Ministria per Evropen dhe Punet e Jashtme</w:t>
            </w:r>
          </w:p>
        </w:tc>
        <w:tc>
          <w:tcPr>
            <w:tcW w:w="1196" w:type="dxa"/>
            <w:tcBorders>
              <w:top w:val="single" w:sz="4" w:space="0" w:color="auto"/>
              <w:left w:val="single" w:sz="4" w:space="0" w:color="auto"/>
              <w:bottom w:val="single" w:sz="4" w:space="0" w:color="auto"/>
              <w:right w:val="single" w:sz="4" w:space="0" w:color="auto"/>
            </w:tcBorders>
            <w:shd w:val="clear" w:color="000000" w:fill="DAEEF3"/>
            <w:noWrap/>
          </w:tcPr>
          <w:p w14:paraId="20005191"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2,972,048</w:t>
            </w:r>
          </w:p>
        </w:tc>
        <w:tc>
          <w:tcPr>
            <w:tcW w:w="1260" w:type="dxa"/>
            <w:tcBorders>
              <w:top w:val="single" w:sz="4" w:space="0" w:color="auto"/>
              <w:left w:val="single" w:sz="4" w:space="0" w:color="auto"/>
              <w:bottom w:val="single" w:sz="4" w:space="0" w:color="auto"/>
              <w:right w:val="single" w:sz="4" w:space="0" w:color="auto"/>
            </w:tcBorders>
            <w:shd w:val="clear" w:color="000000" w:fill="DAEEF3"/>
            <w:noWrap/>
          </w:tcPr>
          <w:p w14:paraId="4745DE60"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3,089,148</w:t>
            </w:r>
          </w:p>
        </w:tc>
        <w:tc>
          <w:tcPr>
            <w:tcW w:w="1228" w:type="dxa"/>
            <w:tcBorders>
              <w:top w:val="single" w:sz="4" w:space="0" w:color="auto"/>
              <w:left w:val="single" w:sz="4" w:space="0" w:color="auto"/>
              <w:bottom w:val="single" w:sz="4" w:space="0" w:color="auto"/>
              <w:right w:val="single" w:sz="4" w:space="0" w:color="auto"/>
            </w:tcBorders>
            <w:shd w:val="clear" w:color="000000" w:fill="DAEEF3"/>
            <w:noWrap/>
          </w:tcPr>
          <w:p w14:paraId="5E70DEC7"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852,156</w:t>
            </w:r>
          </w:p>
        </w:tc>
        <w:tc>
          <w:tcPr>
            <w:tcW w:w="1150" w:type="dxa"/>
            <w:tcBorders>
              <w:top w:val="single" w:sz="4" w:space="0" w:color="auto"/>
              <w:left w:val="single" w:sz="4" w:space="0" w:color="auto"/>
              <w:bottom w:val="single" w:sz="4" w:space="0" w:color="auto"/>
              <w:right w:val="single" w:sz="4" w:space="0" w:color="auto"/>
            </w:tcBorders>
            <w:shd w:val="clear" w:color="000000" w:fill="DAEEF3"/>
            <w:noWrap/>
          </w:tcPr>
          <w:p w14:paraId="2B1F6EFB"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28%</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tcPr>
          <w:p w14:paraId="6FF1623B"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27%</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tcPr>
          <w:p w14:paraId="1A52637A"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42%</w:t>
            </w:r>
          </w:p>
        </w:tc>
      </w:tr>
      <w:tr w:rsidR="00741D1F" w:rsidRPr="003E1083" w14:paraId="6B4C557F"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1BAF42" w14:textId="2AFACFE3" w:rsidR="00741D1F" w:rsidRPr="003E1083" w:rsidRDefault="00741D1F" w:rsidP="003E1083">
            <w:pPr>
              <w:jc w:val="center"/>
              <w:rPr>
                <w:rFonts w:asciiTheme="minorHAnsi" w:hAnsiTheme="minorHAnsi"/>
                <w:bCs/>
                <w:sz w:val="18"/>
                <w:szCs w:val="20"/>
                <w:lang w:val="sq-AL"/>
              </w:rPr>
            </w:pPr>
            <w:r w:rsidRPr="003E1083">
              <w:rPr>
                <w:rFonts w:asciiTheme="minorHAnsi" w:hAnsiTheme="minorHAnsi"/>
                <w:bCs/>
                <w:sz w:val="18"/>
                <w:szCs w:val="20"/>
                <w:lang w:val="sq-AL"/>
              </w:rPr>
              <w:t>Ministria e Brendshme</w:t>
            </w:r>
          </w:p>
        </w:tc>
        <w:tc>
          <w:tcPr>
            <w:tcW w:w="11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1F693D"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24,129,147</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154983"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24,825,054</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B20647"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9,089,750</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A7838C"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37%</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5D6E5CB6"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38%</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6DE7A907"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23%</w:t>
            </w:r>
          </w:p>
        </w:tc>
      </w:tr>
      <w:tr w:rsidR="00741D1F" w:rsidRPr="003E1083" w14:paraId="45E425C4"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6A78CEF6" w14:textId="4AE3EE3B" w:rsidR="00741D1F" w:rsidRPr="003E1083" w:rsidRDefault="00741D1F" w:rsidP="003E1083">
            <w:pPr>
              <w:jc w:val="center"/>
              <w:rPr>
                <w:rFonts w:asciiTheme="minorHAnsi" w:hAnsiTheme="minorHAnsi"/>
                <w:bCs/>
                <w:sz w:val="18"/>
                <w:szCs w:val="20"/>
                <w:lang w:val="sq-AL"/>
              </w:rPr>
            </w:pPr>
            <w:r w:rsidRPr="003E1083">
              <w:rPr>
                <w:rFonts w:asciiTheme="minorHAnsi" w:hAnsiTheme="minorHAnsi"/>
                <w:bCs/>
                <w:sz w:val="18"/>
                <w:szCs w:val="20"/>
                <w:lang w:val="sq-AL"/>
              </w:rPr>
              <w:t>Ministria e Mbrojtjes</w:t>
            </w:r>
          </w:p>
        </w:tc>
        <w:tc>
          <w:tcPr>
            <w:tcW w:w="1196"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37A8ADE0"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40,256,139</w:t>
            </w:r>
          </w:p>
        </w:tc>
        <w:tc>
          <w:tcPr>
            <w:tcW w:w="1260"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5D23438A"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40,263,259</w:t>
            </w:r>
          </w:p>
        </w:tc>
        <w:tc>
          <w:tcPr>
            <w:tcW w:w="1228"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2CE2E4D1"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9,147,051</w:t>
            </w:r>
          </w:p>
        </w:tc>
        <w:tc>
          <w:tcPr>
            <w:tcW w:w="1150"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1770FE0B"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23%</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64CEB6D9"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35%</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69498E47"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8%</w:t>
            </w:r>
          </w:p>
        </w:tc>
      </w:tr>
      <w:tr w:rsidR="00741D1F" w:rsidRPr="003E1083" w14:paraId="4C31E854"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9A03A" w14:textId="51E46357" w:rsidR="00741D1F" w:rsidRPr="003E1083" w:rsidRDefault="00741D1F" w:rsidP="003E1083">
            <w:pPr>
              <w:jc w:val="center"/>
              <w:rPr>
                <w:rFonts w:asciiTheme="minorHAnsi" w:hAnsiTheme="minorHAnsi"/>
                <w:sz w:val="18"/>
                <w:szCs w:val="20"/>
                <w:lang w:val="sq-AL"/>
              </w:rPr>
            </w:pPr>
            <w:r w:rsidRPr="003E1083">
              <w:rPr>
                <w:rFonts w:asciiTheme="minorHAnsi" w:hAnsiTheme="minorHAnsi"/>
                <w:sz w:val="18"/>
                <w:szCs w:val="20"/>
                <w:lang w:val="sq-AL"/>
              </w:rPr>
              <w:t>Akademia e Shkencave</w:t>
            </w:r>
          </w:p>
        </w:tc>
        <w:tc>
          <w:tcPr>
            <w:tcW w:w="11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D4AA9D"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189,000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A1FED5"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189,300</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A1B41"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40,632</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B45956"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21%</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73D43871"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23%</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2F863F2A"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0%</w:t>
            </w:r>
          </w:p>
        </w:tc>
      </w:tr>
      <w:tr w:rsidR="00741D1F" w:rsidRPr="003E1083" w14:paraId="0E2B59DF"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31AAAF97" w14:textId="1218D3A8" w:rsidR="00741D1F" w:rsidRPr="003E1083" w:rsidRDefault="00741D1F" w:rsidP="003E1083">
            <w:pPr>
              <w:jc w:val="center"/>
              <w:rPr>
                <w:rFonts w:asciiTheme="minorHAnsi" w:hAnsiTheme="minorHAnsi"/>
                <w:bCs/>
                <w:sz w:val="18"/>
                <w:szCs w:val="20"/>
                <w:lang w:val="sq-AL"/>
              </w:rPr>
            </w:pPr>
            <w:r w:rsidRPr="003E1083">
              <w:rPr>
                <w:rFonts w:asciiTheme="minorHAnsi" w:hAnsiTheme="minorHAnsi"/>
                <w:bCs/>
                <w:sz w:val="18"/>
                <w:szCs w:val="20"/>
                <w:lang w:val="sq-AL"/>
              </w:rPr>
              <w:t>Kontrolli Larte i Shtetit</w:t>
            </w:r>
          </w:p>
        </w:tc>
        <w:tc>
          <w:tcPr>
            <w:tcW w:w="1196"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7C1EFBDC"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509,110</w:t>
            </w:r>
          </w:p>
        </w:tc>
        <w:tc>
          <w:tcPr>
            <w:tcW w:w="1260"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4BB1161D"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510,700</w:t>
            </w:r>
          </w:p>
        </w:tc>
        <w:tc>
          <w:tcPr>
            <w:tcW w:w="1228"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63AA45A7"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184,418</w:t>
            </w:r>
          </w:p>
        </w:tc>
        <w:tc>
          <w:tcPr>
            <w:tcW w:w="1150"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163EFFD2"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36%</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09E8E133"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38%</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46142710"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5%</w:t>
            </w:r>
          </w:p>
        </w:tc>
      </w:tr>
      <w:tr w:rsidR="00741D1F" w:rsidRPr="003E1083" w14:paraId="751BACBC"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23774F" w14:textId="1024B859" w:rsidR="00741D1F" w:rsidRPr="003E1083" w:rsidRDefault="00741D1F" w:rsidP="003E1083">
            <w:pPr>
              <w:jc w:val="center"/>
              <w:rPr>
                <w:rFonts w:asciiTheme="minorHAnsi" w:hAnsiTheme="minorHAnsi"/>
                <w:bCs/>
                <w:sz w:val="18"/>
                <w:szCs w:val="20"/>
                <w:lang w:val="sq-AL"/>
              </w:rPr>
            </w:pPr>
            <w:r w:rsidRPr="003E1083">
              <w:rPr>
                <w:rFonts w:asciiTheme="minorHAnsi" w:hAnsiTheme="minorHAnsi"/>
                <w:bCs/>
                <w:sz w:val="18"/>
                <w:szCs w:val="20"/>
                <w:lang w:val="sq-AL"/>
              </w:rPr>
              <w:t>Ministria e Turizmit dhe Mjedisit</w:t>
            </w:r>
          </w:p>
        </w:tc>
        <w:tc>
          <w:tcPr>
            <w:tcW w:w="11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A4ED7C"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2,302,600</w:t>
            </w:r>
          </w:p>
        </w:tc>
        <w:tc>
          <w:tcPr>
            <w:tcW w:w="12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79B71"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2,304,500</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31F62"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580,164</w:t>
            </w:r>
          </w:p>
        </w:tc>
        <w:tc>
          <w:tcPr>
            <w:tcW w:w="11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E7CA91"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25%</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1F52FFF5"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30%</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4E322754"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16%</w:t>
            </w:r>
          </w:p>
        </w:tc>
      </w:tr>
      <w:tr w:rsidR="00741D1F" w:rsidRPr="003E1083" w14:paraId="74C55243"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41BEA5BA" w14:textId="605BE29D" w:rsidR="00741D1F" w:rsidRPr="003E1083" w:rsidRDefault="00741D1F" w:rsidP="003E1083">
            <w:pPr>
              <w:jc w:val="center"/>
              <w:rPr>
                <w:rFonts w:asciiTheme="minorHAnsi" w:hAnsiTheme="minorHAnsi"/>
                <w:bCs/>
                <w:sz w:val="18"/>
                <w:szCs w:val="20"/>
                <w:lang w:val="sq-AL"/>
              </w:rPr>
            </w:pPr>
            <w:r w:rsidRPr="003E1083">
              <w:rPr>
                <w:rFonts w:asciiTheme="minorHAnsi" w:hAnsiTheme="minorHAnsi"/>
                <w:bCs/>
                <w:sz w:val="18"/>
                <w:szCs w:val="20"/>
                <w:lang w:val="sq-AL"/>
              </w:rPr>
              <w:t>Prokuroria e Pergjithshme</w:t>
            </w:r>
          </w:p>
        </w:tc>
        <w:tc>
          <w:tcPr>
            <w:tcW w:w="1196" w:type="dxa"/>
            <w:tcBorders>
              <w:top w:val="single" w:sz="4" w:space="0" w:color="auto"/>
              <w:left w:val="single" w:sz="4" w:space="0" w:color="auto"/>
              <w:bottom w:val="single" w:sz="4" w:space="0" w:color="auto"/>
              <w:right w:val="single" w:sz="4" w:space="0" w:color="auto"/>
            </w:tcBorders>
            <w:shd w:val="clear" w:color="000000" w:fill="DAEEF3"/>
            <w:noWrap/>
          </w:tcPr>
          <w:p w14:paraId="49E8AD1B"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2,620,500</w:t>
            </w:r>
          </w:p>
        </w:tc>
        <w:tc>
          <w:tcPr>
            <w:tcW w:w="1260" w:type="dxa"/>
            <w:tcBorders>
              <w:top w:val="single" w:sz="4" w:space="0" w:color="auto"/>
              <w:left w:val="single" w:sz="4" w:space="0" w:color="auto"/>
              <w:bottom w:val="single" w:sz="4" w:space="0" w:color="auto"/>
              <w:right w:val="single" w:sz="4" w:space="0" w:color="auto"/>
            </w:tcBorders>
            <w:shd w:val="clear" w:color="000000" w:fill="DAEEF3"/>
            <w:noWrap/>
          </w:tcPr>
          <w:p w14:paraId="7E45CB28"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2,623,400</w:t>
            </w:r>
          </w:p>
        </w:tc>
        <w:tc>
          <w:tcPr>
            <w:tcW w:w="1228" w:type="dxa"/>
            <w:tcBorders>
              <w:top w:val="single" w:sz="4" w:space="0" w:color="auto"/>
              <w:left w:val="single" w:sz="4" w:space="0" w:color="auto"/>
              <w:bottom w:val="single" w:sz="4" w:space="0" w:color="auto"/>
              <w:right w:val="single" w:sz="4" w:space="0" w:color="auto"/>
            </w:tcBorders>
            <w:shd w:val="clear" w:color="000000" w:fill="DAEEF3"/>
            <w:noWrap/>
          </w:tcPr>
          <w:p w14:paraId="568FC261"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982,249</w:t>
            </w:r>
          </w:p>
        </w:tc>
        <w:tc>
          <w:tcPr>
            <w:tcW w:w="1150" w:type="dxa"/>
            <w:tcBorders>
              <w:top w:val="single" w:sz="4" w:space="0" w:color="auto"/>
              <w:left w:val="single" w:sz="4" w:space="0" w:color="auto"/>
              <w:bottom w:val="single" w:sz="4" w:space="0" w:color="auto"/>
              <w:right w:val="single" w:sz="4" w:space="0" w:color="auto"/>
            </w:tcBorders>
            <w:shd w:val="clear" w:color="000000" w:fill="DAEEF3"/>
            <w:noWrap/>
          </w:tcPr>
          <w:p w14:paraId="6420DF06"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37%</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tcPr>
          <w:p w14:paraId="5C18D693"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41%</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tcPr>
          <w:p w14:paraId="3FECA6BC"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1%</w:t>
            </w:r>
          </w:p>
        </w:tc>
      </w:tr>
      <w:tr w:rsidR="00741D1F" w:rsidRPr="003E1083" w14:paraId="7953A20F"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1B79E" w14:textId="7AFCA586" w:rsidR="00741D1F" w:rsidRPr="003E1083" w:rsidRDefault="00741D1F" w:rsidP="003E1083">
            <w:pPr>
              <w:jc w:val="center"/>
              <w:rPr>
                <w:rFonts w:asciiTheme="minorHAnsi" w:hAnsiTheme="minorHAnsi"/>
                <w:bCs/>
                <w:sz w:val="18"/>
                <w:szCs w:val="20"/>
                <w:lang w:val="sq-AL"/>
              </w:rPr>
            </w:pPr>
            <w:r w:rsidRPr="003E1083">
              <w:rPr>
                <w:rFonts w:asciiTheme="minorHAnsi" w:hAnsiTheme="minorHAnsi"/>
                <w:bCs/>
                <w:sz w:val="18"/>
                <w:szCs w:val="20"/>
                <w:lang w:val="sq-AL"/>
              </w:rPr>
              <w:t>Keshilli i Larte Gjyqesor</w:t>
            </w:r>
          </w:p>
        </w:tc>
        <w:tc>
          <w:tcPr>
            <w:tcW w:w="1196" w:type="dxa"/>
            <w:tcBorders>
              <w:top w:val="single" w:sz="4" w:space="0" w:color="auto"/>
              <w:left w:val="single" w:sz="4" w:space="0" w:color="auto"/>
              <w:bottom w:val="single" w:sz="4" w:space="0" w:color="auto"/>
              <w:right w:val="single" w:sz="4" w:space="0" w:color="auto"/>
            </w:tcBorders>
            <w:shd w:val="clear" w:color="auto" w:fill="auto"/>
            <w:noWrap/>
          </w:tcPr>
          <w:p w14:paraId="641E1C29"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4,362,600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722B4315"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4,367,100</w:t>
            </w:r>
          </w:p>
        </w:tc>
        <w:tc>
          <w:tcPr>
            <w:tcW w:w="1228" w:type="dxa"/>
            <w:tcBorders>
              <w:top w:val="single" w:sz="4" w:space="0" w:color="auto"/>
              <w:left w:val="single" w:sz="4" w:space="0" w:color="auto"/>
              <w:bottom w:val="single" w:sz="4" w:space="0" w:color="auto"/>
              <w:right w:val="single" w:sz="4" w:space="0" w:color="auto"/>
            </w:tcBorders>
            <w:shd w:val="clear" w:color="auto" w:fill="auto"/>
            <w:noWrap/>
          </w:tcPr>
          <w:p w14:paraId="00B975F1"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1,336,181</w:t>
            </w:r>
          </w:p>
        </w:tc>
        <w:tc>
          <w:tcPr>
            <w:tcW w:w="1150" w:type="dxa"/>
            <w:tcBorders>
              <w:top w:val="single" w:sz="4" w:space="0" w:color="auto"/>
              <w:left w:val="single" w:sz="4" w:space="0" w:color="auto"/>
              <w:bottom w:val="single" w:sz="4" w:space="0" w:color="auto"/>
              <w:right w:val="single" w:sz="4" w:space="0" w:color="auto"/>
            </w:tcBorders>
            <w:shd w:val="clear" w:color="auto" w:fill="auto"/>
            <w:noWrap/>
          </w:tcPr>
          <w:p w14:paraId="65EE5506"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31%</w:t>
            </w:r>
          </w:p>
        </w:tc>
        <w:tc>
          <w:tcPr>
            <w:tcW w:w="1035" w:type="dxa"/>
            <w:tcBorders>
              <w:top w:val="single" w:sz="4" w:space="0" w:color="auto"/>
              <w:left w:val="single" w:sz="4" w:space="0" w:color="auto"/>
              <w:bottom w:val="single" w:sz="4" w:space="0" w:color="auto"/>
              <w:right w:val="single" w:sz="4" w:space="0" w:color="auto"/>
            </w:tcBorders>
            <w:shd w:val="clear" w:color="auto" w:fill="auto"/>
            <w:noWrap/>
          </w:tcPr>
          <w:p w14:paraId="0340A30C"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37%</w:t>
            </w:r>
          </w:p>
        </w:tc>
        <w:tc>
          <w:tcPr>
            <w:tcW w:w="1035" w:type="dxa"/>
            <w:tcBorders>
              <w:top w:val="single" w:sz="4" w:space="0" w:color="auto"/>
              <w:left w:val="single" w:sz="4" w:space="0" w:color="auto"/>
              <w:bottom w:val="single" w:sz="4" w:space="0" w:color="auto"/>
              <w:right w:val="single" w:sz="4" w:space="0" w:color="auto"/>
            </w:tcBorders>
            <w:shd w:val="clear" w:color="auto" w:fill="auto"/>
            <w:noWrap/>
          </w:tcPr>
          <w:p w14:paraId="61BBB675"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0%</w:t>
            </w:r>
          </w:p>
        </w:tc>
      </w:tr>
      <w:tr w:rsidR="00741D1F" w:rsidRPr="003E1083" w14:paraId="489DCC57"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187D1E73" w14:textId="10E93A63" w:rsidR="00741D1F" w:rsidRPr="003E1083" w:rsidRDefault="00741D1F" w:rsidP="003E1083">
            <w:pPr>
              <w:jc w:val="center"/>
              <w:rPr>
                <w:rFonts w:asciiTheme="minorHAnsi" w:hAnsiTheme="minorHAnsi"/>
                <w:bCs/>
                <w:sz w:val="18"/>
                <w:szCs w:val="20"/>
                <w:lang w:val="sq-AL"/>
              </w:rPr>
            </w:pPr>
            <w:r w:rsidRPr="003E1083">
              <w:rPr>
                <w:rFonts w:asciiTheme="minorHAnsi" w:hAnsiTheme="minorHAnsi"/>
                <w:bCs/>
                <w:sz w:val="18"/>
                <w:szCs w:val="20"/>
                <w:lang w:val="sq-AL"/>
              </w:rPr>
              <w:t>Gjykata Kushtetuese</w:t>
            </w:r>
          </w:p>
        </w:tc>
        <w:tc>
          <w:tcPr>
            <w:tcW w:w="1196" w:type="dxa"/>
            <w:tcBorders>
              <w:top w:val="single" w:sz="4" w:space="0" w:color="auto"/>
              <w:left w:val="single" w:sz="4" w:space="0" w:color="auto"/>
              <w:bottom w:val="single" w:sz="4" w:space="0" w:color="auto"/>
              <w:right w:val="single" w:sz="4" w:space="0" w:color="auto"/>
            </w:tcBorders>
            <w:shd w:val="clear" w:color="000000" w:fill="DAEEF3"/>
            <w:noWrap/>
          </w:tcPr>
          <w:p w14:paraId="1305E524"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170,500</w:t>
            </w:r>
          </w:p>
        </w:tc>
        <w:tc>
          <w:tcPr>
            <w:tcW w:w="1260" w:type="dxa"/>
            <w:tcBorders>
              <w:top w:val="single" w:sz="4" w:space="0" w:color="auto"/>
              <w:left w:val="single" w:sz="4" w:space="0" w:color="auto"/>
              <w:bottom w:val="single" w:sz="4" w:space="0" w:color="auto"/>
              <w:right w:val="single" w:sz="4" w:space="0" w:color="auto"/>
            </w:tcBorders>
            <w:shd w:val="clear" w:color="000000" w:fill="DAEEF3"/>
            <w:noWrap/>
          </w:tcPr>
          <w:p w14:paraId="643454DE"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173,408</w:t>
            </w:r>
          </w:p>
        </w:tc>
        <w:tc>
          <w:tcPr>
            <w:tcW w:w="1228" w:type="dxa"/>
            <w:tcBorders>
              <w:top w:val="single" w:sz="4" w:space="0" w:color="auto"/>
              <w:left w:val="single" w:sz="4" w:space="0" w:color="auto"/>
              <w:bottom w:val="single" w:sz="4" w:space="0" w:color="auto"/>
              <w:right w:val="single" w:sz="4" w:space="0" w:color="auto"/>
            </w:tcBorders>
            <w:shd w:val="clear" w:color="000000" w:fill="DAEEF3"/>
            <w:noWrap/>
          </w:tcPr>
          <w:p w14:paraId="46A8AABB"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68,057</w:t>
            </w:r>
          </w:p>
        </w:tc>
        <w:tc>
          <w:tcPr>
            <w:tcW w:w="1150" w:type="dxa"/>
            <w:tcBorders>
              <w:top w:val="single" w:sz="4" w:space="0" w:color="auto"/>
              <w:left w:val="single" w:sz="4" w:space="0" w:color="auto"/>
              <w:bottom w:val="single" w:sz="4" w:space="0" w:color="auto"/>
              <w:right w:val="single" w:sz="4" w:space="0" w:color="auto"/>
            </w:tcBorders>
            <w:shd w:val="clear" w:color="000000" w:fill="DAEEF3"/>
            <w:noWrap/>
          </w:tcPr>
          <w:p w14:paraId="4FAA98DB"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39%</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tcPr>
          <w:p w14:paraId="5EB6E9FD"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41%</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tcPr>
          <w:p w14:paraId="2A3B8659"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0%</w:t>
            </w:r>
          </w:p>
        </w:tc>
      </w:tr>
      <w:tr w:rsidR="00741D1F" w:rsidRPr="003E1083" w14:paraId="30F32125"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4EE6F" w14:textId="463CFD0B" w:rsidR="00741D1F" w:rsidRPr="003E1083" w:rsidRDefault="00741D1F" w:rsidP="003E1083">
            <w:pPr>
              <w:jc w:val="center"/>
              <w:rPr>
                <w:rFonts w:asciiTheme="minorHAnsi" w:hAnsiTheme="minorHAnsi"/>
                <w:bCs/>
                <w:sz w:val="18"/>
                <w:szCs w:val="20"/>
                <w:lang w:val="sq-AL"/>
              </w:rPr>
            </w:pPr>
            <w:r w:rsidRPr="003E1083">
              <w:rPr>
                <w:rFonts w:asciiTheme="minorHAnsi" w:hAnsiTheme="minorHAnsi"/>
                <w:bCs/>
                <w:sz w:val="18"/>
                <w:szCs w:val="20"/>
                <w:lang w:val="sq-AL"/>
              </w:rPr>
              <w:t>Keshilli i Larte i Prokurorise</w:t>
            </w:r>
          </w:p>
        </w:tc>
        <w:tc>
          <w:tcPr>
            <w:tcW w:w="1196" w:type="dxa"/>
            <w:tcBorders>
              <w:top w:val="single" w:sz="4" w:space="0" w:color="auto"/>
              <w:left w:val="single" w:sz="4" w:space="0" w:color="auto"/>
              <w:bottom w:val="single" w:sz="4" w:space="0" w:color="auto"/>
              <w:right w:val="single" w:sz="4" w:space="0" w:color="auto"/>
            </w:tcBorders>
            <w:shd w:val="clear" w:color="auto" w:fill="auto"/>
            <w:noWrap/>
          </w:tcPr>
          <w:p w14:paraId="002C0772"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172,600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34266234"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172,750</w:t>
            </w:r>
          </w:p>
        </w:tc>
        <w:tc>
          <w:tcPr>
            <w:tcW w:w="1228" w:type="dxa"/>
            <w:tcBorders>
              <w:top w:val="single" w:sz="4" w:space="0" w:color="auto"/>
              <w:left w:val="single" w:sz="4" w:space="0" w:color="auto"/>
              <w:bottom w:val="single" w:sz="4" w:space="0" w:color="auto"/>
              <w:right w:val="single" w:sz="4" w:space="0" w:color="auto"/>
            </w:tcBorders>
            <w:shd w:val="clear" w:color="auto" w:fill="auto"/>
            <w:noWrap/>
          </w:tcPr>
          <w:p w14:paraId="3F922ACD"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68,054</w:t>
            </w:r>
          </w:p>
        </w:tc>
        <w:tc>
          <w:tcPr>
            <w:tcW w:w="1150" w:type="dxa"/>
            <w:tcBorders>
              <w:top w:val="single" w:sz="4" w:space="0" w:color="auto"/>
              <w:left w:val="single" w:sz="4" w:space="0" w:color="auto"/>
              <w:bottom w:val="single" w:sz="4" w:space="0" w:color="auto"/>
              <w:right w:val="single" w:sz="4" w:space="0" w:color="auto"/>
            </w:tcBorders>
            <w:shd w:val="clear" w:color="auto" w:fill="auto"/>
            <w:noWrap/>
          </w:tcPr>
          <w:p w14:paraId="6580CE64"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39%</w:t>
            </w:r>
          </w:p>
        </w:tc>
        <w:tc>
          <w:tcPr>
            <w:tcW w:w="1035" w:type="dxa"/>
            <w:tcBorders>
              <w:top w:val="single" w:sz="4" w:space="0" w:color="auto"/>
              <w:left w:val="single" w:sz="4" w:space="0" w:color="auto"/>
              <w:bottom w:val="single" w:sz="4" w:space="0" w:color="auto"/>
              <w:right w:val="single" w:sz="4" w:space="0" w:color="auto"/>
            </w:tcBorders>
            <w:shd w:val="clear" w:color="auto" w:fill="auto"/>
            <w:noWrap/>
          </w:tcPr>
          <w:p w14:paraId="197ABCF4"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43%</w:t>
            </w:r>
          </w:p>
        </w:tc>
        <w:tc>
          <w:tcPr>
            <w:tcW w:w="1035" w:type="dxa"/>
            <w:tcBorders>
              <w:top w:val="single" w:sz="4" w:space="0" w:color="auto"/>
              <w:left w:val="single" w:sz="4" w:space="0" w:color="auto"/>
              <w:bottom w:val="single" w:sz="4" w:space="0" w:color="auto"/>
              <w:right w:val="single" w:sz="4" w:space="0" w:color="auto"/>
            </w:tcBorders>
            <w:shd w:val="clear" w:color="auto" w:fill="auto"/>
            <w:noWrap/>
          </w:tcPr>
          <w:p w14:paraId="14AFA254"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0%</w:t>
            </w:r>
          </w:p>
        </w:tc>
      </w:tr>
      <w:tr w:rsidR="00741D1F" w:rsidRPr="003E1083" w14:paraId="4D3CDDC1"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B5DDB" w14:textId="77777777" w:rsidR="00741D1F" w:rsidRPr="003E1083" w:rsidRDefault="00741D1F" w:rsidP="003E1083">
            <w:pPr>
              <w:jc w:val="center"/>
              <w:rPr>
                <w:rFonts w:asciiTheme="minorHAnsi" w:hAnsiTheme="minorHAnsi"/>
                <w:bCs/>
                <w:sz w:val="18"/>
                <w:szCs w:val="20"/>
                <w:lang w:val="sq-AL"/>
              </w:rPr>
            </w:pPr>
            <w:r w:rsidRPr="003E1083">
              <w:rPr>
                <w:rFonts w:asciiTheme="minorHAnsi" w:hAnsiTheme="minorHAnsi"/>
                <w:bCs/>
                <w:sz w:val="18"/>
                <w:szCs w:val="20"/>
                <w:lang w:val="sq-AL"/>
              </w:rPr>
              <w:t>Institucionet e sistemit te drejtesise</w:t>
            </w:r>
          </w:p>
        </w:tc>
        <w:tc>
          <w:tcPr>
            <w:tcW w:w="1196" w:type="dxa"/>
            <w:tcBorders>
              <w:top w:val="single" w:sz="4" w:space="0" w:color="auto"/>
              <w:left w:val="single" w:sz="4" w:space="0" w:color="auto"/>
              <w:bottom w:val="single" w:sz="4" w:space="0" w:color="auto"/>
              <w:right w:val="single" w:sz="4" w:space="0" w:color="auto"/>
            </w:tcBorders>
            <w:shd w:val="clear" w:color="auto" w:fill="auto"/>
            <w:noWrap/>
          </w:tcPr>
          <w:p w14:paraId="385C9D76"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861,300</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14:paraId="541177EE"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858,764</w:t>
            </w:r>
          </w:p>
        </w:tc>
        <w:tc>
          <w:tcPr>
            <w:tcW w:w="1228" w:type="dxa"/>
            <w:tcBorders>
              <w:top w:val="single" w:sz="4" w:space="0" w:color="auto"/>
              <w:left w:val="single" w:sz="4" w:space="0" w:color="auto"/>
              <w:bottom w:val="single" w:sz="4" w:space="0" w:color="auto"/>
              <w:right w:val="single" w:sz="4" w:space="0" w:color="auto"/>
            </w:tcBorders>
            <w:shd w:val="clear" w:color="auto" w:fill="auto"/>
            <w:noWrap/>
          </w:tcPr>
          <w:p w14:paraId="3D32CAEA"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289,394</w:t>
            </w:r>
          </w:p>
        </w:tc>
        <w:tc>
          <w:tcPr>
            <w:tcW w:w="1150" w:type="dxa"/>
            <w:tcBorders>
              <w:top w:val="single" w:sz="4" w:space="0" w:color="auto"/>
              <w:left w:val="single" w:sz="4" w:space="0" w:color="auto"/>
              <w:bottom w:val="single" w:sz="4" w:space="0" w:color="auto"/>
              <w:right w:val="single" w:sz="4" w:space="0" w:color="auto"/>
            </w:tcBorders>
            <w:shd w:val="clear" w:color="auto" w:fill="auto"/>
            <w:noWrap/>
          </w:tcPr>
          <w:p w14:paraId="609F4A99"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34%</w:t>
            </w:r>
          </w:p>
        </w:tc>
        <w:tc>
          <w:tcPr>
            <w:tcW w:w="1035" w:type="dxa"/>
            <w:tcBorders>
              <w:top w:val="single" w:sz="4" w:space="0" w:color="auto"/>
              <w:left w:val="single" w:sz="4" w:space="0" w:color="auto"/>
              <w:bottom w:val="single" w:sz="4" w:space="0" w:color="auto"/>
              <w:right w:val="single" w:sz="4" w:space="0" w:color="auto"/>
            </w:tcBorders>
            <w:shd w:val="clear" w:color="auto" w:fill="auto"/>
            <w:noWrap/>
          </w:tcPr>
          <w:p w14:paraId="59FDB662"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37%</w:t>
            </w:r>
          </w:p>
        </w:tc>
        <w:tc>
          <w:tcPr>
            <w:tcW w:w="1035" w:type="dxa"/>
            <w:tcBorders>
              <w:top w:val="single" w:sz="4" w:space="0" w:color="auto"/>
              <w:left w:val="single" w:sz="4" w:space="0" w:color="auto"/>
              <w:bottom w:val="single" w:sz="4" w:space="0" w:color="auto"/>
              <w:right w:val="single" w:sz="4" w:space="0" w:color="auto"/>
            </w:tcBorders>
            <w:shd w:val="clear" w:color="auto" w:fill="auto"/>
            <w:noWrap/>
          </w:tcPr>
          <w:p w14:paraId="754AAF88" w14:textId="77777777" w:rsidR="00741D1F" w:rsidRPr="003E1083" w:rsidRDefault="00741D1F" w:rsidP="00741D1F">
            <w:pPr>
              <w:jc w:val="center"/>
              <w:rPr>
                <w:rFonts w:asciiTheme="minorHAnsi" w:hAnsiTheme="minorHAnsi"/>
                <w:bCs/>
                <w:sz w:val="18"/>
                <w:szCs w:val="20"/>
                <w:lang w:val="sq-AL"/>
              </w:rPr>
            </w:pPr>
            <w:r w:rsidRPr="003E1083">
              <w:rPr>
                <w:rFonts w:asciiTheme="minorHAnsi" w:hAnsiTheme="minorHAnsi"/>
                <w:sz w:val="18"/>
                <w:szCs w:val="20"/>
                <w:lang w:val="sq-AL"/>
              </w:rPr>
              <w:t>0%</w:t>
            </w:r>
          </w:p>
        </w:tc>
      </w:tr>
      <w:tr w:rsidR="00741D1F" w:rsidRPr="003E1083" w14:paraId="6D71CC0A" w14:textId="77777777" w:rsidTr="003E1083">
        <w:trPr>
          <w:trHeight w:val="376"/>
          <w:jc w:val="center"/>
        </w:trPr>
        <w:tc>
          <w:tcPr>
            <w:tcW w:w="3523"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33141DF0" w14:textId="064447ED" w:rsidR="00741D1F" w:rsidRPr="003E1083" w:rsidRDefault="00741D1F" w:rsidP="003E1083">
            <w:pPr>
              <w:jc w:val="center"/>
              <w:rPr>
                <w:rFonts w:asciiTheme="minorHAnsi" w:hAnsiTheme="minorHAnsi"/>
                <w:sz w:val="18"/>
                <w:szCs w:val="20"/>
                <w:lang w:val="sq-AL"/>
              </w:rPr>
            </w:pPr>
            <w:r w:rsidRPr="003E1083">
              <w:rPr>
                <w:rFonts w:asciiTheme="minorHAnsi" w:hAnsiTheme="minorHAnsi"/>
                <w:sz w:val="18"/>
                <w:szCs w:val="20"/>
                <w:lang w:val="sq-AL"/>
              </w:rPr>
              <w:t>Institucione te tjera Qeveritare</w:t>
            </w:r>
          </w:p>
        </w:tc>
        <w:tc>
          <w:tcPr>
            <w:tcW w:w="1196"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25CD5E73"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sz w:val="18"/>
                <w:szCs w:val="20"/>
                <w:lang w:val="sq-AL"/>
              </w:rPr>
              <w:t>14,515,253</w:t>
            </w:r>
          </w:p>
        </w:tc>
        <w:tc>
          <w:tcPr>
            <w:tcW w:w="1260"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52AD2895"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14,592,873</w:t>
            </w:r>
          </w:p>
        </w:tc>
        <w:tc>
          <w:tcPr>
            <w:tcW w:w="1228"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57FACEEB"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2,928,312</w:t>
            </w:r>
          </w:p>
        </w:tc>
        <w:tc>
          <w:tcPr>
            <w:tcW w:w="1150"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4BE0F1B3"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20%</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0FA54230"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30%</w:t>
            </w:r>
          </w:p>
        </w:tc>
        <w:tc>
          <w:tcPr>
            <w:tcW w:w="1035" w:type="dxa"/>
            <w:tcBorders>
              <w:top w:val="single" w:sz="4" w:space="0" w:color="auto"/>
              <w:left w:val="single" w:sz="4" w:space="0" w:color="auto"/>
              <w:bottom w:val="single" w:sz="4" w:space="0" w:color="auto"/>
              <w:right w:val="single" w:sz="4" w:space="0" w:color="auto"/>
            </w:tcBorders>
            <w:shd w:val="clear" w:color="000000" w:fill="DAEEF3"/>
            <w:noWrap/>
            <w:vAlign w:val="center"/>
          </w:tcPr>
          <w:p w14:paraId="51E8DCF7" w14:textId="77777777" w:rsidR="00741D1F" w:rsidRPr="003E1083" w:rsidRDefault="00741D1F" w:rsidP="00741D1F">
            <w:pPr>
              <w:jc w:val="center"/>
              <w:rPr>
                <w:rFonts w:asciiTheme="minorHAnsi" w:hAnsiTheme="minorHAnsi"/>
                <w:sz w:val="18"/>
                <w:szCs w:val="20"/>
                <w:lang w:val="sq-AL"/>
              </w:rPr>
            </w:pPr>
            <w:r w:rsidRPr="003E1083">
              <w:rPr>
                <w:rFonts w:asciiTheme="minorHAnsi" w:hAnsiTheme="minorHAnsi"/>
                <w:color w:val="000000"/>
                <w:sz w:val="18"/>
                <w:szCs w:val="20"/>
                <w:lang w:val="sq-AL"/>
              </w:rPr>
              <w:t>4%</w:t>
            </w:r>
          </w:p>
        </w:tc>
      </w:tr>
    </w:tbl>
    <w:p w14:paraId="41AD9372" w14:textId="77777777" w:rsidR="00741D1F" w:rsidRPr="00BD2E49" w:rsidRDefault="00741D1F" w:rsidP="00741D1F">
      <w:pPr>
        <w:spacing w:line="276" w:lineRule="auto"/>
        <w:jc w:val="center"/>
        <w:rPr>
          <w:rFonts w:ascii="Calibri" w:eastAsia="MS Mincho" w:hAnsi="Calibri"/>
          <w:lang w:val="sq-AL"/>
        </w:rPr>
      </w:pPr>
    </w:p>
    <w:p w14:paraId="3AFE40F9" w14:textId="77777777" w:rsidR="00741D1F" w:rsidRPr="00BD2E49" w:rsidRDefault="00741D1F" w:rsidP="00741D1F">
      <w:pPr>
        <w:spacing w:before="240" w:line="276" w:lineRule="auto"/>
        <w:jc w:val="both"/>
        <w:rPr>
          <w:rFonts w:ascii="Calibri" w:eastAsia="MS Mincho" w:hAnsi="Calibri"/>
          <w:lang w:val="sq-AL"/>
        </w:rPr>
      </w:pPr>
    </w:p>
    <w:p w14:paraId="470F7203" w14:textId="77777777" w:rsidR="00741D1F" w:rsidRPr="00BD2E49" w:rsidRDefault="00741D1F" w:rsidP="00741D1F">
      <w:pPr>
        <w:spacing w:before="240" w:line="276" w:lineRule="auto"/>
        <w:jc w:val="both"/>
        <w:rPr>
          <w:rFonts w:ascii="Calibri" w:eastAsia="MS Mincho" w:hAnsi="Calibri"/>
          <w:lang w:val="sq-AL"/>
        </w:rPr>
      </w:pPr>
    </w:p>
    <w:bookmarkEnd w:id="187"/>
    <w:bookmarkEnd w:id="188"/>
    <w:p w14:paraId="3695C9F6" w14:textId="77777777" w:rsidR="00741D1F" w:rsidRPr="00BD2E49" w:rsidRDefault="00741D1F" w:rsidP="00741D1F">
      <w:pPr>
        <w:spacing w:before="120" w:after="120" w:line="276" w:lineRule="auto"/>
        <w:jc w:val="both"/>
        <w:rPr>
          <w:rFonts w:ascii="Calibri" w:hAnsi="Calibri"/>
          <w:b/>
          <w:noProof/>
          <w:color w:val="0070C0"/>
          <w:lang w:val="sq-AL"/>
        </w:rPr>
      </w:pPr>
      <w:r w:rsidRPr="00BD2E49">
        <w:rPr>
          <w:rFonts w:ascii="Calibri" w:hAnsi="Calibri"/>
          <w:b/>
          <w:noProof/>
          <w:color w:val="0070C0"/>
          <w:lang w:val="sq-AL"/>
        </w:rPr>
        <w:lastRenderedPageBreak/>
        <w:t>SHËNDETËSIA DHE MBROJTJA SOCIALE</w:t>
      </w:r>
    </w:p>
    <w:p w14:paraId="407FE5DD" w14:textId="77777777" w:rsidR="000C2868" w:rsidRPr="00BD2E49" w:rsidRDefault="000C2868" w:rsidP="000C2868">
      <w:pPr>
        <w:keepNext/>
        <w:spacing w:line="276" w:lineRule="auto"/>
        <w:jc w:val="both"/>
        <w:rPr>
          <w:rFonts w:ascii="Calibri" w:eastAsia="MS Mincho" w:hAnsi="Calibri"/>
          <w:lang w:val="sq-AL"/>
        </w:rPr>
      </w:pPr>
      <w:r w:rsidRPr="00BD2E49">
        <w:rPr>
          <w:rFonts w:ascii="Calibri" w:hAnsi="Calibri"/>
          <w:lang w:val="sq-AL"/>
        </w:rPr>
        <w:t>Në përputhje me drejtimet kryesore të politikës së përgjithshme shtetërore, me fondet buxhetore të miratuara për vitin 2023, performanca e treguesve buxhetorë për programet e Ministrisë së Shëndetësisë dhe Mbrojtjes Sociale, paraqitet si më poshtë</w:t>
      </w:r>
      <w:r w:rsidRPr="00BD2E49">
        <w:rPr>
          <w:rFonts w:ascii="Calibri" w:eastAsia="MS Mincho" w:hAnsi="Calibri"/>
          <w:lang w:val="sq-AL"/>
        </w:rPr>
        <w:t>:</w:t>
      </w:r>
    </w:p>
    <w:p w14:paraId="05A21CEA" w14:textId="79B01CC1" w:rsidR="000C2868" w:rsidRPr="003E1083" w:rsidRDefault="000C2868" w:rsidP="000C2868">
      <w:pPr>
        <w:spacing w:before="240"/>
        <w:rPr>
          <w:rFonts w:ascii="Calibri" w:hAnsi="Calibri"/>
          <w:i/>
          <w:noProof/>
          <w:sz w:val="22"/>
          <w:lang w:val="sq-AL"/>
        </w:rPr>
      </w:pPr>
      <w:bookmarkStart w:id="191" w:name="_Toc107496774"/>
      <w:r w:rsidRPr="003E1083">
        <w:rPr>
          <w:rFonts w:ascii="Calibri" w:hAnsi="Calibri"/>
          <w:i/>
          <w:noProof/>
          <w:sz w:val="22"/>
          <w:lang w:val="sq-AL"/>
        </w:rPr>
        <w:t xml:space="preserve">Tabela </w:t>
      </w:r>
      <w:r w:rsidRPr="003E1083">
        <w:rPr>
          <w:rFonts w:ascii="Calibri" w:hAnsi="Calibri"/>
          <w:i/>
          <w:noProof/>
          <w:sz w:val="22"/>
          <w:lang w:val="sq-AL"/>
        </w:rPr>
        <w:fldChar w:fldCharType="begin"/>
      </w:r>
      <w:r w:rsidRPr="003E1083">
        <w:rPr>
          <w:rFonts w:ascii="Calibri" w:hAnsi="Calibri"/>
          <w:i/>
          <w:noProof/>
          <w:sz w:val="22"/>
          <w:lang w:val="sq-AL"/>
        </w:rPr>
        <w:instrText xml:space="preserve"> SEQ Tabela \* ARABIC </w:instrText>
      </w:r>
      <w:r w:rsidRPr="003E1083">
        <w:rPr>
          <w:rFonts w:ascii="Calibri" w:hAnsi="Calibri"/>
          <w:i/>
          <w:noProof/>
          <w:sz w:val="22"/>
          <w:lang w:val="sq-AL"/>
        </w:rPr>
        <w:fldChar w:fldCharType="separate"/>
      </w:r>
      <w:r w:rsidR="00C153A9">
        <w:rPr>
          <w:rFonts w:ascii="Calibri" w:hAnsi="Calibri"/>
          <w:i/>
          <w:noProof/>
          <w:sz w:val="22"/>
          <w:lang w:val="sq-AL"/>
        </w:rPr>
        <w:t>37</w:t>
      </w:r>
      <w:r w:rsidRPr="003E1083">
        <w:rPr>
          <w:rFonts w:ascii="Calibri" w:hAnsi="Calibri"/>
          <w:i/>
          <w:noProof/>
          <w:sz w:val="22"/>
          <w:lang w:val="sq-AL"/>
        </w:rPr>
        <w:fldChar w:fldCharType="end"/>
      </w:r>
      <w:r w:rsidRPr="003E1083">
        <w:rPr>
          <w:rFonts w:ascii="Calibri" w:hAnsi="Calibri"/>
          <w:i/>
          <w:noProof/>
          <w:sz w:val="22"/>
          <w:lang w:val="sq-AL"/>
        </w:rPr>
        <w:t xml:space="preserve">: </w:t>
      </w:r>
      <w:r>
        <w:rPr>
          <w:rFonts w:ascii="Calibri" w:hAnsi="Calibri"/>
          <w:i/>
          <w:noProof/>
          <w:sz w:val="22"/>
          <w:lang w:val="sq-AL"/>
        </w:rPr>
        <w:t>Performanca e shpenzimeve për 4M I, për Shëndetësinë dhe Mbrojtjen</w:t>
      </w:r>
      <w:r w:rsidRPr="003E1083">
        <w:rPr>
          <w:rFonts w:ascii="Calibri" w:hAnsi="Calibri"/>
          <w:i/>
          <w:noProof/>
          <w:sz w:val="22"/>
          <w:lang w:val="sq-AL"/>
        </w:rPr>
        <w:t xml:space="preserve"> sociale</w:t>
      </w:r>
      <w:bookmarkEnd w:id="191"/>
    </w:p>
    <w:p w14:paraId="373BF761" w14:textId="77777777" w:rsidR="000C2868" w:rsidRPr="003E1083" w:rsidRDefault="000C2868" w:rsidP="000C2868">
      <w:pPr>
        <w:spacing w:line="276" w:lineRule="auto"/>
        <w:jc w:val="right"/>
        <w:rPr>
          <w:rFonts w:ascii="Calibri" w:hAnsi="Calibri"/>
          <w:bCs/>
          <w:i/>
          <w:iCs/>
          <w:sz w:val="22"/>
          <w:lang w:val="sq-AL"/>
        </w:rPr>
      </w:pPr>
      <w:r w:rsidRPr="003E1083">
        <w:rPr>
          <w:rFonts w:ascii="Calibri" w:hAnsi="Calibri"/>
          <w:bCs/>
          <w:i/>
          <w:iCs/>
          <w:sz w:val="22"/>
          <w:lang w:val="sq-AL"/>
        </w:rPr>
        <w:t>Në mijë lekë</w:t>
      </w:r>
    </w:p>
    <w:tbl>
      <w:tblPr>
        <w:tblStyle w:val="ListTable3-Accent5251"/>
        <w:tblW w:w="5306" w:type="pct"/>
        <w:jc w:val="center"/>
        <w:tblLayout w:type="fixed"/>
        <w:tblLook w:val="01E0" w:firstRow="1" w:lastRow="1" w:firstColumn="1" w:lastColumn="1" w:noHBand="0" w:noVBand="0"/>
      </w:tblPr>
      <w:tblGrid>
        <w:gridCol w:w="507"/>
        <w:gridCol w:w="11"/>
        <w:gridCol w:w="3180"/>
        <w:gridCol w:w="1096"/>
        <w:gridCol w:w="1049"/>
        <w:gridCol w:w="1147"/>
        <w:gridCol w:w="6"/>
        <w:gridCol w:w="1176"/>
        <w:gridCol w:w="1045"/>
        <w:gridCol w:w="992"/>
      </w:tblGrid>
      <w:tr w:rsidR="000C2868" w:rsidRPr="00BD2E49" w14:paraId="217647C1" w14:textId="77777777" w:rsidTr="000C2868">
        <w:trPr>
          <w:cnfStyle w:val="100000000000" w:firstRow="1" w:lastRow="0" w:firstColumn="0" w:lastColumn="0" w:oddVBand="0" w:evenVBand="0" w:oddHBand="0" w:evenHBand="0" w:firstRowFirstColumn="0" w:firstRowLastColumn="0" w:lastRowFirstColumn="0" w:lastRowLastColumn="0"/>
          <w:trHeight w:val="180"/>
          <w:jc w:val="center"/>
        </w:trPr>
        <w:tc>
          <w:tcPr>
            <w:cnfStyle w:val="001000000100" w:firstRow="0" w:lastRow="0" w:firstColumn="1" w:lastColumn="0" w:oddVBand="0" w:evenVBand="0" w:oddHBand="0" w:evenHBand="0" w:firstRowFirstColumn="1" w:firstRowLastColumn="0" w:lastRowFirstColumn="0" w:lastRowLastColumn="0"/>
            <w:tcW w:w="253" w:type="pct"/>
            <w:gridSpan w:val="2"/>
            <w:vMerge w:val="restart"/>
          </w:tcPr>
          <w:p w14:paraId="128E0AD3" w14:textId="77777777" w:rsidR="000C2868" w:rsidRPr="00BD2E49" w:rsidRDefault="000C2868" w:rsidP="000C2868">
            <w:pPr>
              <w:jc w:val="center"/>
              <w:rPr>
                <w:rFonts w:ascii="Calibri" w:hAnsi="Calibri"/>
                <w:color w:val="auto"/>
                <w:sz w:val="18"/>
                <w:lang w:val="sq-AL"/>
              </w:rPr>
            </w:pPr>
          </w:p>
          <w:p w14:paraId="6E41F82C" w14:textId="77777777" w:rsidR="000C2868" w:rsidRPr="00BD2E49" w:rsidRDefault="000C2868" w:rsidP="000C2868">
            <w:pPr>
              <w:jc w:val="center"/>
              <w:rPr>
                <w:rFonts w:ascii="Calibri" w:hAnsi="Calibri"/>
                <w:color w:val="auto"/>
                <w:sz w:val="18"/>
                <w:lang w:val="sq-AL"/>
              </w:rPr>
            </w:pPr>
            <w:r w:rsidRPr="00BD2E49">
              <w:rPr>
                <w:rFonts w:ascii="Calibri" w:hAnsi="Calibri"/>
                <w:color w:val="auto"/>
                <w:sz w:val="18"/>
                <w:lang w:val="sq-AL"/>
              </w:rPr>
              <w:t>NR</w:t>
            </w:r>
          </w:p>
        </w:tc>
        <w:tc>
          <w:tcPr>
            <w:cnfStyle w:val="000010000000" w:firstRow="0" w:lastRow="0" w:firstColumn="0" w:lastColumn="0" w:oddVBand="1" w:evenVBand="0" w:oddHBand="0" w:evenHBand="0" w:firstRowFirstColumn="0" w:firstRowLastColumn="0" w:lastRowFirstColumn="0" w:lastRowLastColumn="0"/>
            <w:tcW w:w="1557" w:type="pct"/>
            <w:vMerge w:val="restart"/>
          </w:tcPr>
          <w:p w14:paraId="73DAA0AC" w14:textId="77777777" w:rsidR="000C2868" w:rsidRPr="00BD2E49" w:rsidRDefault="000C2868" w:rsidP="000C2868">
            <w:pPr>
              <w:jc w:val="center"/>
              <w:rPr>
                <w:rFonts w:ascii="Calibri" w:hAnsi="Calibri"/>
                <w:color w:val="auto"/>
                <w:sz w:val="18"/>
                <w:lang w:val="sq-AL"/>
              </w:rPr>
            </w:pPr>
          </w:p>
          <w:p w14:paraId="2552EDE2" w14:textId="77777777" w:rsidR="000C2868" w:rsidRPr="00BD2E49" w:rsidRDefault="000C2868" w:rsidP="000C2868">
            <w:pPr>
              <w:jc w:val="center"/>
              <w:rPr>
                <w:rFonts w:ascii="Calibri" w:hAnsi="Calibri"/>
                <w:color w:val="auto"/>
                <w:sz w:val="18"/>
                <w:lang w:val="sq-AL"/>
              </w:rPr>
            </w:pPr>
            <w:r w:rsidRPr="00BD2E49">
              <w:rPr>
                <w:rFonts w:ascii="Calibri" w:hAnsi="Calibri"/>
                <w:color w:val="auto"/>
                <w:sz w:val="18"/>
                <w:lang w:val="sq-AL"/>
              </w:rPr>
              <w:t>Emërtimi i Programit</w:t>
            </w:r>
          </w:p>
        </w:tc>
        <w:tc>
          <w:tcPr>
            <w:tcW w:w="1051" w:type="pct"/>
            <w:gridSpan w:val="2"/>
          </w:tcPr>
          <w:p w14:paraId="797CB344" w14:textId="77777777" w:rsidR="000C2868" w:rsidRPr="00BD2E49" w:rsidRDefault="000C2868" w:rsidP="000C2868">
            <w:pPr>
              <w:ind w:left="80"/>
              <w:jc w:val="center"/>
              <w:cnfStyle w:val="100000000000" w:firstRow="1" w:lastRow="0" w:firstColumn="0" w:lastColumn="0" w:oddVBand="0" w:evenVBand="0" w:oddHBand="0" w:evenHBand="0" w:firstRowFirstColumn="0" w:firstRowLastColumn="0" w:lastRowFirstColumn="0" w:lastRowLastColumn="0"/>
              <w:rPr>
                <w:rFonts w:ascii="Calibri" w:hAnsi="Calibri"/>
                <w:color w:val="auto"/>
                <w:sz w:val="18"/>
                <w:lang w:val="sq-AL"/>
              </w:rPr>
            </w:pPr>
            <w:r w:rsidRPr="00BD2E49">
              <w:rPr>
                <w:rFonts w:ascii="Calibri" w:hAnsi="Calibri"/>
                <w:color w:val="auto"/>
                <w:sz w:val="18"/>
                <w:lang w:val="sq-AL"/>
              </w:rPr>
              <w:t>Plani 2023</w:t>
            </w:r>
          </w:p>
        </w:tc>
        <w:tc>
          <w:tcPr>
            <w:cnfStyle w:val="000010000000" w:firstRow="0" w:lastRow="0" w:firstColumn="0" w:lastColumn="0" w:oddVBand="1" w:evenVBand="0" w:oddHBand="0" w:evenHBand="0" w:firstRowFirstColumn="0" w:firstRowLastColumn="0" w:lastRowFirstColumn="0" w:lastRowLastColumn="0"/>
            <w:tcW w:w="1141" w:type="pct"/>
            <w:gridSpan w:val="3"/>
          </w:tcPr>
          <w:p w14:paraId="3FF63270" w14:textId="77777777" w:rsidR="000C2868" w:rsidRPr="00BD2E49" w:rsidRDefault="000C2868" w:rsidP="000C2868">
            <w:pPr>
              <w:jc w:val="center"/>
              <w:rPr>
                <w:rFonts w:ascii="Calibri" w:hAnsi="Calibri"/>
                <w:color w:val="auto"/>
                <w:sz w:val="18"/>
                <w:lang w:val="sq-AL"/>
              </w:rPr>
            </w:pPr>
            <w:r w:rsidRPr="00BD2E49">
              <w:rPr>
                <w:rFonts w:ascii="Calibri" w:hAnsi="Calibri"/>
                <w:color w:val="auto"/>
                <w:sz w:val="18"/>
                <w:lang w:val="sq-AL"/>
              </w:rPr>
              <w:t>Fakti 4-mujori 2023</w:t>
            </w:r>
          </w:p>
        </w:tc>
        <w:tc>
          <w:tcPr>
            <w:cnfStyle w:val="000100001000" w:firstRow="0" w:lastRow="0" w:firstColumn="0" w:lastColumn="1" w:oddVBand="0" w:evenVBand="0" w:oddHBand="0" w:evenHBand="0" w:firstRowFirstColumn="0" w:firstRowLastColumn="1" w:lastRowFirstColumn="0" w:lastRowLastColumn="0"/>
            <w:tcW w:w="998" w:type="pct"/>
            <w:gridSpan w:val="2"/>
          </w:tcPr>
          <w:p w14:paraId="62F9BA8B" w14:textId="77777777" w:rsidR="000C2868" w:rsidRPr="00BD2E49" w:rsidRDefault="000C2868" w:rsidP="000C2868">
            <w:pPr>
              <w:jc w:val="center"/>
              <w:rPr>
                <w:rFonts w:ascii="Calibri" w:hAnsi="Calibri"/>
                <w:color w:val="auto"/>
                <w:sz w:val="18"/>
                <w:lang w:val="sq-AL"/>
              </w:rPr>
            </w:pPr>
            <w:r w:rsidRPr="00BD2E49">
              <w:rPr>
                <w:rFonts w:ascii="Calibri" w:hAnsi="Calibri"/>
                <w:color w:val="auto"/>
                <w:sz w:val="18"/>
                <w:lang w:val="sq-AL"/>
              </w:rPr>
              <w:t>Përqindja  e realizimit</w:t>
            </w:r>
          </w:p>
        </w:tc>
      </w:tr>
      <w:tr w:rsidR="000C2868" w:rsidRPr="00BD2E49" w14:paraId="4340E1BC" w14:textId="77777777" w:rsidTr="000C2868">
        <w:trPr>
          <w:cnfStyle w:val="000000100000" w:firstRow="0" w:lastRow="0" w:firstColumn="0" w:lastColumn="0" w:oddVBand="0" w:evenVBand="0" w:oddHBand="1" w:evenHBand="0" w:firstRowFirstColumn="0" w:firstRowLastColumn="0" w:lastRowFirstColumn="0" w:lastRowLastColumn="0"/>
          <w:trHeight w:val="93"/>
          <w:jc w:val="center"/>
        </w:trPr>
        <w:tc>
          <w:tcPr>
            <w:cnfStyle w:val="001000000000" w:firstRow="0" w:lastRow="0" w:firstColumn="1" w:lastColumn="0" w:oddVBand="0" w:evenVBand="0" w:oddHBand="0" w:evenHBand="0" w:firstRowFirstColumn="0" w:firstRowLastColumn="0" w:lastRowFirstColumn="0" w:lastRowLastColumn="0"/>
            <w:tcW w:w="253" w:type="pct"/>
            <w:gridSpan w:val="2"/>
            <w:vMerge/>
          </w:tcPr>
          <w:p w14:paraId="51AB881C" w14:textId="77777777" w:rsidR="000C2868" w:rsidRPr="00BD2E49" w:rsidRDefault="000C2868" w:rsidP="000C2868">
            <w:pPr>
              <w:jc w:val="center"/>
              <w:rPr>
                <w:rFonts w:ascii="Calibri" w:hAnsi="Calibri"/>
                <w:sz w:val="18"/>
                <w:lang w:val="sq-AL"/>
              </w:rPr>
            </w:pPr>
          </w:p>
        </w:tc>
        <w:tc>
          <w:tcPr>
            <w:cnfStyle w:val="000010000000" w:firstRow="0" w:lastRow="0" w:firstColumn="0" w:lastColumn="0" w:oddVBand="1" w:evenVBand="0" w:oddHBand="0" w:evenHBand="0" w:firstRowFirstColumn="0" w:firstRowLastColumn="0" w:lastRowFirstColumn="0" w:lastRowLastColumn="0"/>
            <w:tcW w:w="1557" w:type="pct"/>
            <w:vMerge/>
          </w:tcPr>
          <w:p w14:paraId="3C918193" w14:textId="77777777" w:rsidR="000C2868" w:rsidRPr="00BD2E49" w:rsidRDefault="000C2868" w:rsidP="000C2868">
            <w:pPr>
              <w:jc w:val="center"/>
              <w:rPr>
                <w:rFonts w:ascii="Calibri" w:hAnsi="Calibri"/>
                <w:b/>
                <w:sz w:val="18"/>
                <w:lang w:val="sq-AL"/>
              </w:rPr>
            </w:pPr>
          </w:p>
        </w:tc>
        <w:tc>
          <w:tcPr>
            <w:tcW w:w="537" w:type="pct"/>
          </w:tcPr>
          <w:p w14:paraId="3524B15B" w14:textId="77777777" w:rsidR="000C2868" w:rsidRPr="00BD2E49" w:rsidRDefault="000C2868" w:rsidP="000C2868">
            <w:pPr>
              <w:ind w:left="80"/>
              <w:jc w:val="center"/>
              <w:cnfStyle w:val="000000100000" w:firstRow="0" w:lastRow="0" w:firstColumn="0" w:lastColumn="0" w:oddVBand="0" w:evenVBand="0" w:oddHBand="1" w:evenHBand="0" w:firstRowFirstColumn="0" w:firstRowLastColumn="0" w:lastRowFirstColumn="0" w:lastRowLastColumn="0"/>
              <w:rPr>
                <w:rFonts w:ascii="Calibri" w:hAnsi="Calibri"/>
                <w:b/>
                <w:sz w:val="18"/>
                <w:lang w:val="sq-AL"/>
              </w:rPr>
            </w:pPr>
            <w:r w:rsidRPr="00BD2E49">
              <w:rPr>
                <w:rFonts w:ascii="Calibri" w:hAnsi="Calibri"/>
                <w:b/>
                <w:sz w:val="18"/>
                <w:lang w:val="sq-AL"/>
              </w:rPr>
              <w:t>Korrente</w:t>
            </w:r>
          </w:p>
        </w:tc>
        <w:tc>
          <w:tcPr>
            <w:cnfStyle w:val="000010000000" w:firstRow="0" w:lastRow="0" w:firstColumn="0" w:lastColumn="0" w:oddVBand="1" w:evenVBand="0" w:oddHBand="0" w:evenHBand="0" w:firstRowFirstColumn="0" w:firstRowLastColumn="0" w:lastRowFirstColumn="0" w:lastRowLastColumn="0"/>
            <w:tcW w:w="514" w:type="pct"/>
          </w:tcPr>
          <w:p w14:paraId="5BB4B870" w14:textId="77777777" w:rsidR="000C2868" w:rsidRPr="00BD2E49" w:rsidRDefault="000C2868" w:rsidP="000C2868">
            <w:pPr>
              <w:ind w:left="80"/>
              <w:jc w:val="center"/>
              <w:rPr>
                <w:rFonts w:ascii="Calibri" w:hAnsi="Calibri"/>
                <w:b/>
                <w:sz w:val="18"/>
                <w:lang w:val="sq-AL"/>
              </w:rPr>
            </w:pPr>
            <w:r w:rsidRPr="00BD2E49">
              <w:rPr>
                <w:rFonts w:ascii="Calibri" w:hAnsi="Calibri"/>
                <w:b/>
                <w:sz w:val="18"/>
                <w:lang w:val="sq-AL"/>
              </w:rPr>
              <w:t>Investime</w:t>
            </w:r>
          </w:p>
        </w:tc>
        <w:tc>
          <w:tcPr>
            <w:tcW w:w="562" w:type="pct"/>
          </w:tcPr>
          <w:p w14:paraId="3F148C5C" w14:textId="77777777" w:rsidR="000C2868" w:rsidRPr="00BD2E49"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Calibri" w:hAnsi="Calibri"/>
                <w:b/>
                <w:sz w:val="18"/>
                <w:lang w:val="sq-AL"/>
              </w:rPr>
            </w:pPr>
            <w:r w:rsidRPr="00BD2E49">
              <w:rPr>
                <w:rFonts w:ascii="Calibri" w:hAnsi="Calibri"/>
                <w:b/>
                <w:sz w:val="18"/>
                <w:lang w:val="sq-AL"/>
              </w:rPr>
              <w:t>Korrente</w:t>
            </w:r>
          </w:p>
        </w:tc>
        <w:tc>
          <w:tcPr>
            <w:cnfStyle w:val="000010000000" w:firstRow="0" w:lastRow="0" w:firstColumn="0" w:lastColumn="0" w:oddVBand="1" w:evenVBand="0" w:oddHBand="0" w:evenHBand="0" w:firstRowFirstColumn="0" w:firstRowLastColumn="0" w:lastRowFirstColumn="0" w:lastRowLastColumn="0"/>
            <w:tcW w:w="579" w:type="pct"/>
            <w:gridSpan w:val="2"/>
          </w:tcPr>
          <w:p w14:paraId="12597FF0" w14:textId="77777777" w:rsidR="000C2868" w:rsidRPr="00BD2E49" w:rsidRDefault="000C2868" w:rsidP="000C2868">
            <w:pPr>
              <w:jc w:val="center"/>
              <w:rPr>
                <w:rFonts w:ascii="Calibri" w:hAnsi="Calibri"/>
                <w:b/>
                <w:sz w:val="18"/>
                <w:lang w:val="sq-AL"/>
              </w:rPr>
            </w:pPr>
            <w:r w:rsidRPr="00BD2E49">
              <w:rPr>
                <w:rFonts w:ascii="Calibri" w:hAnsi="Calibri"/>
                <w:b/>
                <w:sz w:val="18"/>
                <w:lang w:val="sq-AL"/>
              </w:rPr>
              <w:t>Investime</w:t>
            </w:r>
          </w:p>
        </w:tc>
        <w:tc>
          <w:tcPr>
            <w:tcW w:w="512" w:type="pct"/>
          </w:tcPr>
          <w:p w14:paraId="0E8DDDDA" w14:textId="77777777" w:rsidR="000C2868" w:rsidRPr="00BD2E49"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Calibri" w:hAnsi="Calibri"/>
                <w:b/>
                <w:sz w:val="18"/>
                <w:lang w:val="sq-AL"/>
              </w:rPr>
            </w:pPr>
            <w:r w:rsidRPr="00BD2E49">
              <w:rPr>
                <w:rFonts w:ascii="Calibri" w:hAnsi="Calibri"/>
                <w:b/>
                <w:sz w:val="18"/>
                <w:lang w:val="sq-AL"/>
              </w:rPr>
              <w:t>Korrente</w:t>
            </w:r>
          </w:p>
        </w:tc>
        <w:tc>
          <w:tcPr>
            <w:cnfStyle w:val="000100000000" w:firstRow="0" w:lastRow="0" w:firstColumn="0" w:lastColumn="1" w:oddVBand="0" w:evenVBand="0" w:oddHBand="0" w:evenHBand="0" w:firstRowFirstColumn="0" w:firstRowLastColumn="0" w:lastRowFirstColumn="0" w:lastRowLastColumn="0"/>
            <w:tcW w:w="486" w:type="pct"/>
          </w:tcPr>
          <w:p w14:paraId="7384A87E" w14:textId="77777777" w:rsidR="000C2868" w:rsidRPr="00BD2E49" w:rsidRDefault="000C2868" w:rsidP="000C2868">
            <w:pPr>
              <w:jc w:val="center"/>
              <w:rPr>
                <w:rFonts w:ascii="Calibri" w:hAnsi="Calibri"/>
                <w:sz w:val="18"/>
                <w:lang w:val="sq-AL"/>
              </w:rPr>
            </w:pPr>
            <w:r w:rsidRPr="00BD2E49">
              <w:rPr>
                <w:rFonts w:ascii="Calibri" w:hAnsi="Calibri"/>
                <w:sz w:val="18"/>
                <w:lang w:val="sq-AL"/>
              </w:rPr>
              <w:t>Investime</w:t>
            </w:r>
          </w:p>
        </w:tc>
      </w:tr>
      <w:tr w:rsidR="000C2868" w:rsidRPr="00BD2E49" w14:paraId="03740C32" w14:textId="77777777" w:rsidTr="000C2868">
        <w:trPr>
          <w:trHeight w:val="189"/>
          <w:jc w:val="center"/>
        </w:trPr>
        <w:tc>
          <w:tcPr>
            <w:cnfStyle w:val="001000000000" w:firstRow="0" w:lastRow="0" w:firstColumn="1" w:lastColumn="0" w:oddVBand="0" w:evenVBand="0" w:oddHBand="0" w:evenHBand="0" w:firstRowFirstColumn="0" w:firstRowLastColumn="0" w:lastRowFirstColumn="0" w:lastRowLastColumn="0"/>
            <w:tcW w:w="248" w:type="pct"/>
          </w:tcPr>
          <w:p w14:paraId="2B20BBCB" w14:textId="77777777" w:rsidR="000C2868" w:rsidRPr="00BD2E49" w:rsidRDefault="000C2868" w:rsidP="000C2868">
            <w:pPr>
              <w:jc w:val="center"/>
              <w:rPr>
                <w:rFonts w:ascii="Calibri" w:hAnsi="Calibri"/>
                <w:sz w:val="18"/>
                <w:lang w:val="sq-AL"/>
              </w:rPr>
            </w:pPr>
            <w:r w:rsidRPr="00BD2E49">
              <w:rPr>
                <w:rFonts w:ascii="Calibri" w:hAnsi="Calibri"/>
                <w:sz w:val="18"/>
                <w:lang w:val="sq-AL"/>
              </w:rPr>
              <w:t>1</w:t>
            </w:r>
          </w:p>
        </w:tc>
        <w:tc>
          <w:tcPr>
            <w:cnfStyle w:val="000010000000" w:firstRow="0" w:lastRow="0" w:firstColumn="0" w:lastColumn="0" w:oddVBand="1" w:evenVBand="0" w:oddHBand="0" w:evenHBand="0" w:firstRowFirstColumn="0" w:firstRowLastColumn="0" w:lastRowFirstColumn="0" w:lastRowLastColumn="0"/>
            <w:tcW w:w="1562" w:type="pct"/>
            <w:gridSpan w:val="2"/>
            <w:vAlign w:val="bottom"/>
          </w:tcPr>
          <w:p w14:paraId="21D13410" w14:textId="77777777" w:rsidR="000C2868" w:rsidRPr="00BD2E49" w:rsidRDefault="000C2868" w:rsidP="000C2868">
            <w:pPr>
              <w:rPr>
                <w:rFonts w:ascii="Calibri" w:hAnsi="Calibri"/>
                <w:sz w:val="18"/>
                <w:lang w:val="sq-AL"/>
              </w:rPr>
            </w:pPr>
            <w:r w:rsidRPr="00BD2E49">
              <w:rPr>
                <w:rFonts w:ascii="Calibri" w:hAnsi="Calibri"/>
                <w:sz w:val="18"/>
                <w:lang w:val="sq-AL"/>
              </w:rPr>
              <w:t>Planifikimi, Menaxhimi dhe Administrimi</w:t>
            </w:r>
          </w:p>
        </w:tc>
        <w:tc>
          <w:tcPr>
            <w:tcW w:w="537" w:type="pct"/>
          </w:tcPr>
          <w:p w14:paraId="71C71111" w14:textId="77777777" w:rsidR="000C2868" w:rsidRPr="00BD2E49"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Calibri" w:hAnsi="Calibri"/>
                <w:bCs/>
                <w:sz w:val="18"/>
                <w:lang w:val="sq-AL"/>
              </w:rPr>
            </w:pPr>
            <w:r w:rsidRPr="00BD2E49">
              <w:rPr>
                <w:rFonts w:ascii="Calibri" w:hAnsi="Calibri"/>
                <w:bCs/>
                <w:sz w:val="18"/>
                <w:lang w:val="sq-AL"/>
              </w:rPr>
              <w:t>360,500</w:t>
            </w:r>
          </w:p>
        </w:tc>
        <w:tc>
          <w:tcPr>
            <w:cnfStyle w:val="000010000000" w:firstRow="0" w:lastRow="0" w:firstColumn="0" w:lastColumn="0" w:oddVBand="1" w:evenVBand="0" w:oddHBand="0" w:evenHBand="0" w:firstRowFirstColumn="0" w:firstRowLastColumn="0" w:lastRowFirstColumn="0" w:lastRowLastColumn="0"/>
            <w:tcW w:w="514" w:type="pct"/>
          </w:tcPr>
          <w:p w14:paraId="7CE6AF69" w14:textId="77777777" w:rsidR="000C2868" w:rsidRPr="00BD2E49" w:rsidRDefault="000C2868" w:rsidP="000C2868">
            <w:pPr>
              <w:jc w:val="center"/>
              <w:rPr>
                <w:rFonts w:ascii="Calibri" w:hAnsi="Calibri"/>
                <w:bCs/>
                <w:sz w:val="18"/>
                <w:lang w:val="sq-AL"/>
              </w:rPr>
            </w:pPr>
            <w:r w:rsidRPr="00BD2E49">
              <w:rPr>
                <w:rFonts w:ascii="Calibri" w:hAnsi="Calibri"/>
                <w:bCs/>
                <w:sz w:val="18"/>
                <w:lang w:val="sq-AL"/>
              </w:rPr>
              <w:t>18,000</w:t>
            </w:r>
          </w:p>
        </w:tc>
        <w:tc>
          <w:tcPr>
            <w:tcW w:w="565" w:type="pct"/>
            <w:gridSpan w:val="2"/>
          </w:tcPr>
          <w:p w14:paraId="38E44143" w14:textId="77777777" w:rsidR="000C2868" w:rsidRPr="00BD2E49"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Calibri" w:hAnsi="Calibri"/>
                <w:bCs/>
                <w:sz w:val="18"/>
                <w:lang w:val="sq-AL"/>
              </w:rPr>
            </w:pPr>
            <w:r w:rsidRPr="00BD2E49">
              <w:rPr>
                <w:rFonts w:ascii="Calibri" w:hAnsi="Calibri"/>
                <w:bCs/>
                <w:sz w:val="18"/>
                <w:lang w:val="sq-AL"/>
              </w:rPr>
              <w:t>93,740</w:t>
            </w:r>
          </w:p>
        </w:tc>
        <w:tc>
          <w:tcPr>
            <w:cnfStyle w:val="000010000000" w:firstRow="0" w:lastRow="0" w:firstColumn="0" w:lastColumn="0" w:oddVBand="1" w:evenVBand="0" w:oddHBand="0" w:evenHBand="0" w:firstRowFirstColumn="0" w:firstRowLastColumn="0" w:lastRowFirstColumn="0" w:lastRowLastColumn="0"/>
            <w:tcW w:w="576" w:type="pct"/>
          </w:tcPr>
          <w:p w14:paraId="27A87365" w14:textId="77777777" w:rsidR="000C2868" w:rsidRPr="00BD2E49" w:rsidRDefault="000C2868" w:rsidP="000C2868">
            <w:pPr>
              <w:jc w:val="center"/>
              <w:rPr>
                <w:rFonts w:ascii="Calibri" w:hAnsi="Calibri"/>
                <w:bCs/>
                <w:sz w:val="18"/>
                <w:lang w:val="sq-AL"/>
              </w:rPr>
            </w:pPr>
            <w:r w:rsidRPr="00BD2E49">
              <w:rPr>
                <w:rFonts w:ascii="Calibri" w:hAnsi="Calibri"/>
                <w:bCs/>
                <w:sz w:val="18"/>
                <w:lang w:val="sq-AL"/>
              </w:rPr>
              <w:t>691</w:t>
            </w:r>
          </w:p>
        </w:tc>
        <w:tc>
          <w:tcPr>
            <w:tcW w:w="512" w:type="pct"/>
          </w:tcPr>
          <w:p w14:paraId="045FAB2F" w14:textId="77777777" w:rsidR="000C2868" w:rsidRPr="00BD2E49"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Calibri" w:hAnsi="Calibri"/>
                <w:bCs/>
                <w:sz w:val="18"/>
                <w:lang w:val="sq-AL"/>
              </w:rPr>
            </w:pPr>
            <w:r w:rsidRPr="00BD2E49">
              <w:rPr>
                <w:rFonts w:ascii="Calibri" w:hAnsi="Calibri"/>
                <w:bCs/>
                <w:sz w:val="18"/>
                <w:lang w:val="sq-AL"/>
              </w:rPr>
              <w:t>26.00%</w:t>
            </w:r>
          </w:p>
        </w:tc>
        <w:tc>
          <w:tcPr>
            <w:cnfStyle w:val="000100000000" w:firstRow="0" w:lastRow="0" w:firstColumn="0" w:lastColumn="1" w:oddVBand="0" w:evenVBand="0" w:oddHBand="0" w:evenHBand="0" w:firstRowFirstColumn="0" w:firstRowLastColumn="0" w:lastRowFirstColumn="0" w:lastRowLastColumn="0"/>
            <w:tcW w:w="486" w:type="pct"/>
          </w:tcPr>
          <w:p w14:paraId="6536D41B" w14:textId="77777777" w:rsidR="000C2868" w:rsidRPr="00BD2E49" w:rsidRDefault="000C2868" w:rsidP="000C2868">
            <w:pPr>
              <w:jc w:val="center"/>
              <w:rPr>
                <w:rFonts w:ascii="Calibri" w:hAnsi="Calibri"/>
                <w:b w:val="0"/>
                <w:bCs w:val="0"/>
                <w:sz w:val="18"/>
                <w:lang w:val="sq-AL"/>
              </w:rPr>
            </w:pPr>
            <w:r w:rsidRPr="00BD2E49">
              <w:rPr>
                <w:rFonts w:ascii="Calibri" w:hAnsi="Calibri"/>
                <w:b w:val="0"/>
                <w:bCs w:val="0"/>
                <w:sz w:val="18"/>
                <w:lang w:val="sq-AL"/>
              </w:rPr>
              <w:t>3.84%</w:t>
            </w:r>
          </w:p>
        </w:tc>
      </w:tr>
      <w:tr w:rsidR="000C2868" w:rsidRPr="00BD2E49" w14:paraId="7FE611D6" w14:textId="77777777" w:rsidTr="000C2868">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248" w:type="pct"/>
          </w:tcPr>
          <w:p w14:paraId="16047B5C" w14:textId="77777777" w:rsidR="000C2868" w:rsidRPr="00BD2E49" w:rsidRDefault="000C2868" w:rsidP="000C2868">
            <w:pPr>
              <w:jc w:val="center"/>
              <w:rPr>
                <w:rFonts w:ascii="Calibri" w:hAnsi="Calibri"/>
                <w:sz w:val="18"/>
                <w:lang w:val="sq-AL"/>
              </w:rPr>
            </w:pPr>
            <w:r w:rsidRPr="00BD2E49">
              <w:rPr>
                <w:rFonts w:ascii="Calibri" w:hAnsi="Calibri"/>
                <w:sz w:val="18"/>
                <w:lang w:val="sq-AL"/>
              </w:rPr>
              <w:t>2</w:t>
            </w:r>
          </w:p>
        </w:tc>
        <w:tc>
          <w:tcPr>
            <w:cnfStyle w:val="000010000000" w:firstRow="0" w:lastRow="0" w:firstColumn="0" w:lastColumn="0" w:oddVBand="1" w:evenVBand="0" w:oddHBand="0" w:evenHBand="0" w:firstRowFirstColumn="0" w:firstRowLastColumn="0" w:lastRowFirstColumn="0" w:lastRowLastColumn="0"/>
            <w:tcW w:w="1562" w:type="pct"/>
            <w:gridSpan w:val="2"/>
            <w:vAlign w:val="bottom"/>
          </w:tcPr>
          <w:p w14:paraId="44FD3DCE" w14:textId="77777777" w:rsidR="000C2868" w:rsidRPr="00BD2E49" w:rsidRDefault="000C2868" w:rsidP="000C2868">
            <w:pPr>
              <w:rPr>
                <w:rFonts w:ascii="Calibri" w:hAnsi="Calibri"/>
                <w:sz w:val="18"/>
                <w:lang w:val="sq-AL"/>
              </w:rPr>
            </w:pPr>
            <w:r w:rsidRPr="00BD2E49">
              <w:rPr>
                <w:rFonts w:ascii="Calibri" w:hAnsi="Calibri"/>
                <w:sz w:val="18"/>
                <w:lang w:val="sq-AL"/>
              </w:rPr>
              <w:t>Shërbime të Kujdesit Shëndetësor Parësor</w:t>
            </w:r>
          </w:p>
        </w:tc>
        <w:tc>
          <w:tcPr>
            <w:tcW w:w="537" w:type="pct"/>
          </w:tcPr>
          <w:p w14:paraId="4238E951" w14:textId="77777777" w:rsidR="000C2868" w:rsidRPr="00BD2E49"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Calibri" w:hAnsi="Calibri"/>
                <w:bCs/>
                <w:sz w:val="18"/>
                <w:lang w:val="sq-AL"/>
              </w:rPr>
            </w:pPr>
            <w:r w:rsidRPr="00BD2E49">
              <w:rPr>
                <w:rFonts w:ascii="Calibri" w:hAnsi="Calibri"/>
                <w:bCs/>
                <w:sz w:val="18"/>
                <w:lang w:val="sq-AL"/>
              </w:rPr>
              <w:t>7,856,233</w:t>
            </w:r>
          </w:p>
        </w:tc>
        <w:tc>
          <w:tcPr>
            <w:cnfStyle w:val="000010000000" w:firstRow="0" w:lastRow="0" w:firstColumn="0" w:lastColumn="0" w:oddVBand="1" w:evenVBand="0" w:oddHBand="0" w:evenHBand="0" w:firstRowFirstColumn="0" w:firstRowLastColumn="0" w:lastRowFirstColumn="0" w:lastRowLastColumn="0"/>
            <w:tcW w:w="514" w:type="pct"/>
          </w:tcPr>
          <w:p w14:paraId="1C5BAE55" w14:textId="77777777" w:rsidR="000C2868" w:rsidRPr="00BD2E49" w:rsidRDefault="000C2868" w:rsidP="000C2868">
            <w:pPr>
              <w:jc w:val="center"/>
              <w:rPr>
                <w:rFonts w:ascii="Calibri" w:hAnsi="Calibri"/>
                <w:bCs/>
                <w:sz w:val="18"/>
                <w:lang w:val="sq-AL"/>
              </w:rPr>
            </w:pPr>
            <w:r w:rsidRPr="00BD2E49">
              <w:rPr>
                <w:rFonts w:ascii="Calibri" w:hAnsi="Calibri"/>
                <w:bCs/>
                <w:sz w:val="18"/>
                <w:lang w:val="sq-AL"/>
              </w:rPr>
              <w:t>509,318</w:t>
            </w:r>
          </w:p>
        </w:tc>
        <w:tc>
          <w:tcPr>
            <w:tcW w:w="565" w:type="pct"/>
            <w:gridSpan w:val="2"/>
          </w:tcPr>
          <w:p w14:paraId="043BA78F" w14:textId="77777777" w:rsidR="000C2868" w:rsidRPr="00BD2E49"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Calibri" w:hAnsi="Calibri"/>
                <w:bCs/>
                <w:sz w:val="18"/>
                <w:lang w:val="sq-AL"/>
              </w:rPr>
            </w:pPr>
            <w:r w:rsidRPr="00BD2E49">
              <w:rPr>
                <w:rFonts w:ascii="Calibri" w:hAnsi="Calibri"/>
                <w:bCs/>
                <w:sz w:val="18"/>
                <w:lang w:val="sq-AL"/>
              </w:rPr>
              <w:t>4,050,191</w:t>
            </w:r>
          </w:p>
        </w:tc>
        <w:tc>
          <w:tcPr>
            <w:cnfStyle w:val="000010000000" w:firstRow="0" w:lastRow="0" w:firstColumn="0" w:lastColumn="0" w:oddVBand="1" w:evenVBand="0" w:oddHBand="0" w:evenHBand="0" w:firstRowFirstColumn="0" w:firstRowLastColumn="0" w:lastRowFirstColumn="0" w:lastRowLastColumn="0"/>
            <w:tcW w:w="576" w:type="pct"/>
          </w:tcPr>
          <w:p w14:paraId="7F97C0A8" w14:textId="77777777" w:rsidR="000C2868" w:rsidRPr="00BD2E49" w:rsidRDefault="000C2868" w:rsidP="000C2868">
            <w:pPr>
              <w:jc w:val="center"/>
              <w:rPr>
                <w:rFonts w:ascii="Calibri" w:hAnsi="Calibri"/>
                <w:bCs/>
                <w:sz w:val="18"/>
                <w:lang w:val="sq-AL"/>
              </w:rPr>
            </w:pPr>
            <w:r w:rsidRPr="00BD2E49">
              <w:rPr>
                <w:rFonts w:ascii="Calibri" w:hAnsi="Calibri"/>
                <w:bCs/>
                <w:sz w:val="18"/>
                <w:lang w:val="sq-AL"/>
              </w:rPr>
              <w:t>33,401</w:t>
            </w:r>
          </w:p>
        </w:tc>
        <w:tc>
          <w:tcPr>
            <w:tcW w:w="512" w:type="pct"/>
          </w:tcPr>
          <w:p w14:paraId="7BC6F792" w14:textId="77777777" w:rsidR="000C2868" w:rsidRPr="00BD2E49"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Calibri" w:hAnsi="Calibri"/>
                <w:bCs/>
                <w:sz w:val="18"/>
                <w:lang w:val="sq-AL"/>
              </w:rPr>
            </w:pPr>
            <w:r w:rsidRPr="00BD2E49">
              <w:rPr>
                <w:rFonts w:ascii="Calibri" w:hAnsi="Calibri"/>
                <w:bCs/>
                <w:sz w:val="18"/>
                <w:lang w:val="sq-AL"/>
              </w:rPr>
              <w:t>51.55%</w:t>
            </w:r>
          </w:p>
        </w:tc>
        <w:tc>
          <w:tcPr>
            <w:cnfStyle w:val="000100000000" w:firstRow="0" w:lastRow="0" w:firstColumn="0" w:lastColumn="1" w:oddVBand="0" w:evenVBand="0" w:oddHBand="0" w:evenHBand="0" w:firstRowFirstColumn="0" w:firstRowLastColumn="0" w:lastRowFirstColumn="0" w:lastRowLastColumn="0"/>
            <w:tcW w:w="486" w:type="pct"/>
          </w:tcPr>
          <w:p w14:paraId="1B1496B3" w14:textId="77777777" w:rsidR="000C2868" w:rsidRPr="00BD2E49" w:rsidRDefault="000C2868" w:rsidP="000C2868">
            <w:pPr>
              <w:jc w:val="center"/>
              <w:rPr>
                <w:rFonts w:ascii="Calibri" w:hAnsi="Calibri"/>
                <w:b w:val="0"/>
                <w:bCs w:val="0"/>
                <w:sz w:val="18"/>
                <w:lang w:val="sq-AL"/>
              </w:rPr>
            </w:pPr>
            <w:r w:rsidRPr="00BD2E49">
              <w:rPr>
                <w:rFonts w:ascii="Calibri" w:hAnsi="Calibri"/>
                <w:b w:val="0"/>
                <w:bCs w:val="0"/>
                <w:sz w:val="18"/>
                <w:lang w:val="sq-AL"/>
              </w:rPr>
              <w:t>6.56%</w:t>
            </w:r>
          </w:p>
        </w:tc>
      </w:tr>
      <w:tr w:rsidR="000C2868" w:rsidRPr="00BD2E49" w14:paraId="6E3A4C5C" w14:textId="77777777" w:rsidTr="000C2868">
        <w:trPr>
          <w:trHeight w:val="129"/>
          <w:jc w:val="center"/>
        </w:trPr>
        <w:tc>
          <w:tcPr>
            <w:cnfStyle w:val="001000000000" w:firstRow="0" w:lastRow="0" w:firstColumn="1" w:lastColumn="0" w:oddVBand="0" w:evenVBand="0" w:oddHBand="0" w:evenHBand="0" w:firstRowFirstColumn="0" w:firstRowLastColumn="0" w:lastRowFirstColumn="0" w:lastRowLastColumn="0"/>
            <w:tcW w:w="248" w:type="pct"/>
          </w:tcPr>
          <w:p w14:paraId="38474384" w14:textId="77777777" w:rsidR="000C2868" w:rsidRPr="00BD2E49" w:rsidRDefault="000C2868" w:rsidP="000C2868">
            <w:pPr>
              <w:jc w:val="center"/>
              <w:rPr>
                <w:rFonts w:ascii="Calibri" w:hAnsi="Calibri"/>
                <w:sz w:val="18"/>
                <w:lang w:val="sq-AL"/>
              </w:rPr>
            </w:pPr>
            <w:r w:rsidRPr="00BD2E49">
              <w:rPr>
                <w:rFonts w:ascii="Calibri" w:hAnsi="Calibri"/>
                <w:sz w:val="18"/>
                <w:lang w:val="sq-AL"/>
              </w:rPr>
              <w:t>3.</w:t>
            </w:r>
          </w:p>
        </w:tc>
        <w:tc>
          <w:tcPr>
            <w:cnfStyle w:val="000010000000" w:firstRow="0" w:lastRow="0" w:firstColumn="0" w:lastColumn="0" w:oddVBand="1" w:evenVBand="0" w:oddHBand="0" w:evenHBand="0" w:firstRowFirstColumn="0" w:firstRowLastColumn="0" w:lastRowFirstColumn="0" w:lastRowLastColumn="0"/>
            <w:tcW w:w="1562" w:type="pct"/>
            <w:gridSpan w:val="2"/>
            <w:vAlign w:val="bottom"/>
          </w:tcPr>
          <w:p w14:paraId="20F5F3B3" w14:textId="77777777" w:rsidR="000C2868" w:rsidRPr="00BD2E49" w:rsidRDefault="000C2868" w:rsidP="000C2868">
            <w:pPr>
              <w:rPr>
                <w:rFonts w:ascii="Calibri" w:hAnsi="Calibri"/>
                <w:sz w:val="18"/>
                <w:lang w:val="sq-AL"/>
              </w:rPr>
            </w:pPr>
            <w:r w:rsidRPr="00BD2E49">
              <w:rPr>
                <w:rFonts w:ascii="Calibri" w:hAnsi="Calibri"/>
                <w:sz w:val="18"/>
                <w:lang w:val="sq-AL"/>
              </w:rPr>
              <w:t>Shërbime të Kujdesit Shëndetësor Dytësor</w:t>
            </w:r>
          </w:p>
        </w:tc>
        <w:tc>
          <w:tcPr>
            <w:tcW w:w="537" w:type="pct"/>
          </w:tcPr>
          <w:p w14:paraId="1692DE37" w14:textId="77777777" w:rsidR="000C2868" w:rsidRPr="00BD2E49"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Calibri" w:hAnsi="Calibri"/>
                <w:bCs/>
                <w:sz w:val="18"/>
                <w:lang w:val="sq-AL"/>
              </w:rPr>
            </w:pPr>
            <w:r w:rsidRPr="00BD2E49">
              <w:rPr>
                <w:rFonts w:ascii="Calibri" w:hAnsi="Calibri"/>
                <w:bCs/>
                <w:sz w:val="18"/>
                <w:lang w:val="sq-AL"/>
              </w:rPr>
              <w:t>31,935,227</w:t>
            </w:r>
          </w:p>
        </w:tc>
        <w:tc>
          <w:tcPr>
            <w:cnfStyle w:val="000010000000" w:firstRow="0" w:lastRow="0" w:firstColumn="0" w:lastColumn="0" w:oddVBand="1" w:evenVBand="0" w:oddHBand="0" w:evenHBand="0" w:firstRowFirstColumn="0" w:firstRowLastColumn="0" w:lastRowFirstColumn="0" w:lastRowLastColumn="0"/>
            <w:tcW w:w="514" w:type="pct"/>
          </w:tcPr>
          <w:p w14:paraId="1B63A2B3" w14:textId="77777777" w:rsidR="000C2868" w:rsidRPr="00BD2E49" w:rsidRDefault="000C2868" w:rsidP="000C2868">
            <w:pPr>
              <w:jc w:val="center"/>
              <w:rPr>
                <w:rFonts w:ascii="Calibri" w:hAnsi="Calibri"/>
                <w:bCs/>
                <w:sz w:val="18"/>
                <w:lang w:val="sq-AL"/>
              </w:rPr>
            </w:pPr>
            <w:r w:rsidRPr="00BD2E49">
              <w:rPr>
                <w:rFonts w:ascii="Calibri" w:hAnsi="Calibri"/>
                <w:bCs/>
                <w:sz w:val="18"/>
                <w:lang w:val="sq-AL"/>
              </w:rPr>
              <w:t>2,556,204</w:t>
            </w:r>
          </w:p>
        </w:tc>
        <w:tc>
          <w:tcPr>
            <w:tcW w:w="565" w:type="pct"/>
            <w:gridSpan w:val="2"/>
          </w:tcPr>
          <w:p w14:paraId="586561C7" w14:textId="77777777" w:rsidR="000C2868" w:rsidRPr="00BD2E49"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Calibri" w:hAnsi="Calibri"/>
                <w:bCs/>
                <w:sz w:val="18"/>
                <w:lang w:val="sq-AL"/>
              </w:rPr>
            </w:pPr>
            <w:r w:rsidRPr="00BD2E49">
              <w:rPr>
                <w:rFonts w:ascii="Calibri" w:hAnsi="Calibri"/>
                <w:bCs/>
                <w:sz w:val="18"/>
                <w:lang w:val="sq-AL"/>
              </w:rPr>
              <w:t>8,470,017</w:t>
            </w:r>
          </w:p>
        </w:tc>
        <w:tc>
          <w:tcPr>
            <w:cnfStyle w:val="000010000000" w:firstRow="0" w:lastRow="0" w:firstColumn="0" w:lastColumn="0" w:oddVBand="1" w:evenVBand="0" w:oddHBand="0" w:evenHBand="0" w:firstRowFirstColumn="0" w:firstRowLastColumn="0" w:lastRowFirstColumn="0" w:lastRowLastColumn="0"/>
            <w:tcW w:w="576" w:type="pct"/>
          </w:tcPr>
          <w:p w14:paraId="4464E456" w14:textId="77777777" w:rsidR="000C2868" w:rsidRPr="00BD2E49" w:rsidRDefault="000C2868" w:rsidP="000C2868">
            <w:pPr>
              <w:jc w:val="center"/>
              <w:rPr>
                <w:rFonts w:ascii="Calibri" w:hAnsi="Calibri"/>
                <w:bCs/>
                <w:sz w:val="18"/>
                <w:lang w:val="sq-AL"/>
              </w:rPr>
            </w:pPr>
            <w:r w:rsidRPr="00BD2E49">
              <w:rPr>
                <w:rFonts w:ascii="Calibri" w:hAnsi="Calibri"/>
                <w:bCs/>
                <w:sz w:val="18"/>
                <w:lang w:val="sq-AL"/>
              </w:rPr>
              <w:t>317,918</w:t>
            </w:r>
          </w:p>
        </w:tc>
        <w:tc>
          <w:tcPr>
            <w:tcW w:w="512" w:type="pct"/>
          </w:tcPr>
          <w:p w14:paraId="6D98974C" w14:textId="77777777" w:rsidR="000C2868" w:rsidRPr="00BD2E49"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Calibri" w:hAnsi="Calibri"/>
                <w:bCs/>
                <w:sz w:val="18"/>
                <w:lang w:val="sq-AL"/>
              </w:rPr>
            </w:pPr>
            <w:r w:rsidRPr="00BD2E49">
              <w:rPr>
                <w:rFonts w:ascii="Calibri" w:hAnsi="Calibri"/>
                <w:bCs/>
                <w:sz w:val="18"/>
                <w:lang w:val="sq-AL"/>
              </w:rPr>
              <w:t>26.52%</w:t>
            </w:r>
          </w:p>
        </w:tc>
        <w:tc>
          <w:tcPr>
            <w:cnfStyle w:val="000100000000" w:firstRow="0" w:lastRow="0" w:firstColumn="0" w:lastColumn="1" w:oddVBand="0" w:evenVBand="0" w:oddHBand="0" w:evenHBand="0" w:firstRowFirstColumn="0" w:firstRowLastColumn="0" w:lastRowFirstColumn="0" w:lastRowLastColumn="0"/>
            <w:tcW w:w="486" w:type="pct"/>
          </w:tcPr>
          <w:p w14:paraId="11F13992" w14:textId="77777777" w:rsidR="000C2868" w:rsidRPr="00BD2E49" w:rsidRDefault="000C2868" w:rsidP="000C2868">
            <w:pPr>
              <w:jc w:val="center"/>
              <w:rPr>
                <w:rFonts w:ascii="Calibri" w:hAnsi="Calibri"/>
                <w:b w:val="0"/>
                <w:bCs w:val="0"/>
                <w:sz w:val="18"/>
                <w:lang w:val="sq-AL"/>
              </w:rPr>
            </w:pPr>
            <w:r w:rsidRPr="00BD2E49">
              <w:rPr>
                <w:rFonts w:ascii="Calibri" w:hAnsi="Calibri"/>
                <w:b w:val="0"/>
                <w:bCs w:val="0"/>
                <w:sz w:val="18"/>
                <w:lang w:val="sq-AL"/>
              </w:rPr>
              <w:t>12.44%</w:t>
            </w:r>
          </w:p>
        </w:tc>
      </w:tr>
      <w:tr w:rsidR="000C2868" w:rsidRPr="00BD2E49" w14:paraId="0CD03E09" w14:textId="77777777" w:rsidTr="000C2868">
        <w:trPr>
          <w:cnfStyle w:val="000000100000" w:firstRow="0" w:lastRow="0" w:firstColumn="0" w:lastColumn="0" w:oddVBand="0" w:evenVBand="0" w:oddHBand="1" w:evenHBand="0" w:firstRowFirstColumn="0" w:firstRowLastColumn="0" w:lastRowFirstColumn="0" w:lastRowLastColumn="0"/>
          <w:trHeight w:val="147"/>
          <w:jc w:val="center"/>
        </w:trPr>
        <w:tc>
          <w:tcPr>
            <w:cnfStyle w:val="001000000000" w:firstRow="0" w:lastRow="0" w:firstColumn="1" w:lastColumn="0" w:oddVBand="0" w:evenVBand="0" w:oddHBand="0" w:evenHBand="0" w:firstRowFirstColumn="0" w:firstRowLastColumn="0" w:lastRowFirstColumn="0" w:lastRowLastColumn="0"/>
            <w:tcW w:w="248" w:type="pct"/>
          </w:tcPr>
          <w:p w14:paraId="4D9059B6" w14:textId="77777777" w:rsidR="000C2868" w:rsidRPr="00BD2E49" w:rsidRDefault="000C2868" w:rsidP="000C2868">
            <w:pPr>
              <w:jc w:val="center"/>
              <w:rPr>
                <w:rFonts w:ascii="Calibri" w:hAnsi="Calibri"/>
                <w:sz w:val="18"/>
                <w:lang w:val="sq-AL"/>
              </w:rPr>
            </w:pPr>
            <w:r w:rsidRPr="00BD2E49">
              <w:rPr>
                <w:rFonts w:ascii="Calibri" w:hAnsi="Calibri"/>
                <w:sz w:val="18"/>
                <w:lang w:val="sq-AL"/>
              </w:rPr>
              <w:t>4.</w:t>
            </w:r>
          </w:p>
        </w:tc>
        <w:tc>
          <w:tcPr>
            <w:cnfStyle w:val="000010000000" w:firstRow="0" w:lastRow="0" w:firstColumn="0" w:lastColumn="0" w:oddVBand="1" w:evenVBand="0" w:oddHBand="0" w:evenHBand="0" w:firstRowFirstColumn="0" w:firstRowLastColumn="0" w:lastRowFirstColumn="0" w:lastRowLastColumn="0"/>
            <w:tcW w:w="1562" w:type="pct"/>
            <w:gridSpan w:val="2"/>
            <w:vAlign w:val="bottom"/>
          </w:tcPr>
          <w:p w14:paraId="35CE715C" w14:textId="77777777" w:rsidR="000C2868" w:rsidRPr="00BD2E49" w:rsidRDefault="000C2868" w:rsidP="000C2868">
            <w:pPr>
              <w:rPr>
                <w:rFonts w:ascii="Calibri" w:hAnsi="Calibri"/>
                <w:sz w:val="18"/>
                <w:lang w:val="sq-AL"/>
              </w:rPr>
            </w:pPr>
            <w:r w:rsidRPr="00BD2E49">
              <w:rPr>
                <w:rFonts w:ascii="Calibri" w:hAnsi="Calibri"/>
                <w:sz w:val="18"/>
                <w:lang w:val="sq-AL"/>
              </w:rPr>
              <w:t>Shërbime të Shëndetit Publik</w:t>
            </w:r>
          </w:p>
        </w:tc>
        <w:tc>
          <w:tcPr>
            <w:tcW w:w="537" w:type="pct"/>
          </w:tcPr>
          <w:p w14:paraId="4BDFB2E2" w14:textId="77777777" w:rsidR="000C2868" w:rsidRPr="00BD2E49"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Calibri" w:hAnsi="Calibri"/>
                <w:bCs/>
                <w:sz w:val="18"/>
                <w:lang w:val="sq-AL"/>
              </w:rPr>
            </w:pPr>
            <w:r w:rsidRPr="00BD2E49">
              <w:rPr>
                <w:rFonts w:ascii="Calibri" w:hAnsi="Calibri"/>
                <w:bCs/>
                <w:sz w:val="18"/>
                <w:lang w:val="sq-AL"/>
              </w:rPr>
              <w:t>4,044,098</w:t>
            </w:r>
          </w:p>
        </w:tc>
        <w:tc>
          <w:tcPr>
            <w:cnfStyle w:val="000010000000" w:firstRow="0" w:lastRow="0" w:firstColumn="0" w:lastColumn="0" w:oddVBand="1" w:evenVBand="0" w:oddHBand="0" w:evenHBand="0" w:firstRowFirstColumn="0" w:firstRowLastColumn="0" w:lastRowFirstColumn="0" w:lastRowLastColumn="0"/>
            <w:tcW w:w="514" w:type="pct"/>
          </w:tcPr>
          <w:p w14:paraId="5FDE677C" w14:textId="77777777" w:rsidR="000C2868" w:rsidRPr="00BD2E49" w:rsidRDefault="000C2868" w:rsidP="000C2868">
            <w:pPr>
              <w:jc w:val="center"/>
              <w:rPr>
                <w:rFonts w:ascii="Calibri" w:hAnsi="Calibri"/>
                <w:bCs/>
                <w:sz w:val="18"/>
                <w:lang w:val="sq-AL"/>
              </w:rPr>
            </w:pPr>
            <w:r w:rsidRPr="00BD2E49">
              <w:rPr>
                <w:rFonts w:ascii="Calibri" w:hAnsi="Calibri"/>
                <w:bCs/>
                <w:sz w:val="18"/>
                <w:lang w:val="sq-AL"/>
              </w:rPr>
              <w:t>150,400</w:t>
            </w:r>
          </w:p>
        </w:tc>
        <w:tc>
          <w:tcPr>
            <w:tcW w:w="565" w:type="pct"/>
            <w:gridSpan w:val="2"/>
          </w:tcPr>
          <w:p w14:paraId="7234E2A6" w14:textId="77777777" w:rsidR="000C2868" w:rsidRPr="00BD2E49"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Calibri" w:hAnsi="Calibri"/>
                <w:bCs/>
                <w:sz w:val="18"/>
                <w:lang w:val="sq-AL"/>
              </w:rPr>
            </w:pPr>
            <w:r w:rsidRPr="00BD2E49">
              <w:rPr>
                <w:rFonts w:ascii="Calibri" w:hAnsi="Calibri"/>
                <w:bCs/>
                <w:sz w:val="18"/>
                <w:lang w:val="sq-AL"/>
              </w:rPr>
              <w:t>1,212,164</w:t>
            </w:r>
          </w:p>
        </w:tc>
        <w:tc>
          <w:tcPr>
            <w:cnfStyle w:val="000010000000" w:firstRow="0" w:lastRow="0" w:firstColumn="0" w:lastColumn="0" w:oddVBand="1" w:evenVBand="0" w:oddHBand="0" w:evenHBand="0" w:firstRowFirstColumn="0" w:firstRowLastColumn="0" w:lastRowFirstColumn="0" w:lastRowLastColumn="0"/>
            <w:tcW w:w="576" w:type="pct"/>
          </w:tcPr>
          <w:p w14:paraId="71E7FC01" w14:textId="77777777" w:rsidR="000C2868" w:rsidRPr="00BD2E49" w:rsidRDefault="000C2868" w:rsidP="000C2868">
            <w:pPr>
              <w:jc w:val="center"/>
              <w:rPr>
                <w:rFonts w:ascii="Calibri" w:hAnsi="Calibri"/>
                <w:bCs/>
                <w:sz w:val="18"/>
                <w:lang w:val="sq-AL"/>
              </w:rPr>
            </w:pPr>
            <w:r w:rsidRPr="00BD2E49">
              <w:rPr>
                <w:rFonts w:ascii="Calibri" w:hAnsi="Calibri"/>
                <w:bCs/>
                <w:sz w:val="18"/>
                <w:lang w:val="sq-AL"/>
              </w:rPr>
              <w:t>33,231</w:t>
            </w:r>
          </w:p>
        </w:tc>
        <w:tc>
          <w:tcPr>
            <w:tcW w:w="512" w:type="pct"/>
          </w:tcPr>
          <w:p w14:paraId="6BBB9C62" w14:textId="77777777" w:rsidR="000C2868" w:rsidRPr="00BD2E49"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Calibri" w:hAnsi="Calibri"/>
                <w:bCs/>
                <w:sz w:val="18"/>
                <w:lang w:val="sq-AL"/>
              </w:rPr>
            </w:pPr>
            <w:r w:rsidRPr="00BD2E49">
              <w:rPr>
                <w:rFonts w:ascii="Calibri" w:hAnsi="Calibri"/>
                <w:bCs/>
                <w:sz w:val="18"/>
                <w:lang w:val="sq-AL"/>
              </w:rPr>
              <w:t>29.97%</w:t>
            </w:r>
          </w:p>
        </w:tc>
        <w:tc>
          <w:tcPr>
            <w:cnfStyle w:val="000100000000" w:firstRow="0" w:lastRow="0" w:firstColumn="0" w:lastColumn="1" w:oddVBand="0" w:evenVBand="0" w:oddHBand="0" w:evenHBand="0" w:firstRowFirstColumn="0" w:firstRowLastColumn="0" w:lastRowFirstColumn="0" w:lastRowLastColumn="0"/>
            <w:tcW w:w="486" w:type="pct"/>
          </w:tcPr>
          <w:p w14:paraId="176B5CB5" w14:textId="77777777" w:rsidR="000C2868" w:rsidRPr="00BD2E49" w:rsidRDefault="000C2868" w:rsidP="000C2868">
            <w:pPr>
              <w:jc w:val="center"/>
              <w:rPr>
                <w:rFonts w:ascii="Calibri" w:hAnsi="Calibri"/>
                <w:b w:val="0"/>
                <w:bCs w:val="0"/>
                <w:sz w:val="18"/>
                <w:lang w:val="sq-AL"/>
              </w:rPr>
            </w:pPr>
            <w:r w:rsidRPr="00BD2E49">
              <w:rPr>
                <w:rFonts w:ascii="Calibri" w:hAnsi="Calibri"/>
                <w:b w:val="0"/>
                <w:bCs w:val="0"/>
                <w:sz w:val="18"/>
                <w:lang w:val="sq-AL"/>
              </w:rPr>
              <w:t>22.10%</w:t>
            </w:r>
          </w:p>
        </w:tc>
      </w:tr>
      <w:tr w:rsidR="000C2868" w:rsidRPr="00BD2E49" w14:paraId="637648C1" w14:textId="77777777" w:rsidTr="000C2868">
        <w:trPr>
          <w:trHeight w:val="147"/>
          <w:jc w:val="center"/>
        </w:trPr>
        <w:tc>
          <w:tcPr>
            <w:cnfStyle w:val="001000000000" w:firstRow="0" w:lastRow="0" w:firstColumn="1" w:lastColumn="0" w:oddVBand="0" w:evenVBand="0" w:oddHBand="0" w:evenHBand="0" w:firstRowFirstColumn="0" w:firstRowLastColumn="0" w:lastRowFirstColumn="0" w:lastRowLastColumn="0"/>
            <w:tcW w:w="248" w:type="pct"/>
          </w:tcPr>
          <w:p w14:paraId="2BE88E2D" w14:textId="77777777" w:rsidR="000C2868" w:rsidRPr="00BD2E49" w:rsidRDefault="000C2868" w:rsidP="000C2868">
            <w:pPr>
              <w:jc w:val="center"/>
              <w:rPr>
                <w:rFonts w:ascii="Calibri" w:hAnsi="Calibri"/>
                <w:sz w:val="18"/>
                <w:lang w:val="sq-AL"/>
              </w:rPr>
            </w:pPr>
            <w:r w:rsidRPr="00BD2E49">
              <w:rPr>
                <w:rFonts w:ascii="Calibri" w:hAnsi="Calibri"/>
                <w:sz w:val="18"/>
                <w:lang w:val="sq-AL"/>
              </w:rPr>
              <w:t>5.</w:t>
            </w:r>
          </w:p>
        </w:tc>
        <w:tc>
          <w:tcPr>
            <w:cnfStyle w:val="000010000000" w:firstRow="0" w:lastRow="0" w:firstColumn="0" w:lastColumn="0" w:oddVBand="1" w:evenVBand="0" w:oddHBand="0" w:evenHBand="0" w:firstRowFirstColumn="0" w:firstRowLastColumn="0" w:lastRowFirstColumn="0" w:lastRowLastColumn="0"/>
            <w:tcW w:w="1562" w:type="pct"/>
            <w:gridSpan w:val="2"/>
            <w:vAlign w:val="bottom"/>
          </w:tcPr>
          <w:p w14:paraId="13A322F3" w14:textId="77777777" w:rsidR="000C2868" w:rsidRPr="00BD2E49" w:rsidRDefault="000C2868" w:rsidP="000C2868">
            <w:pPr>
              <w:rPr>
                <w:rFonts w:ascii="Calibri" w:hAnsi="Calibri"/>
                <w:sz w:val="18"/>
                <w:lang w:val="sq-AL"/>
              </w:rPr>
            </w:pPr>
            <w:r w:rsidRPr="00BD2E49">
              <w:rPr>
                <w:rFonts w:ascii="Calibri" w:hAnsi="Calibri"/>
                <w:sz w:val="18"/>
                <w:lang w:val="sq-AL"/>
              </w:rPr>
              <w:t>Përkujdesi Social</w:t>
            </w:r>
          </w:p>
        </w:tc>
        <w:tc>
          <w:tcPr>
            <w:tcW w:w="537" w:type="pct"/>
          </w:tcPr>
          <w:p w14:paraId="74808C81" w14:textId="77777777" w:rsidR="000C2868" w:rsidRPr="00BD2E49"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Calibri" w:hAnsi="Calibri"/>
                <w:bCs/>
                <w:sz w:val="18"/>
                <w:lang w:val="sq-AL"/>
              </w:rPr>
            </w:pPr>
            <w:r w:rsidRPr="00BD2E49">
              <w:rPr>
                <w:rFonts w:ascii="Calibri" w:hAnsi="Calibri"/>
                <w:bCs/>
                <w:sz w:val="18"/>
                <w:lang w:val="sq-AL"/>
              </w:rPr>
              <w:t>29,213,200</w:t>
            </w:r>
          </w:p>
        </w:tc>
        <w:tc>
          <w:tcPr>
            <w:cnfStyle w:val="000010000000" w:firstRow="0" w:lastRow="0" w:firstColumn="0" w:lastColumn="0" w:oddVBand="1" w:evenVBand="0" w:oddHBand="0" w:evenHBand="0" w:firstRowFirstColumn="0" w:firstRowLastColumn="0" w:lastRowFirstColumn="0" w:lastRowLastColumn="0"/>
            <w:tcW w:w="514" w:type="pct"/>
          </w:tcPr>
          <w:p w14:paraId="029B34F7" w14:textId="77777777" w:rsidR="000C2868" w:rsidRPr="00BD2E49" w:rsidRDefault="000C2868" w:rsidP="000C2868">
            <w:pPr>
              <w:jc w:val="center"/>
              <w:rPr>
                <w:rFonts w:ascii="Calibri" w:hAnsi="Calibri"/>
                <w:bCs/>
                <w:sz w:val="18"/>
                <w:lang w:val="sq-AL"/>
              </w:rPr>
            </w:pPr>
            <w:r w:rsidRPr="00BD2E49">
              <w:rPr>
                <w:rFonts w:ascii="Calibri" w:hAnsi="Calibri"/>
                <w:bCs/>
                <w:sz w:val="18"/>
                <w:lang w:val="sq-AL"/>
              </w:rPr>
              <w:t>377,778</w:t>
            </w:r>
          </w:p>
        </w:tc>
        <w:tc>
          <w:tcPr>
            <w:tcW w:w="565" w:type="pct"/>
            <w:gridSpan w:val="2"/>
          </w:tcPr>
          <w:p w14:paraId="174BA433" w14:textId="77777777" w:rsidR="000C2868" w:rsidRPr="00BD2E49"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Calibri" w:hAnsi="Calibri"/>
                <w:bCs/>
                <w:sz w:val="18"/>
                <w:lang w:val="sq-AL"/>
              </w:rPr>
            </w:pPr>
            <w:r w:rsidRPr="00BD2E49">
              <w:rPr>
                <w:rFonts w:ascii="Calibri" w:hAnsi="Calibri"/>
                <w:bCs/>
                <w:sz w:val="18"/>
                <w:lang w:val="sq-AL"/>
              </w:rPr>
              <w:t>8,750,505</w:t>
            </w:r>
          </w:p>
        </w:tc>
        <w:tc>
          <w:tcPr>
            <w:cnfStyle w:val="000010000000" w:firstRow="0" w:lastRow="0" w:firstColumn="0" w:lastColumn="0" w:oddVBand="1" w:evenVBand="0" w:oddHBand="0" w:evenHBand="0" w:firstRowFirstColumn="0" w:firstRowLastColumn="0" w:lastRowFirstColumn="0" w:lastRowLastColumn="0"/>
            <w:tcW w:w="576" w:type="pct"/>
          </w:tcPr>
          <w:p w14:paraId="4BE70269" w14:textId="77777777" w:rsidR="000C2868" w:rsidRPr="00BD2E49" w:rsidRDefault="000C2868" w:rsidP="000C2868">
            <w:pPr>
              <w:jc w:val="center"/>
              <w:rPr>
                <w:rFonts w:ascii="Calibri" w:hAnsi="Calibri"/>
                <w:bCs/>
                <w:sz w:val="18"/>
                <w:lang w:val="sq-AL"/>
              </w:rPr>
            </w:pPr>
            <w:r w:rsidRPr="00BD2E49">
              <w:rPr>
                <w:rFonts w:ascii="Calibri" w:hAnsi="Calibri"/>
                <w:bCs/>
                <w:sz w:val="18"/>
                <w:lang w:val="sq-AL"/>
              </w:rPr>
              <w:t>6,991</w:t>
            </w:r>
          </w:p>
        </w:tc>
        <w:tc>
          <w:tcPr>
            <w:tcW w:w="512" w:type="pct"/>
          </w:tcPr>
          <w:p w14:paraId="7854445E" w14:textId="77777777" w:rsidR="000C2868" w:rsidRPr="00BD2E49"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Calibri" w:hAnsi="Calibri"/>
                <w:bCs/>
                <w:sz w:val="18"/>
                <w:lang w:val="sq-AL"/>
              </w:rPr>
            </w:pPr>
            <w:r w:rsidRPr="00BD2E49">
              <w:rPr>
                <w:rFonts w:ascii="Calibri" w:hAnsi="Calibri"/>
                <w:bCs/>
                <w:sz w:val="18"/>
                <w:lang w:val="sq-AL"/>
              </w:rPr>
              <w:t>29.95%</w:t>
            </w:r>
          </w:p>
        </w:tc>
        <w:tc>
          <w:tcPr>
            <w:cnfStyle w:val="000100000000" w:firstRow="0" w:lastRow="0" w:firstColumn="0" w:lastColumn="1" w:oddVBand="0" w:evenVBand="0" w:oddHBand="0" w:evenHBand="0" w:firstRowFirstColumn="0" w:firstRowLastColumn="0" w:lastRowFirstColumn="0" w:lastRowLastColumn="0"/>
            <w:tcW w:w="486" w:type="pct"/>
          </w:tcPr>
          <w:p w14:paraId="53CFBC43" w14:textId="77777777" w:rsidR="000C2868" w:rsidRPr="00BD2E49" w:rsidRDefault="000C2868" w:rsidP="000C2868">
            <w:pPr>
              <w:jc w:val="center"/>
              <w:rPr>
                <w:rFonts w:ascii="Calibri" w:hAnsi="Calibri"/>
                <w:b w:val="0"/>
                <w:bCs w:val="0"/>
                <w:sz w:val="18"/>
                <w:lang w:val="sq-AL"/>
              </w:rPr>
            </w:pPr>
            <w:r w:rsidRPr="00BD2E49">
              <w:rPr>
                <w:rFonts w:ascii="Calibri" w:hAnsi="Calibri"/>
                <w:b w:val="0"/>
                <w:bCs w:val="0"/>
                <w:sz w:val="18"/>
                <w:lang w:val="sq-AL"/>
              </w:rPr>
              <w:t>1.85%</w:t>
            </w:r>
          </w:p>
        </w:tc>
      </w:tr>
      <w:tr w:rsidR="000C2868" w:rsidRPr="00BD2E49" w14:paraId="3DCD90F6" w14:textId="77777777" w:rsidTr="000C2868">
        <w:trPr>
          <w:cnfStyle w:val="000000100000" w:firstRow="0" w:lastRow="0" w:firstColumn="0" w:lastColumn="0" w:oddVBand="0" w:evenVBand="0" w:oddHBand="1" w:evenHBand="0" w:firstRowFirstColumn="0" w:firstRowLastColumn="0" w:lastRowFirstColumn="0" w:lastRowLastColumn="0"/>
          <w:trHeight w:val="129"/>
          <w:jc w:val="center"/>
        </w:trPr>
        <w:tc>
          <w:tcPr>
            <w:cnfStyle w:val="001000000000" w:firstRow="0" w:lastRow="0" w:firstColumn="1" w:lastColumn="0" w:oddVBand="0" w:evenVBand="0" w:oddHBand="0" w:evenHBand="0" w:firstRowFirstColumn="0" w:firstRowLastColumn="0" w:lastRowFirstColumn="0" w:lastRowLastColumn="0"/>
            <w:tcW w:w="248" w:type="pct"/>
            <w:tcBorders>
              <w:bottom w:val="none" w:sz="0" w:space="0" w:color="auto"/>
            </w:tcBorders>
          </w:tcPr>
          <w:p w14:paraId="4BD1FBF7" w14:textId="77777777" w:rsidR="000C2868" w:rsidRPr="00BD2E49" w:rsidRDefault="000C2868" w:rsidP="000C2868">
            <w:pPr>
              <w:jc w:val="center"/>
              <w:rPr>
                <w:rFonts w:ascii="Calibri" w:hAnsi="Calibri"/>
                <w:sz w:val="18"/>
                <w:lang w:val="sq-AL"/>
              </w:rPr>
            </w:pPr>
            <w:r w:rsidRPr="00BD2E49">
              <w:rPr>
                <w:rFonts w:ascii="Calibri" w:hAnsi="Calibri"/>
                <w:sz w:val="18"/>
                <w:lang w:val="sq-AL"/>
              </w:rPr>
              <w:t>6.</w:t>
            </w:r>
          </w:p>
        </w:tc>
        <w:tc>
          <w:tcPr>
            <w:cnfStyle w:val="000010000000" w:firstRow="0" w:lastRow="0" w:firstColumn="0" w:lastColumn="0" w:oddVBand="1" w:evenVBand="0" w:oddHBand="0" w:evenHBand="0" w:firstRowFirstColumn="0" w:firstRowLastColumn="0" w:lastRowFirstColumn="0" w:lastRowLastColumn="0"/>
            <w:tcW w:w="1562" w:type="pct"/>
            <w:gridSpan w:val="2"/>
            <w:tcBorders>
              <w:bottom w:val="none" w:sz="0" w:space="0" w:color="auto"/>
            </w:tcBorders>
            <w:vAlign w:val="bottom"/>
          </w:tcPr>
          <w:p w14:paraId="51BC0321" w14:textId="77777777" w:rsidR="000C2868" w:rsidRPr="00BD2E49" w:rsidRDefault="000C2868" w:rsidP="000C2868">
            <w:pPr>
              <w:rPr>
                <w:rFonts w:ascii="Calibri" w:hAnsi="Calibri"/>
                <w:b/>
                <w:bCs/>
                <w:sz w:val="18"/>
                <w:lang w:val="sq-AL"/>
              </w:rPr>
            </w:pPr>
            <w:r w:rsidRPr="00BD2E49">
              <w:rPr>
                <w:rFonts w:ascii="Calibri" w:hAnsi="Calibri"/>
                <w:sz w:val="18"/>
                <w:lang w:val="sq-AL"/>
              </w:rPr>
              <w:t>Rehabilitimi  i të Përndjekurve Politik</w:t>
            </w:r>
          </w:p>
        </w:tc>
        <w:tc>
          <w:tcPr>
            <w:tcW w:w="537" w:type="pct"/>
            <w:tcBorders>
              <w:bottom w:val="none" w:sz="0" w:space="0" w:color="auto"/>
            </w:tcBorders>
          </w:tcPr>
          <w:p w14:paraId="34D0DF02" w14:textId="77777777" w:rsidR="000C2868" w:rsidRPr="00BD2E49"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Calibri" w:hAnsi="Calibri"/>
                <w:bCs/>
                <w:sz w:val="18"/>
                <w:lang w:val="sq-AL"/>
              </w:rPr>
            </w:pPr>
            <w:r w:rsidRPr="00BD2E49">
              <w:rPr>
                <w:rFonts w:ascii="Calibri" w:hAnsi="Calibri"/>
                <w:bCs/>
                <w:sz w:val="18"/>
                <w:lang w:val="sq-AL"/>
              </w:rPr>
              <w:t>1,036,770</w:t>
            </w:r>
          </w:p>
        </w:tc>
        <w:tc>
          <w:tcPr>
            <w:cnfStyle w:val="000010000000" w:firstRow="0" w:lastRow="0" w:firstColumn="0" w:lastColumn="0" w:oddVBand="1" w:evenVBand="0" w:oddHBand="0" w:evenHBand="0" w:firstRowFirstColumn="0" w:firstRowLastColumn="0" w:lastRowFirstColumn="0" w:lastRowLastColumn="0"/>
            <w:tcW w:w="514" w:type="pct"/>
            <w:tcBorders>
              <w:bottom w:val="none" w:sz="0" w:space="0" w:color="auto"/>
            </w:tcBorders>
          </w:tcPr>
          <w:p w14:paraId="4C081748" w14:textId="77777777" w:rsidR="000C2868" w:rsidRPr="00BD2E49" w:rsidRDefault="000C2868" w:rsidP="000C2868">
            <w:pPr>
              <w:jc w:val="center"/>
              <w:rPr>
                <w:rFonts w:ascii="Calibri" w:hAnsi="Calibri"/>
                <w:bCs/>
                <w:sz w:val="18"/>
                <w:lang w:val="sq-AL"/>
              </w:rPr>
            </w:pPr>
            <w:r w:rsidRPr="00BD2E49">
              <w:rPr>
                <w:rFonts w:ascii="Calibri" w:hAnsi="Calibri"/>
                <w:bCs/>
                <w:sz w:val="18"/>
                <w:lang w:val="sq-AL"/>
              </w:rPr>
              <w:t>0</w:t>
            </w:r>
          </w:p>
        </w:tc>
        <w:tc>
          <w:tcPr>
            <w:tcW w:w="565" w:type="pct"/>
            <w:gridSpan w:val="2"/>
            <w:tcBorders>
              <w:bottom w:val="none" w:sz="0" w:space="0" w:color="auto"/>
            </w:tcBorders>
          </w:tcPr>
          <w:p w14:paraId="6D7210E7" w14:textId="77777777" w:rsidR="000C2868" w:rsidRPr="00BD2E49"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Calibri" w:hAnsi="Calibri"/>
                <w:bCs/>
                <w:sz w:val="18"/>
                <w:lang w:val="sq-AL"/>
              </w:rPr>
            </w:pPr>
            <w:r w:rsidRPr="00BD2E49">
              <w:rPr>
                <w:rFonts w:ascii="Calibri" w:hAnsi="Calibri"/>
                <w:bCs/>
                <w:sz w:val="18"/>
                <w:lang w:val="sq-AL"/>
              </w:rPr>
              <w:t>428,207</w:t>
            </w:r>
          </w:p>
        </w:tc>
        <w:tc>
          <w:tcPr>
            <w:cnfStyle w:val="000010000000" w:firstRow="0" w:lastRow="0" w:firstColumn="0" w:lastColumn="0" w:oddVBand="1" w:evenVBand="0" w:oddHBand="0" w:evenHBand="0" w:firstRowFirstColumn="0" w:firstRowLastColumn="0" w:lastRowFirstColumn="0" w:lastRowLastColumn="0"/>
            <w:tcW w:w="576" w:type="pct"/>
            <w:tcBorders>
              <w:bottom w:val="none" w:sz="0" w:space="0" w:color="auto"/>
            </w:tcBorders>
          </w:tcPr>
          <w:p w14:paraId="4BFF4F66" w14:textId="77777777" w:rsidR="000C2868" w:rsidRPr="00BD2E49" w:rsidRDefault="000C2868" w:rsidP="000C2868">
            <w:pPr>
              <w:jc w:val="center"/>
              <w:rPr>
                <w:rFonts w:ascii="Calibri" w:hAnsi="Calibri"/>
                <w:bCs/>
                <w:sz w:val="18"/>
                <w:lang w:val="sq-AL"/>
              </w:rPr>
            </w:pPr>
            <w:r w:rsidRPr="00BD2E49">
              <w:rPr>
                <w:rFonts w:ascii="Calibri" w:hAnsi="Calibri"/>
                <w:bCs/>
                <w:sz w:val="18"/>
                <w:lang w:val="sq-AL"/>
              </w:rPr>
              <w:t>0</w:t>
            </w:r>
          </w:p>
        </w:tc>
        <w:tc>
          <w:tcPr>
            <w:tcW w:w="512" w:type="pct"/>
            <w:tcBorders>
              <w:bottom w:val="none" w:sz="0" w:space="0" w:color="auto"/>
            </w:tcBorders>
          </w:tcPr>
          <w:p w14:paraId="1C95E209" w14:textId="77777777" w:rsidR="000C2868" w:rsidRPr="00BD2E49"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Calibri" w:hAnsi="Calibri"/>
                <w:bCs/>
                <w:sz w:val="18"/>
                <w:lang w:val="sq-AL"/>
              </w:rPr>
            </w:pPr>
            <w:r w:rsidRPr="00BD2E49">
              <w:rPr>
                <w:rFonts w:ascii="Calibri" w:hAnsi="Calibri"/>
                <w:bCs/>
                <w:sz w:val="18"/>
                <w:lang w:val="sq-AL"/>
              </w:rPr>
              <w:t>41.30%</w:t>
            </w:r>
          </w:p>
        </w:tc>
        <w:tc>
          <w:tcPr>
            <w:cnfStyle w:val="000100000000" w:firstRow="0" w:lastRow="0" w:firstColumn="0" w:lastColumn="1" w:oddVBand="0" w:evenVBand="0" w:oddHBand="0" w:evenHBand="0" w:firstRowFirstColumn="0" w:firstRowLastColumn="0" w:lastRowFirstColumn="0" w:lastRowLastColumn="0"/>
            <w:tcW w:w="486" w:type="pct"/>
            <w:tcBorders>
              <w:bottom w:val="none" w:sz="0" w:space="0" w:color="auto"/>
            </w:tcBorders>
            <w:vAlign w:val="bottom"/>
          </w:tcPr>
          <w:p w14:paraId="3D0D2EEA" w14:textId="77777777" w:rsidR="000C2868" w:rsidRPr="00BD2E49" w:rsidRDefault="000C2868" w:rsidP="000C2868">
            <w:pPr>
              <w:jc w:val="center"/>
              <w:rPr>
                <w:rFonts w:ascii="Calibri" w:hAnsi="Calibri"/>
                <w:b w:val="0"/>
                <w:bCs w:val="0"/>
                <w:sz w:val="18"/>
                <w:lang w:val="sq-AL"/>
              </w:rPr>
            </w:pPr>
            <w:r w:rsidRPr="00BD2E49">
              <w:rPr>
                <w:rFonts w:ascii="Calibri" w:hAnsi="Calibri"/>
                <w:b w:val="0"/>
                <w:bCs w:val="0"/>
                <w:sz w:val="18"/>
                <w:lang w:val="sq-AL"/>
              </w:rPr>
              <w:t>-</w:t>
            </w:r>
          </w:p>
        </w:tc>
      </w:tr>
      <w:tr w:rsidR="000C2868" w:rsidRPr="00BD2E49" w14:paraId="5196B7C2" w14:textId="77777777" w:rsidTr="000C2868">
        <w:trPr>
          <w:cnfStyle w:val="010000000000" w:firstRow="0" w:lastRow="1" w:firstColumn="0" w:lastColumn="0" w:oddVBand="0" w:evenVBand="0" w:oddHBand="0" w:evenHBand="0" w:firstRowFirstColumn="0" w:firstRowLastColumn="0" w:lastRowFirstColumn="0" w:lastRowLastColumn="0"/>
          <w:trHeight w:val="129"/>
          <w:jc w:val="center"/>
        </w:trPr>
        <w:tc>
          <w:tcPr>
            <w:cnfStyle w:val="001000000001" w:firstRow="0" w:lastRow="0" w:firstColumn="1" w:lastColumn="0" w:oddVBand="0" w:evenVBand="0" w:oddHBand="0" w:evenHBand="0" w:firstRowFirstColumn="0" w:firstRowLastColumn="0" w:lastRowFirstColumn="1" w:lastRowLastColumn="0"/>
            <w:tcW w:w="1810" w:type="pct"/>
            <w:gridSpan w:val="3"/>
            <w:tcBorders>
              <w:bottom w:val="single" w:sz="4" w:space="0" w:color="auto"/>
            </w:tcBorders>
          </w:tcPr>
          <w:p w14:paraId="123F11ED" w14:textId="77777777" w:rsidR="000C2868" w:rsidRPr="00BD2E49" w:rsidRDefault="000C2868" w:rsidP="000C2868">
            <w:pPr>
              <w:jc w:val="center"/>
              <w:rPr>
                <w:rFonts w:ascii="Calibri" w:hAnsi="Calibri"/>
                <w:sz w:val="18"/>
                <w:lang w:val="sq-AL"/>
              </w:rPr>
            </w:pPr>
            <w:r w:rsidRPr="00BD2E49">
              <w:rPr>
                <w:rFonts w:ascii="Calibri" w:hAnsi="Calibri"/>
                <w:sz w:val="18"/>
                <w:lang w:val="sq-AL"/>
              </w:rPr>
              <w:t>Totali</w:t>
            </w:r>
          </w:p>
        </w:tc>
        <w:tc>
          <w:tcPr>
            <w:cnfStyle w:val="000010000000" w:firstRow="0" w:lastRow="0" w:firstColumn="0" w:lastColumn="0" w:oddVBand="1" w:evenVBand="0" w:oddHBand="0" w:evenHBand="0" w:firstRowFirstColumn="0" w:firstRowLastColumn="0" w:lastRowFirstColumn="0" w:lastRowLastColumn="0"/>
            <w:tcW w:w="537" w:type="pct"/>
            <w:tcBorders>
              <w:bottom w:val="single" w:sz="4" w:space="0" w:color="auto"/>
            </w:tcBorders>
            <w:vAlign w:val="bottom"/>
          </w:tcPr>
          <w:p w14:paraId="189F5B6F" w14:textId="77777777" w:rsidR="000C2868" w:rsidRPr="00BD2E49" w:rsidRDefault="000C2868" w:rsidP="000C2868">
            <w:pPr>
              <w:jc w:val="center"/>
              <w:rPr>
                <w:rFonts w:ascii="Calibri" w:hAnsi="Calibri"/>
                <w:sz w:val="18"/>
                <w:lang w:val="sq-AL"/>
              </w:rPr>
            </w:pPr>
            <w:r w:rsidRPr="00BD2E49">
              <w:rPr>
                <w:rFonts w:ascii="Calibri" w:hAnsi="Calibri"/>
                <w:sz w:val="18"/>
                <w:lang w:val="sq-AL"/>
              </w:rPr>
              <w:t>74,446,028</w:t>
            </w:r>
          </w:p>
        </w:tc>
        <w:tc>
          <w:tcPr>
            <w:tcW w:w="514" w:type="pct"/>
            <w:tcBorders>
              <w:bottom w:val="single" w:sz="4" w:space="0" w:color="auto"/>
            </w:tcBorders>
            <w:vAlign w:val="bottom"/>
          </w:tcPr>
          <w:p w14:paraId="34837CDA" w14:textId="77777777" w:rsidR="000C2868" w:rsidRPr="00BD2E49" w:rsidRDefault="000C2868" w:rsidP="000C2868">
            <w:pPr>
              <w:cnfStyle w:val="010000000000" w:firstRow="0" w:lastRow="1" w:firstColumn="0" w:lastColumn="0" w:oddVBand="0" w:evenVBand="0" w:oddHBand="0" w:evenHBand="0" w:firstRowFirstColumn="0" w:firstRowLastColumn="0" w:lastRowFirstColumn="0" w:lastRowLastColumn="0"/>
              <w:rPr>
                <w:rFonts w:ascii="Calibri" w:hAnsi="Calibri"/>
                <w:sz w:val="18"/>
                <w:lang w:val="sq-AL"/>
              </w:rPr>
            </w:pPr>
            <w:r w:rsidRPr="00BD2E49">
              <w:rPr>
                <w:rFonts w:ascii="Calibri" w:hAnsi="Calibri"/>
                <w:sz w:val="18"/>
                <w:lang w:val="sq-AL"/>
              </w:rPr>
              <w:t>3,611,700</w:t>
            </w:r>
          </w:p>
        </w:tc>
        <w:tc>
          <w:tcPr>
            <w:cnfStyle w:val="000010000000" w:firstRow="0" w:lastRow="0" w:firstColumn="0" w:lastColumn="0" w:oddVBand="1" w:evenVBand="0" w:oddHBand="0" w:evenHBand="0" w:firstRowFirstColumn="0" w:firstRowLastColumn="0" w:lastRowFirstColumn="0" w:lastRowLastColumn="0"/>
            <w:tcW w:w="565" w:type="pct"/>
            <w:gridSpan w:val="2"/>
            <w:tcBorders>
              <w:bottom w:val="single" w:sz="4" w:space="0" w:color="auto"/>
            </w:tcBorders>
            <w:vAlign w:val="bottom"/>
          </w:tcPr>
          <w:p w14:paraId="335994A2" w14:textId="77777777" w:rsidR="000C2868" w:rsidRPr="00BD2E49" w:rsidRDefault="000C2868" w:rsidP="000C2868">
            <w:pPr>
              <w:jc w:val="center"/>
              <w:rPr>
                <w:rFonts w:ascii="Calibri" w:hAnsi="Calibri"/>
                <w:sz w:val="18"/>
                <w:lang w:val="sq-AL"/>
              </w:rPr>
            </w:pPr>
            <w:r w:rsidRPr="00BD2E49">
              <w:rPr>
                <w:rFonts w:ascii="Calibri" w:hAnsi="Calibri"/>
                <w:sz w:val="18"/>
                <w:lang w:val="sq-AL"/>
              </w:rPr>
              <w:t>23,004,826</w:t>
            </w:r>
          </w:p>
        </w:tc>
        <w:tc>
          <w:tcPr>
            <w:tcW w:w="576" w:type="pct"/>
            <w:tcBorders>
              <w:bottom w:val="single" w:sz="4" w:space="0" w:color="auto"/>
            </w:tcBorders>
            <w:vAlign w:val="bottom"/>
          </w:tcPr>
          <w:p w14:paraId="0EA7D1BD" w14:textId="77777777" w:rsidR="000C2868" w:rsidRPr="00BD2E49" w:rsidRDefault="000C2868" w:rsidP="000C2868">
            <w:pPr>
              <w:jc w:val="center"/>
              <w:cnfStyle w:val="010000000000" w:firstRow="0" w:lastRow="1" w:firstColumn="0" w:lastColumn="0" w:oddVBand="0" w:evenVBand="0" w:oddHBand="0" w:evenHBand="0" w:firstRowFirstColumn="0" w:firstRowLastColumn="0" w:lastRowFirstColumn="0" w:lastRowLastColumn="0"/>
              <w:rPr>
                <w:rFonts w:ascii="Calibri" w:hAnsi="Calibri"/>
                <w:sz w:val="18"/>
                <w:lang w:val="sq-AL"/>
              </w:rPr>
            </w:pPr>
            <w:r w:rsidRPr="00BD2E49">
              <w:rPr>
                <w:rFonts w:ascii="Calibri" w:hAnsi="Calibri"/>
                <w:sz w:val="18"/>
                <w:lang w:val="sq-AL"/>
              </w:rPr>
              <w:t>392,232</w:t>
            </w:r>
          </w:p>
        </w:tc>
        <w:tc>
          <w:tcPr>
            <w:cnfStyle w:val="000010000000" w:firstRow="0" w:lastRow="0" w:firstColumn="0" w:lastColumn="0" w:oddVBand="1" w:evenVBand="0" w:oddHBand="0" w:evenHBand="0" w:firstRowFirstColumn="0" w:firstRowLastColumn="0" w:lastRowFirstColumn="0" w:lastRowLastColumn="0"/>
            <w:tcW w:w="512" w:type="pct"/>
            <w:tcBorders>
              <w:bottom w:val="single" w:sz="4" w:space="0" w:color="auto"/>
            </w:tcBorders>
            <w:vAlign w:val="bottom"/>
          </w:tcPr>
          <w:p w14:paraId="5725ECB1" w14:textId="77777777" w:rsidR="000C2868" w:rsidRPr="00BD2E49" w:rsidRDefault="000C2868" w:rsidP="000C2868">
            <w:pPr>
              <w:jc w:val="center"/>
              <w:rPr>
                <w:rFonts w:ascii="Calibri" w:hAnsi="Calibri"/>
                <w:sz w:val="18"/>
                <w:lang w:val="sq-AL"/>
              </w:rPr>
            </w:pPr>
            <w:r w:rsidRPr="00BD2E49">
              <w:rPr>
                <w:rFonts w:ascii="Calibri" w:hAnsi="Calibri"/>
                <w:sz w:val="18"/>
                <w:lang w:val="sq-AL"/>
              </w:rPr>
              <w:t>30.9%</w:t>
            </w:r>
          </w:p>
        </w:tc>
        <w:tc>
          <w:tcPr>
            <w:cnfStyle w:val="000100000010" w:firstRow="0" w:lastRow="0" w:firstColumn="0" w:lastColumn="1" w:oddVBand="0" w:evenVBand="0" w:oddHBand="0" w:evenHBand="0" w:firstRowFirstColumn="0" w:firstRowLastColumn="0" w:lastRowFirstColumn="0" w:lastRowLastColumn="1"/>
            <w:tcW w:w="486" w:type="pct"/>
            <w:tcBorders>
              <w:bottom w:val="single" w:sz="4" w:space="0" w:color="auto"/>
            </w:tcBorders>
            <w:vAlign w:val="bottom"/>
          </w:tcPr>
          <w:p w14:paraId="64F62282" w14:textId="77777777" w:rsidR="000C2868" w:rsidRPr="00BD2E49" w:rsidRDefault="000C2868" w:rsidP="000C2868">
            <w:pPr>
              <w:jc w:val="center"/>
              <w:rPr>
                <w:rFonts w:ascii="Calibri" w:hAnsi="Calibri"/>
                <w:sz w:val="18"/>
                <w:lang w:val="sq-AL"/>
              </w:rPr>
            </w:pPr>
            <w:r w:rsidRPr="00BD2E49">
              <w:rPr>
                <w:rFonts w:ascii="Calibri" w:hAnsi="Calibri"/>
                <w:sz w:val="18"/>
                <w:lang w:val="sq-AL"/>
              </w:rPr>
              <w:t>10.86%</w:t>
            </w:r>
          </w:p>
        </w:tc>
      </w:tr>
    </w:tbl>
    <w:p w14:paraId="1E1461D9" w14:textId="77777777" w:rsidR="000C2868" w:rsidRPr="003E1083" w:rsidRDefault="000C2868" w:rsidP="000C2868">
      <w:pPr>
        <w:spacing w:line="276" w:lineRule="auto"/>
        <w:jc w:val="center"/>
        <w:rPr>
          <w:rFonts w:ascii="Calibri" w:hAnsi="Calibri"/>
          <w:sz w:val="12"/>
          <w:lang w:val="sq-AL"/>
        </w:rPr>
      </w:pPr>
    </w:p>
    <w:p w14:paraId="0EFA898B" w14:textId="77777777" w:rsidR="000C2868" w:rsidRPr="00BD2E49" w:rsidRDefault="000C2868" w:rsidP="000C2868">
      <w:pPr>
        <w:jc w:val="both"/>
        <w:rPr>
          <w:rFonts w:ascii="Calibri" w:hAnsi="Calibri"/>
          <w:lang w:val="sq-AL"/>
        </w:rPr>
      </w:pPr>
      <w:r w:rsidRPr="00BD2E49">
        <w:rPr>
          <w:rFonts w:ascii="Calibri" w:hAnsi="Calibri"/>
          <w:lang w:val="sq-AL"/>
        </w:rPr>
        <w:t xml:space="preserve">Për programin </w:t>
      </w:r>
      <w:r w:rsidRPr="00BD2E49">
        <w:rPr>
          <w:rFonts w:ascii="Calibri" w:hAnsi="Calibri"/>
          <w:b/>
          <w:lang w:val="sq-AL"/>
        </w:rPr>
        <w:t>“Shërbime të Kujdesit Shëndetësor Parësor”</w:t>
      </w:r>
      <w:r w:rsidRPr="00BD2E49">
        <w:rPr>
          <w:rFonts w:ascii="Calibri" w:hAnsi="Calibri"/>
          <w:lang w:val="sq-AL"/>
        </w:rPr>
        <w:t xml:space="preserve"> është realizuar qëllimi i programit i cili synon </w:t>
      </w:r>
      <w:r w:rsidRPr="00BD2E49">
        <w:rPr>
          <w:rFonts w:ascii="Calibri" w:hAnsi="Calibri"/>
          <w:i/>
          <w:lang w:val="sq-AL"/>
        </w:rPr>
        <w:t>“Mbulim universal të nevojave të popullatës për kujdes mjekësor parësor, nëpërmjet ofrimit të vizitave falas nga mjeku i familjes, kontrollit mjekësor bazë dhe programeve parandaluese”</w:t>
      </w:r>
      <w:r w:rsidRPr="00BD2E49">
        <w:rPr>
          <w:rFonts w:ascii="Calibri" w:hAnsi="Calibri"/>
          <w:lang w:val="sq-AL"/>
        </w:rPr>
        <w:t xml:space="preserve">. Ky qëllim është arritur nëpërmjet objektivit, </w:t>
      </w:r>
      <w:r w:rsidRPr="00706DDC">
        <w:rPr>
          <w:rFonts w:ascii="Calibri" w:hAnsi="Calibri"/>
          <w:i/>
          <w:lang w:val="sq-AL"/>
        </w:rPr>
        <w:t>“Përmirësimi i shërbimeve parandaluese dhe të diagnostikimit të hershëm të sëmundjeve”.</w:t>
      </w:r>
      <w:r w:rsidRPr="00BD2E49">
        <w:rPr>
          <w:rFonts w:ascii="Calibri" w:hAnsi="Calibri"/>
          <w:lang w:val="sq-AL"/>
        </w:rPr>
        <w:t xml:space="preserve"> Qëllimi dhe objektivi i programit është realizuar nëpërmjet produkteve, performanca e të cilave për </w:t>
      </w:r>
      <w:r>
        <w:rPr>
          <w:rFonts w:ascii="Calibri" w:hAnsi="Calibri"/>
          <w:lang w:val="sq-AL"/>
        </w:rPr>
        <w:t>4M I</w:t>
      </w:r>
      <w:r w:rsidRPr="00BD2E49">
        <w:rPr>
          <w:rFonts w:ascii="Calibri" w:hAnsi="Calibri"/>
          <w:lang w:val="sq-AL"/>
        </w:rPr>
        <w:t xml:space="preserve"> të vitit 2023, është realizuar, si më poshtë:</w:t>
      </w:r>
    </w:p>
    <w:p w14:paraId="3C7B4674"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 xml:space="preserve">Janë ofruar </w:t>
      </w:r>
      <w:r w:rsidRPr="003E1083">
        <w:rPr>
          <w:rFonts w:asciiTheme="minorHAnsi" w:hAnsiTheme="minorHAnsi"/>
          <w:bCs/>
          <w:i/>
          <w:iCs/>
          <w:lang w:val="sq-AL"/>
        </w:rPr>
        <w:t>2.5 milionë vizita në qendrat shëndetësore të kujdesit parësor</w:t>
      </w:r>
      <w:r w:rsidRPr="003E1083">
        <w:rPr>
          <w:rFonts w:asciiTheme="minorHAnsi" w:hAnsiTheme="minorHAnsi"/>
          <w:i/>
          <w:lang w:val="sq-AL"/>
        </w:rPr>
        <w:t>, me një kosto prej rreth 300 milionë lekë.</w:t>
      </w:r>
    </w:p>
    <w:p w14:paraId="604AA961"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bCs/>
          <w:i/>
          <w:iCs/>
          <w:lang w:val="sq-AL"/>
        </w:rPr>
        <w:t>Kanë përfituar rreth 170,576 individë të moshës 35 - 70 vjeç  kontrollin bazë (Chek-up).</w:t>
      </w:r>
    </w:p>
    <w:p w14:paraId="2B50D4E4"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 xml:space="preserve">Janë trajtuar rreth </w:t>
      </w:r>
      <w:r w:rsidRPr="003E1083">
        <w:rPr>
          <w:rFonts w:asciiTheme="minorHAnsi" w:hAnsiTheme="minorHAnsi"/>
          <w:bCs/>
          <w:i/>
          <w:iCs/>
          <w:lang w:val="sq-AL"/>
        </w:rPr>
        <w:t xml:space="preserve">350,005 </w:t>
      </w:r>
      <w:r w:rsidRPr="003E1083">
        <w:rPr>
          <w:rFonts w:asciiTheme="minorHAnsi" w:hAnsiTheme="minorHAnsi"/>
          <w:i/>
          <w:lang w:val="sq-AL"/>
        </w:rPr>
        <w:t>pacientë me recetë me rimbursim nga mjeku i familjes, me një kosto faktike prej 3.5 miliardë lekë.</w:t>
      </w:r>
    </w:p>
    <w:p w14:paraId="570402D2" w14:textId="77777777" w:rsidR="000C2868" w:rsidRPr="00BD2E49" w:rsidRDefault="000C2868" w:rsidP="000C2868">
      <w:pPr>
        <w:spacing w:before="240"/>
        <w:jc w:val="both"/>
        <w:rPr>
          <w:rFonts w:ascii="Calibri" w:hAnsi="Calibri"/>
          <w:lang w:val="sq-AL"/>
        </w:rPr>
      </w:pPr>
      <w:r w:rsidRPr="00BD2E49">
        <w:rPr>
          <w:rFonts w:ascii="Calibri" w:hAnsi="Calibri"/>
          <w:lang w:val="sq-AL"/>
        </w:rPr>
        <w:t xml:space="preserve">Për programin </w:t>
      </w:r>
      <w:r w:rsidRPr="00BD2E49">
        <w:rPr>
          <w:rFonts w:ascii="Calibri" w:hAnsi="Calibri"/>
          <w:b/>
          <w:lang w:val="sq-AL"/>
        </w:rPr>
        <w:t>“Shërbime të Kujdesit Shëndetësor Dytësor”</w:t>
      </w:r>
      <w:r w:rsidRPr="00BD2E49">
        <w:rPr>
          <w:rFonts w:ascii="Calibri" w:hAnsi="Calibri"/>
          <w:lang w:val="sq-AL"/>
        </w:rPr>
        <w:t xml:space="preserve"> është realizuar qëllimi i programit i cili synon</w:t>
      </w:r>
      <w:r w:rsidRPr="00BD2E49">
        <w:rPr>
          <w:rFonts w:ascii="Calibri" w:hAnsi="Calibri"/>
          <w:b/>
          <w:lang w:val="sq-AL"/>
        </w:rPr>
        <w:t xml:space="preserve"> </w:t>
      </w:r>
      <w:r w:rsidRPr="00BD2E49">
        <w:rPr>
          <w:rFonts w:ascii="Calibri" w:hAnsi="Calibri"/>
          <w:i/>
          <w:lang w:val="sq-AL"/>
        </w:rPr>
        <w:t xml:space="preserve">“Mbulim universal i nevojave të popullatës për kujdes mjekësor të specializuar, nëpërmjet ngritjes së një kuadri ligjor modern për një sistem financimi adekuat, modeleve bashkëkohore të manaxhimit të spitaleve, ngritjes së një sistemi monitorimi i cili do të masë performancën dhe do të lejojë akreditimin e spitaleve, zhvillimin e partner- shipit publik privat në shërbimet mjekësore dhe jo mjekësore në spitale.”. </w:t>
      </w:r>
      <w:r w:rsidRPr="00BD2E49">
        <w:rPr>
          <w:rFonts w:ascii="Calibri" w:hAnsi="Calibri"/>
          <w:lang w:val="sq-AL"/>
        </w:rPr>
        <w:t>Qëllimi i programit u realizua nëpërmjet objektivit “</w:t>
      </w:r>
      <w:r w:rsidRPr="00706DDC">
        <w:rPr>
          <w:rFonts w:ascii="Calibri" w:hAnsi="Calibri"/>
          <w:i/>
          <w:lang w:val="sq-AL"/>
        </w:rPr>
        <w:t>Ofrimi cilësor dhe gjithëpërfshirës i shërbimeve të kujdesit shëndetësor dytësor</w:t>
      </w:r>
      <w:r w:rsidRPr="00BD2E49">
        <w:rPr>
          <w:rFonts w:ascii="Calibri" w:hAnsi="Calibri"/>
          <w:lang w:val="sq-AL"/>
        </w:rPr>
        <w:t>”.</w:t>
      </w:r>
    </w:p>
    <w:p w14:paraId="4FED23E1" w14:textId="77777777" w:rsidR="000C2868" w:rsidRPr="00BD2E49" w:rsidRDefault="000C2868" w:rsidP="000C2868">
      <w:pPr>
        <w:jc w:val="both"/>
        <w:rPr>
          <w:rFonts w:ascii="Calibri" w:hAnsi="Calibri"/>
          <w:lang w:val="sq-AL"/>
        </w:rPr>
      </w:pPr>
      <w:r w:rsidRPr="00BD2E49">
        <w:rPr>
          <w:rFonts w:ascii="Calibri" w:hAnsi="Calibri"/>
          <w:lang w:val="sq-AL"/>
        </w:rPr>
        <w:t xml:space="preserve">Qëllimi dhe objektiva e programit janë realizuar nëpërmjet produkteve, performanca e të cilave për </w:t>
      </w:r>
      <w:r>
        <w:rPr>
          <w:rFonts w:ascii="Calibri" w:hAnsi="Calibri"/>
          <w:lang w:val="sq-AL"/>
        </w:rPr>
        <w:t>4M I</w:t>
      </w:r>
      <w:r w:rsidRPr="00BD2E49">
        <w:rPr>
          <w:rFonts w:ascii="Calibri" w:hAnsi="Calibri"/>
          <w:lang w:val="sq-AL"/>
        </w:rPr>
        <w:t xml:space="preserve"> 2023 është realizuar si më poshtë:</w:t>
      </w:r>
    </w:p>
    <w:p w14:paraId="578656AA"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Janë trajtuar rreth 99,452 pacientë të shtruar në spitale, me një kosto faktike rreth 7</w:t>
      </w:r>
      <w:r>
        <w:rPr>
          <w:rFonts w:asciiTheme="minorHAnsi" w:hAnsiTheme="minorHAnsi"/>
          <w:i/>
          <w:lang w:val="sq-AL"/>
        </w:rPr>
        <w:t>mld</w:t>
      </w:r>
      <w:r w:rsidRPr="003E1083">
        <w:rPr>
          <w:rFonts w:asciiTheme="minorHAnsi" w:hAnsiTheme="minorHAnsi"/>
          <w:i/>
          <w:lang w:val="sq-AL"/>
        </w:rPr>
        <w:t xml:space="preserve"> lekë. </w:t>
      </w:r>
    </w:p>
    <w:p w14:paraId="57B78F20"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Janë kryer rreth 61,394 seanca për trajtimin e pacientëve me dializë, shoqëruar me një kosto faktike prej rreth 662 milionë lekë.</w:t>
      </w:r>
    </w:p>
    <w:p w14:paraId="37FA9086"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Janë trajtuar 1,122 pacientë në spitalet psikiatrike, me një kosto prej 240 milionë lekë.</w:t>
      </w:r>
    </w:p>
    <w:p w14:paraId="22872C9D"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 xml:space="preserve">Janë trajtuar rreth 3,202 pacientë nga paketat spitalore të kardiologjisë dhe kardiokirurgjisë, me një kosto faktike prej  77.6 milion lekë; </w:t>
      </w:r>
    </w:p>
    <w:p w14:paraId="36C744E6"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Janë trajtuar 4 pacientë nga paketat e transplanteve renale përgjatë 4M I 2023.</w:t>
      </w:r>
    </w:p>
    <w:p w14:paraId="15AAF86F"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 xml:space="preserve">Janë trajtuar 1,400 pacientë me katarakte, shoqëruar me një kosto prej 9 milionë lekë. </w:t>
      </w:r>
    </w:p>
    <w:p w14:paraId="5B097BBC"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 xml:space="preserve">Janë trajtuar 8,283 pacientë me radioterapi, përgjatë </w:t>
      </w:r>
      <w:r>
        <w:rPr>
          <w:rFonts w:asciiTheme="minorHAnsi" w:hAnsiTheme="minorHAnsi"/>
          <w:i/>
          <w:lang w:val="sq-AL"/>
        </w:rPr>
        <w:t>4M I</w:t>
      </w:r>
      <w:r w:rsidRPr="003E1083">
        <w:rPr>
          <w:rFonts w:asciiTheme="minorHAnsi" w:hAnsiTheme="minorHAnsi"/>
          <w:i/>
          <w:lang w:val="sq-AL"/>
        </w:rPr>
        <w:t xml:space="preserve"> të vitit 2023.</w:t>
      </w:r>
    </w:p>
    <w:p w14:paraId="15DCCB18"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Janë kryer rreth 1.5 milionë ekzaminime laboratorike, shoqëruar me një kosto prej 333</w:t>
      </w:r>
      <w:r>
        <w:rPr>
          <w:rFonts w:asciiTheme="minorHAnsi" w:hAnsiTheme="minorHAnsi"/>
          <w:i/>
          <w:lang w:val="sq-AL"/>
        </w:rPr>
        <w:t xml:space="preserve">mln </w:t>
      </w:r>
      <w:r w:rsidRPr="003E1083">
        <w:rPr>
          <w:rFonts w:asciiTheme="minorHAnsi" w:hAnsiTheme="minorHAnsi"/>
          <w:i/>
          <w:lang w:val="sq-AL"/>
        </w:rPr>
        <w:t>lekë.</w:t>
      </w:r>
    </w:p>
    <w:p w14:paraId="52680B7E" w14:textId="77777777" w:rsidR="000C2868" w:rsidRPr="00BD2E49" w:rsidRDefault="000C2868" w:rsidP="000C2868">
      <w:pPr>
        <w:jc w:val="both"/>
        <w:rPr>
          <w:lang w:val="sq-AL"/>
        </w:rPr>
      </w:pPr>
    </w:p>
    <w:p w14:paraId="7C8DCE51" w14:textId="77777777" w:rsidR="000C2868" w:rsidRPr="003E1083" w:rsidRDefault="000C2868" w:rsidP="000C2868">
      <w:pPr>
        <w:jc w:val="both"/>
        <w:rPr>
          <w:rFonts w:asciiTheme="minorHAnsi" w:hAnsiTheme="minorHAnsi"/>
          <w:lang w:val="sq-AL"/>
        </w:rPr>
      </w:pPr>
      <w:r w:rsidRPr="003E1083">
        <w:rPr>
          <w:rFonts w:asciiTheme="minorHAnsi" w:hAnsiTheme="minorHAnsi"/>
          <w:lang w:val="sq-AL"/>
        </w:rPr>
        <w:lastRenderedPageBreak/>
        <w:t xml:space="preserve">Për programin </w:t>
      </w:r>
      <w:r w:rsidRPr="003E1083">
        <w:rPr>
          <w:rFonts w:asciiTheme="minorHAnsi" w:hAnsiTheme="minorHAnsi"/>
          <w:b/>
          <w:lang w:val="sq-AL"/>
        </w:rPr>
        <w:t>“Shërbime të Shëndetit Publik”</w:t>
      </w:r>
      <w:r w:rsidRPr="003E1083">
        <w:rPr>
          <w:rFonts w:asciiTheme="minorHAnsi" w:hAnsiTheme="minorHAnsi"/>
          <w:lang w:val="sq-AL"/>
        </w:rPr>
        <w:t xml:space="preserve"> është realizuar qëllimi i programit i cili synon </w:t>
      </w:r>
      <w:r w:rsidRPr="003E1083">
        <w:rPr>
          <w:rFonts w:asciiTheme="minorHAnsi" w:hAnsiTheme="minorHAnsi"/>
          <w:i/>
          <w:lang w:val="sq-AL"/>
        </w:rPr>
        <w:t>“Mbrojtja e shëndetit dhe promovimi i jetësës së shëndetshme përmes, kontrollit të sëmundjeve infektive; forcimit të programit të imunzimit; sigurimit  të  vaksinave 100% sipas kalendarit të vaksinimit dhe mbulesën vaksinale të tyre mbi 95%; forcimit të survejancës  epidemiologjike; monitorimit të ujit të pijshëm; kontrollit i sëmundjeve jo infektive përmes vlerësimit të faktorëve të riskut; nxitjes së procesit të depistimit; forcimi i shendetit riprodhues dhe promovimit të një jete të shëndetshme. Zgjerimi dhe forcimi i monitorimit të agjenteve mjedisorë bazuar në standartet e BE (ajri, zhurmat dhe ujrat siperfaqësore). Garantimi i respektimit të kërkesave ligjore në fushën e shëndetit publik”</w:t>
      </w:r>
      <w:r w:rsidRPr="003E1083">
        <w:rPr>
          <w:rFonts w:asciiTheme="minorHAnsi" w:hAnsiTheme="minorHAnsi"/>
          <w:lang w:val="sq-AL"/>
        </w:rPr>
        <w:t xml:space="preserve"> Qëllimi i programit u realizua nëpërmjet objektivave, sa më poshtë: </w:t>
      </w:r>
    </w:p>
    <w:p w14:paraId="6730E8B1" w14:textId="77777777" w:rsidR="000C2868" w:rsidRPr="003E1083" w:rsidRDefault="000C2868" w:rsidP="00056DE5">
      <w:pPr>
        <w:numPr>
          <w:ilvl w:val="0"/>
          <w:numId w:val="71"/>
        </w:numPr>
        <w:ind w:left="360" w:hanging="270"/>
        <w:contextualSpacing/>
        <w:jc w:val="both"/>
        <w:rPr>
          <w:rFonts w:asciiTheme="minorHAnsi" w:hAnsiTheme="minorHAnsi"/>
          <w:i/>
          <w:lang w:val="sq-AL"/>
        </w:rPr>
      </w:pPr>
      <w:r w:rsidRPr="003E1083">
        <w:rPr>
          <w:rFonts w:asciiTheme="minorHAnsi" w:hAnsiTheme="minorHAnsi"/>
          <w:i/>
          <w:lang w:val="sq-AL"/>
        </w:rPr>
        <w:t>Sigurimit të qëndrueshmërisë së mbulesës vaksinare, për vaksinat e kalendarit të vaksinimit në masën 95%.</w:t>
      </w:r>
    </w:p>
    <w:p w14:paraId="5A5BC476" w14:textId="77777777" w:rsidR="000C2868" w:rsidRPr="003E1083" w:rsidRDefault="000C2868" w:rsidP="00056DE5">
      <w:pPr>
        <w:numPr>
          <w:ilvl w:val="0"/>
          <w:numId w:val="71"/>
        </w:numPr>
        <w:ind w:left="360" w:hanging="270"/>
        <w:contextualSpacing/>
        <w:jc w:val="both"/>
        <w:rPr>
          <w:rFonts w:asciiTheme="minorHAnsi" w:hAnsiTheme="minorHAnsi"/>
          <w:i/>
          <w:lang w:val="sq-AL"/>
        </w:rPr>
      </w:pPr>
      <w:r w:rsidRPr="003E1083">
        <w:rPr>
          <w:rFonts w:asciiTheme="minorHAnsi" w:hAnsiTheme="minorHAnsi"/>
          <w:i/>
          <w:lang w:val="sq-AL"/>
        </w:rPr>
        <w:t xml:space="preserve">Reduktimit të numrit të shpërthimeve epidemike me burim ndotjen e ujit, në jo më shumë se 2 në vit në vitin 2023, krahasuar me mesatarisht 4 në periudhën 2021-2022.  </w:t>
      </w:r>
    </w:p>
    <w:p w14:paraId="0D8CCDDE" w14:textId="77777777" w:rsidR="000C2868" w:rsidRPr="003E1083" w:rsidRDefault="000C2868" w:rsidP="00056DE5">
      <w:pPr>
        <w:numPr>
          <w:ilvl w:val="0"/>
          <w:numId w:val="71"/>
        </w:numPr>
        <w:ind w:left="360" w:hanging="270"/>
        <w:contextualSpacing/>
        <w:jc w:val="both"/>
        <w:rPr>
          <w:rFonts w:asciiTheme="minorHAnsi" w:hAnsiTheme="minorHAnsi"/>
          <w:i/>
          <w:lang w:val="sq-AL"/>
        </w:rPr>
      </w:pPr>
      <w:r w:rsidRPr="003E1083">
        <w:rPr>
          <w:rFonts w:asciiTheme="minorHAnsi" w:hAnsiTheme="minorHAnsi"/>
          <w:i/>
          <w:lang w:val="sq-AL"/>
        </w:rPr>
        <w:t xml:space="preserve">Mbulimi i grave me shërbim të depistimit të kancerit të gjirit. </w:t>
      </w:r>
    </w:p>
    <w:p w14:paraId="6DC27FCF" w14:textId="77777777" w:rsidR="000C2868" w:rsidRPr="003E1083" w:rsidRDefault="000C2868" w:rsidP="000C2868">
      <w:pPr>
        <w:ind w:left="720"/>
        <w:contextualSpacing/>
        <w:jc w:val="both"/>
        <w:rPr>
          <w:rFonts w:asciiTheme="minorHAnsi" w:hAnsiTheme="minorHAnsi"/>
          <w:lang w:val="sq-AL"/>
        </w:rPr>
      </w:pPr>
    </w:p>
    <w:p w14:paraId="59AE10F3" w14:textId="77777777" w:rsidR="000C2868" w:rsidRPr="003E1083" w:rsidRDefault="000C2868" w:rsidP="000C2868">
      <w:pPr>
        <w:jc w:val="both"/>
        <w:rPr>
          <w:rFonts w:asciiTheme="minorHAnsi" w:hAnsiTheme="minorHAnsi"/>
          <w:lang w:val="sq-AL"/>
        </w:rPr>
      </w:pPr>
      <w:r w:rsidRPr="003E1083">
        <w:rPr>
          <w:rFonts w:asciiTheme="minorHAnsi" w:hAnsiTheme="minorHAnsi"/>
          <w:lang w:val="sq-AL"/>
        </w:rPr>
        <w:t xml:space="preserve">Këto objektiva janë realizuar nëpërmjet produkteve, performanca e të cilave për </w:t>
      </w:r>
      <w:r>
        <w:rPr>
          <w:rFonts w:asciiTheme="minorHAnsi" w:hAnsiTheme="minorHAnsi"/>
          <w:lang w:val="sq-AL"/>
        </w:rPr>
        <w:t>4M I</w:t>
      </w:r>
      <w:r w:rsidRPr="003E1083">
        <w:rPr>
          <w:rFonts w:asciiTheme="minorHAnsi" w:hAnsiTheme="minorHAnsi"/>
          <w:lang w:val="sq-AL"/>
        </w:rPr>
        <w:t xml:space="preserve"> të vitit 2023, është realizuar, si më poshtë:</w:t>
      </w:r>
    </w:p>
    <w:p w14:paraId="05CD11B9"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Janë vaksinuar rreth 60 mijë fëmijë të moshës 0-18 vjeç.</w:t>
      </w:r>
    </w:p>
    <w:p w14:paraId="272D98B6"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Janë kryer rreth  1,316 monitorime të situatave epidemilogjike, me një kosto faktike prej rreth 729 milionë lekë.</w:t>
      </w:r>
    </w:p>
    <w:p w14:paraId="1B4841EE"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Është kryer depistimi i 1,182 grave për kancerin e gjirit dhe 250 grave për kancerin e qafës së mitrës, me një kosto faktike prej 961 mijë lekë.</w:t>
      </w:r>
    </w:p>
    <w:p w14:paraId="3E1609B3"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 xml:space="preserve"> Janë kryer rreth 7,001 inspektime nga inspektoriatet, shoqëruar me një kosto prej 115</w:t>
      </w:r>
      <w:r>
        <w:rPr>
          <w:rFonts w:asciiTheme="minorHAnsi" w:hAnsiTheme="minorHAnsi"/>
          <w:i/>
          <w:lang w:val="sq-AL"/>
        </w:rPr>
        <w:t>mln</w:t>
      </w:r>
      <w:r w:rsidRPr="003E1083">
        <w:rPr>
          <w:rFonts w:asciiTheme="minorHAnsi" w:hAnsiTheme="minorHAnsi"/>
          <w:i/>
          <w:lang w:val="sq-AL"/>
        </w:rPr>
        <w:t xml:space="preserve"> lekë.</w:t>
      </w:r>
    </w:p>
    <w:p w14:paraId="6E7EE161"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 xml:space="preserve">Janë vaksinuar rreth 38,580 persona me vaksinën anti COVID-19 për </w:t>
      </w:r>
      <w:r>
        <w:rPr>
          <w:rFonts w:asciiTheme="minorHAnsi" w:hAnsiTheme="minorHAnsi"/>
          <w:i/>
          <w:lang w:val="sq-AL"/>
        </w:rPr>
        <w:t>4M I</w:t>
      </w:r>
      <w:r w:rsidRPr="003E1083">
        <w:rPr>
          <w:rFonts w:asciiTheme="minorHAnsi" w:hAnsiTheme="minorHAnsi"/>
          <w:i/>
          <w:lang w:val="sq-AL"/>
        </w:rPr>
        <w:t xml:space="preserve"> 2023.</w:t>
      </w:r>
    </w:p>
    <w:p w14:paraId="14993FC6" w14:textId="77777777" w:rsidR="000C2868" w:rsidRPr="003E1083" w:rsidRDefault="000C2868" w:rsidP="000C2868">
      <w:pPr>
        <w:jc w:val="both"/>
        <w:rPr>
          <w:rFonts w:asciiTheme="minorHAnsi" w:hAnsiTheme="minorHAnsi"/>
          <w:lang w:val="sq-AL"/>
        </w:rPr>
      </w:pPr>
    </w:p>
    <w:p w14:paraId="56305A62" w14:textId="77777777" w:rsidR="000C2868" w:rsidRPr="003E1083" w:rsidRDefault="000C2868" w:rsidP="000C2868">
      <w:pPr>
        <w:jc w:val="both"/>
        <w:rPr>
          <w:rFonts w:asciiTheme="minorHAnsi" w:hAnsiTheme="minorHAnsi"/>
          <w:i/>
          <w:lang w:val="sq-AL"/>
        </w:rPr>
      </w:pPr>
      <w:r w:rsidRPr="003E1083">
        <w:rPr>
          <w:rFonts w:asciiTheme="minorHAnsi" w:hAnsiTheme="minorHAnsi"/>
          <w:lang w:val="sq-AL"/>
        </w:rPr>
        <w:t xml:space="preserve">Për programin </w:t>
      </w:r>
      <w:r w:rsidRPr="003E1083">
        <w:rPr>
          <w:rFonts w:asciiTheme="minorHAnsi" w:hAnsiTheme="minorHAnsi"/>
          <w:b/>
          <w:lang w:val="sq-AL"/>
        </w:rPr>
        <w:t>“Përkujdesi Social”,</w:t>
      </w:r>
      <w:r w:rsidRPr="003E1083">
        <w:rPr>
          <w:rFonts w:asciiTheme="minorHAnsi" w:hAnsiTheme="minorHAnsi"/>
          <w:lang w:val="sq-AL"/>
        </w:rPr>
        <w:t xml:space="preserve">  është realizuar qëllimi i programit i cili synon </w:t>
      </w:r>
      <w:r w:rsidRPr="003E1083">
        <w:rPr>
          <w:rFonts w:asciiTheme="minorHAnsi" w:hAnsiTheme="minorHAnsi"/>
          <w:i/>
          <w:lang w:val="sq-AL"/>
        </w:rPr>
        <w:t>“Ndë</w:t>
      </w:r>
      <w:r>
        <w:rPr>
          <w:rFonts w:asciiTheme="minorHAnsi" w:hAnsiTheme="minorHAnsi"/>
          <w:i/>
          <w:lang w:val="sq-AL"/>
        </w:rPr>
        <w:t>r</w:t>
      </w:r>
      <w:r w:rsidRPr="003E1083">
        <w:rPr>
          <w:rFonts w:asciiTheme="minorHAnsi" w:hAnsiTheme="minorHAnsi"/>
          <w:i/>
          <w:lang w:val="sq-AL"/>
        </w:rPr>
        <w:t xml:space="preserve">timi i një sistemi mbrojtje sociale nëpërmjet politikave dhe mekanizmave për të mbrojtur individët ne nevojë. </w:t>
      </w:r>
      <w:r w:rsidRPr="003E1083">
        <w:rPr>
          <w:rFonts w:asciiTheme="minorHAnsi" w:hAnsiTheme="minorHAnsi"/>
          <w:lang w:val="sq-AL"/>
        </w:rPr>
        <w:t>Qëllimi i programit u realizua nëpërmjet objektivave, sa më poshtë:</w:t>
      </w:r>
    </w:p>
    <w:p w14:paraId="18083812" w14:textId="77777777" w:rsidR="000C2868" w:rsidRPr="003E1083" w:rsidRDefault="000C2868" w:rsidP="00056DE5">
      <w:pPr>
        <w:numPr>
          <w:ilvl w:val="0"/>
          <w:numId w:val="71"/>
        </w:numPr>
        <w:ind w:left="360" w:hanging="270"/>
        <w:contextualSpacing/>
        <w:jc w:val="both"/>
        <w:rPr>
          <w:rFonts w:asciiTheme="minorHAnsi" w:hAnsiTheme="minorHAnsi"/>
          <w:i/>
          <w:lang w:val="sq-AL"/>
        </w:rPr>
      </w:pPr>
      <w:r w:rsidRPr="003E1083">
        <w:rPr>
          <w:rFonts w:asciiTheme="minorHAnsi" w:hAnsiTheme="minorHAnsi"/>
          <w:i/>
          <w:lang w:val="sq-AL"/>
        </w:rPr>
        <w:t xml:space="preserve">Reformimit të programit të përkujdesit social në tre shtylla kryesore të tij NE, PAK dhe Shërbimet </w:t>
      </w:r>
    </w:p>
    <w:p w14:paraId="0E5BD58C" w14:textId="77777777" w:rsidR="000C2868" w:rsidRPr="003E1083" w:rsidRDefault="000C2868" w:rsidP="00056DE5">
      <w:pPr>
        <w:numPr>
          <w:ilvl w:val="0"/>
          <w:numId w:val="71"/>
        </w:numPr>
        <w:ind w:left="360" w:hanging="270"/>
        <w:contextualSpacing/>
        <w:jc w:val="both"/>
        <w:rPr>
          <w:rFonts w:asciiTheme="minorHAnsi" w:hAnsiTheme="minorHAnsi"/>
          <w:i/>
          <w:lang w:val="sq-AL"/>
        </w:rPr>
      </w:pPr>
      <w:r w:rsidRPr="003E1083">
        <w:rPr>
          <w:rFonts w:asciiTheme="minorHAnsi" w:hAnsiTheme="minorHAnsi"/>
          <w:i/>
          <w:lang w:val="sq-AL"/>
        </w:rPr>
        <w:t>Përfshirja e barabartë sociale dhe ekonomike e burrave, grave, fëmijëve dhe grupeve  të margjinalizuara.</w:t>
      </w:r>
    </w:p>
    <w:p w14:paraId="741C0884" w14:textId="77777777" w:rsidR="000C2868" w:rsidRPr="003E1083" w:rsidRDefault="000C2868" w:rsidP="000C2868">
      <w:pPr>
        <w:ind w:left="720"/>
        <w:contextualSpacing/>
        <w:jc w:val="both"/>
        <w:rPr>
          <w:rFonts w:asciiTheme="minorHAnsi" w:hAnsiTheme="minorHAnsi"/>
          <w:lang w:val="sq-AL"/>
        </w:rPr>
      </w:pPr>
    </w:p>
    <w:p w14:paraId="727F93AE" w14:textId="77777777" w:rsidR="000C2868" w:rsidRPr="003E1083" w:rsidRDefault="000C2868" w:rsidP="000C2868">
      <w:pPr>
        <w:jc w:val="both"/>
        <w:rPr>
          <w:rFonts w:asciiTheme="minorHAnsi" w:hAnsiTheme="minorHAnsi"/>
          <w:lang w:val="sq-AL"/>
        </w:rPr>
      </w:pPr>
      <w:r w:rsidRPr="003E1083">
        <w:rPr>
          <w:rFonts w:asciiTheme="minorHAnsi" w:hAnsiTheme="minorHAnsi"/>
          <w:lang w:val="sq-AL"/>
        </w:rPr>
        <w:t xml:space="preserve">Këto objektiva janë realizuar nëpërmjet produkteve, performanca e të cilave për </w:t>
      </w:r>
      <w:r>
        <w:rPr>
          <w:rFonts w:asciiTheme="minorHAnsi" w:hAnsiTheme="minorHAnsi"/>
          <w:lang w:val="sq-AL"/>
        </w:rPr>
        <w:t>4M I</w:t>
      </w:r>
      <w:r w:rsidRPr="003E1083">
        <w:rPr>
          <w:rFonts w:asciiTheme="minorHAnsi" w:hAnsiTheme="minorHAnsi"/>
          <w:lang w:val="sq-AL"/>
        </w:rPr>
        <w:t xml:space="preserve"> të vitit 2023, është realizuar, si më poshtë:</w:t>
      </w:r>
    </w:p>
    <w:p w14:paraId="2351716D"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Kanë përfituar rreth 63,926 familje dhe individë në nevojë që përfitojnë nga skema e NE shoqëruar me një kosto faktike 1.5 miliard lekë.</w:t>
      </w:r>
    </w:p>
    <w:p w14:paraId="067915C7"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Kanë përfituar rreth 161,922 persona me aftësi të kufizuar nga programi i aftësisë së kufizuar, shoqëruar më një një kosto faktike prej 5.8 miliard lekë.</w:t>
      </w:r>
    </w:p>
    <w:p w14:paraId="6E452917"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Kanë përfituar 189 persona përfitimin e shërbimit të përkujdesit social të ofruara në qëndrat rezidenciale publike, shoqëruar me një kosto faktike prej rreth 101.5 milionë lekë.</w:t>
      </w:r>
    </w:p>
    <w:p w14:paraId="6E46413A"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 xml:space="preserve">12,123 bebe kanë përfituar shpërblimin e lindjes, me një kosto faktike totale prej rreth 900 milionë lekë.  </w:t>
      </w:r>
    </w:p>
    <w:p w14:paraId="1841413D" w14:textId="77777777" w:rsidR="000C2868" w:rsidRPr="003E1083" w:rsidRDefault="000C2868" w:rsidP="000C2868">
      <w:pPr>
        <w:jc w:val="both"/>
        <w:rPr>
          <w:rFonts w:asciiTheme="minorHAnsi" w:hAnsiTheme="minorHAnsi"/>
          <w:sz w:val="16"/>
          <w:lang w:val="sq-AL"/>
        </w:rPr>
      </w:pPr>
    </w:p>
    <w:p w14:paraId="1A707BAF" w14:textId="77777777" w:rsidR="000C2868" w:rsidRDefault="000C2868" w:rsidP="000C2868">
      <w:pPr>
        <w:ind w:left="720"/>
        <w:contextualSpacing/>
        <w:jc w:val="both"/>
        <w:rPr>
          <w:rFonts w:asciiTheme="minorHAnsi" w:eastAsia="MS Mincho" w:hAnsiTheme="minorHAnsi"/>
          <w:b/>
          <w:i/>
          <w:color w:val="336699"/>
          <w:u w:val="single"/>
          <w:lang w:val="sq-AL"/>
        </w:rPr>
      </w:pPr>
    </w:p>
    <w:p w14:paraId="684596BA" w14:textId="346A617D" w:rsidR="000C2868" w:rsidRDefault="000C2868" w:rsidP="000C2868">
      <w:pPr>
        <w:contextualSpacing/>
        <w:jc w:val="both"/>
        <w:rPr>
          <w:rFonts w:asciiTheme="minorHAnsi" w:eastAsia="MS Mincho" w:hAnsiTheme="minorHAnsi"/>
          <w:b/>
          <w:i/>
          <w:color w:val="336699"/>
          <w:u w:val="single"/>
          <w:lang w:val="sq-AL"/>
        </w:rPr>
      </w:pPr>
    </w:p>
    <w:p w14:paraId="702AD505" w14:textId="363B0E23" w:rsidR="000C2868" w:rsidRDefault="000C2868" w:rsidP="000C2868">
      <w:pPr>
        <w:contextualSpacing/>
        <w:jc w:val="both"/>
        <w:rPr>
          <w:rFonts w:asciiTheme="minorHAnsi" w:eastAsia="MS Mincho" w:hAnsiTheme="minorHAnsi"/>
          <w:b/>
          <w:i/>
          <w:color w:val="336699"/>
          <w:u w:val="single"/>
          <w:lang w:val="sq-AL"/>
        </w:rPr>
      </w:pPr>
    </w:p>
    <w:p w14:paraId="129A2F28" w14:textId="400FCE39" w:rsidR="000C2868" w:rsidRDefault="000C2868" w:rsidP="000C2868">
      <w:pPr>
        <w:contextualSpacing/>
        <w:jc w:val="both"/>
        <w:rPr>
          <w:rFonts w:asciiTheme="minorHAnsi" w:eastAsia="MS Mincho" w:hAnsiTheme="minorHAnsi"/>
          <w:b/>
          <w:i/>
          <w:color w:val="336699"/>
          <w:u w:val="single"/>
          <w:lang w:val="sq-AL"/>
        </w:rPr>
      </w:pPr>
    </w:p>
    <w:p w14:paraId="39673F7E" w14:textId="48FB95FF" w:rsidR="000C2868" w:rsidRDefault="000C2868" w:rsidP="000C2868">
      <w:pPr>
        <w:contextualSpacing/>
        <w:jc w:val="both"/>
        <w:rPr>
          <w:rFonts w:asciiTheme="minorHAnsi" w:eastAsia="MS Mincho" w:hAnsiTheme="minorHAnsi"/>
          <w:b/>
          <w:i/>
          <w:color w:val="336699"/>
          <w:u w:val="single"/>
          <w:lang w:val="sq-AL"/>
        </w:rPr>
      </w:pPr>
    </w:p>
    <w:p w14:paraId="76B62D94" w14:textId="77777777" w:rsidR="000C2868" w:rsidRDefault="000C2868" w:rsidP="000C2868">
      <w:pPr>
        <w:contextualSpacing/>
        <w:jc w:val="both"/>
        <w:rPr>
          <w:rFonts w:asciiTheme="minorHAnsi" w:eastAsia="MS Mincho" w:hAnsiTheme="minorHAnsi"/>
          <w:b/>
          <w:i/>
          <w:color w:val="336699"/>
          <w:u w:val="single"/>
          <w:lang w:val="sq-AL"/>
        </w:rPr>
      </w:pPr>
    </w:p>
    <w:p w14:paraId="50B45993" w14:textId="77777777" w:rsidR="000C2868" w:rsidRPr="003E1083" w:rsidRDefault="000C2868" w:rsidP="000C2868">
      <w:pPr>
        <w:ind w:left="720"/>
        <w:contextualSpacing/>
        <w:jc w:val="both"/>
        <w:rPr>
          <w:rFonts w:asciiTheme="minorHAnsi" w:eastAsia="MS Mincho" w:hAnsiTheme="minorHAnsi"/>
          <w:b/>
          <w:i/>
          <w:color w:val="336699"/>
          <w:u w:val="single"/>
          <w:lang w:val="sq-AL"/>
        </w:rPr>
      </w:pPr>
    </w:p>
    <w:p w14:paraId="31DD4DD8" w14:textId="45FF6DB8" w:rsidR="000C2868" w:rsidRPr="003E1083" w:rsidRDefault="000C2868" w:rsidP="000C2868">
      <w:pPr>
        <w:jc w:val="both"/>
        <w:rPr>
          <w:rFonts w:asciiTheme="minorHAnsi" w:hAnsiTheme="minorHAnsi"/>
          <w:b/>
          <w:noProof/>
          <w:color w:val="0070C0"/>
          <w:lang w:val="sq-AL"/>
        </w:rPr>
      </w:pPr>
      <w:bookmarkStart w:id="192" w:name="_Toc10721441"/>
      <w:bookmarkStart w:id="193" w:name="_Toc11134226"/>
      <w:bookmarkStart w:id="194" w:name="_Toc10033296"/>
      <w:bookmarkStart w:id="195" w:name="_Toc10721432"/>
      <w:r w:rsidRPr="003E1083">
        <w:rPr>
          <w:rFonts w:asciiTheme="minorHAnsi" w:hAnsiTheme="minorHAnsi"/>
          <w:b/>
          <w:noProof/>
          <w:color w:val="0070C0"/>
          <w:lang w:val="sq-AL"/>
        </w:rPr>
        <w:lastRenderedPageBreak/>
        <w:t>ARSIMI</w:t>
      </w:r>
      <w:bookmarkEnd w:id="192"/>
      <w:bookmarkEnd w:id="193"/>
    </w:p>
    <w:p w14:paraId="12003176" w14:textId="77777777" w:rsidR="000C2868" w:rsidRPr="003E1083" w:rsidRDefault="000C2868" w:rsidP="000C2868">
      <w:pPr>
        <w:jc w:val="both"/>
        <w:rPr>
          <w:rFonts w:asciiTheme="minorHAnsi" w:eastAsia="MS Mincho" w:hAnsiTheme="minorHAnsi"/>
          <w:bCs/>
          <w:i/>
          <w:iCs/>
          <w:lang w:val="sq-AL"/>
        </w:rPr>
      </w:pPr>
      <w:r w:rsidRPr="003E1083">
        <w:rPr>
          <w:rFonts w:asciiTheme="minorHAnsi" w:hAnsiTheme="minorHAnsi"/>
          <w:lang w:val="sq-AL"/>
        </w:rPr>
        <w:t xml:space="preserve">Në përputhje me drejtimet kryesore të politikës së përgjithshme shtetërore, me fondet buxhetore të miratuara për vitin 2023, performanca e treguesve buxhetorë për programet e Ministrisë së Arsimit dhe Sportit, për </w:t>
      </w:r>
      <w:r>
        <w:rPr>
          <w:rFonts w:asciiTheme="minorHAnsi" w:hAnsiTheme="minorHAnsi"/>
          <w:lang w:val="sq-AL"/>
        </w:rPr>
        <w:t>4M I</w:t>
      </w:r>
      <w:r w:rsidRPr="003E1083">
        <w:rPr>
          <w:rFonts w:asciiTheme="minorHAnsi" w:hAnsiTheme="minorHAnsi"/>
          <w:lang w:val="sq-AL"/>
        </w:rPr>
        <w:t xml:space="preserve"> të vitit 2023, paraqitet si më poshtë:</w:t>
      </w:r>
      <w:r w:rsidRPr="003E1083">
        <w:rPr>
          <w:rFonts w:asciiTheme="minorHAnsi" w:eastAsia="MS Mincho" w:hAnsiTheme="minorHAnsi"/>
          <w:bCs/>
          <w:i/>
          <w:iCs/>
          <w:lang w:val="sq-AL"/>
        </w:rPr>
        <w:t xml:space="preserve">               </w:t>
      </w:r>
    </w:p>
    <w:p w14:paraId="2C76351D" w14:textId="183C2E73" w:rsidR="000C2868" w:rsidRPr="003E1083" w:rsidRDefault="000C2868" w:rsidP="000C2868">
      <w:pPr>
        <w:spacing w:before="240"/>
        <w:rPr>
          <w:rFonts w:asciiTheme="minorHAnsi" w:hAnsiTheme="minorHAnsi"/>
          <w:i/>
          <w:noProof/>
          <w:sz w:val="22"/>
          <w:lang w:val="sq-AL"/>
        </w:rPr>
      </w:pPr>
      <w:bookmarkStart w:id="196" w:name="_Toc107496775"/>
      <w:r w:rsidRPr="003E1083">
        <w:rPr>
          <w:rFonts w:asciiTheme="minorHAnsi" w:hAnsiTheme="minorHAnsi"/>
          <w:i/>
          <w:noProof/>
          <w:sz w:val="22"/>
          <w:lang w:val="sq-AL"/>
        </w:rPr>
        <w:t xml:space="preserve">Tabela </w:t>
      </w:r>
      <w:r w:rsidRPr="003E1083">
        <w:rPr>
          <w:rFonts w:asciiTheme="minorHAnsi" w:hAnsiTheme="minorHAnsi"/>
          <w:i/>
          <w:noProof/>
          <w:sz w:val="22"/>
          <w:lang w:val="sq-AL"/>
        </w:rPr>
        <w:fldChar w:fldCharType="begin"/>
      </w:r>
      <w:r w:rsidRPr="003E1083">
        <w:rPr>
          <w:rFonts w:asciiTheme="minorHAnsi" w:hAnsiTheme="minorHAnsi"/>
          <w:i/>
          <w:noProof/>
          <w:sz w:val="22"/>
          <w:lang w:val="sq-AL"/>
        </w:rPr>
        <w:instrText xml:space="preserve"> SEQ Tabela \* ARABIC </w:instrText>
      </w:r>
      <w:r w:rsidRPr="003E1083">
        <w:rPr>
          <w:rFonts w:asciiTheme="minorHAnsi" w:hAnsiTheme="minorHAnsi"/>
          <w:i/>
          <w:noProof/>
          <w:sz w:val="22"/>
          <w:lang w:val="sq-AL"/>
        </w:rPr>
        <w:fldChar w:fldCharType="separate"/>
      </w:r>
      <w:r w:rsidR="00C153A9">
        <w:rPr>
          <w:rFonts w:asciiTheme="minorHAnsi" w:hAnsiTheme="minorHAnsi"/>
          <w:i/>
          <w:noProof/>
          <w:sz w:val="22"/>
          <w:lang w:val="sq-AL"/>
        </w:rPr>
        <w:t>38</w:t>
      </w:r>
      <w:r w:rsidRPr="003E1083">
        <w:rPr>
          <w:rFonts w:asciiTheme="minorHAnsi" w:hAnsiTheme="minorHAnsi"/>
          <w:i/>
          <w:noProof/>
          <w:sz w:val="22"/>
          <w:lang w:val="sq-AL"/>
        </w:rPr>
        <w:fldChar w:fldCharType="end"/>
      </w:r>
      <w:r w:rsidRPr="003E1083">
        <w:rPr>
          <w:rFonts w:asciiTheme="minorHAnsi" w:hAnsiTheme="minorHAnsi"/>
          <w:i/>
          <w:noProof/>
          <w:sz w:val="22"/>
          <w:lang w:val="sq-AL"/>
        </w:rPr>
        <w:t xml:space="preserve">: </w:t>
      </w:r>
      <w:r>
        <w:rPr>
          <w:rFonts w:ascii="Calibri" w:hAnsi="Calibri"/>
          <w:i/>
          <w:noProof/>
          <w:sz w:val="22"/>
          <w:lang w:val="sq-AL"/>
        </w:rPr>
        <w:t>Performanca e shpenzimeve për 4M I</w:t>
      </w:r>
      <w:r>
        <w:rPr>
          <w:rFonts w:asciiTheme="minorHAnsi" w:hAnsiTheme="minorHAnsi"/>
          <w:i/>
          <w:noProof/>
          <w:sz w:val="22"/>
          <w:lang w:val="sq-AL"/>
        </w:rPr>
        <w:t xml:space="preserve">, për </w:t>
      </w:r>
      <w:r w:rsidRPr="003E1083">
        <w:rPr>
          <w:rFonts w:asciiTheme="minorHAnsi" w:hAnsiTheme="minorHAnsi"/>
          <w:i/>
          <w:noProof/>
          <w:sz w:val="22"/>
          <w:lang w:val="sq-AL"/>
        </w:rPr>
        <w:t>Arsimi</w:t>
      </w:r>
      <w:bookmarkEnd w:id="196"/>
      <w:r>
        <w:rPr>
          <w:rFonts w:asciiTheme="minorHAnsi" w:hAnsiTheme="minorHAnsi"/>
          <w:i/>
          <w:noProof/>
          <w:sz w:val="22"/>
          <w:lang w:val="sq-AL"/>
        </w:rPr>
        <w:t>n</w:t>
      </w:r>
      <w:r w:rsidRPr="003E1083">
        <w:rPr>
          <w:rFonts w:asciiTheme="minorHAnsi" w:hAnsiTheme="minorHAnsi"/>
          <w:i/>
          <w:noProof/>
          <w:sz w:val="22"/>
          <w:lang w:val="sq-AL"/>
        </w:rPr>
        <w:t xml:space="preserve">                                                                                          </w:t>
      </w:r>
    </w:p>
    <w:p w14:paraId="4DE06AAF" w14:textId="77777777" w:rsidR="000C2868" w:rsidRPr="003E1083" w:rsidRDefault="000C2868" w:rsidP="000C2868">
      <w:pPr>
        <w:jc w:val="right"/>
        <w:rPr>
          <w:rFonts w:asciiTheme="minorHAnsi" w:eastAsia="MS Mincho" w:hAnsiTheme="minorHAnsi"/>
          <w:lang w:val="sq-AL"/>
        </w:rPr>
      </w:pPr>
      <w:r w:rsidRPr="003E1083">
        <w:rPr>
          <w:rFonts w:asciiTheme="minorHAnsi" w:eastAsia="MS Mincho" w:hAnsiTheme="minorHAnsi"/>
          <w:bCs/>
          <w:i/>
          <w:iCs/>
          <w:lang w:val="sq-AL"/>
        </w:rPr>
        <w:t>Në mijë lekë</w:t>
      </w:r>
    </w:p>
    <w:tbl>
      <w:tblPr>
        <w:tblStyle w:val="ListTable3-Accent5261"/>
        <w:tblW w:w="5423" w:type="pct"/>
        <w:jc w:val="center"/>
        <w:tblLayout w:type="fixed"/>
        <w:tblLook w:val="01E0" w:firstRow="1" w:lastRow="1" w:firstColumn="1" w:lastColumn="1" w:noHBand="0" w:noVBand="0"/>
      </w:tblPr>
      <w:tblGrid>
        <w:gridCol w:w="525"/>
        <w:gridCol w:w="33"/>
        <w:gridCol w:w="3278"/>
        <w:gridCol w:w="1112"/>
        <w:gridCol w:w="1114"/>
        <w:gridCol w:w="1141"/>
        <w:gridCol w:w="1219"/>
        <w:gridCol w:w="960"/>
        <w:gridCol w:w="19"/>
        <w:gridCol w:w="1033"/>
      </w:tblGrid>
      <w:tr w:rsidR="000C2868" w:rsidRPr="003E1083" w14:paraId="7BD4333F" w14:textId="77777777" w:rsidTr="000C2868">
        <w:trPr>
          <w:cnfStyle w:val="100000000000" w:firstRow="1" w:lastRow="0" w:firstColumn="0" w:lastColumn="0" w:oddVBand="0" w:evenVBand="0" w:oddHBand="0" w:evenHBand="0" w:firstRowFirstColumn="0" w:firstRowLastColumn="0" w:lastRowFirstColumn="0" w:lastRowLastColumn="0"/>
          <w:trHeight w:val="338"/>
          <w:jc w:val="center"/>
        </w:trPr>
        <w:tc>
          <w:tcPr>
            <w:cnfStyle w:val="001000000100" w:firstRow="0" w:lastRow="0" w:firstColumn="1" w:lastColumn="0" w:oddVBand="0" w:evenVBand="0" w:oddHBand="0" w:evenHBand="0" w:firstRowFirstColumn="1" w:firstRowLastColumn="0" w:lastRowFirstColumn="0" w:lastRowLastColumn="0"/>
            <w:tcW w:w="267" w:type="pct"/>
            <w:gridSpan w:val="2"/>
            <w:vMerge w:val="restart"/>
          </w:tcPr>
          <w:p w14:paraId="35698A8D" w14:textId="77777777" w:rsidR="000C2868" w:rsidRPr="003E1083" w:rsidRDefault="000C2868" w:rsidP="000C2868">
            <w:pPr>
              <w:jc w:val="center"/>
              <w:rPr>
                <w:rFonts w:asciiTheme="minorHAnsi" w:hAnsiTheme="minorHAnsi"/>
                <w:color w:val="auto"/>
                <w:sz w:val="18"/>
                <w:lang w:val="sq-AL"/>
              </w:rPr>
            </w:pPr>
          </w:p>
          <w:p w14:paraId="2CF507EF" w14:textId="77777777" w:rsidR="000C2868" w:rsidRPr="003E1083" w:rsidRDefault="000C2868" w:rsidP="000C2868">
            <w:pPr>
              <w:jc w:val="center"/>
              <w:rPr>
                <w:rFonts w:asciiTheme="minorHAnsi" w:hAnsiTheme="minorHAnsi"/>
                <w:color w:val="auto"/>
                <w:sz w:val="18"/>
                <w:lang w:val="sq-AL"/>
              </w:rPr>
            </w:pPr>
            <w:r w:rsidRPr="003E1083">
              <w:rPr>
                <w:rFonts w:asciiTheme="minorHAnsi" w:hAnsiTheme="minorHAnsi"/>
                <w:color w:val="auto"/>
                <w:sz w:val="18"/>
                <w:lang w:val="sq-AL"/>
              </w:rPr>
              <w:t>NR</w:t>
            </w:r>
          </w:p>
        </w:tc>
        <w:tc>
          <w:tcPr>
            <w:cnfStyle w:val="000010000000" w:firstRow="0" w:lastRow="0" w:firstColumn="0" w:lastColumn="0" w:oddVBand="1" w:evenVBand="0" w:oddHBand="0" w:evenHBand="0" w:firstRowFirstColumn="0" w:firstRowLastColumn="0" w:lastRowFirstColumn="0" w:lastRowLastColumn="0"/>
            <w:tcW w:w="1571" w:type="pct"/>
            <w:vMerge w:val="restart"/>
          </w:tcPr>
          <w:p w14:paraId="4F3E24F4" w14:textId="77777777" w:rsidR="000C2868" w:rsidRPr="003E1083" w:rsidRDefault="000C2868" w:rsidP="000C2868">
            <w:pPr>
              <w:jc w:val="center"/>
              <w:rPr>
                <w:rFonts w:asciiTheme="minorHAnsi" w:hAnsiTheme="minorHAnsi"/>
                <w:color w:val="auto"/>
                <w:sz w:val="18"/>
                <w:lang w:val="sq-AL"/>
              </w:rPr>
            </w:pPr>
          </w:p>
          <w:p w14:paraId="1E1C8946" w14:textId="77777777" w:rsidR="000C2868" w:rsidRPr="003E1083" w:rsidRDefault="000C2868" w:rsidP="000C2868">
            <w:pPr>
              <w:jc w:val="center"/>
              <w:rPr>
                <w:rFonts w:asciiTheme="minorHAnsi" w:hAnsiTheme="minorHAnsi"/>
                <w:color w:val="auto"/>
                <w:sz w:val="18"/>
                <w:lang w:val="sq-AL"/>
              </w:rPr>
            </w:pPr>
            <w:r w:rsidRPr="003E1083">
              <w:rPr>
                <w:rFonts w:asciiTheme="minorHAnsi" w:hAnsiTheme="minorHAnsi"/>
                <w:color w:val="auto"/>
                <w:sz w:val="18"/>
                <w:lang w:val="sq-AL"/>
              </w:rPr>
              <w:t>Emërtimi i Programit</w:t>
            </w:r>
          </w:p>
        </w:tc>
        <w:tc>
          <w:tcPr>
            <w:tcW w:w="1067" w:type="pct"/>
            <w:gridSpan w:val="2"/>
          </w:tcPr>
          <w:p w14:paraId="47CAF3BB" w14:textId="77777777" w:rsidR="000C2868" w:rsidRPr="003E1083" w:rsidRDefault="000C2868" w:rsidP="000C2868">
            <w:pPr>
              <w:ind w:left="8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sz w:val="18"/>
                <w:lang w:val="sq-AL"/>
              </w:rPr>
            </w:pPr>
            <w:r w:rsidRPr="003E1083">
              <w:rPr>
                <w:rFonts w:asciiTheme="minorHAnsi" w:hAnsiTheme="minorHAnsi"/>
                <w:color w:val="auto"/>
                <w:sz w:val="18"/>
                <w:lang w:val="sq-AL"/>
              </w:rPr>
              <w:t>Plani 2023</w:t>
            </w:r>
          </w:p>
        </w:tc>
        <w:tc>
          <w:tcPr>
            <w:cnfStyle w:val="000010000000" w:firstRow="0" w:lastRow="0" w:firstColumn="0" w:lastColumn="0" w:oddVBand="1" w:evenVBand="0" w:oddHBand="0" w:evenHBand="0" w:firstRowFirstColumn="0" w:firstRowLastColumn="0" w:lastRowFirstColumn="0" w:lastRowLastColumn="0"/>
            <w:tcW w:w="1131" w:type="pct"/>
            <w:gridSpan w:val="2"/>
          </w:tcPr>
          <w:p w14:paraId="4FF53AB4" w14:textId="77777777" w:rsidR="000C2868" w:rsidRPr="003E1083" w:rsidRDefault="000C2868" w:rsidP="000C2868">
            <w:pPr>
              <w:ind w:left="80"/>
              <w:jc w:val="center"/>
              <w:rPr>
                <w:rFonts w:asciiTheme="minorHAnsi" w:hAnsiTheme="minorHAnsi"/>
                <w:color w:val="auto"/>
                <w:sz w:val="18"/>
                <w:lang w:val="sq-AL"/>
              </w:rPr>
            </w:pPr>
            <w:r w:rsidRPr="003E1083">
              <w:rPr>
                <w:rFonts w:asciiTheme="minorHAnsi" w:hAnsiTheme="minorHAnsi"/>
                <w:color w:val="auto"/>
                <w:sz w:val="18"/>
                <w:lang w:val="sq-AL"/>
              </w:rPr>
              <w:t>Fakti 4-mujori 2023</w:t>
            </w:r>
          </w:p>
        </w:tc>
        <w:tc>
          <w:tcPr>
            <w:cnfStyle w:val="000100001000" w:firstRow="0" w:lastRow="0" w:firstColumn="0" w:lastColumn="1" w:oddVBand="0" w:evenVBand="0" w:oddHBand="0" w:evenHBand="0" w:firstRowFirstColumn="0" w:firstRowLastColumn="1" w:lastRowFirstColumn="0" w:lastRowLastColumn="0"/>
            <w:tcW w:w="965" w:type="pct"/>
            <w:gridSpan w:val="3"/>
          </w:tcPr>
          <w:p w14:paraId="0DD9E934" w14:textId="77777777" w:rsidR="000C2868" w:rsidRPr="003E1083" w:rsidRDefault="000C2868" w:rsidP="000C2868">
            <w:pPr>
              <w:jc w:val="center"/>
              <w:rPr>
                <w:rFonts w:asciiTheme="minorHAnsi" w:hAnsiTheme="minorHAnsi"/>
                <w:color w:val="auto"/>
                <w:sz w:val="18"/>
                <w:lang w:val="sq-AL"/>
              </w:rPr>
            </w:pPr>
            <w:r w:rsidRPr="003E1083">
              <w:rPr>
                <w:rFonts w:asciiTheme="minorHAnsi" w:hAnsiTheme="minorHAnsi"/>
                <w:color w:val="auto"/>
                <w:sz w:val="18"/>
                <w:lang w:val="sq-AL"/>
              </w:rPr>
              <w:t>Përqindja  e realizimit</w:t>
            </w:r>
          </w:p>
        </w:tc>
      </w:tr>
      <w:tr w:rsidR="000C2868" w:rsidRPr="003E1083" w14:paraId="5B621848" w14:textId="77777777" w:rsidTr="000C2868">
        <w:trPr>
          <w:cnfStyle w:val="000000100000" w:firstRow="0" w:lastRow="0" w:firstColumn="0" w:lastColumn="0" w:oddVBand="0" w:evenVBand="0" w:oddHBand="1" w:evenHBand="0" w:firstRowFirstColumn="0" w:firstRowLastColumn="0" w:lastRowFirstColumn="0" w:lastRowLastColumn="0"/>
          <w:trHeight w:val="174"/>
          <w:jc w:val="center"/>
        </w:trPr>
        <w:tc>
          <w:tcPr>
            <w:cnfStyle w:val="001000000000" w:firstRow="0" w:lastRow="0" w:firstColumn="1" w:lastColumn="0" w:oddVBand="0" w:evenVBand="0" w:oddHBand="0" w:evenHBand="0" w:firstRowFirstColumn="0" w:firstRowLastColumn="0" w:lastRowFirstColumn="0" w:lastRowLastColumn="0"/>
            <w:tcW w:w="267" w:type="pct"/>
            <w:gridSpan w:val="2"/>
            <w:vMerge/>
          </w:tcPr>
          <w:p w14:paraId="16BF0368" w14:textId="77777777" w:rsidR="000C2868" w:rsidRPr="003E1083" w:rsidRDefault="000C2868" w:rsidP="000C2868">
            <w:pPr>
              <w:jc w:val="center"/>
              <w:rPr>
                <w:rFonts w:asciiTheme="minorHAnsi" w:hAnsiTheme="minorHAnsi"/>
                <w:sz w:val="18"/>
                <w:lang w:val="sq-AL"/>
              </w:rPr>
            </w:pPr>
          </w:p>
        </w:tc>
        <w:tc>
          <w:tcPr>
            <w:cnfStyle w:val="000010000000" w:firstRow="0" w:lastRow="0" w:firstColumn="0" w:lastColumn="0" w:oddVBand="1" w:evenVBand="0" w:oddHBand="0" w:evenHBand="0" w:firstRowFirstColumn="0" w:firstRowLastColumn="0" w:lastRowFirstColumn="0" w:lastRowLastColumn="0"/>
            <w:tcW w:w="1571" w:type="pct"/>
            <w:vMerge/>
          </w:tcPr>
          <w:p w14:paraId="38F268A6" w14:textId="77777777" w:rsidR="000C2868" w:rsidRPr="003E1083" w:rsidRDefault="000C2868" w:rsidP="000C2868">
            <w:pPr>
              <w:jc w:val="center"/>
              <w:rPr>
                <w:rFonts w:asciiTheme="minorHAnsi" w:hAnsiTheme="minorHAnsi"/>
                <w:b/>
                <w:sz w:val="18"/>
                <w:lang w:val="sq-AL"/>
              </w:rPr>
            </w:pPr>
          </w:p>
        </w:tc>
        <w:tc>
          <w:tcPr>
            <w:tcW w:w="533" w:type="pct"/>
          </w:tcPr>
          <w:p w14:paraId="46A5872A" w14:textId="77777777" w:rsidR="000C2868" w:rsidRPr="003E1083" w:rsidRDefault="000C2868" w:rsidP="000C2868">
            <w:pPr>
              <w:ind w:left="8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lang w:val="sq-AL"/>
              </w:rPr>
            </w:pPr>
            <w:r w:rsidRPr="003E1083">
              <w:rPr>
                <w:rFonts w:asciiTheme="minorHAnsi" w:hAnsiTheme="minorHAnsi"/>
                <w:b/>
                <w:sz w:val="18"/>
                <w:lang w:val="sq-AL"/>
              </w:rPr>
              <w:t>Korrente</w:t>
            </w:r>
          </w:p>
        </w:tc>
        <w:tc>
          <w:tcPr>
            <w:cnfStyle w:val="000010000000" w:firstRow="0" w:lastRow="0" w:firstColumn="0" w:lastColumn="0" w:oddVBand="1" w:evenVBand="0" w:oddHBand="0" w:evenHBand="0" w:firstRowFirstColumn="0" w:firstRowLastColumn="0" w:lastRowFirstColumn="0" w:lastRowLastColumn="0"/>
            <w:tcW w:w="534" w:type="pct"/>
          </w:tcPr>
          <w:p w14:paraId="573F2E73" w14:textId="77777777" w:rsidR="000C2868" w:rsidRPr="003E1083" w:rsidRDefault="000C2868" w:rsidP="000C2868">
            <w:pPr>
              <w:ind w:left="80"/>
              <w:jc w:val="center"/>
              <w:rPr>
                <w:rFonts w:asciiTheme="minorHAnsi" w:hAnsiTheme="minorHAnsi"/>
                <w:b/>
                <w:sz w:val="18"/>
                <w:lang w:val="sq-AL"/>
              </w:rPr>
            </w:pPr>
            <w:r w:rsidRPr="003E1083">
              <w:rPr>
                <w:rFonts w:asciiTheme="minorHAnsi" w:hAnsiTheme="minorHAnsi"/>
                <w:b/>
                <w:sz w:val="18"/>
                <w:lang w:val="sq-AL"/>
              </w:rPr>
              <w:t>Investime</w:t>
            </w:r>
          </w:p>
        </w:tc>
        <w:tc>
          <w:tcPr>
            <w:tcW w:w="547" w:type="pct"/>
          </w:tcPr>
          <w:p w14:paraId="2DE5C39A"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lang w:val="sq-AL"/>
              </w:rPr>
            </w:pPr>
            <w:r w:rsidRPr="003E1083">
              <w:rPr>
                <w:rFonts w:asciiTheme="minorHAnsi" w:hAnsiTheme="minorHAnsi"/>
                <w:b/>
                <w:sz w:val="18"/>
                <w:lang w:val="sq-AL"/>
              </w:rPr>
              <w:t>Korrente</w:t>
            </w:r>
          </w:p>
        </w:tc>
        <w:tc>
          <w:tcPr>
            <w:cnfStyle w:val="000010000000" w:firstRow="0" w:lastRow="0" w:firstColumn="0" w:lastColumn="0" w:oddVBand="1" w:evenVBand="0" w:oddHBand="0" w:evenHBand="0" w:firstRowFirstColumn="0" w:firstRowLastColumn="0" w:lastRowFirstColumn="0" w:lastRowLastColumn="0"/>
            <w:tcW w:w="584" w:type="pct"/>
          </w:tcPr>
          <w:p w14:paraId="628DABE8" w14:textId="77777777" w:rsidR="000C2868" w:rsidRPr="003E1083" w:rsidRDefault="000C2868" w:rsidP="000C2868">
            <w:pPr>
              <w:jc w:val="center"/>
              <w:rPr>
                <w:rFonts w:asciiTheme="minorHAnsi" w:hAnsiTheme="minorHAnsi"/>
                <w:b/>
                <w:sz w:val="18"/>
                <w:lang w:val="sq-AL"/>
              </w:rPr>
            </w:pPr>
            <w:r w:rsidRPr="003E1083">
              <w:rPr>
                <w:rFonts w:asciiTheme="minorHAnsi" w:hAnsiTheme="minorHAnsi"/>
                <w:b/>
                <w:sz w:val="18"/>
                <w:lang w:val="sq-AL"/>
              </w:rPr>
              <w:t>Investime</w:t>
            </w:r>
          </w:p>
        </w:tc>
        <w:tc>
          <w:tcPr>
            <w:tcW w:w="460" w:type="pct"/>
          </w:tcPr>
          <w:p w14:paraId="7008CFA0"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lang w:val="sq-AL"/>
              </w:rPr>
            </w:pPr>
            <w:r w:rsidRPr="003E1083">
              <w:rPr>
                <w:rFonts w:asciiTheme="minorHAnsi" w:hAnsiTheme="minorHAnsi"/>
                <w:b/>
                <w:sz w:val="18"/>
                <w:lang w:val="sq-AL"/>
              </w:rPr>
              <w:t>Korrente</w:t>
            </w:r>
          </w:p>
        </w:tc>
        <w:tc>
          <w:tcPr>
            <w:cnfStyle w:val="000100000000" w:firstRow="0" w:lastRow="0" w:firstColumn="0" w:lastColumn="1" w:oddVBand="0" w:evenVBand="0" w:oddHBand="0" w:evenHBand="0" w:firstRowFirstColumn="0" w:firstRowLastColumn="0" w:lastRowFirstColumn="0" w:lastRowLastColumn="0"/>
            <w:tcW w:w="505" w:type="pct"/>
            <w:gridSpan w:val="2"/>
          </w:tcPr>
          <w:p w14:paraId="1D121FFE"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Investime</w:t>
            </w:r>
          </w:p>
        </w:tc>
      </w:tr>
      <w:tr w:rsidR="000C2868" w:rsidRPr="003E1083" w14:paraId="506CF190" w14:textId="77777777" w:rsidTr="000C2868">
        <w:trPr>
          <w:trHeight w:val="355"/>
          <w:jc w:val="center"/>
        </w:trPr>
        <w:tc>
          <w:tcPr>
            <w:cnfStyle w:val="001000000000" w:firstRow="0" w:lastRow="0" w:firstColumn="1" w:lastColumn="0" w:oddVBand="0" w:evenVBand="0" w:oddHBand="0" w:evenHBand="0" w:firstRowFirstColumn="0" w:firstRowLastColumn="0" w:lastRowFirstColumn="0" w:lastRowLastColumn="0"/>
            <w:tcW w:w="251" w:type="pct"/>
          </w:tcPr>
          <w:p w14:paraId="5D4A6728"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1.</w:t>
            </w:r>
          </w:p>
        </w:tc>
        <w:tc>
          <w:tcPr>
            <w:cnfStyle w:val="000010000000" w:firstRow="0" w:lastRow="0" w:firstColumn="0" w:lastColumn="0" w:oddVBand="1" w:evenVBand="0" w:oddHBand="0" w:evenHBand="0" w:firstRowFirstColumn="0" w:firstRowLastColumn="0" w:lastRowFirstColumn="0" w:lastRowLastColumn="0"/>
            <w:tcW w:w="1586" w:type="pct"/>
            <w:gridSpan w:val="2"/>
            <w:vAlign w:val="bottom"/>
          </w:tcPr>
          <w:p w14:paraId="0A64640B"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Planifikimi, Menaxhimi dhe Administrimi</w:t>
            </w:r>
          </w:p>
        </w:tc>
        <w:tc>
          <w:tcPr>
            <w:tcW w:w="533" w:type="pct"/>
          </w:tcPr>
          <w:p w14:paraId="485EACCC"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742,229</w:t>
            </w:r>
          </w:p>
        </w:tc>
        <w:tc>
          <w:tcPr>
            <w:cnfStyle w:val="000010000000" w:firstRow="0" w:lastRow="0" w:firstColumn="0" w:lastColumn="0" w:oddVBand="1" w:evenVBand="0" w:oddHBand="0" w:evenHBand="0" w:firstRowFirstColumn="0" w:firstRowLastColumn="0" w:lastRowFirstColumn="0" w:lastRowLastColumn="0"/>
            <w:tcW w:w="534" w:type="pct"/>
          </w:tcPr>
          <w:p w14:paraId="7317EDCA" w14:textId="77777777" w:rsidR="000C2868" w:rsidRPr="003E1083" w:rsidRDefault="000C2868" w:rsidP="000C2868">
            <w:pPr>
              <w:jc w:val="center"/>
              <w:rPr>
                <w:rFonts w:asciiTheme="minorHAnsi" w:hAnsiTheme="minorHAnsi"/>
                <w:bCs/>
                <w:sz w:val="18"/>
                <w:lang w:val="sq-AL"/>
              </w:rPr>
            </w:pPr>
            <w:r w:rsidRPr="003E1083">
              <w:rPr>
                <w:rFonts w:asciiTheme="minorHAnsi" w:hAnsiTheme="minorHAnsi"/>
                <w:bCs/>
                <w:sz w:val="18"/>
                <w:lang w:val="sq-AL"/>
              </w:rPr>
              <w:t>55,000</w:t>
            </w:r>
          </w:p>
        </w:tc>
        <w:tc>
          <w:tcPr>
            <w:tcW w:w="547" w:type="pct"/>
          </w:tcPr>
          <w:p w14:paraId="780A5CDC"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236,080</w:t>
            </w:r>
          </w:p>
        </w:tc>
        <w:tc>
          <w:tcPr>
            <w:cnfStyle w:val="000010000000" w:firstRow="0" w:lastRow="0" w:firstColumn="0" w:lastColumn="0" w:oddVBand="1" w:evenVBand="0" w:oddHBand="0" w:evenHBand="0" w:firstRowFirstColumn="0" w:firstRowLastColumn="0" w:lastRowFirstColumn="0" w:lastRowLastColumn="0"/>
            <w:tcW w:w="584" w:type="pct"/>
          </w:tcPr>
          <w:p w14:paraId="40995524" w14:textId="77777777" w:rsidR="000C2868" w:rsidRPr="003E1083" w:rsidRDefault="000C2868" w:rsidP="000C2868">
            <w:pPr>
              <w:jc w:val="center"/>
              <w:rPr>
                <w:rFonts w:asciiTheme="minorHAnsi" w:hAnsiTheme="minorHAnsi"/>
                <w:bCs/>
                <w:sz w:val="18"/>
                <w:lang w:val="sq-AL"/>
              </w:rPr>
            </w:pPr>
            <w:r w:rsidRPr="003E1083">
              <w:rPr>
                <w:rFonts w:asciiTheme="minorHAnsi" w:hAnsiTheme="minorHAnsi"/>
                <w:bCs/>
                <w:sz w:val="18"/>
                <w:lang w:val="sq-AL"/>
              </w:rPr>
              <w:t>959</w:t>
            </w:r>
          </w:p>
        </w:tc>
        <w:tc>
          <w:tcPr>
            <w:tcW w:w="469" w:type="pct"/>
            <w:gridSpan w:val="2"/>
          </w:tcPr>
          <w:p w14:paraId="55640B3C"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31.81%</w:t>
            </w:r>
          </w:p>
        </w:tc>
        <w:tc>
          <w:tcPr>
            <w:cnfStyle w:val="000100000000" w:firstRow="0" w:lastRow="0" w:firstColumn="0" w:lastColumn="1" w:oddVBand="0" w:evenVBand="0" w:oddHBand="0" w:evenHBand="0" w:firstRowFirstColumn="0" w:firstRowLastColumn="0" w:lastRowFirstColumn="0" w:lastRowLastColumn="0"/>
            <w:tcW w:w="496" w:type="pct"/>
          </w:tcPr>
          <w:p w14:paraId="7A0FEFBC" w14:textId="77777777" w:rsidR="000C2868" w:rsidRPr="003E1083" w:rsidRDefault="000C2868" w:rsidP="000C2868">
            <w:pPr>
              <w:jc w:val="center"/>
              <w:rPr>
                <w:rFonts w:asciiTheme="minorHAnsi" w:hAnsiTheme="minorHAnsi"/>
                <w:b w:val="0"/>
                <w:bCs w:val="0"/>
                <w:sz w:val="18"/>
                <w:lang w:val="sq-AL"/>
              </w:rPr>
            </w:pPr>
            <w:r w:rsidRPr="003E1083">
              <w:rPr>
                <w:rFonts w:asciiTheme="minorHAnsi" w:hAnsiTheme="minorHAnsi"/>
                <w:b w:val="0"/>
                <w:bCs w:val="0"/>
                <w:sz w:val="18"/>
                <w:lang w:val="sq-AL"/>
              </w:rPr>
              <w:t>1.74%</w:t>
            </w:r>
          </w:p>
        </w:tc>
      </w:tr>
      <w:tr w:rsidR="000C2868" w:rsidRPr="003E1083" w14:paraId="06E21859" w14:textId="77777777" w:rsidTr="000C2868">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251" w:type="pct"/>
          </w:tcPr>
          <w:p w14:paraId="7E7BFB4C"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2.</w:t>
            </w:r>
          </w:p>
        </w:tc>
        <w:tc>
          <w:tcPr>
            <w:cnfStyle w:val="000010000000" w:firstRow="0" w:lastRow="0" w:firstColumn="0" w:lastColumn="0" w:oddVBand="1" w:evenVBand="0" w:oddHBand="0" w:evenHBand="0" w:firstRowFirstColumn="0" w:firstRowLastColumn="0" w:lastRowFirstColumn="0" w:lastRowLastColumn="0"/>
            <w:tcW w:w="1586" w:type="pct"/>
            <w:gridSpan w:val="2"/>
          </w:tcPr>
          <w:p w14:paraId="75649894"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Arsimi Bazë</w:t>
            </w:r>
          </w:p>
        </w:tc>
        <w:tc>
          <w:tcPr>
            <w:tcW w:w="533" w:type="pct"/>
          </w:tcPr>
          <w:p w14:paraId="2F3E5D47"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23,894,434</w:t>
            </w:r>
          </w:p>
        </w:tc>
        <w:tc>
          <w:tcPr>
            <w:cnfStyle w:val="000010000000" w:firstRow="0" w:lastRow="0" w:firstColumn="0" w:lastColumn="0" w:oddVBand="1" w:evenVBand="0" w:oddHBand="0" w:evenHBand="0" w:firstRowFirstColumn="0" w:firstRowLastColumn="0" w:lastRowFirstColumn="0" w:lastRowLastColumn="0"/>
            <w:tcW w:w="534" w:type="pct"/>
          </w:tcPr>
          <w:p w14:paraId="068D3BD9" w14:textId="77777777" w:rsidR="000C2868" w:rsidRPr="003E1083" w:rsidRDefault="000C2868" w:rsidP="000C2868">
            <w:pPr>
              <w:jc w:val="center"/>
              <w:rPr>
                <w:rFonts w:asciiTheme="minorHAnsi" w:hAnsiTheme="minorHAnsi"/>
                <w:bCs/>
                <w:sz w:val="18"/>
                <w:lang w:val="sq-AL"/>
              </w:rPr>
            </w:pPr>
            <w:r w:rsidRPr="003E1083">
              <w:rPr>
                <w:rFonts w:asciiTheme="minorHAnsi" w:hAnsiTheme="minorHAnsi"/>
                <w:bCs/>
                <w:sz w:val="18"/>
                <w:lang w:val="sq-AL"/>
              </w:rPr>
              <w:t>1,437,000</w:t>
            </w:r>
          </w:p>
        </w:tc>
        <w:tc>
          <w:tcPr>
            <w:tcW w:w="547" w:type="pct"/>
          </w:tcPr>
          <w:p w14:paraId="733D9925"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8,000,090</w:t>
            </w:r>
          </w:p>
        </w:tc>
        <w:tc>
          <w:tcPr>
            <w:cnfStyle w:val="000010000000" w:firstRow="0" w:lastRow="0" w:firstColumn="0" w:lastColumn="0" w:oddVBand="1" w:evenVBand="0" w:oddHBand="0" w:evenHBand="0" w:firstRowFirstColumn="0" w:firstRowLastColumn="0" w:lastRowFirstColumn="0" w:lastRowLastColumn="0"/>
            <w:tcW w:w="584" w:type="pct"/>
          </w:tcPr>
          <w:p w14:paraId="1D290BD1" w14:textId="77777777" w:rsidR="000C2868" w:rsidRPr="003E1083" w:rsidRDefault="000C2868" w:rsidP="000C2868">
            <w:pPr>
              <w:jc w:val="center"/>
              <w:rPr>
                <w:rFonts w:asciiTheme="minorHAnsi" w:hAnsiTheme="minorHAnsi"/>
                <w:bCs/>
                <w:sz w:val="18"/>
                <w:lang w:val="sq-AL"/>
              </w:rPr>
            </w:pPr>
            <w:r w:rsidRPr="003E1083">
              <w:rPr>
                <w:rFonts w:asciiTheme="minorHAnsi" w:hAnsiTheme="minorHAnsi"/>
                <w:bCs/>
                <w:sz w:val="18"/>
                <w:lang w:val="sq-AL"/>
              </w:rPr>
              <w:t>128,818</w:t>
            </w:r>
          </w:p>
        </w:tc>
        <w:tc>
          <w:tcPr>
            <w:tcW w:w="469" w:type="pct"/>
            <w:gridSpan w:val="2"/>
          </w:tcPr>
          <w:p w14:paraId="4AB70FA4"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33.48%</w:t>
            </w:r>
          </w:p>
        </w:tc>
        <w:tc>
          <w:tcPr>
            <w:cnfStyle w:val="000100000000" w:firstRow="0" w:lastRow="0" w:firstColumn="0" w:lastColumn="1" w:oddVBand="0" w:evenVBand="0" w:oddHBand="0" w:evenHBand="0" w:firstRowFirstColumn="0" w:firstRowLastColumn="0" w:lastRowFirstColumn="0" w:lastRowLastColumn="0"/>
            <w:tcW w:w="496" w:type="pct"/>
          </w:tcPr>
          <w:p w14:paraId="6BDFE1B0" w14:textId="77777777" w:rsidR="000C2868" w:rsidRPr="003E1083" w:rsidRDefault="000C2868" w:rsidP="000C2868">
            <w:pPr>
              <w:jc w:val="center"/>
              <w:rPr>
                <w:rFonts w:asciiTheme="minorHAnsi" w:hAnsiTheme="minorHAnsi"/>
                <w:b w:val="0"/>
                <w:bCs w:val="0"/>
                <w:sz w:val="18"/>
                <w:lang w:val="sq-AL"/>
              </w:rPr>
            </w:pPr>
            <w:r w:rsidRPr="003E1083">
              <w:rPr>
                <w:rFonts w:asciiTheme="minorHAnsi" w:hAnsiTheme="minorHAnsi"/>
                <w:b w:val="0"/>
                <w:bCs w:val="0"/>
                <w:sz w:val="18"/>
                <w:lang w:val="sq-AL"/>
              </w:rPr>
              <w:t>8.96%</w:t>
            </w:r>
          </w:p>
        </w:tc>
      </w:tr>
      <w:tr w:rsidR="000C2868" w:rsidRPr="003E1083" w14:paraId="0CC9B6A1" w14:textId="77777777" w:rsidTr="000C2868">
        <w:trPr>
          <w:trHeight w:val="241"/>
          <w:jc w:val="center"/>
        </w:trPr>
        <w:tc>
          <w:tcPr>
            <w:cnfStyle w:val="001000000000" w:firstRow="0" w:lastRow="0" w:firstColumn="1" w:lastColumn="0" w:oddVBand="0" w:evenVBand="0" w:oddHBand="0" w:evenHBand="0" w:firstRowFirstColumn="0" w:firstRowLastColumn="0" w:lastRowFirstColumn="0" w:lastRowLastColumn="0"/>
            <w:tcW w:w="251" w:type="pct"/>
          </w:tcPr>
          <w:p w14:paraId="2ACCC81A"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3.</w:t>
            </w:r>
          </w:p>
        </w:tc>
        <w:tc>
          <w:tcPr>
            <w:cnfStyle w:val="000010000000" w:firstRow="0" w:lastRow="0" w:firstColumn="0" w:lastColumn="0" w:oddVBand="1" w:evenVBand="0" w:oddHBand="0" w:evenHBand="0" w:firstRowFirstColumn="0" w:firstRowLastColumn="0" w:lastRowFirstColumn="0" w:lastRowLastColumn="0"/>
            <w:tcW w:w="1586" w:type="pct"/>
            <w:gridSpan w:val="2"/>
          </w:tcPr>
          <w:p w14:paraId="0D256903"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Arsimi i Mesëm i Përgjithshëm</w:t>
            </w:r>
          </w:p>
        </w:tc>
        <w:tc>
          <w:tcPr>
            <w:tcW w:w="533" w:type="pct"/>
          </w:tcPr>
          <w:p w14:paraId="6F3A4A37"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6,881,187</w:t>
            </w:r>
          </w:p>
        </w:tc>
        <w:tc>
          <w:tcPr>
            <w:cnfStyle w:val="000010000000" w:firstRow="0" w:lastRow="0" w:firstColumn="0" w:lastColumn="0" w:oddVBand="1" w:evenVBand="0" w:oddHBand="0" w:evenHBand="0" w:firstRowFirstColumn="0" w:firstRowLastColumn="0" w:lastRowFirstColumn="0" w:lastRowLastColumn="0"/>
            <w:tcW w:w="534" w:type="pct"/>
          </w:tcPr>
          <w:p w14:paraId="2A3E0DAD" w14:textId="77777777" w:rsidR="000C2868" w:rsidRPr="003E1083" w:rsidRDefault="000C2868" w:rsidP="000C2868">
            <w:pPr>
              <w:jc w:val="center"/>
              <w:rPr>
                <w:rFonts w:asciiTheme="minorHAnsi" w:hAnsiTheme="minorHAnsi"/>
                <w:bCs/>
                <w:sz w:val="18"/>
                <w:lang w:val="sq-AL"/>
              </w:rPr>
            </w:pPr>
            <w:r w:rsidRPr="003E1083">
              <w:rPr>
                <w:rFonts w:asciiTheme="minorHAnsi" w:hAnsiTheme="minorHAnsi"/>
                <w:bCs/>
                <w:sz w:val="18"/>
                <w:lang w:val="sq-AL"/>
              </w:rPr>
              <w:t>1,162,000</w:t>
            </w:r>
          </w:p>
        </w:tc>
        <w:tc>
          <w:tcPr>
            <w:tcW w:w="547" w:type="pct"/>
          </w:tcPr>
          <w:p w14:paraId="299F7CB1"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2,211,476</w:t>
            </w:r>
          </w:p>
        </w:tc>
        <w:tc>
          <w:tcPr>
            <w:cnfStyle w:val="000010000000" w:firstRow="0" w:lastRow="0" w:firstColumn="0" w:lastColumn="0" w:oddVBand="1" w:evenVBand="0" w:oddHBand="0" w:evenHBand="0" w:firstRowFirstColumn="0" w:firstRowLastColumn="0" w:lastRowFirstColumn="0" w:lastRowLastColumn="0"/>
            <w:tcW w:w="584" w:type="pct"/>
          </w:tcPr>
          <w:p w14:paraId="667F59C8" w14:textId="77777777" w:rsidR="000C2868" w:rsidRPr="003E1083" w:rsidRDefault="000C2868" w:rsidP="000C2868">
            <w:pPr>
              <w:jc w:val="center"/>
              <w:rPr>
                <w:rFonts w:asciiTheme="minorHAnsi" w:hAnsiTheme="minorHAnsi"/>
                <w:bCs/>
                <w:sz w:val="18"/>
                <w:lang w:val="sq-AL"/>
              </w:rPr>
            </w:pPr>
            <w:r w:rsidRPr="003E1083">
              <w:rPr>
                <w:rFonts w:asciiTheme="minorHAnsi" w:hAnsiTheme="minorHAnsi"/>
                <w:bCs/>
                <w:sz w:val="18"/>
                <w:lang w:val="sq-AL"/>
              </w:rPr>
              <w:t>96,305</w:t>
            </w:r>
          </w:p>
        </w:tc>
        <w:tc>
          <w:tcPr>
            <w:tcW w:w="469" w:type="pct"/>
            <w:gridSpan w:val="2"/>
          </w:tcPr>
          <w:p w14:paraId="3EA4326F"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32.14%</w:t>
            </w:r>
          </w:p>
        </w:tc>
        <w:tc>
          <w:tcPr>
            <w:cnfStyle w:val="000100000000" w:firstRow="0" w:lastRow="0" w:firstColumn="0" w:lastColumn="1" w:oddVBand="0" w:evenVBand="0" w:oddHBand="0" w:evenHBand="0" w:firstRowFirstColumn="0" w:firstRowLastColumn="0" w:lastRowFirstColumn="0" w:lastRowLastColumn="0"/>
            <w:tcW w:w="496" w:type="pct"/>
          </w:tcPr>
          <w:p w14:paraId="3C2FB1ED" w14:textId="77777777" w:rsidR="000C2868" w:rsidRPr="003E1083" w:rsidRDefault="000C2868" w:rsidP="000C2868">
            <w:pPr>
              <w:jc w:val="center"/>
              <w:rPr>
                <w:rFonts w:asciiTheme="minorHAnsi" w:hAnsiTheme="minorHAnsi"/>
                <w:b w:val="0"/>
                <w:bCs w:val="0"/>
                <w:sz w:val="18"/>
                <w:lang w:val="sq-AL"/>
              </w:rPr>
            </w:pPr>
            <w:r w:rsidRPr="003E1083">
              <w:rPr>
                <w:rFonts w:asciiTheme="minorHAnsi" w:hAnsiTheme="minorHAnsi"/>
                <w:b w:val="0"/>
                <w:bCs w:val="0"/>
                <w:sz w:val="18"/>
                <w:lang w:val="sq-AL"/>
              </w:rPr>
              <w:t>8.29%</w:t>
            </w:r>
          </w:p>
        </w:tc>
      </w:tr>
      <w:tr w:rsidR="000C2868" w:rsidRPr="003E1083" w14:paraId="0055E608" w14:textId="77777777" w:rsidTr="000C286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51" w:type="pct"/>
          </w:tcPr>
          <w:p w14:paraId="316FF6B0"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4.</w:t>
            </w:r>
          </w:p>
        </w:tc>
        <w:tc>
          <w:tcPr>
            <w:cnfStyle w:val="000010000000" w:firstRow="0" w:lastRow="0" w:firstColumn="0" w:lastColumn="0" w:oddVBand="1" w:evenVBand="0" w:oddHBand="0" w:evenHBand="0" w:firstRowFirstColumn="0" w:firstRowLastColumn="0" w:lastRowFirstColumn="0" w:lastRowLastColumn="0"/>
            <w:tcW w:w="1586" w:type="pct"/>
            <w:gridSpan w:val="2"/>
          </w:tcPr>
          <w:p w14:paraId="2F577A42"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Arsimi i Universitar</w:t>
            </w:r>
          </w:p>
        </w:tc>
        <w:tc>
          <w:tcPr>
            <w:tcW w:w="533" w:type="pct"/>
          </w:tcPr>
          <w:p w14:paraId="49F9F1EB"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11,938,795</w:t>
            </w:r>
          </w:p>
        </w:tc>
        <w:tc>
          <w:tcPr>
            <w:cnfStyle w:val="000010000000" w:firstRow="0" w:lastRow="0" w:firstColumn="0" w:lastColumn="0" w:oddVBand="1" w:evenVBand="0" w:oddHBand="0" w:evenHBand="0" w:firstRowFirstColumn="0" w:firstRowLastColumn="0" w:lastRowFirstColumn="0" w:lastRowLastColumn="0"/>
            <w:tcW w:w="534" w:type="pct"/>
          </w:tcPr>
          <w:p w14:paraId="14C2AA34" w14:textId="77777777" w:rsidR="000C2868" w:rsidRPr="003E1083" w:rsidRDefault="000C2868" w:rsidP="000C2868">
            <w:pPr>
              <w:jc w:val="center"/>
              <w:rPr>
                <w:rFonts w:asciiTheme="minorHAnsi" w:hAnsiTheme="minorHAnsi"/>
                <w:bCs/>
                <w:sz w:val="18"/>
                <w:lang w:val="sq-AL"/>
              </w:rPr>
            </w:pPr>
            <w:r w:rsidRPr="003E1083">
              <w:rPr>
                <w:rFonts w:asciiTheme="minorHAnsi" w:hAnsiTheme="minorHAnsi"/>
                <w:bCs/>
                <w:sz w:val="18"/>
                <w:lang w:val="sq-AL"/>
              </w:rPr>
              <w:t>1,180,000</w:t>
            </w:r>
          </w:p>
        </w:tc>
        <w:tc>
          <w:tcPr>
            <w:tcW w:w="547" w:type="pct"/>
          </w:tcPr>
          <w:p w14:paraId="0B083A9A"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3,237,812</w:t>
            </w:r>
          </w:p>
        </w:tc>
        <w:tc>
          <w:tcPr>
            <w:cnfStyle w:val="000010000000" w:firstRow="0" w:lastRow="0" w:firstColumn="0" w:lastColumn="0" w:oddVBand="1" w:evenVBand="0" w:oddHBand="0" w:evenHBand="0" w:firstRowFirstColumn="0" w:firstRowLastColumn="0" w:lastRowFirstColumn="0" w:lastRowLastColumn="0"/>
            <w:tcW w:w="584" w:type="pct"/>
          </w:tcPr>
          <w:p w14:paraId="55BCD1C7" w14:textId="77777777" w:rsidR="000C2868" w:rsidRPr="003E1083" w:rsidRDefault="000C2868" w:rsidP="000C2868">
            <w:pPr>
              <w:jc w:val="center"/>
              <w:rPr>
                <w:rFonts w:asciiTheme="minorHAnsi" w:hAnsiTheme="minorHAnsi"/>
                <w:bCs/>
                <w:sz w:val="18"/>
                <w:lang w:val="sq-AL"/>
              </w:rPr>
            </w:pPr>
            <w:r w:rsidRPr="003E1083">
              <w:rPr>
                <w:rFonts w:asciiTheme="minorHAnsi" w:hAnsiTheme="minorHAnsi"/>
                <w:bCs/>
                <w:sz w:val="18"/>
                <w:lang w:val="sq-AL"/>
              </w:rPr>
              <w:t>89,945</w:t>
            </w:r>
          </w:p>
        </w:tc>
        <w:tc>
          <w:tcPr>
            <w:tcW w:w="469" w:type="pct"/>
            <w:gridSpan w:val="2"/>
          </w:tcPr>
          <w:p w14:paraId="47C8A319"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27.12%</w:t>
            </w:r>
          </w:p>
        </w:tc>
        <w:tc>
          <w:tcPr>
            <w:cnfStyle w:val="000100000000" w:firstRow="0" w:lastRow="0" w:firstColumn="0" w:lastColumn="1" w:oddVBand="0" w:evenVBand="0" w:oddHBand="0" w:evenHBand="0" w:firstRowFirstColumn="0" w:firstRowLastColumn="0" w:lastRowFirstColumn="0" w:lastRowLastColumn="0"/>
            <w:tcW w:w="496" w:type="pct"/>
          </w:tcPr>
          <w:p w14:paraId="7725CDD2" w14:textId="77777777" w:rsidR="000C2868" w:rsidRPr="003E1083" w:rsidRDefault="000C2868" w:rsidP="000C2868">
            <w:pPr>
              <w:jc w:val="center"/>
              <w:rPr>
                <w:rFonts w:asciiTheme="minorHAnsi" w:hAnsiTheme="minorHAnsi"/>
                <w:b w:val="0"/>
                <w:bCs w:val="0"/>
                <w:sz w:val="18"/>
                <w:lang w:val="sq-AL"/>
              </w:rPr>
            </w:pPr>
            <w:r w:rsidRPr="003E1083">
              <w:rPr>
                <w:rFonts w:asciiTheme="minorHAnsi" w:hAnsiTheme="minorHAnsi"/>
                <w:b w:val="0"/>
                <w:bCs w:val="0"/>
                <w:sz w:val="18"/>
                <w:lang w:val="sq-AL"/>
              </w:rPr>
              <w:t>7.62%</w:t>
            </w:r>
          </w:p>
        </w:tc>
      </w:tr>
      <w:tr w:rsidR="000C2868" w:rsidRPr="003E1083" w14:paraId="7E4EC3B6" w14:textId="77777777" w:rsidTr="000C2868">
        <w:trPr>
          <w:trHeight w:val="276"/>
          <w:jc w:val="center"/>
        </w:trPr>
        <w:tc>
          <w:tcPr>
            <w:cnfStyle w:val="001000000000" w:firstRow="0" w:lastRow="0" w:firstColumn="1" w:lastColumn="0" w:oddVBand="0" w:evenVBand="0" w:oddHBand="0" w:evenHBand="0" w:firstRowFirstColumn="0" w:firstRowLastColumn="0" w:lastRowFirstColumn="0" w:lastRowLastColumn="0"/>
            <w:tcW w:w="251" w:type="pct"/>
          </w:tcPr>
          <w:p w14:paraId="7A667461"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5.</w:t>
            </w:r>
          </w:p>
        </w:tc>
        <w:tc>
          <w:tcPr>
            <w:cnfStyle w:val="000010000000" w:firstRow="0" w:lastRow="0" w:firstColumn="0" w:lastColumn="0" w:oddVBand="1" w:evenVBand="0" w:oddHBand="0" w:evenHBand="0" w:firstRowFirstColumn="0" w:firstRowLastColumn="0" w:lastRowFirstColumn="0" w:lastRowLastColumn="0"/>
            <w:tcW w:w="1586" w:type="pct"/>
            <w:gridSpan w:val="2"/>
          </w:tcPr>
          <w:p w14:paraId="478BA546"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Fonde për Shkencën</w:t>
            </w:r>
          </w:p>
        </w:tc>
        <w:tc>
          <w:tcPr>
            <w:tcW w:w="533" w:type="pct"/>
          </w:tcPr>
          <w:p w14:paraId="53505634"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588,418</w:t>
            </w:r>
          </w:p>
        </w:tc>
        <w:tc>
          <w:tcPr>
            <w:cnfStyle w:val="000010000000" w:firstRow="0" w:lastRow="0" w:firstColumn="0" w:lastColumn="0" w:oddVBand="1" w:evenVBand="0" w:oddHBand="0" w:evenHBand="0" w:firstRowFirstColumn="0" w:firstRowLastColumn="0" w:lastRowFirstColumn="0" w:lastRowLastColumn="0"/>
            <w:tcW w:w="534" w:type="pct"/>
          </w:tcPr>
          <w:p w14:paraId="4C07F8AF" w14:textId="77777777" w:rsidR="000C2868" w:rsidRPr="003E1083" w:rsidRDefault="000C2868" w:rsidP="000C2868">
            <w:pPr>
              <w:jc w:val="center"/>
              <w:rPr>
                <w:rFonts w:asciiTheme="minorHAnsi" w:hAnsiTheme="minorHAnsi"/>
                <w:bCs/>
                <w:sz w:val="18"/>
                <w:lang w:val="sq-AL"/>
              </w:rPr>
            </w:pPr>
            <w:r w:rsidRPr="003E1083">
              <w:rPr>
                <w:rFonts w:asciiTheme="minorHAnsi" w:hAnsiTheme="minorHAnsi"/>
                <w:bCs/>
                <w:sz w:val="18"/>
                <w:lang w:val="sq-AL"/>
              </w:rPr>
              <w:t>550,000</w:t>
            </w:r>
          </w:p>
        </w:tc>
        <w:tc>
          <w:tcPr>
            <w:tcW w:w="547" w:type="pct"/>
          </w:tcPr>
          <w:p w14:paraId="68DC2BB6"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54,393</w:t>
            </w:r>
          </w:p>
        </w:tc>
        <w:tc>
          <w:tcPr>
            <w:cnfStyle w:val="000010000000" w:firstRow="0" w:lastRow="0" w:firstColumn="0" w:lastColumn="0" w:oddVBand="1" w:evenVBand="0" w:oddHBand="0" w:evenHBand="0" w:firstRowFirstColumn="0" w:firstRowLastColumn="0" w:lastRowFirstColumn="0" w:lastRowLastColumn="0"/>
            <w:tcW w:w="584" w:type="pct"/>
          </w:tcPr>
          <w:p w14:paraId="6185D2A9" w14:textId="77777777" w:rsidR="000C2868" w:rsidRPr="003E1083" w:rsidRDefault="000C2868" w:rsidP="000C2868">
            <w:pPr>
              <w:jc w:val="center"/>
              <w:rPr>
                <w:rFonts w:asciiTheme="minorHAnsi" w:hAnsiTheme="minorHAnsi"/>
                <w:bCs/>
                <w:sz w:val="18"/>
                <w:lang w:val="sq-AL"/>
              </w:rPr>
            </w:pPr>
            <w:r w:rsidRPr="003E1083">
              <w:rPr>
                <w:rFonts w:asciiTheme="minorHAnsi" w:hAnsiTheme="minorHAnsi"/>
                <w:bCs/>
                <w:sz w:val="18"/>
                <w:lang w:val="sq-AL"/>
              </w:rPr>
              <w:t>57,540</w:t>
            </w:r>
          </w:p>
        </w:tc>
        <w:tc>
          <w:tcPr>
            <w:tcW w:w="469" w:type="pct"/>
            <w:gridSpan w:val="2"/>
          </w:tcPr>
          <w:p w14:paraId="65EF8CA9"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9.24%</w:t>
            </w:r>
          </w:p>
        </w:tc>
        <w:tc>
          <w:tcPr>
            <w:cnfStyle w:val="000100000000" w:firstRow="0" w:lastRow="0" w:firstColumn="0" w:lastColumn="1" w:oddVBand="0" w:evenVBand="0" w:oddHBand="0" w:evenHBand="0" w:firstRowFirstColumn="0" w:firstRowLastColumn="0" w:lastRowFirstColumn="0" w:lastRowLastColumn="0"/>
            <w:tcW w:w="496" w:type="pct"/>
          </w:tcPr>
          <w:p w14:paraId="31F4257C" w14:textId="77777777" w:rsidR="000C2868" w:rsidRPr="003E1083" w:rsidRDefault="000C2868" w:rsidP="000C2868">
            <w:pPr>
              <w:jc w:val="center"/>
              <w:rPr>
                <w:rFonts w:asciiTheme="minorHAnsi" w:hAnsiTheme="minorHAnsi"/>
                <w:b w:val="0"/>
                <w:bCs w:val="0"/>
                <w:sz w:val="18"/>
                <w:lang w:val="sq-AL"/>
              </w:rPr>
            </w:pPr>
            <w:r w:rsidRPr="003E1083">
              <w:rPr>
                <w:rFonts w:asciiTheme="minorHAnsi" w:hAnsiTheme="minorHAnsi"/>
                <w:b w:val="0"/>
                <w:bCs w:val="0"/>
                <w:sz w:val="18"/>
                <w:lang w:val="sq-AL"/>
              </w:rPr>
              <w:t>10.46%</w:t>
            </w:r>
          </w:p>
        </w:tc>
      </w:tr>
      <w:tr w:rsidR="000C2868" w:rsidRPr="003E1083" w14:paraId="2EDC759C" w14:textId="77777777" w:rsidTr="000C2868">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251" w:type="pct"/>
          </w:tcPr>
          <w:p w14:paraId="2EB709C4"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6.</w:t>
            </w:r>
          </w:p>
        </w:tc>
        <w:tc>
          <w:tcPr>
            <w:cnfStyle w:val="000010000000" w:firstRow="0" w:lastRow="0" w:firstColumn="0" w:lastColumn="0" w:oddVBand="1" w:evenVBand="0" w:oddHBand="0" w:evenHBand="0" w:firstRowFirstColumn="0" w:firstRowLastColumn="0" w:lastRowFirstColumn="0" w:lastRowLastColumn="0"/>
            <w:tcW w:w="1586" w:type="pct"/>
            <w:gridSpan w:val="2"/>
          </w:tcPr>
          <w:p w14:paraId="3EFE665D"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 xml:space="preserve">Zhvillimi i Sportit </w:t>
            </w:r>
          </w:p>
        </w:tc>
        <w:tc>
          <w:tcPr>
            <w:tcW w:w="533" w:type="pct"/>
          </w:tcPr>
          <w:p w14:paraId="40A9E689"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276,100</w:t>
            </w:r>
          </w:p>
        </w:tc>
        <w:tc>
          <w:tcPr>
            <w:cnfStyle w:val="000010000000" w:firstRow="0" w:lastRow="0" w:firstColumn="0" w:lastColumn="0" w:oddVBand="1" w:evenVBand="0" w:oddHBand="0" w:evenHBand="0" w:firstRowFirstColumn="0" w:firstRowLastColumn="0" w:lastRowFirstColumn="0" w:lastRowLastColumn="0"/>
            <w:tcW w:w="534" w:type="pct"/>
          </w:tcPr>
          <w:p w14:paraId="50FDED0F" w14:textId="77777777" w:rsidR="000C2868" w:rsidRPr="003E1083" w:rsidRDefault="000C2868" w:rsidP="000C2868">
            <w:pPr>
              <w:jc w:val="center"/>
              <w:rPr>
                <w:rFonts w:asciiTheme="minorHAnsi" w:hAnsiTheme="minorHAnsi"/>
                <w:bCs/>
                <w:sz w:val="18"/>
                <w:lang w:val="sq-AL"/>
              </w:rPr>
            </w:pPr>
            <w:r w:rsidRPr="003E1083">
              <w:rPr>
                <w:rFonts w:asciiTheme="minorHAnsi" w:hAnsiTheme="minorHAnsi"/>
                <w:bCs/>
                <w:sz w:val="18"/>
                <w:lang w:val="sq-AL"/>
              </w:rPr>
              <w:t>170,000</w:t>
            </w:r>
          </w:p>
        </w:tc>
        <w:tc>
          <w:tcPr>
            <w:tcW w:w="547" w:type="pct"/>
          </w:tcPr>
          <w:p w14:paraId="387C49BE"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62,947</w:t>
            </w:r>
          </w:p>
        </w:tc>
        <w:tc>
          <w:tcPr>
            <w:cnfStyle w:val="000010000000" w:firstRow="0" w:lastRow="0" w:firstColumn="0" w:lastColumn="0" w:oddVBand="1" w:evenVBand="0" w:oddHBand="0" w:evenHBand="0" w:firstRowFirstColumn="0" w:firstRowLastColumn="0" w:lastRowFirstColumn="0" w:lastRowLastColumn="0"/>
            <w:tcW w:w="584" w:type="pct"/>
          </w:tcPr>
          <w:p w14:paraId="1325CA14" w14:textId="77777777" w:rsidR="000C2868" w:rsidRPr="003E1083" w:rsidRDefault="000C2868" w:rsidP="000C2868">
            <w:pPr>
              <w:jc w:val="center"/>
              <w:rPr>
                <w:rFonts w:asciiTheme="minorHAnsi" w:hAnsiTheme="minorHAnsi"/>
                <w:bCs/>
                <w:sz w:val="18"/>
                <w:lang w:val="sq-AL"/>
              </w:rPr>
            </w:pPr>
            <w:r w:rsidRPr="003E1083">
              <w:rPr>
                <w:rFonts w:asciiTheme="minorHAnsi" w:hAnsiTheme="minorHAnsi"/>
                <w:bCs/>
                <w:sz w:val="18"/>
                <w:lang w:val="sq-AL"/>
              </w:rPr>
              <w:t>3,173</w:t>
            </w:r>
          </w:p>
        </w:tc>
        <w:tc>
          <w:tcPr>
            <w:tcW w:w="469" w:type="pct"/>
            <w:gridSpan w:val="2"/>
          </w:tcPr>
          <w:p w14:paraId="2BC622C1"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sz w:val="18"/>
                <w:lang w:val="sq-AL"/>
              </w:rPr>
            </w:pPr>
            <w:r w:rsidRPr="003E1083">
              <w:rPr>
                <w:rFonts w:asciiTheme="minorHAnsi" w:hAnsiTheme="minorHAnsi"/>
                <w:bCs/>
                <w:sz w:val="18"/>
                <w:lang w:val="sq-AL"/>
              </w:rPr>
              <w:t>22.80%</w:t>
            </w:r>
          </w:p>
        </w:tc>
        <w:tc>
          <w:tcPr>
            <w:cnfStyle w:val="000100000000" w:firstRow="0" w:lastRow="0" w:firstColumn="0" w:lastColumn="1" w:oddVBand="0" w:evenVBand="0" w:oddHBand="0" w:evenHBand="0" w:firstRowFirstColumn="0" w:firstRowLastColumn="0" w:lastRowFirstColumn="0" w:lastRowLastColumn="0"/>
            <w:tcW w:w="496" w:type="pct"/>
          </w:tcPr>
          <w:p w14:paraId="6B301682" w14:textId="77777777" w:rsidR="000C2868" w:rsidRPr="003E1083" w:rsidRDefault="000C2868" w:rsidP="000C2868">
            <w:pPr>
              <w:jc w:val="center"/>
              <w:rPr>
                <w:rFonts w:asciiTheme="minorHAnsi" w:hAnsiTheme="minorHAnsi"/>
                <w:b w:val="0"/>
                <w:bCs w:val="0"/>
                <w:sz w:val="18"/>
                <w:lang w:val="sq-AL"/>
              </w:rPr>
            </w:pPr>
            <w:r w:rsidRPr="003E1083">
              <w:rPr>
                <w:rFonts w:asciiTheme="minorHAnsi" w:hAnsiTheme="minorHAnsi"/>
                <w:b w:val="0"/>
                <w:bCs w:val="0"/>
                <w:sz w:val="18"/>
                <w:lang w:val="sq-AL"/>
              </w:rPr>
              <w:t>1.87%</w:t>
            </w:r>
          </w:p>
        </w:tc>
      </w:tr>
      <w:tr w:rsidR="000C2868" w:rsidRPr="003E1083" w14:paraId="0A2A94CF" w14:textId="77777777" w:rsidTr="000C2868">
        <w:trPr>
          <w:cnfStyle w:val="010000000000" w:firstRow="0" w:lastRow="1" w:firstColumn="0" w:lastColumn="0" w:oddVBand="0" w:evenVBand="0" w:oddHBand="0" w:evenHBand="0" w:firstRowFirstColumn="0" w:firstRowLastColumn="0" w:lastRowFirstColumn="0" w:lastRowLastColumn="0"/>
          <w:trHeight w:val="276"/>
          <w:jc w:val="center"/>
        </w:trPr>
        <w:tc>
          <w:tcPr>
            <w:cnfStyle w:val="001000000001" w:firstRow="0" w:lastRow="0" w:firstColumn="1" w:lastColumn="0" w:oddVBand="0" w:evenVBand="0" w:oddHBand="0" w:evenHBand="0" w:firstRowFirstColumn="0" w:firstRowLastColumn="0" w:lastRowFirstColumn="1" w:lastRowLastColumn="0"/>
            <w:tcW w:w="1838" w:type="pct"/>
            <w:gridSpan w:val="3"/>
          </w:tcPr>
          <w:p w14:paraId="5A98A93A"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Totali</w:t>
            </w:r>
          </w:p>
        </w:tc>
        <w:tc>
          <w:tcPr>
            <w:cnfStyle w:val="000010000000" w:firstRow="0" w:lastRow="0" w:firstColumn="0" w:lastColumn="0" w:oddVBand="1" w:evenVBand="0" w:oddHBand="0" w:evenHBand="0" w:firstRowFirstColumn="0" w:firstRowLastColumn="0" w:lastRowFirstColumn="0" w:lastRowLastColumn="0"/>
            <w:tcW w:w="533" w:type="pct"/>
          </w:tcPr>
          <w:p w14:paraId="2DA101D2"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44,321,163</w:t>
            </w:r>
          </w:p>
        </w:tc>
        <w:tc>
          <w:tcPr>
            <w:tcW w:w="534" w:type="pct"/>
          </w:tcPr>
          <w:p w14:paraId="14CF9069" w14:textId="77777777" w:rsidR="000C2868" w:rsidRPr="003E1083" w:rsidRDefault="000C2868" w:rsidP="000C2868">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4,554,000</w:t>
            </w:r>
          </w:p>
        </w:tc>
        <w:tc>
          <w:tcPr>
            <w:cnfStyle w:val="000010000000" w:firstRow="0" w:lastRow="0" w:firstColumn="0" w:lastColumn="0" w:oddVBand="1" w:evenVBand="0" w:oddHBand="0" w:evenHBand="0" w:firstRowFirstColumn="0" w:firstRowLastColumn="0" w:lastRowFirstColumn="0" w:lastRowLastColumn="0"/>
            <w:tcW w:w="547" w:type="pct"/>
          </w:tcPr>
          <w:p w14:paraId="79E3CBAE"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4,554,000</w:t>
            </w:r>
          </w:p>
        </w:tc>
        <w:tc>
          <w:tcPr>
            <w:tcW w:w="584" w:type="pct"/>
          </w:tcPr>
          <w:p w14:paraId="3309D39D" w14:textId="77777777" w:rsidR="000C2868" w:rsidRPr="003E1083" w:rsidRDefault="000C2868" w:rsidP="000C2868">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376,739</w:t>
            </w:r>
          </w:p>
        </w:tc>
        <w:tc>
          <w:tcPr>
            <w:cnfStyle w:val="000010000000" w:firstRow="0" w:lastRow="0" w:firstColumn="0" w:lastColumn="0" w:oddVBand="1" w:evenVBand="0" w:oddHBand="0" w:evenHBand="0" w:firstRowFirstColumn="0" w:firstRowLastColumn="0" w:lastRowFirstColumn="0" w:lastRowLastColumn="0"/>
            <w:tcW w:w="469" w:type="pct"/>
            <w:gridSpan w:val="2"/>
          </w:tcPr>
          <w:p w14:paraId="1B07FC30"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31.14%</w:t>
            </w:r>
          </w:p>
        </w:tc>
        <w:tc>
          <w:tcPr>
            <w:cnfStyle w:val="000100000010" w:firstRow="0" w:lastRow="0" w:firstColumn="0" w:lastColumn="1" w:oddVBand="0" w:evenVBand="0" w:oddHBand="0" w:evenHBand="0" w:firstRowFirstColumn="0" w:firstRowLastColumn="0" w:lastRowFirstColumn="0" w:lastRowLastColumn="1"/>
            <w:tcW w:w="496" w:type="pct"/>
          </w:tcPr>
          <w:p w14:paraId="1C628239"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8.27%</w:t>
            </w:r>
          </w:p>
        </w:tc>
      </w:tr>
    </w:tbl>
    <w:p w14:paraId="1E9B8359" w14:textId="77777777" w:rsidR="000C2868" w:rsidRPr="003E1083" w:rsidRDefault="000C2868" w:rsidP="000C2868">
      <w:pPr>
        <w:tabs>
          <w:tab w:val="left" w:pos="6619"/>
        </w:tabs>
        <w:jc w:val="center"/>
        <w:rPr>
          <w:rFonts w:asciiTheme="minorHAnsi" w:hAnsiTheme="minorHAnsi"/>
          <w:sz w:val="12"/>
          <w:lang w:val="sq-AL"/>
        </w:rPr>
      </w:pPr>
    </w:p>
    <w:p w14:paraId="4F0A9F02" w14:textId="77777777" w:rsidR="000C2868" w:rsidRPr="003E1083" w:rsidRDefault="000C2868" w:rsidP="000C2868">
      <w:pPr>
        <w:jc w:val="both"/>
        <w:rPr>
          <w:rFonts w:asciiTheme="minorHAnsi" w:hAnsiTheme="minorHAnsi"/>
          <w:color w:val="000000"/>
          <w:lang w:val="sq-AL"/>
        </w:rPr>
      </w:pPr>
      <w:r w:rsidRPr="003E1083">
        <w:rPr>
          <w:rFonts w:asciiTheme="minorHAnsi" w:hAnsiTheme="minorHAnsi"/>
          <w:b/>
          <w:color w:val="000000"/>
          <w:lang w:val="sq-AL"/>
        </w:rPr>
        <w:t>“Arsimi Bazë”</w:t>
      </w:r>
      <w:r w:rsidRPr="003E1083">
        <w:rPr>
          <w:rFonts w:asciiTheme="minorHAnsi" w:hAnsiTheme="minorHAnsi"/>
          <w:color w:val="000000"/>
          <w:lang w:val="sq-AL"/>
        </w:rPr>
        <w:t xml:space="preserve">, qëllimi i këtij programi është </w:t>
      </w:r>
      <w:r w:rsidRPr="003E1083">
        <w:rPr>
          <w:rFonts w:asciiTheme="minorHAnsi" w:hAnsiTheme="minorHAnsi"/>
          <w:i/>
          <w:color w:val="000000"/>
          <w:lang w:val="sq-AL"/>
        </w:rPr>
        <w:t xml:space="preserve">“Sigurimi i një arsimi cilësor për të gjithë nxënësit duke përmirësuar kushtet e mësimdhënies e mësimnxënies duke siguruar kushte të barabarta për pjesëmarrje në arsimin bazë, për të gjithë fëmijët e grup moshës në arsimin parashkollor dhe atë të detyruar”. </w:t>
      </w:r>
      <w:r w:rsidRPr="003E1083">
        <w:rPr>
          <w:rFonts w:asciiTheme="minorHAnsi" w:hAnsiTheme="minorHAnsi"/>
          <w:color w:val="000000"/>
          <w:lang w:val="sq-AL"/>
        </w:rPr>
        <w:t xml:space="preserve">Përgjatë </w:t>
      </w:r>
      <w:r>
        <w:rPr>
          <w:rFonts w:asciiTheme="minorHAnsi" w:hAnsiTheme="minorHAnsi"/>
          <w:color w:val="000000"/>
          <w:lang w:val="sq-AL"/>
        </w:rPr>
        <w:t>4M I</w:t>
      </w:r>
      <w:r w:rsidRPr="003E1083">
        <w:rPr>
          <w:rFonts w:asciiTheme="minorHAnsi" w:hAnsiTheme="minorHAnsi"/>
          <w:color w:val="000000"/>
          <w:lang w:val="sq-AL"/>
        </w:rPr>
        <w:t xml:space="preserve"> të vitit 2023, për arritjen e qëllimit kanë kontribuar produktet, performanca e të cilave është realizuar, si më poshtë:</w:t>
      </w:r>
    </w:p>
    <w:p w14:paraId="6582F9F9"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Ndjekin arsimin 9-vjeçar rreth 251,207 nxënës.</w:t>
      </w:r>
    </w:p>
    <w:p w14:paraId="6CBCB506"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U ofrua shërbimi i transportit me fonde të buxhetit, për të mbuluar shpenzimet për transportin e rreth 45,800 nxënës që kanë vendbanimi mbi 2 km nga shkolla dhe mësues që punojnë mbi 5km nga vendbanimi/qendra e përhershme e punës në shkollë me një kosto rreth 309</w:t>
      </w:r>
      <w:r>
        <w:rPr>
          <w:rFonts w:asciiTheme="minorHAnsi" w:hAnsiTheme="minorHAnsi"/>
          <w:i/>
          <w:lang w:val="sq-AL"/>
        </w:rPr>
        <w:t>mln</w:t>
      </w:r>
      <w:r w:rsidRPr="003E1083">
        <w:rPr>
          <w:rFonts w:asciiTheme="minorHAnsi" w:hAnsiTheme="minorHAnsi"/>
          <w:i/>
          <w:lang w:val="sq-AL"/>
        </w:rPr>
        <w:t xml:space="preserve"> lekë.</w:t>
      </w:r>
    </w:p>
    <w:p w14:paraId="1E7992C7"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 xml:space="preserve">Janë rreth 140 nxënës me aftësi të veçanta që përfitojnë shërbim arsimor, më një kosto prej 32 milionë lekë për </w:t>
      </w:r>
      <w:r>
        <w:rPr>
          <w:rFonts w:asciiTheme="minorHAnsi" w:hAnsiTheme="minorHAnsi"/>
          <w:i/>
          <w:lang w:val="sq-AL"/>
        </w:rPr>
        <w:t>4M I</w:t>
      </w:r>
      <w:r w:rsidRPr="003E1083">
        <w:rPr>
          <w:rFonts w:asciiTheme="minorHAnsi" w:hAnsiTheme="minorHAnsi"/>
          <w:i/>
          <w:lang w:val="sq-AL"/>
        </w:rPr>
        <w:t xml:space="preserve"> të vitit 2023.</w:t>
      </w:r>
    </w:p>
    <w:p w14:paraId="3900AFD7" w14:textId="77777777" w:rsidR="000C2868" w:rsidRPr="003E1083" w:rsidRDefault="000C2868" w:rsidP="000C2868">
      <w:pPr>
        <w:autoSpaceDE w:val="0"/>
        <w:autoSpaceDN w:val="0"/>
        <w:adjustRightInd w:val="0"/>
        <w:jc w:val="both"/>
        <w:rPr>
          <w:rFonts w:asciiTheme="minorHAnsi" w:hAnsiTheme="minorHAnsi"/>
          <w:color w:val="000000"/>
          <w:sz w:val="16"/>
          <w:lang w:val="sq-AL"/>
        </w:rPr>
      </w:pPr>
    </w:p>
    <w:p w14:paraId="6A6692E2" w14:textId="77777777" w:rsidR="000C2868" w:rsidRPr="003E1083" w:rsidRDefault="000C2868" w:rsidP="000C2868">
      <w:pPr>
        <w:autoSpaceDE w:val="0"/>
        <w:autoSpaceDN w:val="0"/>
        <w:adjustRightInd w:val="0"/>
        <w:jc w:val="both"/>
        <w:rPr>
          <w:rFonts w:asciiTheme="minorHAnsi" w:hAnsiTheme="minorHAnsi"/>
          <w:color w:val="000000"/>
          <w:lang w:val="sq-AL"/>
        </w:rPr>
      </w:pPr>
      <w:r w:rsidRPr="003E1083">
        <w:rPr>
          <w:rFonts w:asciiTheme="minorHAnsi" w:hAnsiTheme="minorHAnsi"/>
          <w:color w:val="000000"/>
          <w:lang w:val="sq-AL"/>
        </w:rPr>
        <w:t xml:space="preserve">Programi </w:t>
      </w:r>
      <w:r w:rsidRPr="003E1083">
        <w:rPr>
          <w:rFonts w:asciiTheme="minorHAnsi" w:hAnsiTheme="minorHAnsi"/>
          <w:b/>
          <w:color w:val="000000"/>
          <w:lang w:val="sq-AL"/>
        </w:rPr>
        <w:t>“Arsimi Mesëm i Përgjithshëm”</w:t>
      </w:r>
      <w:r w:rsidRPr="003E1083">
        <w:rPr>
          <w:rFonts w:asciiTheme="minorHAnsi" w:hAnsiTheme="minorHAnsi"/>
          <w:color w:val="000000"/>
          <w:lang w:val="sq-AL"/>
        </w:rPr>
        <w:t xml:space="preserve"> objektivat e të cilit janë:</w:t>
      </w:r>
    </w:p>
    <w:p w14:paraId="7C1DE8C0" w14:textId="77777777" w:rsidR="000C2868" w:rsidRPr="003E1083" w:rsidRDefault="000C2868" w:rsidP="000C2868">
      <w:pPr>
        <w:numPr>
          <w:ilvl w:val="0"/>
          <w:numId w:val="5"/>
        </w:numPr>
        <w:ind w:left="360"/>
        <w:contextualSpacing/>
        <w:jc w:val="both"/>
        <w:rPr>
          <w:rFonts w:asciiTheme="minorHAnsi" w:hAnsiTheme="minorHAnsi"/>
          <w:i/>
          <w:lang w:val="sq-AL"/>
        </w:rPr>
      </w:pPr>
      <w:r w:rsidRPr="003E1083">
        <w:rPr>
          <w:rFonts w:asciiTheme="minorHAnsi" w:hAnsiTheme="minorHAnsi"/>
          <w:i/>
          <w:lang w:val="sq-AL"/>
        </w:rPr>
        <w:t>Sigurimi i kushteve dhe garantimi i aksesit për çdo nxënës të arsimit bazë për të ndjekur arsimin e mesëm, të lartë.</w:t>
      </w:r>
    </w:p>
    <w:p w14:paraId="2277093C" w14:textId="77777777" w:rsidR="000C2868" w:rsidRPr="003E1083" w:rsidRDefault="000C2868" w:rsidP="000C2868">
      <w:pPr>
        <w:numPr>
          <w:ilvl w:val="0"/>
          <w:numId w:val="5"/>
        </w:numPr>
        <w:ind w:left="360"/>
        <w:contextualSpacing/>
        <w:jc w:val="both"/>
        <w:rPr>
          <w:rFonts w:asciiTheme="minorHAnsi" w:hAnsiTheme="minorHAnsi"/>
          <w:i/>
          <w:lang w:val="sq-AL"/>
        </w:rPr>
      </w:pPr>
      <w:r w:rsidRPr="003E1083">
        <w:rPr>
          <w:rFonts w:asciiTheme="minorHAnsi" w:hAnsiTheme="minorHAnsi"/>
          <w:i/>
          <w:lang w:val="sq-AL"/>
        </w:rPr>
        <w:t>Reformimi i sistemit arsimor përmes rritjes së kapaciteteve të stafeve mësimore, konsolidimit të kurrikulës së re të klasës 10-11-12, si dhe zbatimit me sukses të saj.</w:t>
      </w:r>
    </w:p>
    <w:p w14:paraId="4BAA0376" w14:textId="77777777" w:rsidR="000C2868" w:rsidRPr="003E1083" w:rsidRDefault="000C2868" w:rsidP="000C2868">
      <w:pPr>
        <w:numPr>
          <w:ilvl w:val="0"/>
          <w:numId w:val="5"/>
        </w:numPr>
        <w:ind w:left="360"/>
        <w:contextualSpacing/>
        <w:jc w:val="both"/>
        <w:rPr>
          <w:rFonts w:asciiTheme="minorHAnsi" w:hAnsiTheme="minorHAnsi"/>
          <w:i/>
          <w:lang w:val="sq-AL"/>
        </w:rPr>
      </w:pPr>
      <w:r w:rsidRPr="003E1083">
        <w:rPr>
          <w:rFonts w:asciiTheme="minorHAnsi" w:hAnsiTheme="minorHAnsi"/>
          <w:i/>
          <w:lang w:val="sq-AL"/>
        </w:rPr>
        <w:t>Realizimi i Maturës Shtetërore dhe portali "Mësues për Shqipërinë", 2021-2023.</w:t>
      </w:r>
    </w:p>
    <w:p w14:paraId="54539657" w14:textId="77777777" w:rsidR="000C2868" w:rsidRPr="003E1083" w:rsidRDefault="000C2868" w:rsidP="000C2868">
      <w:pPr>
        <w:autoSpaceDE w:val="0"/>
        <w:autoSpaceDN w:val="0"/>
        <w:adjustRightInd w:val="0"/>
        <w:jc w:val="both"/>
        <w:rPr>
          <w:rFonts w:asciiTheme="minorHAnsi" w:hAnsiTheme="minorHAnsi"/>
          <w:sz w:val="8"/>
          <w:szCs w:val="8"/>
          <w:lang w:val="sq-AL"/>
        </w:rPr>
      </w:pPr>
    </w:p>
    <w:p w14:paraId="25BB6498" w14:textId="77777777" w:rsidR="000C2868" w:rsidRPr="003E1083" w:rsidRDefault="000C2868" w:rsidP="000C2868">
      <w:pPr>
        <w:autoSpaceDE w:val="0"/>
        <w:autoSpaceDN w:val="0"/>
        <w:adjustRightInd w:val="0"/>
        <w:jc w:val="both"/>
        <w:rPr>
          <w:rFonts w:asciiTheme="minorHAnsi" w:hAnsiTheme="minorHAnsi"/>
          <w:lang w:val="sq-AL"/>
        </w:rPr>
      </w:pPr>
      <w:r w:rsidRPr="003E1083">
        <w:rPr>
          <w:rFonts w:asciiTheme="minorHAnsi" w:hAnsiTheme="minorHAnsi"/>
          <w:lang w:val="sq-AL"/>
        </w:rPr>
        <w:t>Këto objektiva janë realizuar nëpërmjet produkteve, performanca e të cilave për 4 mujorin e parë të vitit 2023, është realizuar, si më poshtë:</w:t>
      </w:r>
    </w:p>
    <w:p w14:paraId="210EDEA8"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Ndjekin arsimin e mesëm rreth 73,042 nxënës.</w:t>
      </w:r>
    </w:p>
    <w:p w14:paraId="528098CA"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 xml:space="preserve">Ofrimi i shërbimit të transportit me fonde të buxhetit, për të mbuluar shpenzimet për transportin e rreth 5,300 mësues  dhe nxënës të AML për vitin shkollor 2022-2023, shoqëruar me një kosto prej 31 milionë lekë.                                                                                                                 </w:t>
      </w:r>
    </w:p>
    <w:p w14:paraId="2A725B58"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Kanë përfituar tekste mësimore falas 16,000 nxënës të grupeve sociale në nevojë, për vitin shkollor 2022-2023.</w:t>
      </w:r>
    </w:p>
    <w:p w14:paraId="00271045" w14:textId="77777777" w:rsidR="000C2868" w:rsidRPr="00321968" w:rsidRDefault="000C2868" w:rsidP="000C2868">
      <w:pPr>
        <w:pStyle w:val="Default"/>
        <w:jc w:val="both"/>
        <w:rPr>
          <w:rFonts w:asciiTheme="minorHAnsi" w:hAnsiTheme="minorHAnsi"/>
          <w:sz w:val="16"/>
          <w:lang w:val="sq-AL"/>
        </w:rPr>
      </w:pPr>
    </w:p>
    <w:p w14:paraId="75A7DD9C" w14:textId="7320F57F" w:rsidR="000C2868" w:rsidRPr="003E1083" w:rsidRDefault="000C2868" w:rsidP="000C2868">
      <w:pPr>
        <w:pStyle w:val="Default"/>
        <w:jc w:val="both"/>
        <w:rPr>
          <w:rFonts w:asciiTheme="minorHAnsi" w:hAnsiTheme="minorHAnsi"/>
          <w:lang w:val="sq-AL"/>
        </w:rPr>
      </w:pPr>
      <w:r w:rsidRPr="003E1083">
        <w:rPr>
          <w:rFonts w:asciiTheme="minorHAnsi" w:hAnsiTheme="minorHAnsi"/>
          <w:lang w:val="sq-AL"/>
        </w:rPr>
        <w:t xml:space="preserve">Në programin </w:t>
      </w:r>
      <w:r w:rsidRPr="003E1083">
        <w:rPr>
          <w:rFonts w:asciiTheme="minorHAnsi" w:hAnsiTheme="minorHAnsi"/>
          <w:b/>
          <w:lang w:val="sq-AL"/>
        </w:rPr>
        <w:t>“Arsimi Lartë”,</w:t>
      </w:r>
      <w:r w:rsidRPr="003E1083">
        <w:rPr>
          <w:rFonts w:asciiTheme="minorHAnsi" w:hAnsiTheme="minorHAnsi"/>
          <w:lang w:val="sq-AL"/>
        </w:rPr>
        <w:t xml:space="preserve"> </w:t>
      </w:r>
      <w:r w:rsidRPr="003E1083">
        <w:rPr>
          <w:rFonts w:asciiTheme="minorHAnsi" w:hAnsiTheme="minorHAnsi"/>
          <w:color w:val="auto"/>
          <w:lang w:val="sq-AL"/>
        </w:rPr>
        <w:t xml:space="preserve">gjatë </w:t>
      </w:r>
      <w:r>
        <w:rPr>
          <w:rFonts w:asciiTheme="minorHAnsi" w:hAnsiTheme="minorHAnsi"/>
          <w:color w:val="auto"/>
          <w:lang w:val="sq-AL"/>
        </w:rPr>
        <w:t>4M I</w:t>
      </w:r>
      <w:r w:rsidRPr="003E1083">
        <w:rPr>
          <w:rFonts w:asciiTheme="minorHAnsi" w:hAnsiTheme="minorHAnsi"/>
          <w:color w:val="auto"/>
          <w:lang w:val="sq-AL"/>
        </w:rPr>
        <w:t xml:space="preserve"> të vitit 2023, është synuar realizimi i </w:t>
      </w:r>
      <w:r w:rsidRPr="003E1083">
        <w:rPr>
          <w:rFonts w:asciiTheme="minorHAnsi" w:hAnsiTheme="minorHAnsi"/>
          <w:lang w:val="sq-AL"/>
        </w:rPr>
        <w:t>objektivave sa mëposhtë:</w:t>
      </w:r>
    </w:p>
    <w:p w14:paraId="43EDB2DE" w14:textId="77777777" w:rsidR="000C2868" w:rsidRPr="003E1083" w:rsidRDefault="000C2868" w:rsidP="000C2868">
      <w:pPr>
        <w:numPr>
          <w:ilvl w:val="0"/>
          <w:numId w:val="5"/>
        </w:numPr>
        <w:ind w:left="360"/>
        <w:contextualSpacing/>
        <w:jc w:val="both"/>
        <w:rPr>
          <w:rFonts w:asciiTheme="minorHAnsi" w:hAnsiTheme="minorHAnsi"/>
          <w:i/>
          <w:lang w:val="sq-AL"/>
        </w:rPr>
      </w:pPr>
      <w:r w:rsidRPr="003E1083">
        <w:rPr>
          <w:rFonts w:asciiTheme="minorHAnsi" w:hAnsiTheme="minorHAnsi"/>
          <w:i/>
          <w:lang w:val="sq-AL"/>
        </w:rPr>
        <w:t>Rritja e cilësisë së mësimdhënies nëpërmjet kualifikimit shkencor të stafit akademik me 5% deri 10% në vit, rritjes së numrit të stafit akademik me kohë të plotë duke synuar uljen se raportit pedagog/student në 1/20.</w:t>
      </w:r>
    </w:p>
    <w:p w14:paraId="10F3C6FE" w14:textId="77777777" w:rsidR="000C2868" w:rsidRPr="003E1083" w:rsidRDefault="000C2868" w:rsidP="000C2868">
      <w:pPr>
        <w:numPr>
          <w:ilvl w:val="0"/>
          <w:numId w:val="5"/>
        </w:numPr>
        <w:ind w:left="360"/>
        <w:contextualSpacing/>
        <w:jc w:val="both"/>
        <w:rPr>
          <w:rFonts w:asciiTheme="minorHAnsi" w:hAnsiTheme="minorHAnsi"/>
          <w:i/>
          <w:lang w:val="sq-AL"/>
        </w:rPr>
      </w:pPr>
      <w:r w:rsidRPr="003E1083">
        <w:rPr>
          <w:rFonts w:asciiTheme="minorHAnsi" w:hAnsiTheme="minorHAnsi"/>
          <w:i/>
          <w:lang w:val="sq-AL"/>
        </w:rPr>
        <w:lastRenderedPageBreak/>
        <w:t>Garantimi i aksesit në bazë të meritës si dhe rritja e dimensionit social në AL duke mbështetur me bursë financiare  individët që duan të ndjekin studimet në arsimin e lartë nga kategoritë sociale në nevojë  në masën 16% deri 18% në vit të studentëve të ciklit të parë dhe të dytë dhe në përputhje me parimet e barazisë gjinore</w:t>
      </w:r>
    </w:p>
    <w:p w14:paraId="7325B7AA" w14:textId="77777777" w:rsidR="000C2868" w:rsidRPr="003E1083" w:rsidRDefault="000C2868" w:rsidP="000C2868">
      <w:pPr>
        <w:numPr>
          <w:ilvl w:val="0"/>
          <w:numId w:val="5"/>
        </w:numPr>
        <w:ind w:left="360"/>
        <w:contextualSpacing/>
        <w:jc w:val="both"/>
        <w:rPr>
          <w:rFonts w:asciiTheme="minorHAnsi" w:hAnsiTheme="minorHAnsi"/>
          <w:i/>
          <w:lang w:val="sq-AL"/>
        </w:rPr>
      </w:pPr>
      <w:r w:rsidRPr="003E1083">
        <w:rPr>
          <w:rFonts w:asciiTheme="minorHAnsi" w:hAnsiTheme="minorHAnsi"/>
          <w:i/>
          <w:lang w:val="sq-AL"/>
        </w:rPr>
        <w:t>Akreditimi i programeve të studimit konform kërkesave ligjore.</w:t>
      </w:r>
    </w:p>
    <w:p w14:paraId="0903FA35" w14:textId="77777777" w:rsidR="000C2868" w:rsidRPr="003E1083" w:rsidRDefault="000C2868" w:rsidP="000C2868">
      <w:pPr>
        <w:numPr>
          <w:ilvl w:val="0"/>
          <w:numId w:val="5"/>
        </w:numPr>
        <w:ind w:left="360"/>
        <w:contextualSpacing/>
        <w:jc w:val="both"/>
        <w:rPr>
          <w:rFonts w:asciiTheme="minorHAnsi" w:hAnsiTheme="minorHAnsi"/>
          <w:i/>
          <w:lang w:val="sq-AL"/>
        </w:rPr>
      </w:pPr>
      <w:r w:rsidRPr="003E1083">
        <w:rPr>
          <w:rFonts w:asciiTheme="minorHAnsi" w:hAnsiTheme="minorHAnsi"/>
          <w:i/>
          <w:lang w:val="sq-AL"/>
        </w:rPr>
        <w:t>Përmirësimi i standardeve, infrastrukturës akademike duke rritur raportin sipërfaqe/student vende në kërkimore në laboratore dhe në biblioteka.</w:t>
      </w:r>
    </w:p>
    <w:p w14:paraId="78A28A0F" w14:textId="77777777" w:rsidR="000C2868" w:rsidRPr="003E1083" w:rsidRDefault="000C2868" w:rsidP="000C2868">
      <w:pPr>
        <w:pStyle w:val="ListParagraph"/>
        <w:jc w:val="both"/>
        <w:rPr>
          <w:rFonts w:asciiTheme="minorHAnsi" w:eastAsia="Calibri" w:hAnsiTheme="minorHAnsi"/>
          <w:lang w:val="sq-AL"/>
        </w:rPr>
      </w:pPr>
    </w:p>
    <w:p w14:paraId="0E97543E" w14:textId="77777777" w:rsidR="000C2868" w:rsidRPr="003E1083" w:rsidRDefault="000C2868" w:rsidP="000C2868">
      <w:pPr>
        <w:jc w:val="both"/>
        <w:rPr>
          <w:rFonts w:asciiTheme="minorHAnsi" w:hAnsiTheme="minorHAnsi"/>
          <w:lang w:val="sq-AL"/>
        </w:rPr>
      </w:pPr>
      <w:r w:rsidRPr="003E1083">
        <w:rPr>
          <w:rFonts w:asciiTheme="minorHAnsi" w:hAnsiTheme="minorHAnsi"/>
          <w:lang w:val="sq-AL"/>
        </w:rPr>
        <w:t xml:space="preserve">Këto objektiva janë realizuar nëpërmjet produkteve, performanca e të cilave për </w:t>
      </w:r>
      <w:r>
        <w:rPr>
          <w:rFonts w:asciiTheme="minorHAnsi" w:hAnsiTheme="minorHAnsi"/>
          <w:lang w:val="sq-AL"/>
        </w:rPr>
        <w:t>4M I</w:t>
      </w:r>
      <w:r w:rsidRPr="003E1083">
        <w:rPr>
          <w:rFonts w:asciiTheme="minorHAnsi" w:hAnsiTheme="minorHAnsi"/>
          <w:lang w:val="sq-AL"/>
        </w:rPr>
        <w:t xml:space="preserve"> të vitit </w:t>
      </w:r>
      <w:r w:rsidRPr="003E1083">
        <w:rPr>
          <w:rFonts w:asciiTheme="minorHAnsi" w:hAnsiTheme="minorHAnsi"/>
          <w:color w:val="000000"/>
          <w:lang w:val="sq-AL"/>
        </w:rPr>
        <w:t>2023,</w:t>
      </w:r>
      <w:r w:rsidRPr="003E1083">
        <w:rPr>
          <w:rFonts w:asciiTheme="minorHAnsi" w:hAnsiTheme="minorHAnsi"/>
          <w:lang w:val="sq-AL"/>
        </w:rPr>
        <w:t xml:space="preserve"> është realizuar, si më poshtë:</w:t>
      </w:r>
    </w:p>
    <w:p w14:paraId="5E878C7D" w14:textId="77777777" w:rsidR="000C2868" w:rsidRPr="00321968" w:rsidRDefault="000C2868" w:rsidP="000C2868">
      <w:pPr>
        <w:numPr>
          <w:ilvl w:val="0"/>
          <w:numId w:val="6"/>
        </w:numPr>
        <w:spacing w:after="120"/>
        <w:ind w:left="360"/>
        <w:contextualSpacing/>
        <w:jc w:val="both"/>
        <w:rPr>
          <w:rFonts w:asciiTheme="minorHAnsi" w:hAnsiTheme="minorHAnsi"/>
          <w:i/>
          <w:lang w:val="sq-AL"/>
        </w:rPr>
      </w:pPr>
      <w:r w:rsidRPr="00321968">
        <w:rPr>
          <w:rFonts w:asciiTheme="minorHAnsi" w:hAnsiTheme="minorHAnsi"/>
          <w:i/>
          <w:lang w:val="sq-AL"/>
        </w:rPr>
        <w:t>Kanë ndj</w:t>
      </w:r>
      <w:r>
        <w:rPr>
          <w:rFonts w:asciiTheme="minorHAnsi" w:hAnsiTheme="minorHAnsi"/>
          <w:i/>
          <w:lang w:val="sq-AL"/>
        </w:rPr>
        <w:t>e</w:t>
      </w:r>
      <w:r w:rsidRPr="00321968">
        <w:rPr>
          <w:rFonts w:asciiTheme="minorHAnsi" w:hAnsiTheme="minorHAnsi"/>
          <w:i/>
          <w:lang w:val="sq-AL"/>
        </w:rPr>
        <w:t>kur ciklin e parë të studimeve 73,000 studentë, me një kosto vjetore prej 2.7</w:t>
      </w:r>
      <w:r>
        <w:rPr>
          <w:rFonts w:asciiTheme="minorHAnsi" w:hAnsiTheme="minorHAnsi"/>
          <w:i/>
          <w:lang w:val="sq-AL"/>
        </w:rPr>
        <w:t>mld</w:t>
      </w:r>
      <w:r w:rsidRPr="00321968">
        <w:rPr>
          <w:rFonts w:asciiTheme="minorHAnsi" w:hAnsiTheme="minorHAnsi"/>
          <w:i/>
          <w:lang w:val="sq-AL"/>
        </w:rPr>
        <w:t xml:space="preserve"> lekë.</w:t>
      </w:r>
    </w:p>
    <w:p w14:paraId="11257992" w14:textId="77777777" w:rsidR="000C2868" w:rsidRPr="00321968" w:rsidRDefault="000C2868" w:rsidP="000C2868">
      <w:pPr>
        <w:numPr>
          <w:ilvl w:val="0"/>
          <w:numId w:val="6"/>
        </w:numPr>
        <w:spacing w:after="120"/>
        <w:ind w:left="360"/>
        <w:contextualSpacing/>
        <w:jc w:val="both"/>
        <w:rPr>
          <w:rFonts w:asciiTheme="minorHAnsi" w:hAnsiTheme="minorHAnsi"/>
          <w:i/>
          <w:lang w:val="sq-AL"/>
        </w:rPr>
      </w:pPr>
      <w:r w:rsidRPr="00321968">
        <w:rPr>
          <w:rFonts w:asciiTheme="minorHAnsi" w:hAnsiTheme="minorHAnsi"/>
          <w:i/>
          <w:lang w:val="sq-AL"/>
        </w:rPr>
        <w:t xml:space="preserve">Kanë përfituar bursa dhe mbështetje financiare për akomodim në shtëpitë e studentëve rreth 19,000 studentë, shoqëruar me një kosto për </w:t>
      </w:r>
      <w:r>
        <w:rPr>
          <w:rFonts w:asciiTheme="minorHAnsi" w:hAnsiTheme="minorHAnsi"/>
          <w:i/>
          <w:lang w:val="sq-AL"/>
        </w:rPr>
        <w:t>4M I</w:t>
      </w:r>
      <w:r w:rsidRPr="00321968">
        <w:rPr>
          <w:rFonts w:asciiTheme="minorHAnsi" w:hAnsiTheme="minorHAnsi"/>
          <w:i/>
          <w:lang w:val="sq-AL"/>
        </w:rPr>
        <w:t xml:space="preserve"> të vitit 2023, prej 571 milionë lekë.</w:t>
      </w:r>
    </w:p>
    <w:p w14:paraId="65B58791" w14:textId="77777777" w:rsidR="000C2868" w:rsidRPr="00321968" w:rsidRDefault="000C2868" w:rsidP="000C2868">
      <w:pPr>
        <w:numPr>
          <w:ilvl w:val="0"/>
          <w:numId w:val="6"/>
        </w:numPr>
        <w:spacing w:after="120"/>
        <w:ind w:left="360"/>
        <w:contextualSpacing/>
        <w:jc w:val="both"/>
        <w:rPr>
          <w:rFonts w:asciiTheme="minorHAnsi" w:hAnsiTheme="minorHAnsi"/>
          <w:i/>
          <w:lang w:val="sq-AL"/>
        </w:rPr>
      </w:pPr>
      <w:r w:rsidRPr="00321968">
        <w:rPr>
          <w:rFonts w:asciiTheme="minorHAnsi" w:hAnsiTheme="minorHAnsi"/>
          <w:i/>
          <w:lang w:val="sq-AL"/>
        </w:rPr>
        <w:t xml:space="preserve">Janë ndërtuar dhe rikonstruktuar 16 laboratorë përgjatë </w:t>
      </w:r>
      <w:r>
        <w:rPr>
          <w:rFonts w:asciiTheme="minorHAnsi" w:hAnsiTheme="minorHAnsi"/>
          <w:i/>
          <w:lang w:val="sq-AL"/>
        </w:rPr>
        <w:t>4M I</w:t>
      </w:r>
      <w:r w:rsidRPr="00321968">
        <w:rPr>
          <w:rFonts w:asciiTheme="minorHAnsi" w:hAnsiTheme="minorHAnsi"/>
          <w:i/>
          <w:lang w:val="sq-AL"/>
        </w:rPr>
        <w:t xml:space="preserve"> të vitit 2023, me një kosto vjetore prej 63 milionë lekë.</w:t>
      </w:r>
    </w:p>
    <w:p w14:paraId="001EA1FE" w14:textId="77777777" w:rsidR="000C2868" w:rsidRDefault="000C2868" w:rsidP="000C2868">
      <w:pPr>
        <w:autoSpaceDE w:val="0"/>
        <w:autoSpaceDN w:val="0"/>
        <w:adjustRightInd w:val="0"/>
        <w:contextualSpacing/>
        <w:jc w:val="both"/>
        <w:rPr>
          <w:rFonts w:asciiTheme="minorHAnsi" w:hAnsiTheme="minorHAnsi"/>
          <w:i/>
          <w:lang w:val="sq-AL"/>
        </w:rPr>
      </w:pPr>
    </w:p>
    <w:p w14:paraId="3239385C" w14:textId="77777777" w:rsidR="000C2868" w:rsidRPr="003E1083" w:rsidRDefault="000C2868" w:rsidP="000C2868">
      <w:pPr>
        <w:autoSpaceDE w:val="0"/>
        <w:autoSpaceDN w:val="0"/>
        <w:adjustRightInd w:val="0"/>
        <w:contextualSpacing/>
        <w:jc w:val="both"/>
        <w:rPr>
          <w:rFonts w:asciiTheme="minorHAnsi" w:hAnsiTheme="minorHAnsi"/>
          <w:i/>
          <w:lang w:val="sq-AL"/>
        </w:rPr>
      </w:pPr>
    </w:p>
    <w:p w14:paraId="5833E5E8" w14:textId="48EAEA22" w:rsidR="000C2868" w:rsidRPr="003E1083" w:rsidRDefault="000C2868" w:rsidP="000C2868">
      <w:pPr>
        <w:spacing w:before="120"/>
        <w:jc w:val="both"/>
        <w:rPr>
          <w:rFonts w:asciiTheme="minorHAnsi" w:hAnsiTheme="minorHAnsi"/>
          <w:b/>
          <w:noProof/>
          <w:color w:val="0070C0"/>
          <w:lang w:val="sq-AL"/>
        </w:rPr>
      </w:pPr>
      <w:bookmarkStart w:id="197" w:name="_Toc11134227"/>
      <w:bookmarkEnd w:id="194"/>
      <w:bookmarkEnd w:id="195"/>
      <w:r w:rsidRPr="003E1083">
        <w:rPr>
          <w:rFonts w:asciiTheme="minorHAnsi" w:hAnsiTheme="minorHAnsi"/>
          <w:b/>
          <w:noProof/>
          <w:color w:val="0070C0"/>
          <w:lang w:val="sq-AL"/>
        </w:rPr>
        <w:t>BUJQËSIA DHE ZHVILLIMI RURAL</w:t>
      </w:r>
      <w:bookmarkEnd w:id="197"/>
    </w:p>
    <w:p w14:paraId="5A07DE41" w14:textId="77777777" w:rsidR="000C2868" w:rsidRPr="003E1083" w:rsidRDefault="000C2868" w:rsidP="000C2868">
      <w:pPr>
        <w:rPr>
          <w:rFonts w:asciiTheme="minorHAnsi" w:eastAsia="MS Mincho" w:hAnsiTheme="minorHAnsi"/>
          <w:lang w:val="sq-AL"/>
        </w:rPr>
      </w:pPr>
      <w:r w:rsidRPr="003E1083">
        <w:rPr>
          <w:rFonts w:asciiTheme="minorHAnsi" w:eastAsia="MS Mincho" w:hAnsiTheme="minorHAnsi"/>
          <w:lang w:val="sq-AL"/>
        </w:rPr>
        <w:t>Performanca e treguesve buxhetorë për shtatë programet e Ministrisë së Bujqësisë dhe Zhvillimit Rural, paraqitet si më poshtë:</w:t>
      </w:r>
    </w:p>
    <w:p w14:paraId="7AE64FCE" w14:textId="43A78413" w:rsidR="000C2868" w:rsidRPr="00321968" w:rsidRDefault="000C2868" w:rsidP="000C2868">
      <w:pPr>
        <w:spacing w:before="120"/>
        <w:rPr>
          <w:rFonts w:asciiTheme="minorHAnsi" w:hAnsiTheme="minorHAnsi"/>
          <w:i/>
          <w:noProof/>
          <w:sz w:val="22"/>
          <w:lang w:val="sq-AL"/>
        </w:rPr>
      </w:pPr>
      <w:bookmarkStart w:id="198" w:name="_Toc107496776"/>
      <w:r w:rsidRPr="00321968">
        <w:rPr>
          <w:rFonts w:asciiTheme="minorHAnsi" w:hAnsiTheme="minorHAnsi"/>
          <w:i/>
          <w:noProof/>
          <w:sz w:val="22"/>
          <w:lang w:val="sq-AL"/>
        </w:rPr>
        <w:t xml:space="preserve">Tabela </w:t>
      </w:r>
      <w:r w:rsidRPr="00321968">
        <w:rPr>
          <w:rFonts w:asciiTheme="minorHAnsi" w:hAnsiTheme="minorHAnsi"/>
          <w:i/>
          <w:noProof/>
          <w:sz w:val="22"/>
          <w:lang w:val="sq-AL"/>
        </w:rPr>
        <w:fldChar w:fldCharType="begin"/>
      </w:r>
      <w:r w:rsidRPr="00321968">
        <w:rPr>
          <w:rFonts w:asciiTheme="minorHAnsi" w:hAnsiTheme="minorHAnsi"/>
          <w:i/>
          <w:noProof/>
          <w:sz w:val="22"/>
          <w:lang w:val="sq-AL"/>
        </w:rPr>
        <w:instrText xml:space="preserve"> SEQ Tabela \* ARABIC </w:instrText>
      </w:r>
      <w:r w:rsidRPr="00321968">
        <w:rPr>
          <w:rFonts w:asciiTheme="minorHAnsi" w:hAnsiTheme="minorHAnsi"/>
          <w:i/>
          <w:noProof/>
          <w:sz w:val="22"/>
          <w:lang w:val="sq-AL"/>
        </w:rPr>
        <w:fldChar w:fldCharType="separate"/>
      </w:r>
      <w:r w:rsidR="00C153A9">
        <w:rPr>
          <w:rFonts w:asciiTheme="minorHAnsi" w:hAnsiTheme="minorHAnsi"/>
          <w:i/>
          <w:noProof/>
          <w:sz w:val="22"/>
          <w:lang w:val="sq-AL"/>
        </w:rPr>
        <w:t>39</w:t>
      </w:r>
      <w:r w:rsidRPr="00321968">
        <w:rPr>
          <w:rFonts w:asciiTheme="minorHAnsi" w:hAnsiTheme="minorHAnsi"/>
          <w:i/>
          <w:noProof/>
          <w:sz w:val="22"/>
          <w:lang w:val="sq-AL"/>
        </w:rPr>
        <w:fldChar w:fldCharType="end"/>
      </w:r>
      <w:r w:rsidRPr="00321968">
        <w:rPr>
          <w:rFonts w:asciiTheme="minorHAnsi" w:hAnsiTheme="minorHAnsi"/>
          <w:i/>
          <w:noProof/>
          <w:sz w:val="22"/>
          <w:lang w:val="sq-AL"/>
        </w:rPr>
        <w:t xml:space="preserve">: </w:t>
      </w:r>
      <w:r>
        <w:rPr>
          <w:rFonts w:ascii="Calibri" w:hAnsi="Calibri"/>
          <w:i/>
          <w:noProof/>
          <w:sz w:val="22"/>
          <w:lang w:val="sq-AL"/>
        </w:rPr>
        <w:t>Performanca e shpenzimeve për 4M I</w:t>
      </w:r>
      <w:r>
        <w:rPr>
          <w:rFonts w:asciiTheme="minorHAnsi" w:hAnsiTheme="minorHAnsi"/>
          <w:i/>
          <w:noProof/>
          <w:sz w:val="22"/>
          <w:lang w:val="sq-AL"/>
        </w:rPr>
        <w:t>, për Bujqësinë</w:t>
      </w:r>
      <w:r w:rsidRPr="00321968">
        <w:rPr>
          <w:rFonts w:asciiTheme="minorHAnsi" w:hAnsiTheme="minorHAnsi"/>
          <w:i/>
          <w:noProof/>
          <w:sz w:val="22"/>
          <w:lang w:val="sq-AL"/>
        </w:rPr>
        <w:t xml:space="preserve"> dhe Zhvillimi</w:t>
      </w:r>
      <w:r>
        <w:rPr>
          <w:rFonts w:asciiTheme="minorHAnsi" w:hAnsiTheme="minorHAnsi"/>
          <w:i/>
          <w:noProof/>
          <w:sz w:val="22"/>
          <w:lang w:val="sq-AL"/>
        </w:rPr>
        <w:t>n</w:t>
      </w:r>
      <w:r w:rsidRPr="00321968">
        <w:rPr>
          <w:rFonts w:asciiTheme="minorHAnsi" w:hAnsiTheme="minorHAnsi"/>
          <w:i/>
          <w:noProof/>
          <w:sz w:val="22"/>
          <w:lang w:val="sq-AL"/>
        </w:rPr>
        <w:t xml:space="preserve"> Rural</w:t>
      </w:r>
      <w:bookmarkEnd w:id="198"/>
    </w:p>
    <w:p w14:paraId="70909D20" w14:textId="77777777" w:rsidR="000C2868" w:rsidRPr="003E1083" w:rsidRDefault="000C2868" w:rsidP="000C2868">
      <w:pPr>
        <w:jc w:val="right"/>
        <w:rPr>
          <w:rFonts w:asciiTheme="minorHAnsi" w:hAnsiTheme="minorHAnsi"/>
          <w:bCs/>
          <w:i/>
          <w:sz w:val="20"/>
          <w:lang w:val="sq-AL"/>
        </w:rPr>
      </w:pPr>
      <w:r w:rsidRPr="003E1083">
        <w:rPr>
          <w:rFonts w:asciiTheme="minorHAnsi" w:hAnsiTheme="minorHAnsi"/>
          <w:bCs/>
          <w:i/>
          <w:sz w:val="20"/>
          <w:lang w:val="sq-AL"/>
        </w:rPr>
        <w:t>Në mijë lekë</w:t>
      </w:r>
    </w:p>
    <w:tbl>
      <w:tblPr>
        <w:tblW w:w="0" w:type="auto"/>
        <w:tblInd w:w="93" w:type="dxa"/>
        <w:tblLook w:val="04A0" w:firstRow="1" w:lastRow="0" w:firstColumn="1" w:lastColumn="0" w:noHBand="0" w:noVBand="1"/>
      </w:tblPr>
      <w:tblGrid>
        <w:gridCol w:w="436"/>
        <w:gridCol w:w="3449"/>
        <w:gridCol w:w="948"/>
        <w:gridCol w:w="952"/>
        <w:gridCol w:w="948"/>
        <w:gridCol w:w="952"/>
        <w:gridCol w:w="880"/>
        <w:gridCol w:w="952"/>
      </w:tblGrid>
      <w:tr w:rsidR="000C2868" w:rsidRPr="003E1083" w14:paraId="721DEC8F" w14:textId="77777777" w:rsidTr="000C2868">
        <w:trPr>
          <w:trHeight w:val="270"/>
        </w:trPr>
        <w:tc>
          <w:tcPr>
            <w:tcW w:w="0" w:type="auto"/>
            <w:tcBorders>
              <w:top w:val="single" w:sz="8" w:space="0" w:color="4BACC6"/>
              <w:left w:val="single" w:sz="8" w:space="0" w:color="4BACC6"/>
              <w:bottom w:val="nil"/>
              <w:right w:val="single" w:sz="8" w:space="0" w:color="4BACC6"/>
            </w:tcBorders>
            <w:shd w:val="clear" w:color="000000" w:fill="B6DDE8"/>
            <w:vAlign w:val="center"/>
            <w:hideMark/>
          </w:tcPr>
          <w:p w14:paraId="76E8C83D"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 </w:t>
            </w:r>
          </w:p>
        </w:tc>
        <w:tc>
          <w:tcPr>
            <w:tcW w:w="0" w:type="auto"/>
            <w:tcBorders>
              <w:top w:val="single" w:sz="8" w:space="0" w:color="4BACC6"/>
              <w:left w:val="nil"/>
              <w:bottom w:val="nil"/>
              <w:right w:val="single" w:sz="8" w:space="0" w:color="4BACC6"/>
            </w:tcBorders>
            <w:shd w:val="clear" w:color="000000" w:fill="B6DDE8"/>
            <w:vAlign w:val="center"/>
            <w:hideMark/>
          </w:tcPr>
          <w:p w14:paraId="5B56B07D"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 </w:t>
            </w:r>
          </w:p>
        </w:tc>
        <w:tc>
          <w:tcPr>
            <w:tcW w:w="0" w:type="auto"/>
            <w:gridSpan w:val="2"/>
            <w:tcBorders>
              <w:top w:val="single" w:sz="8" w:space="0" w:color="4BACC6"/>
              <w:left w:val="nil"/>
              <w:bottom w:val="single" w:sz="8" w:space="0" w:color="4BACC6"/>
              <w:right w:val="single" w:sz="8" w:space="0" w:color="4BACC6"/>
            </w:tcBorders>
            <w:shd w:val="clear" w:color="000000" w:fill="B6DDE8"/>
            <w:vAlign w:val="center"/>
            <w:hideMark/>
          </w:tcPr>
          <w:p w14:paraId="27BD8DA5"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Plani 2023</w:t>
            </w:r>
          </w:p>
        </w:tc>
        <w:tc>
          <w:tcPr>
            <w:tcW w:w="0" w:type="auto"/>
            <w:gridSpan w:val="2"/>
            <w:tcBorders>
              <w:top w:val="single" w:sz="8" w:space="0" w:color="4BACC6"/>
              <w:left w:val="nil"/>
              <w:bottom w:val="single" w:sz="8" w:space="0" w:color="4BACC6"/>
              <w:right w:val="single" w:sz="8" w:space="0" w:color="4BACC6"/>
            </w:tcBorders>
            <w:shd w:val="clear" w:color="000000" w:fill="B6DDE8"/>
            <w:vAlign w:val="center"/>
            <w:hideMark/>
          </w:tcPr>
          <w:p w14:paraId="2DEFAB70"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Fakti 4M 2023</w:t>
            </w:r>
          </w:p>
        </w:tc>
        <w:tc>
          <w:tcPr>
            <w:tcW w:w="0" w:type="auto"/>
            <w:gridSpan w:val="2"/>
            <w:tcBorders>
              <w:top w:val="single" w:sz="8" w:space="0" w:color="4BACC6"/>
              <w:left w:val="nil"/>
              <w:bottom w:val="single" w:sz="8" w:space="0" w:color="4BACC6"/>
              <w:right w:val="single" w:sz="8" w:space="0" w:color="4BACC6"/>
            </w:tcBorders>
            <w:shd w:val="clear" w:color="000000" w:fill="B6DDE8"/>
            <w:vAlign w:val="center"/>
            <w:hideMark/>
          </w:tcPr>
          <w:p w14:paraId="5E90BFE0"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 e realizimit</w:t>
            </w:r>
          </w:p>
        </w:tc>
      </w:tr>
      <w:tr w:rsidR="000C2868" w:rsidRPr="003E1083" w14:paraId="28A1D3AF" w14:textId="77777777" w:rsidTr="000C2868">
        <w:trPr>
          <w:trHeight w:val="270"/>
        </w:trPr>
        <w:tc>
          <w:tcPr>
            <w:tcW w:w="0" w:type="auto"/>
            <w:tcBorders>
              <w:top w:val="nil"/>
              <w:left w:val="single" w:sz="8" w:space="0" w:color="4BACC6"/>
              <w:bottom w:val="single" w:sz="8" w:space="0" w:color="4BACC6"/>
              <w:right w:val="single" w:sz="8" w:space="0" w:color="4BACC6"/>
            </w:tcBorders>
            <w:shd w:val="clear" w:color="000000" w:fill="B6DDE8"/>
            <w:vAlign w:val="center"/>
            <w:hideMark/>
          </w:tcPr>
          <w:p w14:paraId="01091148"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NR</w:t>
            </w:r>
          </w:p>
        </w:tc>
        <w:tc>
          <w:tcPr>
            <w:tcW w:w="0" w:type="auto"/>
            <w:tcBorders>
              <w:top w:val="nil"/>
              <w:left w:val="nil"/>
              <w:bottom w:val="single" w:sz="8" w:space="0" w:color="4BACC6"/>
              <w:right w:val="single" w:sz="8" w:space="0" w:color="4BACC6"/>
            </w:tcBorders>
            <w:shd w:val="clear" w:color="000000" w:fill="B6DDE8"/>
            <w:vAlign w:val="center"/>
            <w:hideMark/>
          </w:tcPr>
          <w:p w14:paraId="53E896DA"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Emërtimi i Programit</w:t>
            </w:r>
          </w:p>
        </w:tc>
        <w:tc>
          <w:tcPr>
            <w:tcW w:w="0" w:type="auto"/>
            <w:tcBorders>
              <w:top w:val="nil"/>
              <w:left w:val="nil"/>
              <w:bottom w:val="single" w:sz="8" w:space="0" w:color="4BACC6"/>
              <w:right w:val="single" w:sz="8" w:space="0" w:color="4BACC6"/>
            </w:tcBorders>
            <w:shd w:val="clear" w:color="000000" w:fill="B6DDE8"/>
            <w:vAlign w:val="center"/>
            <w:hideMark/>
          </w:tcPr>
          <w:p w14:paraId="1CEFFCAB"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Korrente</w:t>
            </w:r>
          </w:p>
        </w:tc>
        <w:tc>
          <w:tcPr>
            <w:tcW w:w="0" w:type="auto"/>
            <w:tcBorders>
              <w:top w:val="nil"/>
              <w:left w:val="nil"/>
              <w:bottom w:val="single" w:sz="8" w:space="0" w:color="4BACC6"/>
              <w:right w:val="single" w:sz="8" w:space="0" w:color="4BACC6"/>
            </w:tcBorders>
            <w:shd w:val="clear" w:color="000000" w:fill="B6DDE8"/>
            <w:vAlign w:val="center"/>
            <w:hideMark/>
          </w:tcPr>
          <w:p w14:paraId="3DBCF866"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Investime</w:t>
            </w:r>
          </w:p>
        </w:tc>
        <w:tc>
          <w:tcPr>
            <w:tcW w:w="0" w:type="auto"/>
            <w:tcBorders>
              <w:top w:val="nil"/>
              <w:left w:val="nil"/>
              <w:bottom w:val="single" w:sz="8" w:space="0" w:color="4BACC6"/>
              <w:right w:val="single" w:sz="8" w:space="0" w:color="4BACC6"/>
            </w:tcBorders>
            <w:shd w:val="clear" w:color="000000" w:fill="B6DDE8"/>
            <w:vAlign w:val="center"/>
            <w:hideMark/>
          </w:tcPr>
          <w:p w14:paraId="15923773"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Korrente</w:t>
            </w:r>
          </w:p>
        </w:tc>
        <w:tc>
          <w:tcPr>
            <w:tcW w:w="0" w:type="auto"/>
            <w:tcBorders>
              <w:top w:val="nil"/>
              <w:left w:val="nil"/>
              <w:bottom w:val="single" w:sz="8" w:space="0" w:color="4BACC6"/>
              <w:right w:val="single" w:sz="8" w:space="0" w:color="4BACC6"/>
            </w:tcBorders>
            <w:shd w:val="clear" w:color="000000" w:fill="B6DDE8"/>
            <w:vAlign w:val="center"/>
            <w:hideMark/>
          </w:tcPr>
          <w:p w14:paraId="2565FAD0"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Investime</w:t>
            </w:r>
          </w:p>
        </w:tc>
        <w:tc>
          <w:tcPr>
            <w:tcW w:w="0" w:type="auto"/>
            <w:tcBorders>
              <w:top w:val="nil"/>
              <w:left w:val="nil"/>
              <w:bottom w:val="single" w:sz="8" w:space="0" w:color="4BACC6"/>
              <w:right w:val="single" w:sz="8" w:space="0" w:color="4BACC6"/>
            </w:tcBorders>
            <w:shd w:val="clear" w:color="000000" w:fill="B6DDE8"/>
            <w:vAlign w:val="center"/>
            <w:hideMark/>
          </w:tcPr>
          <w:p w14:paraId="5453D4B4"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Korrente</w:t>
            </w:r>
          </w:p>
        </w:tc>
        <w:tc>
          <w:tcPr>
            <w:tcW w:w="0" w:type="auto"/>
            <w:tcBorders>
              <w:top w:val="nil"/>
              <w:left w:val="nil"/>
              <w:bottom w:val="single" w:sz="8" w:space="0" w:color="4BACC6"/>
              <w:right w:val="single" w:sz="8" w:space="0" w:color="4BACC6"/>
            </w:tcBorders>
            <w:shd w:val="clear" w:color="000000" w:fill="B6DDE8"/>
            <w:vAlign w:val="center"/>
            <w:hideMark/>
          </w:tcPr>
          <w:p w14:paraId="2F13E0BF"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Investime</w:t>
            </w:r>
          </w:p>
        </w:tc>
      </w:tr>
      <w:tr w:rsidR="000C2868" w:rsidRPr="003E1083" w14:paraId="6B94BAD0" w14:textId="77777777" w:rsidTr="000C2868">
        <w:trPr>
          <w:trHeight w:val="270"/>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6342A14F"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1</w:t>
            </w:r>
          </w:p>
        </w:tc>
        <w:tc>
          <w:tcPr>
            <w:tcW w:w="0" w:type="auto"/>
            <w:tcBorders>
              <w:top w:val="nil"/>
              <w:left w:val="nil"/>
              <w:bottom w:val="single" w:sz="8" w:space="0" w:color="4BACC6"/>
              <w:right w:val="single" w:sz="8" w:space="0" w:color="4BACC6"/>
            </w:tcBorders>
            <w:shd w:val="clear" w:color="auto" w:fill="auto"/>
            <w:vAlign w:val="center"/>
            <w:hideMark/>
          </w:tcPr>
          <w:p w14:paraId="0E335182" w14:textId="77777777" w:rsidR="000C2868" w:rsidRPr="003E1083" w:rsidRDefault="000C2868" w:rsidP="000C2868">
            <w:pPr>
              <w:rPr>
                <w:rFonts w:asciiTheme="minorHAnsi" w:hAnsiTheme="minorHAnsi" w:cs="Arial"/>
                <w:sz w:val="18"/>
                <w:lang w:val="sq-AL"/>
              </w:rPr>
            </w:pPr>
            <w:r w:rsidRPr="003E1083">
              <w:rPr>
                <w:rFonts w:asciiTheme="minorHAnsi" w:hAnsiTheme="minorHAnsi" w:cs="Arial"/>
                <w:sz w:val="18"/>
                <w:lang w:val="sq-AL"/>
              </w:rPr>
              <w:t>Planifikimi, Menaxhimi dhe Administrimi</w:t>
            </w:r>
          </w:p>
        </w:tc>
        <w:tc>
          <w:tcPr>
            <w:tcW w:w="0" w:type="auto"/>
            <w:tcBorders>
              <w:top w:val="nil"/>
              <w:left w:val="nil"/>
              <w:bottom w:val="single" w:sz="8" w:space="0" w:color="4BACC6"/>
              <w:right w:val="single" w:sz="8" w:space="0" w:color="4BACC6"/>
            </w:tcBorders>
            <w:shd w:val="clear" w:color="auto" w:fill="auto"/>
            <w:vAlign w:val="center"/>
            <w:hideMark/>
          </w:tcPr>
          <w:p w14:paraId="61CA9ABA"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402,400</w:t>
            </w:r>
          </w:p>
        </w:tc>
        <w:tc>
          <w:tcPr>
            <w:tcW w:w="0" w:type="auto"/>
            <w:tcBorders>
              <w:top w:val="nil"/>
              <w:left w:val="nil"/>
              <w:bottom w:val="single" w:sz="8" w:space="0" w:color="4BACC6"/>
              <w:right w:val="single" w:sz="8" w:space="0" w:color="4BACC6"/>
            </w:tcBorders>
            <w:shd w:val="clear" w:color="auto" w:fill="auto"/>
            <w:vAlign w:val="center"/>
            <w:hideMark/>
          </w:tcPr>
          <w:p w14:paraId="349EBBBF"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7,000</w:t>
            </w:r>
          </w:p>
        </w:tc>
        <w:tc>
          <w:tcPr>
            <w:tcW w:w="0" w:type="auto"/>
            <w:tcBorders>
              <w:top w:val="nil"/>
              <w:left w:val="nil"/>
              <w:bottom w:val="single" w:sz="8" w:space="0" w:color="4BACC6"/>
              <w:right w:val="single" w:sz="8" w:space="0" w:color="4BACC6"/>
            </w:tcBorders>
            <w:shd w:val="clear" w:color="auto" w:fill="auto"/>
            <w:vAlign w:val="center"/>
            <w:hideMark/>
          </w:tcPr>
          <w:p w14:paraId="489550A0"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153,585</w:t>
            </w:r>
          </w:p>
        </w:tc>
        <w:tc>
          <w:tcPr>
            <w:tcW w:w="0" w:type="auto"/>
            <w:tcBorders>
              <w:top w:val="nil"/>
              <w:left w:val="nil"/>
              <w:bottom w:val="single" w:sz="8" w:space="0" w:color="4BACC6"/>
              <w:right w:val="single" w:sz="8" w:space="0" w:color="4BACC6"/>
            </w:tcBorders>
            <w:shd w:val="clear" w:color="auto" w:fill="auto"/>
            <w:vAlign w:val="center"/>
            <w:hideMark/>
          </w:tcPr>
          <w:p w14:paraId="2342D37B"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0</w:t>
            </w:r>
          </w:p>
        </w:tc>
        <w:tc>
          <w:tcPr>
            <w:tcW w:w="0" w:type="auto"/>
            <w:tcBorders>
              <w:top w:val="nil"/>
              <w:left w:val="nil"/>
              <w:bottom w:val="single" w:sz="8" w:space="0" w:color="4BACC6"/>
              <w:right w:val="single" w:sz="8" w:space="0" w:color="4BACC6"/>
            </w:tcBorders>
            <w:shd w:val="clear" w:color="auto" w:fill="auto"/>
            <w:vAlign w:val="center"/>
            <w:hideMark/>
          </w:tcPr>
          <w:p w14:paraId="55B7E8DA"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38%</w:t>
            </w:r>
          </w:p>
        </w:tc>
        <w:tc>
          <w:tcPr>
            <w:tcW w:w="0" w:type="auto"/>
            <w:tcBorders>
              <w:top w:val="nil"/>
              <w:left w:val="nil"/>
              <w:bottom w:val="single" w:sz="8" w:space="0" w:color="4BACC6"/>
              <w:right w:val="single" w:sz="8" w:space="0" w:color="4BACC6"/>
            </w:tcBorders>
            <w:shd w:val="clear" w:color="auto" w:fill="auto"/>
            <w:vAlign w:val="center"/>
            <w:hideMark/>
          </w:tcPr>
          <w:p w14:paraId="0B6CE4DD"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0</w:t>
            </w:r>
          </w:p>
        </w:tc>
      </w:tr>
      <w:tr w:rsidR="000C2868" w:rsidRPr="003E1083" w14:paraId="02B402C7" w14:textId="77777777" w:rsidTr="000C2868">
        <w:trPr>
          <w:trHeight w:val="270"/>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43CFB72C"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2</w:t>
            </w:r>
          </w:p>
        </w:tc>
        <w:tc>
          <w:tcPr>
            <w:tcW w:w="0" w:type="auto"/>
            <w:tcBorders>
              <w:top w:val="nil"/>
              <w:left w:val="nil"/>
              <w:bottom w:val="single" w:sz="8" w:space="0" w:color="4BACC6"/>
              <w:right w:val="single" w:sz="8" w:space="0" w:color="4BACC6"/>
            </w:tcBorders>
            <w:shd w:val="clear" w:color="auto" w:fill="auto"/>
            <w:vAlign w:val="center"/>
            <w:hideMark/>
          </w:tcPr>
          <w:p w14:paraId="12B2E555" w14:textId="77777777" w:rsidR="000C2868" w:rsidRPr="003E1083" w:rsidRDefault="000C2868" w:rsidP="000C2868">
            <w:pPr>
              <w:rPr>
                <w:rFonts w:asciiTheme="minorHAnsi" w:hAnsiTheme="minorHAnsi" w:cs="Arial"/>
                <w:sz w:val="18"/>
                <w:lang w:val="sq-AL"/>
              </w:rPr>
            </w:pPr>
            <w:r w:rsidRPr="003E1083">
              <w:rPr>
                <w:rFonts w:asciiTheme="minorHAnsi" w:hAnsiTheme="minorHAnsi" w:cs="Arial"/>
                <w:sz w:val="18"/>
                <w:lang w:val="sq-AL"/>
              </w:rPr>
              <w:t>Siguria ushqimore dhe mbrojtja e konsumatorit</w:t>
            </w:r>
          </w:p>
        </w:tc>
        <w:tc>
          <w:tcPr>
            <w:tcW w:w="0" w:type="auto"/>
            <w:tcBorders>
              <w:top w:val="nil"/>
              <w:left w:val="nil"/>
              <w:bottom w:val="single" w:sz="8" w:space="0" w:color="4BACC6"/>
              <w:right w:val="single" w:sz="8" w:space="0" w:color="4BACC6"/>
            </w:tcBorders>
            <w:shd w:val="clear" w:color="auto" w:fill="auto"/>
            <w:vAlign w:val="center"/>
            <w:hideMark/>
          </w:tcPr>
          <w:p w14:paraId="7414B941"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1,723,100</w:t>
            </w:r>
          </w:p>
        </w:tc>
        <w:tc>
          <w:tcPr>
            <w:tcW w:w="0" w:type="auto"/>
            <w:tcBorders>
              <w:top w:val="nil"/>
              <w:left w:val="nil"/>
              <w:bottom w:val="single" w:sz="8" w:space="0" w:color="4BACC6"/>
              <w:right w:val="single" w:sz="8" w:space="0" w:color="4BACC6"/>
            </w:tcBorders>
            <w:shd w:val="clear" w:color="auto" w:fill="auto"/>
            <w:vAlign w:val="center"/>
            <w:hideMark/>
          </w:tcPr>
          <w:p w14:paraId="5A13E879"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436,938</w:t>
            </w:r>
          </w:p>
        </w:tc>
        <w:tc>
          <w:tcPr>
            <w:tcW w:w="0" w:type="auto"/>
            <w:tcBorders>
              <w:top w:val="nil"/>
              <w:left w:val="nil"/>
              <w:bottom w:val="single" w:sz="8" w:space="0" w:color="4BACC6"/>
              <w:right w:val="single" w:sz="8" w:space="0" w:color="4BACC6"/>
            </w:tcBorders>
            <w:shd w:val="clear" w:color="auto" w:fill="auto"/>
            <w:vAlign w:val="center"/>
            <w:hideMark/>
          </w:tcPr>
          <w:p w14:paraId="48CA5F85"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402,372</w:t>
            </w:r>
          </w:p>
        </w:tc>
        <w:tc>
          <w:tcPr>
            <w:tcW w:w="0" w:type="auto"/>
            <w:tcBorders>
              <w:top w:val="nil"/>
              <w:left w:val="nil"/>
              <w:bottom w:val="single" w:sz="8" w:space="0" w:color="4BACC6"/>
              <w:right w:val="single" w:sz="8" w:space="0" w:color="4BACC6"/>
            </w:tcBorders>
            <w:shd w:val="clear" w:color="auto" w:fill="auto"/>
            <w:vAlign w:val="center"/>
            <w:hideMark/>
          </w:tcPr>
          <w:p w14:paraId="16BF4AEF"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58,120</w:t>
            </w:r>
          </w:p>
        </w:tc>
        <w:tc>
          <w:tcPr>
            <w:tcW w:w="0" w:type="auto"/>
            <w:tcBorders>
              <w:top w:val="nil"/>
              <w:left w:val="nil"/>
              <w:bottom w:val="single" w:sz="8" w:space="0" w:color="4BACC6"/>
              <w:right w:val="single" w:sz="8" w:space="0" w:color="4BACC6"/>
            </w:tcBorders>
            <w:shd w:val="clear" w:color="auto" w:fill="auto"/>
            <w:vAlign w:val="center"/>
            <w:hideMark/>
          </w:tcPr>
          <w:p w14:paraId="43AA6F97"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23%</w:t>
            </w:r>
          </w:p>
        </w:tc>
        <w:tc>
          <w:tcPr>
            <w:tcW w:w="0" w:type="auto"/>
            <w:tcBorders>
              <w:top w:val="nil"/>
              <w:left w:val="nil"/>
              <w:bottom w:val="single" w:sz="8" w:space="0" w:color="4BACC6"/>
              <w:right w:val="single" w:sz="8" w:space="0" w:color="4BACC6"/>
            </w:tcBorders>
            <w:shd w:val="clear" w:color="auto" w:fill="auto"/>
            <w:vAlign w:val="center"/>
            <w:hideMark/>
          </w:tcPr>
          <w:p w14:paraId="7C87D99B"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13%</w:t>
            </w:r>
          </w:p>
        </w:tc>
      </w:tr>
      <w:tr w:rsidR="000C2868" w:rsidRPr="003E1083" w14:paraId="436A3C1D" w14:textId="77777777" w:rsidTr="000C2868">
        <w:trPr>
          <w:trHeight w:val="270"/>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4EDB3C52"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3</w:t>
            </w:r>
          </w:p>
        </w:tc>
        <w:tc>
          <w:tcPr>
            <w:tcW w:w="0" w:type="auto"/>
            <w:tcBorders>
              <w:top w:val="nil"/>
              <w:left w:val="nil"/>
              <w:bottom w:val="single" w:sz="8" w:space="0" w:color="4BACC6"/>
              <w:right w:val="single" w:sz="8" w:space="0" w:color="4BACC6"/>
            </w:tcBorders>
            <w:shd w:val="clear" w:color="auto" w:fill="auto"/>
            <w:vAlign w:val="center"/>
            <w:hideMark/>
          </w:tcPr>
          <w:p w14:paraId="4BA60030" w14:textId="77777777" w:rsidR="000C2868" w:rsidRPr="003E1083" w:rsidRDefault="000C2868" w:rsidP="000C2868">
            <w:pPr>
              <w:rPr>
                <w:rFonts w:asciiTheme="minorHAnsi" w:hAnsiTheme="minorHAnsi" w:cs="Arial"/>
                <w:sz w:val="18"/>
                <w:lang w:val="sq-AL"/>
              </w:rPr>
            </w:pPr>
            <w:r w:rsidRPr="003E1083">
              <w:rPr>
                <w:rFonts w:asciiTheme="minorHAnsi" w:hAnsiTheme="minorHAnsi" w:cs="Arial"/>
                <w:sz w:val="18"/>
                <w:lang w:val="sq-AL"/>
              </w:rPr>
              <w:t>Mbështetje për Peshkimin</w:t>
            </w:r>
          </w:p>
        </w:tc>
        <w:tc>
          <w:tcPr>
            <w:tcW w:w="0" w:type="auto"/>
            <w:tcBorders>
              <w:top w:val="nil"/>
              <w:left w:val="nil"/>
              <w:bottom w:val="single" w:sz="8" w:space="0" w:color="4BACC6"/>
              <w:right w:val="single" w:sz="8" w:space="0" w:color="4BACC6"/>
            </w:tcBorders>
            <w:shd w:val="clear" w:color="auto" w:fill="auto"/>
            <w:vAlign w:val="center"/>
            <w:hideMark/>
          </w:tcPr>
          <w:p w14:paraId="3A621F95"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133,800</w:t>
            </w:r>
          </w:p>
        </w:tc>
        <w:tc>
          <w:tcPr>
            <w:tcW w:w="0" w:type="auto"/>
            <w:tcBorders>
              <w:top w:val="nil"/>
              <w:left w:val="nil"/>
              <w:bottom w:val="single" w:sz="8" w:space="0" w:color="4BACC6"/>
              <w:right w:val="single" w:sz="8" w:space="0" w:color="4BACC6"/>
            </w:tcBorders>
            <w:shd w:val="clear" w:color="auto" w:fill="auto"/>
            <w:vAlign w:val="center"/>
            <w:hideMark/>
          </w:tcPr>
          <w:p w14:paraId="6162716A"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269,423</w:t>
            </w:r>
          </w:p>
        </w:tc>
        <w:tc>
          <w:tcPr>
            <w:tcW w:w="0" w:type="auto"/>
            <w:tcBorders>
              <w:top w:val="nil"/>
              <w:left w:val="nil"/>
              <w:bottom w:val="single" w:sz="8" w:space="0" w:color="4BACC6"/>
              <w:right w:val="single" w:sz="8" w:space="0" w:color="4BACC6"/>
            </w:tcBorders>
            <w:shd w:val="clear" w:color="auto" w:fill="auto"/>
            <w:vAlign w:val="center"/>
            <w:hideMark/>
          </w:tcPr>
          <w:p w14:paraId="18A5EAFE"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30,880</w:t>
            </w:r>
          </w:p>
        </w:tc>
        <w:tc>
          <w:tcPr>
            <w:tcW w:w="0" w:type="auto"/>
            <w:tcBorders>
              <w:top w:val="nil"/>
              <w:left w:val="nil"/>
              <w:bottom w:val="single" w:sz="8" w:space="0" w:color="4BACC6"/>
              <w:right w:val="single" w:sz="8" w:space="0" w:color="4BACC6"/>
            </w:tcBorders>
            <w:shd w:val="clear" w:color="auto" w:fill="auto"/>
            <w:vAlign w:val="center"/>
            <w:hideMark/>
          </w:tcPr>
          <w:p w14:paraId="3034D2F0"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0</w:t>
            </w:r>
          </w:p>
        </w:tc>
        <w:tc>
          <w:tcPr>
            <w:tcW w:w="0" w:type="auto"/>
            <w:tcBorders>
              <w:top w:val="nil"/>
              <w:left w:val="nil"/>
              <w:bottom w:val="single" w:sz="8" w:space="0" w:color="4BACC6"/>
              <w:right w:val="single" w:sz="8" w:space="0" w:color="4BACC6"/>
            </w:tcBorders>
            <w:shd w:val="clear" w:color="auto" w:fill="auto"/>
            <w:vAlign w:val="center"/>
            <w:hideMark/>
          </w:tcPr>
          <w:p w14:paraId="758D11A8"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23%</w:t>
            </w:r>
          </w:p>
        </w:tc>
        <w:tc>
          <w:tcPr>
            <w:tcW w:w="0" w:type="auto"/>
            <w:tcBorders>
              <w:top w:val="nil"/>
              <w:left w:val="nil"/>
              <w:bottom w:val="single" w:sz="8" w:space="0" w:color="4BACC6"/>
              <w:right w:val="single" w:sz="8" w:space="0" w:color="4BACC6"/>
            </w:tcBorders>
            <w:shd w:val="clear" w:color="auto" w:fill="auto"/>
            <w:vAlign w:val="center"/>
            <w:hideMark/>
          </w:tcPr>
          <w:p w14:paraId="3FEB5D62"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0%</w:t>
            </w:r>
          </w:p>
        </w:tc>
      </w:tr>
      <w:tr w:rsidR="000C2868" w:rsidRPr="003E1083" w14:paraId="04BAA82F" w14:textId="77777777" w:rsidTr="000C2868">
        <w:trPr>
          <w:trHeight w:val="270"/>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5D90F143"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4</w:t>
            </w:r>
          </w:p>
        </w:tc>
        <w:tc>
          <w:tcPr>
            <w:tcW w:w="0" w:type="auto"/>
            <w:tcBorders>
              <w:top w:val="nil"/>
              <w:left w:val="nil"/>
              <w:bottom w:val="single" w:sz="8" w:space="0" w:color="4BACC6"/>
              <w:right w:val="single" w:sz="8" w:space="0" w:color="4BACC6"/>
            </w:tcBorders>
            <w:shd w:val="clear" w:color="auto" w:fill="auto"/>
            <w:vAlign w:val="center"/>
            <w:hideMark/>
          </w:tcPr>
          <w:p w14:paraId="1C84712E" w14:textId="77777777" w:rsidR="000C2868" w:rsidRPr="003E1083" w:rsidRDefault="000C2868" w:rsidP="000C2868">
            <w:pPr>
              <w:rPr>
                <w:rFonts w:asciiTheme="minorHAnsi" w:hAnsiTheme="minorHAnsi" w:cs="Arial"/>
                <w:sz w:val="18"/>
                <w:lang w:val="sq-AL"/>
              </w:rPr>
            </w:pPr>
            <w:r w:rsidRPr="003E1083">
              <w:rPr>
                <w:rFonts w:asciiTheme="minorHAnsi" w:hAnsiTheme="minorHAnsi" w:cs="Arial"/>
                <w:sz w:val="18"/>
                <w:lang w:val="sq-AL"/>
              </w:rPr>
              <w:t>Menaxhimi i infrastrukturës se kullimit dhe ujitjes</w:t>
            </w:r>
          </w:p>
        </w:tc>
        <w:tc>
          <w:tcPr>
            <w:tcW w:w="0" w:type="auto"/>
            <w:tcBorders>
              <w:top w:val="nil"/>
              <w:left w:val="nil"/>
              <w:bottom w:val="single" w:sz="8" w:space="0" w:color="4BACC6"/>
              <w:right w:val="single" w:sz="8" w:space="0" w:color="4BACC6"/>
            </w:tcBorders>
            <w:shd w:val="clear" w:color="auto" w:fill="auto"/>
            <w:vAlign w:val="center"/>
            <w:hideMark/>
          </w:tcPr>
          <w:p w14:paraId="1FF6C363"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906,000</w:t>
            </w:r>
          </w:p>
        </w:tc>
        <w:tc>
          <w:tcPr>
            <w:tcW w:w="0" w:type="auto"/>
            <w:tcBorders>
              <w:top w:val="nil"/>
              <w:left w:val="nil"/>
              <w:bottom w:val="single" w:sz="8" w:space="0" w:color="4BACC6"/>
              <w:right w:val="single" w:sz="8" w:space="0" w:color="4BACC6"/>
            </w:tcBorders>
            <w:shd w:val="clear" w:color="auto" w:fill="auto"/>
            <w:vAlign w:val="center"/>
            <w:hideMark/>
          </w:tcPr>
          <w:p w14:paraId="58B25FFD"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1,165,000</w:t>
            </w:r>
          </w:p>
        </w:tc>
        <w:tc>
          <w:tcPr>
            <w:tcW w:w="0" w:type="auto"/>
            <w:tcBorders>
              <w:top w:val="nil"/>
              <w:left w:val="nil"/>
              <w:bottom w:val="single" w:sz="8" w:space="0" w:color="4BACC6"/>
              <w:right w:val="single" w:sz="8" w:space="0" w:color="4BACC6"/>
            </w:tcBorders>
            <w:shd w:val="clear" w:color="auto" w:fill="auto"/>
            <w:vAlign w:val="center"/>
            <w:hideMark/>
          </w:tcPr>
          <w:p w14:paraId="4E19617F"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301,364</w:t>
            </w:r>
          </w:p>
        </w:tc>
        <w:tc>
          <w:tcPr>
            <w:tcW w:w="0" w:type="auto"/>
            <w:tcBorders>
              <w:top w:val="nil"/>
              <w:left w:val="nil"/>
              <w:bottom w:val="single" w:sz="8" w:space="0" w:color="4BACC6"/>
              <w:right w:val="single" w:sz="8" w:space="0" w:color="4BACC6"/>
            </w:tcBorders>
            <w:shd w:val="clear" w:color="auto" w:fill="auto"/>
            <w:vAlign w:val="center"/>
            <w:hideMark/>
          </w:tcPr>
          <w:p w14:paraId="3EBE3741"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248,625</w:t>
            </w:r>
          </w:p>
        </w:tc>
        <w:tc>
          <w:tcPr>
            <w:tcW w:w="0" w:type="auto"/>
            <w:tcBorders>
              <w:top w:val="nil"/>
              <w:left w:val="nil"/>
              <w:bottom w:val="single" w:sz="8" w:space="0" w:color="4BACC6"/>
              <w:right w:val="single" w:sz="8" w:space="0" w:color="4BACC6"/>
            </w:tcBorders>
            <w:shd w:val="clear" w:color="auto" w:fill="auto"/>
            <w:vAlign w:val="center"/>
            <w:hideMark/>
          </w:tcPr>
          <w:p w14:paraId="225A8498"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33%</w:t>
            </w:r>
          </w:p>
        </w:tc>
        <w:tc>
          <w:tcPr>
            <w:tcW w:w="0" w:type="auto"/>
            <w:tcBorders>
              <w:top w:val="nil"/>
              <w:left w:val="nil"/>
              <w:bottom w:val="single" w:sz="8" w:space="0" w:color="4BACC6"/>
              <w:right w:val="single" w:sz="8" w:space="0" w:color="4BACC6"/>
            </w:tcBorders>
            <w:shd w:val="clear" w:color="auto" w:fill="auto"/>
            <w:vAlign w:val="center"/>
            <w:hideMark/>
          </w:tcPr>
          <w:p w14:paraId="059D75BE"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21%</w:t>
            </w:r>
          </w:p>
        </w:tc>
      </w:tr>
      <w:tr w:rsidR="000C2868" w:rsidRPr="003E1083" w14:paraId="76D3566B" w14:textId="77777777" w:rsidTr="000C2868">
        <w:trPr>
          <w:trHeight w:val="285"/>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07D2C25C"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5</w:t>
            </w:r>
          </w:p>
        </w:tc>
        <w:tc>
          <w:tcPr>
            <w:tcW w:w="0" w:type="auto"/>
            <w:tcBorders>
              <w:top w:val="nil"/>
              <w:left w:val="nil"/>
              <w:bottom w:val="single" w:sz="8" w:space="0" w:color="4BACC6"/>
              <w:right w:val="single" w:sz="8" w:space="0" w:color="4BACC6"/>
            </w:tcBorders>
            <w:shd w:val="clear" w:color="auto" w:fill="auto"/>
            <w:vAlign w:val="center"/>
            <w:hideMark/>
          </w:tcPr>
          <w:p w14:paraId="3B76E823" w14:textId="77777777" w:rsidR="000C2868" w:rsidRPr="003E1083" w:rsidRDefault="000C2868" w:rsidP="000C2868">
            <w:pPr>
              <w:rPr>
                <w:rFonts w:asciiTheme="minorHAnsi" w:hAnsiTheme="minorHAnsi" w:cs="Arial"/>
                <w:sz w:val="18"/>
                <w:lang w:val="sq-AL"/>
              </w:rPr>
            </w:pPr>
            <w:r w:rsidRPr="003E1083">
              <w:rPr>
                <w:rFonts w:asciiTheme="minorHAnsi" w:hAnsiTheme="minorHAnsi" w:cs="Arial"/>
                <w:sz w:val="18"/>
                <w:lang w:val="sq-AL"/>
              </w:rPr>
              <w:t>Zhvillimi Rural duke mbësht. Prodh. Bujq, Blek, Agroind dhe Market.</w:t>
            </w:r>
          </w:p>
        </w:tc>
        <w:tc>
          <w:tcPr>
            <w:tcW w:w="0" w:type="auto"/>
            <w:tcBorders>
              <w:top w:val="nil"/>
              <w:left w:val="nil"/>
              <w:bottom w:val="single" w:sz="8" w:space="0" w:color="4BACC6"/>
              <w:right w:val="single" w:sz="8" w:space="0" w:color="4BACC6"/>
            </w:tcBorders>
            <w:shd w:val="clear" w:color="auto" w:fill="auto"/>
            <w:vAlign w:val="center"/>
            <w:hideMark/>
          </w:tcPr>
          <w:p w14:paraId="5BB460B4"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3,763,200</w:t>
            </w:r>
          </w:p>
        </w:tc>
        <w:tc>
          <w:tcPr>
            <w:tcW w:w="0" w:type="auto"/>
            <w:tcBorders>
              <w:top w:val="nil"/>
              <w:left w:val="nil"/>
              <w:bottom w:val="single" w:sz="8" w:space="0" w:color="4BACC6"/>
              <w:right w:val="single" w:sz="8" w:space="0" w:color="4BACC6"/>
            </w:tcBorders>
            <w:shd w:val="clear" w:color="auto" w:fill="auto"/>
            <w:vAlign w:val="center"/>
            <w:hideMark/>
          </w:tcPr>
          <w:p w14:paraId="31EEB900"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4,931,171</w:t>
            </w:r>
          </w:p>
        </w:tc>
        <w:tc>
          <w:tcPr>
            <w:tcW w:w="0" w:type="auto"/>
            <w:tcBorders>
              <w:top w:val="nil"/>
              <w:left w:val="nil"/>
              <w:bottom w:val="single" w:sz="8" w:space="0" w:color="4BACC6"/>
              <w:right w:val="single" w:sz="8" w:space="0" w:color="4BACC6"/>
            </w:tcBorders>
            <w:shd w:val="clear" w:color="auto" w:fill="auto"/>
            <w:vAlign w:val="center"/>
            <w:hideMark/>
          </w:tcPr>
          <w:p w14:paraId="2E3C0626"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118,389</w:t>
            </w:r>
          </w:p>
        </w:tc>
        <w:tc>
          <w:tcPr>
            <w:tcW w:w="0" w:type="auto"/>
            <w:tcBorders>
              <w:top w:val="nil"/>
              <w:left w:val="nil"/>
              <w:bottom w:val="single" w:sz="8" w:space="0" w:color="4BACC6"/>
              <w:right w:val="single" w:sz="8" w:space="0" w:color="4BACC6"/>
            </w:tcBorders>
            <w:shd w:val="clear" w:color="auto" w:fill="auto"/>
            <w:vAlign w:val="center"/>
            <w:hideMark/>
          </w:tcPr>
          <w:p w14:paraId="4FC4AEC7"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278,043</w:t>
            </w:r>
          </w:p>
        </w:tc>
        <w:tc>
          <w:tcPr>
            <w:tcW w:w="0" w:type="auto"/>
            <w:tcBorders>
              <w:top w:val="nil"/>
              <w:left w:val="nil"/>
              <w:bottom w:val="single" w:sz="8" w:space="0" w:color="4BACC6"/>
              <w:right w:val="single" w:sz="8" w:space="0" w:color="4BACC6"/>
            </w:tcBorders>
            <w:shd w:val="clear" w:color="auto" w:fill="auto"/>
            <w:vAlign w:val="center"/>
            <w:hideMark/>
          </w:tcPr>
          <w:p w14:paraId="4771F35E"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3%</w:t>
            </w:r>
          </w:p>
        </w:tc>
        <w:tc>
          <w:tcPr>
            <w:tcW w:w="0" w:type="auto"/>
            <w:tcBorders>
              <w:top w:val="nil"/>
              <w:left w:val="nil"/>
              <w:bottom w:val="single" w:sz="8" w:space="0" w:color="4BACC6"/>
              <w:right w:val="single" w:sz="8" w:space="0" w:color="4BACC6"/>
            </w:tcBorders>
            <w:shd w:val="clear" w:color="auto" w:fill="auto"/>
            <w:vAlign w:val="center"/>
            <w:hideMark/>
          </w:tcPr>
          <w:p w14:paraId="79922646"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6%</w:t>
            </w:r>
          </w:p>
        </w:tc>
      </w:tr>
      <w:tr w:rsidR="000C2868" w:rsidRPr="003E1083" w14:paraId="4958E17A" w14:textId="77777777" w:rsidTr="000C2868">
        <w:trPr>
          <w:trHeight w:val="270"/>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24A744FA"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6</w:t>
            </w:r>
          </w:p>
        </w:tc>
        <w:tc>
          <w:tcPr>
            <w:tcW w:w="0" w:type="auto"/>
            <w:tcBorders>
              <w:top w:val="nil"/>
              <w:left w:val="nil"/>
              <w:bottom w:val="single" w:sz="8" w:space="0" w:color="4BACC6"/>
              <w:right w:val="single" w:sz="8" w:space="0" w:color="4BACC6"/>
            </w:tcBorders>
            <w:shd w:val="clear" w:color="auto" w:fill="auto"/>
            <w:vAlign w:val="center"/>
            <w:hideMark/>
          </w:tcPr>
          <w:p w14:paraId="400DF945" w14:textId="77777777" w:rsidR="000C2868" w:rsidRPr="003E1083" w:rsidRDefault="000C2868" w:rsidP="000C2868">
            <w:pPr>
              <w:rPr>
                <w:rFonts w:asciiTheme="minorHAnsi" w:hAnsiTheme="minorHAnsi" w:cs="Arial"/>
                <w:sz w:val="18"/>
                <w:lang w:val="sq-AL"/>
              </w:rPr>
            </w:pPr>
            <w:r w:rsidRPr="003E1083">
              <w:rPr>
                <w:rFonts w:asciiTheme="minorHAnsi" w:hAnsiTheme="minorHAnsi" w:cs="Arial"/>
                <w:sz w:val="18"/>
                <w:lang w:val="sq-AL"/>
              </w:rPr>
              <w:t>Këshillimi dhe Informacioni Bujqësor</w:t>
            </w:r>
          </w:p>
        </w:tc>
        <w:tc>
          <w:tcPr>
            <w:tcW w:w="0" w:type="auto"/>
            <w:tcBorders>
              <w:top w:val="nil"/>
              <w:left w:val="nil"/>
              <w:bottom w:val="single" w:sz="8" w:space="0" w:color="4BACC6"/>
              <w:right w:val="single" w:sz="8" w:space="0" w:color="4BACC6"/>
            </w:tcBorders>
            <w:shd w:val="clear" w:color="auto" w:fill="auto"/>
            <w:vAlign w:val="center"/>
            <w:hideMark/>
          </w:tcPr>
          <w:p w14:paraId="7320ACB9"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472,500</w:t>
            </w:r>
          </w:p>
        </w:tc>
        <w:tc>
          <w:tcPr>
            <w:tcW w:w="0" w:type="auto"/>
            <w:tcBorders>
              <w:top w:val="nil"/>
              <w:left w:val="nil"/>
              <w:bottom w:val="single" w:sz="8" w:space="0" w:color="4BACC6"/>
              <w:right w:val="single" w:sz="8" w:space="0" w:color="4BACC6"/>
            </w:tcBorders>
            <w:shd w:val="clear" w:color="auto" w:fill="auto"/>
            <w:vAlign w:val="center"/>
            <w:hideMark/>
          </w:tcPr>
          <w:p w14:paraId="478F1B2F"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20,000</w:t>
            </w:r>
          </w:p>
        </w:tc>
        <w:tc>
          <w:tcPr>
            <w:tcW w:w="0" w:type="auto"/>
            <w:tcBorders>
              <w:top w:val="nil"/>
              <w:left w:val="nil"/>
              <w:bottom w:val="single" w:sz="8" w:space="0" w:color="4BACC6"/>
              <w:right w:val="single" w:sz="8" w:space="0" w:color="4BACC6"/>
            </w:tcBorders>
            <w:shd w:val="clear" w:color="auto" w:fill="auto"/>
            <w:vAlign w:val="center"/>
            <w:hideMark/>
          </w:tcPr>
          <w:p w14:paraId="5812BC27"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136,830</w:t>
            </w:r>
          </w:p>
        </w:tc>
        <w:tc>
          <w:tcPr>
            <w:tcW w:w="0" w:type="auto"/>
            <w:tcBorders>
              <w:top w:val="nil"/>
              <w:left w:val="nil"/>
              <w:bottom w:val="single" w:sz="8" w:space="0" w:color="4BACC6"/>
              <w:right w:val="single" w:sz="8" w:space="0" w:color="4BACC6"/>
            </w:tcBorders>
            <w:shd w:val="clear" w:color="auto" w:fill="auto"/>
            <w:vAlign w:val="center"/>
            <w:hideMark/>
          </w:tcPr>
          <w:p w14:paraId="61C91B74"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1</w:t>
            </w:r>
          </w:p>
        </w:tc>
        <w:tc>
          <w:tcPr>
            <w:tcW w:w="0" w:type="auto"/>
            <w:tcBorders>
              <w:top w:val="nil"/>
              <w:left w:val="nil"/>
              <w:bottom w:val="single" w:sz="8" w:space="0" w:color="4BACC6"/>
              <w:right w:val="single" w:sz="8" w:space="0" w:color="4BACC6"/>
            </w:tcBorders>
            <w:shd w:val="clear" w:color="auto" w:fill="auto"/>
            <w:vAlign w:val="center"/>
            <w:hideMark/>
          </w:tcPr>
          <w:p w14:paraId="7B2F1192"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29%</w:t>
            </w:r>
          </w:p>
        </w:tc>
        <w:tc>
          <w:tcPr>
            <w:tcW w:w="0" w:type="auto"/>
            <w:tcBorders>
              <w:top w:val="nil"/>
              <w:left w:val="nil"/>
              <w:bottom w:val="single" w:sz="8" w:space="0" w:color="4BACC6"/>
              <w:right w:val="single" w:sz="8" w:space="0" w:color="4BACC6"/>
            </w:tcBorders>
            <w:shd w:val="clear" w:color="auto" w:fill="auto"/>
            <w:vAlign w:val="center"/>
            <w:hideMark/>
          </w:tcPr>
          <w:p w14:paraId="57C20579"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0%</w:t>
            </w:r>
          </w:p>
        </w:tc>
      </w:tr>
      <w:tr w:rsidR="000C2868" w:rsidRPr="003E1083" w14:paraId="04405AD2" w14:textId="77777777" w:rsidTr="000C2868">
        <w:trPr>
          <w:trHeight w:val="270"/>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71CEDC16"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7</w:t>
            </w:r>
          </w:p>
        </w:tc>
        <w:tc>
          <w:tcPr>
            <w:tcW w:w="0" w:type="auto"/>
            <w:tcBorders>
              <w:top w:val="nil"/>
              <w:left w:val="nil"/>
              <w:bottom w:val="single" w:sz="8" w:space="0" w:color="4BACC6"/>
              <w:right w:val="single" w:sz="8" w:space="0" w:color="4BACC6"/>
            </w:tcBorders>
            <w:shd w:val="clear" w:color="auto" w:fill="auto"/>
            <w:vAlign w:val="center"/>
            <w:hideMark/>
          </w:tcPr>
          <w:p w14:paraId="27DE1EDF" w14:textId="77777777" w:rsidR="000C2868" w:rsidRPr="003E1083" w:rsidRDefault="000C2868" w:rsidP="000C2868">
            <w:pPr>
              <w:rPr>
                <w:rFonts w:asciiTheme="minorHAnsi" w:hAnsiTheme="minorHAnsi" w:cs="Arial"/>
                <w:sz w:val="18"/>
                <w:lang w:val="sq-AL"/>
              </w:rPr>
            </w:pPr>
            <w:r w:rsidRPr="003E1083">
              <w:rPr>
                <w:rFonts w:asciiTheme="minorHAnsi" w:hAnsiTheme="minorHAnsi" w:cs="Arial"/>
                <w:sz w:val="18"/>
                <w:lang w:val="sq-AL"/>
              </w:rPr>
              <w:t>Menaxhimi qëndrueshëm i tokës bujqësore</w:t>
            </w:r>
          </w:p>
        </w:tc>
        <w:tc>
          <w:tcPr>
            <w:tcW w:w="0" w:type="auto"/>
            <w:tcBorders>
              <w:top w:val="nil"/>
              <w:left w:val="nil"/>
              <w:bottom w:val="single" w:sz="8" w:space="0" w:color="4BACC6"/>
              <w:right w:val="single" w:sz="8" w:space="0" w:color="4BACC6"/>
            </w:tcBorders>
            <w:shd w:val="clear" w:color="auto" w:fill="auto"/>
            <w:vAlign w:val="center"/>
            <w:hideMark/>
          </w:tcPr>
          <w:p w14:paraId="0F5313A0"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25,000</w:t>
            </w:r>
          </w:p>
        </w:tc>
        <w:tc>
          <w:tcPr>
            <w:tcW w:w="0" w:type="auto"/>
            <w:tcBorders>
              <w:top w:val="nil"/>
              <w:left w:val="nil"/>
              <w:bottom w:val="single" w:sz="8" w:space="0" w:color="4BACC6"/>
              <w:right w:val="single" w:sz="8" w:space="0" w:color="4BACC6"/>
            </w:tcBorders>
            <w:shd w:val="clear" w:color="auto" w:fill="auto"/>
            <w:vAlign w:val="center"/>
            <w:hideMark/>
          </w:tcPr>
          <w:p w14:paraId="0124A6F6"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0</w:t>
            </w:r>
          </w:p>
        </w:tc>
        <w:tc>
          <w:tcPr>
            <w:tcW w:w="0" w:type="auto"/>
            <w:tcBorders>
              <w:top w:val="nil"/>
              <w:left w:val="nil"/>
              <w:bottom w:val="single" w:sz="8" w:space="0" w:color="4BACC6"/>
              <w:right w:val="single" w:sz="8" w:space="0" w:color="4BACC6"/>
            </w:tcBorders>
            <w:shd w:val="clear" w:color="auto" w:fill="auto"/>
            <w:vAlign w:val="center"/>
            <w:hideMark/>
          </w:tcPr>
          <w:p w14:paraId="7625E9EE"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0</w:t>
            </w:r>
          </w:p>
        </w:tc>
        <w:tc>
          <w:tcPr>
            <w:tcW w:w="0" w:type="auto"/>
            <w:tcBorders>
              <w:top w:val="nil"/>
              <w:left w:val="nil"/>
              <w:bottom w:val="single" w:sz="8" w:space="0" w:color="4BACC6"/>
              <w:right w:val="single" w:sz="8" w:space="0" w:color="4BACC6"/>
            </w:tcBorders>
            <w:shd w:val="clear" w:color="auto" w:fill="auto"/>
            <w:vAlign w:val="center"/>
            <w:hideMark/>
          </w:tcPr>
          <w:p w14:paraId="278C4301"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0</w:t>
            </w:r>
          </w:p>
        </w:tc>
        <w:tc>
          <w:tcPr>
            <w:tcW w:w="0" w:type="auto"/>
            <w:tcBorders>
              <w:top w:val="nil"/>
              <w:left w:val="nil"/>
              <w:bottom w:val="single" w:sz="8" w:space="0" w:color="4BACC6"/>
              <w:right w:val="single" w:sz="8" w:space="0" w:color="4BACC6"/>
            </w:tcBorders>
            <w:shd w:val="clear" w:color="auto" w:fill="auto"/>
            <w:vAlign w:val="center"/>
            <w:hideMark/>
          </w:tcPr>
          <w:p w14:paraId="4AF33FD3"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0%</w:t>
            </w:r>
          </w:p>
        </w:tc>
        <w:tc>
          <w:tcPr>
            <w:tcW w:w="0" w:type="auto"/>
            <w:tcBorders>
              <w:top w:val="nil"/>
              <w:left w:val="nil"/>
              <w:bottom w:val="single" w:sz="8" w:space="0" w:color="4BACC6"/>
              <w:right w:val="single" w:sz="8" w:space="0" w:color="4BACC6"/>
            </w:tcBorders>
            <w:shd w:val="clear" w:color="auto" w:fill="auto"/>
            <w:vAlign w:val="center"/>
            <w:hideMark/>
          </w:tcPr>
          <w:p w14:paraId="70E45FE9" w14:textId="77777777" w:rsidR="000C2868" w:rsidRPr="003E1083" w:rsidRDefault="000C2868" w:rsidP="000C2868">
            <w:pPr>
              <w:jc w:val="center"/>
              <w:rPr>
                <w:rFonts w:asciiTheme="minorHAnsi" w:hAnsiTheme="minorHAnsi" w:cs="Arial"/>
                <w:sz w:val="18"/>
                <w:lang w:val="sq-AL"/>
              </w:rPr>
            </w:pPr>
            <w:r w:rsidRPr="003E1083">
              <w:rPr>
                <w:rFonts w:asciiTheme="minorHAnsi" w:hAnsiTheme="minorHAnsi" w:cs="Arial"/>
                <w:sz w:val="18"/>
                <w:lang w:val="sq-AL"/>
              </w:rPr>
              <w:t>0%</w:t>
            </w:r>
          </w:p>
        </w:tc>
      </w:tr>
      <w:tr w:rsidR="000C2868" w:rsidRPr="003E1083" w14:paraId="767424E0" w14:textId="77777777" w:rsidTr="000C2868">
        <w:trPr>
          <w:trHeight w:val="270"/>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33E8D06E"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 </w:t>
            </w:r>
          </w:p>
        </w:tc>
        <w:tc>
          <w:tcPr>
            <w:tcW w:w="0" w:type="auto"/>
            <w:tcBorders>
              <w:top w:val="nil"/>
              <w:left w:val="nil"/>
              <w:bottom w:val="single" w:sz="8" w:space="0" w:color="4BACC6"/>
              <w:right w:val="single" w:sz="8" w:space="0" w:color="4BACC6"/>
            </w:tcBorders>
            <w:shd w:val="clear" w:color="auto" w:fill="auto"/>
            <w:vAlign w:val="center"/>
            <w:hideMark/>
          </w:tcPr>
          <w:p w14:paraId="0590D0E6"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TOTAL</w:t>
            </w:r>
          </w:p>
        </w:tc>
        <w:tc>
          <w:tcPr>
            <w:tcW w:w="0" w:type="auto"/>
            <w:tcBorders>
              <w:top w:val="nil"/>
              <w:left w:val="nil"/>
              <w:bottom w:val="single" w:sz="8" w:space="0" w:color="4BACC6"/>
              <w:right w:val="single" w:sz="8" w:space="0" w:color="4BACC6"/>
            </w:tcBorders>
            <w:shd w:val="clear" w:color="auto" w:fill="auto"/>
            <w:vAlign w:val="center"/>
            <w:hideMark/>
          </w:tcPr>
          <w:p w14:paraId="1FAABF3B"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7,426,000</w:t>
            </w:r>
          </w:p>
        </w:tc>
        <w:tc>
          <w:tcPr>
            <w:tcW w:w="0" w:type="auto"/>
            <w:tcBorders>
              <w:top w:val="nil"/>
              <w:left w:val="nil"/>
              <w:bottom w:val="single" w:sz="8" w:space="0" w:color="4BACC6"/>
              <w:right w:val="single" w:sz="8" w:space="0" w:color="4BACC6"/>
            </w:tcBorders>
            <w:shd w:val="clear" w:color="auto" w:fill="auto"/>
            <w:vAlign w:val="center"/>
            <w:hideMark/>
          </w:tcPr>
          <w:p w14:paraId="7476EC55"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6,829,532</w:t>
            </w:r>
          </w:p>
        </w:tc>
        <w:tc>
          <w:tcPr>
            <w:tcW w:w="0" w:type="auto"/>
            <w:tcBorders>
              <w:top w:val="nil"/>
              <w:left w:val="nil"/>
              <w:bottom w:val="single" w:sz="8" w:space="0" w:color="4BACC6"/>
              <w:right w:val="single" w:sz="8" w:space="0" w:color="4BACC6"/>
            </w:tcBorders>
            <w:shd w:val="clear" w:color="auto" w:fill="auto"/>
            <w:vAlign w:val="center"/>
            <w:hideMark/>
          </w:tcPr>
          <w:p w14:paraId="11557809"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1,143,421</w:t>
            </w:r>
          </w:p>
        </w:tc>
        <w:tc>
          <w:tcPr>
            <w:tcW w:w="0" w:type="auto"/>
            <w:tcBorders>
              <w:top w:val="nil"/>
              <w:left w:val="nil"/>
              <w:bottom w:val="single" w:sz="8" w:space="0" w:color="4BACC6"/>
              <w:right w:val="single" w:sz="8" w:space="0" w:color="4BACC6"/>
            </w:tcBorders>
            <w:shd w:val="clear" w:color="auto" w:fill="auto"/>
            <w:vAlign w:val="center"/>
            <w:hideMark/>
          </w:tcPr>
          <w:p w14:paraId="16EAAE30"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584,789</w:t>
            </w:r>
          </w:p>
        </w:tc>
        <w:tc>
          <w:tcPr>
            <w:tcW w:w="0" w:type="auto"/>
            <w:tcBorders>
              <w:top w:val="nil"/>
              <w:left w:val="nil"/>
              <w:bottom w:val="single" w:sz="8" w:space="0" w:color="4BACC6"/>
              <w:right w:val="single" w:sz="8" w:space="0" w:color="4BACC6"/>
            </w:tcBorders>
            <w:shd w:val="clear" w:color="auto" w:fill="auto"/>
            <w:vAlign w:val="center"/>
            <w:hideMark/>
          </w:tcPr>
          <w:p w14:paraId="442934C3"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15%</w:t>
            </w:r>
          </w:p>
        </w:tc>
        <w:tc>
          <w:tcPr>
            <w:tcW w:w="0" w:type="auto"/>
            <w:tcBorders>
              <w:top w:val="nil"/>
              <w:left w:val="nil"/>
              <w:bottom w:val="single" w:sz="8" w:space="0" w:color="4BACC6"/>
              <w:right w:val="single" w:sz="8" w:space="0" w:color="4BACC6"/>
            </w:tcBorders>
            <w:shd w:val="clear" w:color="auto" w:fill="auto"/>
            <w:vAlign w:val="center"/>
            <w:hideMark/>
          </w:tcPr>
          <w:p w14:paraId="7BDA080F" w14:textId="77777777" w:rsidR="000C2868" w:rsidRPr="003E1083" w:rsidRDefault="000C2868" w:rsidP="000C2868">
            <w:pPr>
              <w:jc w:val="center"/>
              <w:rPr>
                <w:rFonts w:asciiTheme="minorHAnsi" w:hAnsiTheme="minorHAnsi" w:cs="Arial"/>
                <w:b/>
                <w:bCs/>
                <w:sz w:val="18"/>
                <w:lang w:val="sq-AL"/>
              </w:rPr>
            </w:pPr>
            <w:r w:rsidRPr="003E1083">
              <w:rPr>
                <w:rFonts w:asciiTheme="minorHAnsi" w:hAnsiTheme="minorHAnsi" w:cs="Arial"/>
                <w:b/>
                <w:bCs/>
                <w:sz w:val="18"/>
                <w:lang w:val="sq-AL"/>
              </w:rPr>
              <w:t>9%</w:t>
            </w:r>
          </w:p>
        </w:tc>
      </w:tr>
    </w:tbl>
    <w:p w14:paraId="60B7A846" w14:textId="77777777" w:rsidR="000C2868" w:rsidRPr="003E1083" w:rsidRDefault="000C2868" w:rsidP="000C2868">
      <w:pPr>
        <w:jc w:val="center"/>
        <w:rPr>
          <w:rFonts w:asciiTheme="minorHAnsi" w:hAnsiTheme="minorHAnsi"/>
          <w:color w:val="FF0000"/>
          <w:lang w:val="sq-AL"/>
        </w:rPr>
      </w:pPr>
    </w:p>
    <w:p w14:paraId="00BF6BDC" w14:textId="77777777" w:rsidR="000C2868" w:rsidRPr="000C2868" w:rsidRDefault="000C2868" w:rsidP="000C2868">
      <w:pPr>
        <w:jc w:val="both"/>
        <w:rPr>
          <w:rFonts w:asciiTheme="minorHAnsi" w:eastAsia="MS Mincho" w:hAnsiTheme="minorHAnsi"/>
          <w:lang w:val="sq-AL"/>
        </w:rPr>
      </w:pPr>
      <w:r w:rsidRPr="000C2868">
        <w:rPr>
          <w:rFonts w:asciiTheme="minorHAnsi" w:eastAsia="MS Mincho" w:hAnsiTheme="minorHAnsi"/>
          <w:lang w:val="sq-AL"/>
        </w:rPr>
        <w:t>Në programin e “</w:t>
      </w:r>
      <w:r w:rsidRPr="000C2868">
        <w:rPr>
          <w:rFonts w:asciiTheme="minorHAnsi" w:eastAsia="MS Mincho" w:hAnsiTheme="minorHAnsi"/>
          <w:b/>
          <w:lang w:val="sq-AL"/>
        </w:rPr>
        <w:t>Zhvillimit rural</w:t>
      </w:r>
      <w:r w:rsidRPr="000C2868">
        <w:rPr>
          <w:rFonts w:asciiTheme="minorHAnsi" w:eastAsia="MS Mincho" w:hAnsiTheme="minorHAnsi"/>
          <w:lang w:val="sq-AL"/>
        </w:rPr>
        <w:t xml:space="preserve"> duke mbështetur prodhimin Bujqësor, Blegtoral, Agroindustrial dhe Marketingun”, janë realizuar produkte me një kosto faktike prej 396 milionë lekë, të tilla si:</w:t>
      </w:r>
    </w:p>
    <w:p w14:paraId="4A999603" w14:textId="6F5CE8B4" w:rsidR="000C2868" w:rsidRPr="00205603" w:rsidRDefault="000C2868" w:rsidP="000C2868">
      <w:pPr>
        <w:numPr>
          <w:ilvl w:val="0"/>
          <w:numId w:val="6"/>
        </w:numPr>
        <w:spacing w:after="120"/>
        <w:ind w:left="360"/>
        <w:contextualSpacing/>
        <w:jc w:val="both"/>
        <w:rPr>
          <w:rFonts w:asciiTheme="minorHAnsi" w:hAnsiTheme="minorHAnsi"/>
          <w:i/>
          <w:lang w:val="sq-AL"/>
        </w:rPr>
      </w:pPr>
      <w:r w:rsidRPr="000C2868">
        <w:rPr>
          <w:rFonts w:asciiTheme="minorHAnsi" w:hAnsiTheme="minorHAnsi"/>
          <w:i/>
          <w:lang w:val="sq-AL"/>
        </w:rPr>
        <w:t>Hartimi i bazës ligjore për masat mbështetëse të Programit të Bujqësisë dhe Zhvillimit Rural për</w:t>
      </w:r>
      <w:r w:rsidRPr="00205603">
        <w:rPr>
          <w:rFonts w:asciiTheme="minorHAnsi" w:hAnsiTheme="minorHAnsi"/>
          <w:i/>
          <w:lang w:val="sq-AL"/>
        </w:rPr>
        <w:t xml:space="preserve"> </w:t>
      </w:r>
      <w:r>
        <w:rPr>
          <w:rFonts w:asciiTheme="minorHAnsi" w:hAnsiTheme="minorHAnsi"/>
          <w:i/>
          <w:lang w:val="sq-AL"/>
        </w:rPr>
        <w:t>4M I</w:t>
      </w:r>
      <w:r w:rsidRPr="00205603">
        <w:rPr>
          <w:rFonts w:asciiTheme="minorHAnsi" w:hAnsiTheme="minorHAnsi"/>
          <w:i/>
          <w:lang w:val="sq-AL"/>
        </w:rPr>
        <w:t xml:space="preserve"> 2023, VKM “Për përcaktimin e kritereve bazë, të sektorëve që do të mbështeten dhe të masës së përfitimit nga fondi i programit për bujqësinë dhe zhvillimin rural, për vitin 2023” si dhe udhëzimi me bashkë firmosje midis MBZHR dhe MFE “Për kriteret procedurat dhe mënyrën e administrimit te fondit te programit për bujqësinë dhe zhvillimin rural.” Lidhur me masat mbështetëse, ka përfunduar procesi i aplikimit, ka filluar puna për vlerësimin e aplikimeve, shqyrtimin dhe disbursimin. </w:t>
      </w:r>
    </w:p>
    <w:p w14:paraId="011CC8B0" w14:textId="77777777" w:rsidR="000C2868" w:rsidRPr="00205603" w:rsidRDefault="000C2868" w:rsidP="000C2868">
      <w:pPr>
        <w:numPr>
          <w:ilvl w:val="0"/>
          <w:numId w:val="6"/>
        </w:numPr>
        <w:spacing w:after="120"/>
        <w:ind w:left="360"/>
        <w:contextualSpacing/>
        <w:jc w:val="both"/>
        <w:rPr>
          <w:rFonts w:asciiTheme="minorHAnsi" w:hAnsiTheme="minorHAnsi"/>
          <w:i/>
          <w:lang w:val="sq-AL"/>
        </w:rPr>
      </w:pPr>
      <w:r w:rsidRPr="00205603">
        <w:rPr>
          <w:rFonts w:asciiTheme="minorHAnsi" w:hAnsiTheme="minorHAnsi"/>
          <w:i/>
          <w:lang w:val="sq-AL"/>
        </w:rPr>
        <w:t>Kanë aplikuar gjithsej 68 657 aplikant, nga të cilët 54 691 në skemën e mbështetjes për naftë për bujqësinë, dhe 13 966 në masat e mbështetjes kombëtare. Numri më i madh i aplikimeve me rreth 62% vërehet tek masat e blektorisë, ndjekur nga mbështetja për bletarinë me 28%.</w:t>
      </w:r>
    </w:p>
    <w:p w14:paraId="484BAD7A" w14:textId="77777777" w:rsidR="000C2868" w:rsidRPr="00205603" w:rsidRDefault="000C2868" w:rsidP="000C2868">
      <w:pPr>
        <w:numPr>
          <w:ilvl w:val="0"/>
          <w:numId w:val="6"/>
        </w:numPr>
        <w:spacing w:after="120"/>
        <w:ind w:left="360"/>
        <w:contextualSpacing/>
        <w:jc w:val="both"/>
        <w:rPr>
          <w:rFonts w:asciiTheme="minorHAnsi" w:hAnsiTheme="minorHAnsi"/>
          <w:i/>
          <w:lang w:val="sq-AL"/>
        </w:rPr>
      </w:pPr>
      <w:r w:rsidRPr="00205603">
        <w:rPr>
          <w:rFonts w:asciiTheme="minorHAnsi" w:hAnsiTheme="minorHAnsi"/>
          <w:i/>
          <w:lang w:val="sq-AL"/>
        </w:rPr>
        <w:lastRenderedPageBreak/>
        <w:t xml:space="preserve">Programi IPARD II është në fazën e përfundimit të vlerësimit dhe disbursimit të aplikimeve. Aktualisht janë disbursuar 25 kontrata. Pas miratimit të IPARD III dhe ka filluar puna për akreditimin e masave. </w:t>
      </w:r>
    </w:p>
    <w:p w14:paraId="1A4AFB3D" w14:textId="77777777" w:rsidR="000C2868" w:rsidRPr="00205603" w:rsidRDefault="000C2868" w:rsidP="000C2868">
      <w:pPr>
        <w:numPr>
          <w:ilvl w:val="0"/>
          <w:numId w:val="6"/>
        </w:numPr>
        <w:spacing w:after="120"/>
        <w:ind w:left="360"/>
        <w:contextualSpacing/>
        <w:jc w:val="both"/>
        <w:rPr>
          <w:rFonts w:asciiTheme="minorHAnsi" w:hAnsiTheme="minorHAnsi"/>
          <w:i/>
          <w:lang w:val="sq-AL"/>
        </w:rPr>
      </w:pPr>
      <w:r w:rsidRPr="00205603">
        <w:rPr>
          <w:rFonts w:asciiTheme="minorHAnsi" w:hAnsiTheme="minorHAnsi"/>
          <w:i/>
          <w:lang w:val="sq-AL"/>
        </w:rPr>
        <w:t>Certifikimi dhe testimi i rreth 290 mijë fara dhe fidanë;</w:t>
      </w:r>
    </w:p>
    <w:p w14:paraId="499510E7" w14:textId="77777777" w:rsidR="000C2868" w:rsidRPr="00205603" w:rsidRDefault="000C2868" w:rsidP="000C2868">
      <w:pPr>
        <w:numPr>
          <w:ilvl w:val="0"/>
          <w:numId w:val="6"/>
        </w:numPr>
        <w:spacing w:after="120"/>
        <w:ind w:left="360"/>
        <w:contextualSpacing/>
        <w:jc w:val="both"/>
        <w:rPr>
          <w:rFonts w:asciiTheme="minorHAnsi" w:hAnsiTheme="minorHAnsi"/>
          <w:i/>
          <w:lang w:val="sq-AL"/>
        </w:rPr>
      </w:pPr>
      <w:r w:rsidRPr="00205603">
        <w:rPr>
          <w:rFonts w:asciiTheme="minorHAnsi" w:hAnsiTheme="minorHAnsi"/>
          <w:i/>
          <w:lang w:val="sq-AL"/>
        </w:rPr>
        <w:t>Degustimi i rreth 60 mostrave të cigareve.</w:t>
      </w:r>
    </w:p>
    <w:p w14:paraId="76B63B2B" w14:textId="77777777" w:rsidR="000C2868" w:rsidRPr="003E1083" w:rsidRDefault="000C2868" w:rsidP="000C2868">
      <w:pPr>
        <w:spacing w:before="240"/>
        <w:jc w:val="both"/>
        <w:rPr>
          <w:rFonts w:asciiTheme="minorHAnsi" w:eastAsia="MS Mincho" w:hAnsiTheme="minorHAnsi"/>
          <w:lang w:val="sq-AL"/>
        </w:rPr>
      </w:pPr>
      <w:r w:rsidRPr="003E1083">
        <w:rPr>
          <w:rFonts w:asciiTheme="minorHAnsi" w:eastAsia="MS Mincho" w:hAnsiTheme="minorHAnsi"/>
          <w:lang w:val="sq-AL"/>
        </w:rPr>
        <w:t xml:space="preserve">Në programin </w:t>
      </w:r>
      <w:r w:rsidRPr="003E1083">
        <w:rPr>
          <w:rFonts w:asciiTheme="minorHAnsi" w:eastAsia="MS Mincho" w:hAnsiTheme="minorHAnsi"/>
          <w:b/>
          <w:lang w:val="sq-AL"/>
        </w:rPr>
        <w:t>“Siguria ushqimore dhe mbrojtja e konsumatorit”</w:t>
      </w:r>
      <w:r>
        <w:rPr>
          <w:rFonts w:asciiTheme="minorHAnsi" w:eastAsia="MS Mincho" w:hAnsiTheme="minorHAnsi"/>
          <w:lang w:val="sq-AL"/>
        </w:rPr>
        <w:t>, janë realizuar për 4M</w:t>
      </w:r>
      <w:r w:rsidRPr="003E1083">
        <w:rPr>
          <w:rFonts w:asciiTheme="minorHAnsi" w:eastAsia="MS Mincho" w:hAnsiTheme="minorHAnsi"/>
          <w:lang w:val="sq-AL"/>
        </w:rPr>
        <w:t xml:space="preserve"> </w:t>
      </w:r>
      <w:r>
        <w:rPr>
          <w:rFonts w:asciiTheme="minorHAnsi" w:eastAsia="MS Mincho" w:hAnsiTheme="minorHAnsi"/>
          <w:lang w:val="sq-AL"/>
        </w:rPr>
        <w:t>I</w:t>
      </w:r>
      <w:r w:rsidRPr="003E1083">
        <w:rPr>
          <w:rFonts w:asciiTheme="minorHAnsi" w:eastAsia="MS Mincho" w:hAnsiTheme="minorHAnsi"/>
          <w:lang w:val="sq-AL"/>
        </w:rPr>
        <w:t xml:space="preserve"> produkte me një kosto faktike prej 460 milionë lekë, ku ndër to përmendim: </w:t>
      </w:r>
    </w:p>
    <w:p w14:paraId="4808C4E0" w14:textId="77777777" w:rsidR="000C2868" w:rsidRPr="00321968" w:rsidRDefault="000C2868" w:rsidP="000C2868">
      <w:pPr>
        <w:numPr>
          <w:ilvl w:val="0"/>
          <w:numId w:val="6"/>
        </w:numPr>
        <w:spacing w:after="120"/>
        <w:ind w:left="360"/>
        <w:contextualSpacing/>
        <w:jc w:val="both"/>
        <w:rPr>
          <w:rFonts w:asciiTheme="minorHAnsi" w:hAnsiTheme="minorHAnsi"/>
          <w:i/>
          <w:lang w:val="sq-AL"/>
        </w:rPr>
      </w:pPr>
      <w:r w:rsidRPr="00321968">
        <w:rPr>
          <w:rFonts w:asciiTheme="minorHAnsi" w:hAnsiTheme="minorHAnsi"/>
          <w:i/>
          <w:lang w:val="sq-AL"/>
        </w:rPr>
        <w:t xml:space="preserve">Janë kryer 2 697 kontrolle në fermat e kafshëve të gjalla, farmacitë veterinare dhe depot farmaceutike; </w:t>
      </w:r>
    </w:p>
    <w:p w14:paraId="1375A0B7" w14:textId="77777777" w:rsidR="000C2868" w:rsidRPr="00321968" w:rsidRDefault="000C2868" w:rsidP="000C2868">
      <w:pPr>
        <w:numPr>
          <w:ilvl w:val="0"/>
          <w:numId w:val="6"/>
        </w:numPr>
        <w:spacing w:after="120"/>
        <w:ind w:left="360"/>
        <w:contextualSpacing/>
        <w:jc w:val="both"/>
        <w:rPr>
          <w:rFonts w:asciiTheme="minorHAnsi" w:hAnsiTheme="minorHAnsi"/>
          <w:i/>
          <w:lang w:val="sq-AL"/>
        </w:rPr>
      </w:pPr>
      <w:r w:rsidRPr="00321968">
        <w:rPr>
          <w:rFonts w:asciiTheme="minorHAnsi" w:hAnsiTheme="minorHAnsi"/>
          <w:i/>
          <w:lang w:val="sq-AL"/>
        </w:rPr>
        <w:t>Janë realizuar 4 596 analiza nga ISUV në kuadër të monitorimit të mbetjeve në kafshët e gjalla dhe molusqet bivale;</w:t>
      </w:r>
    </w:p>
    <w:p w14:paraId="22A35011" w14:textId="77777777" w:rsidR="000C2868" w:rsidRPr="00321968" w:rsidRDefault="000C2868" w:rsidP="000C2868">
      <w:pPr>
        <w:numPr>
          <w:ilvl w:val="0"/>
          <w:numId w:val="6"/>
        </w:numPr>
        <w:spacing w:after="120"/>
        <w:ind w:left="360"/>
        <w:contextualSpacing/>
        <w:jc w:val="both"/>
        <w:rPr>
          <w:rFonts w:asciiTheme="minorHAnsi" w:hAnsiTheme="minorHAnsi"/>
          <w:i/>
          <w:lang w:val="sq-AL"/>
        </w:rPr>
      </w:pPr>
      <w:r w:rsidRPr="00321968">
        <w:rPr>
          <w:rFonts w:asciiTheme="minorHAnsi" w:hAnsiTheme="minorHAnsi"/>
          <w:i/>
          <w:lang w:val="sq-AL"/>
        </w:rPr>
        <w:t>Janë realizuar për vitin 2023 në të gjithë territorin e vendit deri në fund të muajit prill 30 873 inspektime në fushën e sigurisë ushqimore;</w:t>
      </w:r>
    </w:p>
    <w:p w14:paraId="6E436FDE" w14:textId="77777777" w:rsidR="000C2868" w:rsidRPr="00321968" w:rsidRDefault="000C2868" w:rsidP="000C2868">
      <w:pPr>
        <w:numPr>
          <w:ilvl w:val="0"/>
          <w:numId w:val="6"/>
        </w:numPr>
        <w:spacing w:after="120"/>
        <w:ind w:left="360"/>
        <w:contextualSpacing/>
        <w:jc w:val="both"/>
        <w:rPr>
          <w:rFonts w:asciiTheme="minorHAnsi" w:hAnsiTheme="minorHAnsi"/>
          <w:i/>
          <w:lang w:val="sq-AL"/>
        </w:rPr>
      </w:pPr>
      <w:r w:rsidRPr="00321968">
        <w:rPr>
          <w:rFonts w:asciiTheme="minorHAnsi" w:hAnsiTheme="minorHAnsi"/>
          <w:i/>
          <w:lang w:val="sq-AL"/>
        </w:rPr>
        <w:t>Autoritetit Kombëtar Veterinar dhe Mbrojtjes të Bimëve, me fokus shëndetin dhe mirëqenien e kafshëve dhe shëndetin e bimëve ka kryer 85 inspektime në terren.</w:t>
      </w:r>
    </w:p>
    <w:p w14:paraId="2C2793BB" w14:textId="77777777" w:rsidR="000C2868" w:rsidRPr="003E1083" w:rsidRDefault="000C2868" w:rsidP="000C2868">
      <w:pPr>
        <w:spacing w:before="240"/>
        <w:jc w:val="both"/>
        <w:rPr>
          <w:rFonts w:asciiTheme="minorHAnsi" w:hAnsiTheme="minorHAnsi"/>
          <w:lang w:val="sq-AL"/>
        </w:rPr>
      </w:pPr>
      <w:r w:rsidRPr="003E1083">
        <w:rPr>
          <w:rFonts w:asciiTheme="minorHAnsi" w:hAnsiTheme="minorHAnsi"/>
          <w:lang w:val="sq-AL"/>
        </w:rPr>
        <w:t>Në programin “</w:t>
      </w:r>
      <w:r w:rsidRPr="003E1083">
        <w:rPr>
          <w:rFonts w:asciiTheme="minorHAnsi" w:hAnsiTheme="minorHAnsi"/>
          <w:b/>
          <w:lang w:val="sq-AL"/>
        </w:rPr>
        <w:t>Infrastruktura e ujitjes dhe kullimit</w:t>
      </w:r>
      <w:r w:rsidRPr="003E1083">
        <w:rPr>
          <w:rFonts w:asciiTheme="minorHAnsi" w:hAnsiTheme="minorHAnsi"/>
          <w:lang w:val="sq-AL"/>
        </w:rPr>
        <w:t>”, janë parashikuar disa produkte dhe janë realizuar një pjesë e tyre me një kosto totale prej 550 milionë lekë, ndër to përmendim:</w:t>
      </w:r>
    </w:p>
    <w:p w14:paraId="055B3EFC" w14:textId="77777777" w:rsidR="000C2868" w:rsidRPr="00321968" w:rsidRDefault="000C2868" w:rsidP="000C2868">
      <w:pPr>
        <w:numPr>
          <w:ilvl w:val="0"/>
          <w:numId w:val="6"/>
        </w:numPr>
        <w:spacing w:after="120"/>
        <w:ind w:left="360"/>
        <w:contextualSpacing/>
        <w:jc w:val="both"/>
        <w:rPr>
          <w:rFonts w:asciiTheme="minorHAnsi" w:hAnsiTheme="minorHAnsi"/>
          <w:i/>
          <w:lang w:val="sq-AL"/>
        </w:rPr>
      </w:pPr>
      <w:r w:rsidRPr="00321968">
        <w:rPr>
          <w:rFonts w:asciiTheme="minorHAnsi" w:hAnsiTheme="minorHAnsi"/>
          <w:i/>
          <w:lang w:val="sq-AL"/>
        </w:rPr>
        <w:t>Janë punuar rreth 15 000 hektar sipërfaqe kulluese me rrjetin kryesor të pastruar;</w:t>
      </w:r>
    </w:p>
    <w:p w14:paraId="188BF90E" w14:textId="77777777" w:rsidR="000C2868" w:rsidRPr="00321968" w:rsidRDefault="000C2868" w:rsidP="000C2868">
      <w:pPr>
        <w:numPr>
          <w:ilvl w:val="0"/>
          <w:numId w:val="6"/>
        </w:numPr>
        <w:spacing w:after="120"/>
        <w:ind w:left="360"/>
        <w:contextualSpacing/>
        <w:jc w:val="both"/>
        <w:rPr>
          <w:rFonts w:asciiTheme="minorHAnsi" w:hAnsiTheme="minorHAnsi"/>
          <w:i/>
          <w:lang w:val="sq-AL"/>
        </w:rPr>
      </w:pPr>
      <w:r w:rsidRPr="00321968">
        <w:rPr>
          <w:rFonts w:asciiTheme="minorHAnsi" w:hAnsiTheme="minorHAnsi"/>
          <w:i/>
          <w:lang w:val="sq-AL"/>
        </w:rPr>
        <w:t>Rreth 10 000 hektar sipërfaqe ujitëse me rrjet kryesor ujitës te mirëmbajtur;</w:t>
      </w:r>
    </w:p>
    <w:p w14:paraId="4CDE47B5" w14:textId="04BFAE14" w:rsidR="000C2868" w:rsidRDefault="000C2868" w:rsidP="000C2868">
      <w:pPr>
        <w:contextualSpacing/>
        <w:jc w:val="both"/>
        <w:rPr>
          <w:rFonts w:asciiTheme="minorHAnsi" w:hAnsiTheme="minorHAnsi"/>
          <w:i/>
          <w:lang w:val="sq-AL"/>
        </w:rPr>
      </w:pPr>
      <w:r w:rsidRPr="00321968">
        <w:rPr>
          <w:rFonts w:asciiTheme="minorHAnsi" w:hAnsiTheme="minorHAnsi"/>
          <w:i/>
          <w:lang w:val="sq-AL"/>
        </w:rPr>
        <w:t>Mirëmbajtje për funksionimin normal të 27 hidroforëve për kullimin e rreth 70 000 hektarëve</w:t>
      </w:r>
      <w:r>
        <w:rPr>
          <w:rFonts w:asciiTheme="minorHAnsi" w:hAnsiTheme="minorHAnsi"/>
          <w:i/>
          <w:lang w:val="sq-AL"/>
        </w:rPr>
        <w:t>.</w:t>
      </w:r>
    </w:p>
    <w:p w14:paraId="4885EBAA" w14:textId="54AEADA7" w:rsidR="000C2868" w:rsidRDefault="000C2868" w:rsidP="000C2868">
      <w:pPr>
        <w:contextualSpacing/>
        <w:jc w:val="both"/>
        <w:rPr>
          <w:rFonts w:asciiTheme="minorHAnsi" w:hAnsiTheme="minorHAnsi"/>
          <w:i/>
          <w:lang w:val="sq-AL"/>
        </w:rPr>
      </w:pPr>
    </w:p>
    <w:p w14:paraId="4C48B1CA" w14:textId="4EF82641" w:rsidR="000C2868" w:rsidRDefault="000C2868" w:rsidP="000C2868">
      <w:pPr>
        <w:contextualSpacing/>
        <w:jc w:val="both"/>
        <w:rPr>
          <w:rFonts w:asciiTheme="minorHAnsi" w:hAnsiTheme="minorHAnsi"/>
          <w:i/>
          <w:lang w:val="sq-AL"/>
        </w:rPr>
      </w:pPr>
    </w:p>
    <w:p w14:paraId="20E068E7" w14:textId="77777777" w:rsidR="000C2868" w:rsidRPr="00321968" w:rsidRDefault="000C2868" w:rsidP="000C2868">
      <w:pPr>
        <w:contextualSpacing/>
        <w:jc w:val="both"/>
        <w:rPr>
          <w:rFonts w:asciiTheme="minorHAnsi" w:hAnsiTheme="minorHAnsi"/>
          <w:i/>
          <w:lang w:val="sq-AL"/>
        </w:rPr>
      </w:pPr>
    </w:p>
    <w:p w14:paraId="0671B862" w14:textId="77777777" w:rsidR="000C2868" w:rsidRPr="003E1083" w:rsidRDefault="000C2868" w:rsidP="000C2868">
      <w:pPr>
        <w:spacing w:before="120"/>
        <w:jc w:val="both"/>
        <w:rPr>
          <w:rFonts w:asciiTheme="minorHAnsi" w:hAnsiTheme="minorHAnsi"/>
          <w:b/>
          <w:noProof/>
          <w:color w:val="0070C0"/>
          <w:lang w:val="sq-AL"/>
        </w:rPr>
      </w:pPr>
      <w:bookmarkStart w:id="199" w:name="_Toc10033297"/>
      <w:bookmarkStart w:id="200" w:name="_Toc10721433"/>
      <w:bookmarkStart w:id="201" w:name="_Toc11134228"/>
      <w:r w:rsidRPr="003E1083">
        <w:rPr>
          <w:rFonts w:asciiTheme="minorHAnsi" w:hAnsiTheme="minorHAnsi"/>
          <w:b/>
          <w:noProof/>
          <w:color w:val="0070C0"/>
          <w:lang w:val="sq-AL"/>
        </w:rPr>
        <w:t>INFRASTRUKTURA DHE ENERGJIA</w:t>
      </w:r>
      <w:bookmarkEnd w:id="199"/>
      <w:bookmarkEnd w:id="200"/>
      <w:bookmarkEnd w:id="201"/>
    </w:p>
    <w:p w14:paraId="53BB41F8" w14:textId="77777777" w:rsidR="000C2868" w:rsidRPr="003E1083" w:rsidRDefault="000C2868" w:rsidP="000C2868">
      <w:pPr>
        <w:jc w:val="both"/>
        <w:rPr>
          <w:rFonts w:asciiTheme="minorHAnsi" w:hAnsiTheme="minorHAnsi"/>
          <w:lang w:val="sq-AL"/>
        </w:rPr>
      </w:pPr>
      <w:r w:rsidRPr="003E1083">
        <w:rPr>
          <w:rFonts w:asciiTheme="minorHAnsi" w:hAnsiTheme="minorHAnsi"/>
          <w:lang w:val="sq-AL"/>
        </w:rPr>
        <w:t xml:space="preserve">Performanca e treguesve buxhetorë për </w:t>
      </w:r>
      <w:r>
        <w:rPr>
          <w:rFonts w:asciiTheme="minorHAnsi" w:hAnsiTheme="minorHAnsi"/>
          <w:lang w:val="sq-AL"/>
        </w:rPr>
        <w:t>4M I</w:t>
      </w:r>
      <w:r w:rsidRPr="003E1083">
        <w:rPr>
          <w:rFonts w:asciiTheme="minorHAnsi" w:hAnsiTheme="minorHAnsi"/>
          <w:lang w:val="sq-AL"/>
        </w:rPr>
        <w:t xml:space="preserve"> të vitit 2022 për 12 programet e Ministrisë së Infrastrukturës dhe Energjisë, paraqitet si më poshtë:</w:t>
      </w:r>
    </w:p>
    <w:p w14:paraId="51DEB40A" w14:textId="585AB8BA" w:rsidR="000C2868" w:rsidRPr="00321968" w:rsidRDefault="000C2868" w:rsidP="000C2868">
      <w:pPr>
        <w:spacing w:before="120"/>
        <w:rPr>
          <w:rFonts w:asciiTheme="minorHAnsi" w:hAnsiTheme="minorHAnsi"/>
          <w:i/>
          <w:noProof/>
          <w:sz w:val="22"/>
          <w:lang w:val="sq-AL"/>
        </w:rPr>
      </w:pPr>
      <w:bookmarkStart w:id="202" w:name="_Toc107496777"/>
      <w:r w:rsidRPr="00321968">
        <w:rPr>
          <w:rFonts w:asciiTheme="minorHAnsi" w:hAnsiTheme="minorHAnsi"/>
          <w:i/>
          <w:noProof/>
          <w:sz w:val="22"/>
          <w:lang w:val="sq-AL"/>
        </w:rPr>
        <w:t xml:space="preserve">Tabela </w:t>
      </w:r>
      <w:r w:rsidRPr="00321968">
        <w:rPr>
          <w:rFonts w:asciiTheme="minorHAnsi" w:hAnsiTheme="minorHAnsi"/>
          <w:i/>
          <w:noProof/>
          <w:sz w:val="22"/>
          <w:lang w:val="sq-AL"/>
        </w:rPr>
        <w:fldChar w:fldCharType="begin"/>
      </w:r>
      <w:r w:rsidRPr="00321968">
        <w:rPr>
          <w:rFonts w:asciiTheme="minorHAnsi" w:hAnsiTheme="minorHAnsi"/>
          <w:i/>
          <w:noProof/>
          <w:sz w:val="22"/>
          <w:lang w:val="sq-AL"/>
        </w:rPr>
        <w:instrText xml:space="preserve"> SEQ Tabela \* ARABIC </w:instrText>
      </w:r>
      <w:r w:rsidRPr="00321968">
        <w:rPr>
          <w:rFonts w:asciiTheme="minorHAnsi" w:hAnsiTheme="minorHAnsi"/>
          <w:i/>
          <w:noProof/>
          <w:sz w:val="22"/>
          <w:lang w:val="sq-AL"/>
        </w:rPr>
        <w:fldChar w:fldCharType="separate"/>
      </w:r>
      <w:r w:rsidR="00C153A9">
        <w:rPr>
          <w:rFonts w:asciiTheme="minorHAnsi" w:hAnsiTheme="minorHAnsi"/>
          <w:i/>
          <w:noProof/>
          <w:sz w:val="22"/>
          <w:lang w:val="sq-AL"/>
        </w:rPr>
        <w:t>40</w:t>
      </w:r>
      <w:r w:rsidRPr="00321968">
        <w:rPr>
          <w:rFonts w:asciiTheme="minorHAnsi" w:hAnsiTheme="minorHAnsi"/>
          <w:i/>
          <w:noProof/>
          <w:sz w:val="22"/>
          <w:lang w:val="sq-AL"/>
        </w:rPr>
        <w:fldChar w:fldCharType="end"/>
      </w:r>
      <w:r w:rsidRPr="00321968">
        <w:rPr>
          <w:rFonts w:asciiTheme="minorHAnsi" w:hAnsiTheme="minorHAnsi"/>
          <w:i/>
          <w:noProof/>
          <w:sz w:val="22"/>
          <w:lang w:val="sq-AL"/>
        </w:rPr>
        <w:t xml:space="preserve">: </w:t>
      </w:r>
      <w:r>
        <w:rPr>
          <w:rFonts w:ascii="Calibri" w:hAnsi="Calibri"/>
          <w:i/>
          <w:noProof/>
          <w:sz w:val="22"/>
          <w:lang w:val="sq-AL"/>
        </w:rPr>
        <w:t>Performanca e shpenzimeve për 4M I</w:t>
      </w:r>
      <w:r>
        <w:rPr>
          <w:rFonts w:asciiTheme="minorHAnsi" w:hAnsiTheme="minorHAnsi"/>
          <w:i/>
          <w:noProof/>
          <w:sz w:val="22"/>
          <w:lang w:val="sq-AL"/>
        </w:rPr>
        <w:t>, për Infrastrukturën</w:t>
      </w:r>
      <w:r w:rsidRPr="00321968">
        <w:rPr>
          <w:rFonts w:asciiTheme="minorHAnsi" w:hAnsiTheme="minorHAnsi"/>
          <w:i/>
          <w:noProof/>
          <w:sz w:val="22"/>
          <w:lang w:val="sq-AL"/>
        </w:rPr>
        <w:t xml:space="preserve"> dhe Energji</w:t>
      </w:r>
      <w:bookmarkEnd w:id="202"/>
      <w:r>
        <w:rPr>
          <w:rFonts w:asciiTheme="minorHAnsi" w:hAnsiTheme="minorHAnsi"/>
          <w:i/>
          <w:noProof/>
          <w:sz w:val="22"/>
          <w:lang w:val="sq-AL"/>
        </w:rPr>
        <w:t>në</w:t>
      </w:r>
    </w:p>
    <w:p w14:paraId="67ADC184" w14:textId="77777777" w:rsidR="000C2868" w:rsidRPr="003E1083" w:rsidRDefault="000C2868" w:rsidP="000C2868">
      <w:pPr>
        <w:ind w:left="5760" w:firstLine="720"/>
        <w:jc w:val="center"/>
        <w:rPr>
          <w:rFonts w:asciiTheme="minorHAnsi" w:hAnsiTheme="minorHAnsi"/>
          <w:bCs/>
          <w:i/>
          <w:iCs/>
          <w:lang w:val="sq-AL"/>
        </w:rPr>
      </w:pPr>
      <w:r w:rsidRPr="003E1083">
        <w:rPr>
          <w:rFonts w:asciiTheme="minorHAnsi" w:hAnsiTheme="minorHAnsi"/>
          <w:bCs/>
          <w:i/>
          <w:iCs/>
          <w:lang w:val="sq-AL"/>
        </w:rPr>
        <w:t>Në mijë lekë</w:t>
      </w:r>
    </w:p>
    <w:tbl>
      <w:tblPr>
        <w:tblStyle w:val="TableGridLight1121"/>
        <w:tblW w:w="9853" w:type="dxa"/>
        <w:jc w:val="center"/>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1E0" w:firstRow="1" w:lastRow="1" w:firstColumn="1" w:lastColumn="1" w:noHBand="0" w:noVBand="0"/>
      </w:tblPr>
      <w:tblGrid>
        <w:gridCol w:w="523"/>
        <w:gridCol w:w="3082"/>
        <w:gridCol w:w="1027"/>
        <w:gridCol w:w="1153"/>
        <w:gridCol w:w="1027"/>
        <w:gridCol w:w="1122"/>
        <w:gridCol w:w="921"/>
        <w:gridCol w:w="998"/>
      </w:tblGrid>
      <w:tr w:rsidR="000C2868" w:rsidRPr="003E1083" w14:paraId="71182D57" w14:textId="77777777" w:rsidTr="000C2868">
        <w:trPr>
          <w:trHeight w:val="379"/>
          <w:jc w:val="center"/>
        </w:trPr>
        <w:tc>
          <w:tcPr>
            <w:tcW w:w="523" w:type="dxa"/>
            <w:vMerge w:val="restart"/>
            <w:shd w:val="clear" w:color="auto" w:fill="4BACC6"/>
          </w:tcPr>
          <w:p w14:paraId="0FE5D5A6" w14:textId="77777777" w:rsidR="000C2868" w:rsidRPr="003E1083" w:rsidRDefault="000C2868" w:rsidP="000C2868">
            <w:pPr>
              <w:jc w:val="center"/>
              <w:rPr>
                <w:rFonts w:asciiTheme="minorHAnsi" w:hAnsiTheme="minorHAnsi"/>
                <w:b/>
                <w:sz w:val="18"/>
                <w:lang w:val="sq-AL"/>
              </w:rPr>
            </w:pPr>
          </w:p>
          <w:p w14:paraId="7F41FBF8" w14:textId="77777777" w:rsidR="000C2868" w:rsidRPr="003E1083" w:rsidRDefault="000C2868" w:rsidP="000C2868">
            <w:pPr>
              <w:jc w:val="center"/>
              <w:rPr>
                <w:rFonts w:asciiTheme="minorHAnsi" w:hAnsiTheme="minorHAnsi"/>
                <w:b/>
                <w:sz w:val="18"/>
                <w:lang w:val="sq-AL"/>
              </w:rPr>
            </w:pPr>
            <w:r w:rsidRPr="003E1083">
              <w:rPr>
                <w:rFonts w:asciiTheme="minorHAnsi" w:hAnsiTheme="minorHAnsi"/>
                <w:b/>
                <w:sz w:val="18"/>
                <w:lang w:val="sq-AL"/>
              </w:rPr>
              <w:t>NR</w:t>
            </w:r>
          </w:p>
        </w:tc>
        <w:tc>
          <w:tcPr>
            <w:tcW w:w="3082" w:type="dxa"/>
            <w:vMerge w:val="restart"/>
            <w:shd w:val="clear" w:color="auto" w:fill="4BACC6"/>
          </w:tcPr>
          <w:p w14:paraId="216C61EA" w14:textId="77777777" w:rsidR="000C2868" w:rsidRPr="003E1083" w:rsidRDefault="000C2868" w:rsidP="000C2868">
            <w:pPr>
              <w:jc w:val="center"/>
              <w:rPr>
                <w:rFonts w:asciiTheme="minorHAnsi" w:hAnsiTheme="minorHAnsi"/>
                <w:b/>
                <w:sz w:val="18"/>
                <w:lang w:val="sq-AL"/>
              </w:rPr>
            </w:pPr>
          </w:p>
          <w:p w14:paraId="55F51B8F" w14:textId="77777777" w:rsidR="000C2868" w:rsidRPr="003E1083" w:rsidRDefault="000C2868" w:rsidP="000C2868">
            <w:pPr>
              <w:jc w:val="center"/>
              <w:rPr>
                <w:rFonts w:asciiTheme="minorHAnsi" w:hAnsiTheme="minorHAnsi"/>
                <w:b/>
                <w:sz w:val="18"/>
                <w:lang w:val="sq-AL"/>
              </w:rPr>
            </w:pPr>
            <w:r w:rsidRPr="003E1083">
              <w:rPr>
                <w:rFonts w:asciiTheme="minorHAnsi" w:hAnsiTheme="minorHAnsi"/>
                <w:b/>
                <w:sz w:val="18"/>
                <w:lang w:val="sq-AL"/>
              </w:rPr>
              <w:t>Emërtimi i Programit</w:t>
            </w:r>
          </w:p>
        </w:tc>
        <w:tc>
          <w:tcPr>
            <w:tcW w:w="2180" w:type="dxa"/>
            <w:gridSpan w:val="2"/>
            <w:tcBorders>
              <w:bottom w:val="nil"/>
            </w:tcBorders>
            <w:shd w:val="clear" w:color="auto" w:fill="4BACC6"/>
          </w:tcPr>
          <w:p w14:paraId="372F16B7" w14:textId="77777777" w:rsidR="000C2868" w:rsidRPr="003E1083" w:rsidRDefault="000C2868" w:rsidP="000C2868">
            <w:pPr>
              <w:ind w:left="80"/>
              <w:jc w:val="center"/>
              <w:rPr>
                <w:rFonts w:asciiTheme="minorHAnsi" w:hAnsiTheme="minorHAnsi"/>
                <w:b/>
                <w:sz w:val="18"/>
                <w:lang w:val="sq-AL"/>
              </w:rPr>
            </w:pPr>
            <w:r w:rsidRPr="003E1083">
              <w:rPr>
                <w:rFonts w:asciiTheme="minorHAnsi" w:hAnsiTheme="minorHAnsi"/>
                <w:b/>
                <w:sz w:val="18"/>
                <w:lang w:val="sq-AL"/>
              </w:rPr>
              <w:t>Plani 2023</w:t>
            </w:r>
          </w:p>
        </w:tc>
        <w:tc>
          <w:tcPr>
            <w:tcW w:w="2149" w:type="dxa"/>
            <w:gridSpan w:val="2"/>
            <w:shd w:val="clear" w:color="auto" w:fill="4BACC6"/>
          </w:tcPr>
          <w:p w14:paraId="24873530" w14:textId="77777777" w:rsidR="000C2868" w:rsidRPr="003E1083" w:rsidRDefault="000C2868" w:rsidP="000C2868">
            <w:pPr>
              <w:jc w:val="center"/>
              <w:rPr>
                <w:rFonts w:asciiTheme="minorHAnsi" w:hAnsiTheme="minorHAnsi"/>
                <w:b/>
                <w:sz w:val="18"/>
                <w:lang w:val="sq-AL"/>
              </w:rPr>
            </w:pPr>
            <w:r w:rsidRPr="003E1083">
              <w:rPr>
                <w:rFonts w:asciiTheme="minorHAnsi" w:hAnsiTheme="minorHAnsi"/>
                <w:b/>
                <w:sz w:val="18"/>
                <w:lang w:val="sq-AL"/>
              </w:rPr>
              <w:t>Fakti 4-mujori 2023</w:t>
            </w:r>
          </w:p>
        </w:tc>
        <w:tc>
          <w:tcPr>
            <w:tcW w:w="1919" w:type="dxa"/>
            <w:gridSpan w:val="2"/>
            <w:shd w:val="clear" w:color="auto" w:fill="4BACC6"/>
          </w:tcPr>
          <w:p w14:paraId="72102995" w14:textId="77777777" w:rsidR="000C2868" w:rsidRPr="003E1083" w:rsidRDefault="000C2868" w:rsidP="000C2868">
            <w:pPr>
              <w:jc w:val="center"/>
              <w:rPr>
                <w:rFonts w:asciiTheme="minorHAnsi" w:hAnsiTheme="minorHAnsi"/>
                <w:b/>
                <w:sz w:val="18"/>
                <w:lang w:val="sq-AL"/>
              </w:rPr>
            </w:pPr>
            <w:r w:rsidRPr="003E1083">
              <w:rPr>
                <w:rFonts w:asciiTheme="minorHAnsi" w:hAnsiTheme="minorHAnsi"/>
                <w:b/>
                <w:bCs/>
                <w:sz w:val="18"/>
                <w:lang w:val="sq-AL"/>
              </w:rPr>
              <w:t>Përqindja  e realizimit</w:t>
            </w:r>
          </w:p>
        </w:tc>
      </w:tr>
      <w:tr w:rsidR="000C2868" w:rsidRPr="003E1083" w14:paraId="267091D6" w14:textId="77777777" w:rsidTr="000C2868">
        <w:trPr>
          <w:trHeight w:val="302"/>
          <w:jc w:val="center"/>
        </w:trPr>
        <w:tc>
          <w:tcPr>
            <w:tcW w:w="523" w:type="dxa"/>
            <w:vMerge/>
            <w:shd w:val="clear" w:color="auto" w:fill="4BACC6"/>
          </w:tcPr>
          <w:p w14:paraId="47905851" w14:textId="77777777" w:rsidR="000C2868" w:rsidRPr="003E1083" w:rsidRDefault="000C2868" w:rsidP="000C2868">
            <w:pPr>
              <w:jc w:val="center"/>
              <w:rPr>
                <w:rFonts w:asciiTheme="minorHAnsi" w:hAnsiTheme="minorHAnsi"/>
                <w:b/>
                <w:sz w:val="18"/>
                <w:lang w:val="sq-AL"/>
              </w:rPr>
            </w:pPr>
          </w:p>
        </w:tc>
        <w:tc>
          <w:tcPr>
            <w:tcW w:w="3082" w:type="dxa"/>
            <w:vMerge/>
            <w:shd w:val="clear" w:color="auto" w:fill="4BACC6"/>
          </w:tcPr>
          <w:p w14:paraId="0799030E" w14:textId="77777777" w:rsidR="000C2868" w:rsidRPr="003E1083" w:rsidRDefault="000C2868" w:rsidP="000C2868">
            <w:pPr>
              <w:jc w:val="center"/>
              <w:rPr>
                <w:rFonts w:asciiTheme="minorHAnsi" w:hAnsiTheme="minorHAnsi"/>
                <w:b/>
                <w:sz w:val="18"/>
                <w:lang w:val="sq-AL"/>
              </w:rPr>
            </w:pPr>
          </w:p>
        </w:tc>
        <w:tc>
          <w:tcPr>
            <w:tcW w:w="1027" w:type="dxa"/>
            <w:shd w:val="clear" w:color="auto" w:fill="4BACC6"/>
          </w:tcPr>
          <w:p w14:paraId="1416EB95" w14:textId="77777777" w:rsidR="000C2868" w:rsidRPr="003E1083" w:rsidRDefault="000C2868" w:rsidP="000C2868">
            <w:pPr>
              <w:ind w:left="80"/>
              <w:jc w:val="center"/>
              <w:rPr>
                <w:rFonts w:asciiTheme="minorHAnsi" w:hAnsiTheme="minorHAnsi"/>
                <w:b/>
                <w:sz w:val="18"/>
                <w:lang w:val="sq-AL"/>
              </w:rPr>
            </w:pPr>
            <w:r w:rsidRPr="003E1083">
              <w:rPr>
                <w:rFonts w:asciiTheme="minorHAnsi" w:hAnsiTheme="minorHAnsi"/>
                <w:b/>
                <w:sz w:val="18"/>
                <w:lang w:val="sq-AL"/>
              </w:rPr>
              <w:t>Korrente</w:t>
            </w:r>
          </w:p>
        </w:tc>
        <w:tc>
          <w:tcPr>
            <w:tcW w:w="1153" w:type="dxa"/>
            <w:shd w:val="clear" w:color="auto" w:fill="4BACC6"/>
          </w:tcPr>
          <w:p w14:paraId="4E586F25" w14:textId="77777777" w:rsidR="000C2868" w:rsidRPr="003E1083" w:rsidRDefault="000C2868" w:rsidP="000C2868">
            <w:pPr>
              <w:ind w:left="80"/>
              <w:jc w:val="center"/>
              <w:rPr>
                <w:rFonts w:asciiTheme="minorHAnsi" w:hAnsiTheme="minorHAnsi"/>
                <w:b/>
                <w:sz w:val="18"/>
                <w:lang w:val="sq-AL"/>
              </w:rPr>
            </w:pPr>
            <w:r w:rsidRPr="003E1083">
              <w:rPr>
                <w:rFonts w:asciiTheme="minorHAnsi" w:hAnsiTheme="minorHAnsi"/>
                <w:b/>
                <w:sz w:val="18"/>
                <w:lang w:val="sq-AL"/>
              </w:rPr>
              <w:t>Investime</w:t>
            </w:r>
          </w:p>
        </w:tc>
        <w:tc>
          <w:tcPr>
            <w:tcW w:w="1027" w:type="dxa"/>
            <w:shd w:val="clear" w:color="auto" w:fill="4BACC6"/>
          </w:tcPr>
          <w:p w14:paraId="31ACCB3D" w14:textId="77777777" w:rsidR="000C2868" w:rsidRPr="003E1083" w:rsidRDefault="000C2868" w:rsidP="000C2868">
            <w:pPr>
              <w:jc w:val="center"/>
              <w:rPr>
                <w:rFonts w:asciiTheme="minorHAnsi" w:hAnsiTheme="minorHAnsi"/>
                <w:b/>
                <w:sz w:val="18"/>
                <w:lang w:val="sq-AL"/>
              </w:rPr>
            </w:pPr>
            <w:r w:rsidRPr="003E1083">
              <w:rPr>
                <w:rFonts w:asciiTheme="minorHAnsi" w:hAnsiTheme="minorHAnsi"/>
                <w:b/>
                <w:sz w:val="18"/>
                <w:lang w:val="sq-AL"/>
              </w:rPr>
              <w:t>Korrente</w:t>
            </w:r>
          </w:p>
        </w:tc>
        <w:tc>
          <w:tcPr>
            <w:tcW w:w="1122" w:type="dxa"/>
            <w:shd w:val="clear" w:color="auto" w:fill="4BACC6"/>
          </w:tcPr>
          <w:p w14:paraId="4CFDB31C" w14:textId="77777777" w:rsidR="000C2868" w:rsidRPr="003E1083" w:rsidRDefault="000C2868" w:rsidP="000C2868">
            <w:pPr>
              <w:jc w:val="center"/>
              <w:rPr>
                <w:rFonts w:asciiTheme="minorHAnsi" w:hAnsiTheme="minorHAnsi"/>
                <w:b/>
                <w:sz w:val="18"/>
                <w:lang w:val="sq-AL"/>
              </w:rPr>
            </w:pPr>
            <w:r w:rsidRPr="003E1083">
              <w:rPr>
                <w:rFonts w:asciiTheme="minorHAnsi" w:hAnsiTheme="minorHAnsi"/>
                <w:b/>
                <w:sz w:val="18"/>
                <w:lang w:val="sq-AL"/>
              </w:rPr>
              <w:t>Investime</w:t>
            </w:r>
          </w:p>
        </w:tc>
        <w:tc>
          <w:tcPr>
            <w:tcW w:w="921" w:type="dxa"/>
            <w:shd w:val="clear" w:color="auto" w:fill="4BACC6"/>
          </w:tcPr>
          <w:p w14:paraId="3BCD0BBE" w14:textId="77777777" w:rsidR="000C2868" w:rsidRPr="003E1083" w:rsidRDefault="000C2868" w:rsidP="000C2868">
            <w:pPr>
              <w:jc w:val="center"/>
              <w:rPr>
                <w:rFonts w:asciiTheme="minorHAnsi" w:hAnsiTheme="minorHAnsi"/>
                <w:b/>
                <w:sz w:val="18"/>
                <w:lang w:val="sq-AL"/>
              </w:rPr>
            </w:pPr>
            <w:r w:rsidRPr="003E1083">
              <w:rPr>
                <w:rFonts w:asciiTheme="minorHAnsi" w:hAnsiTheme="minorHAnsi"/>
                <w:b/>
                <w:sz w:val="18"/>
                <w:lang w:val="sq-AL"/>
              </w:rPr>
              <w:t>Korrente</w:t>
            </w:r>
          </w:p>
        </w:tc>
        <w:tc>
          <w:tcPr>
            <w:tcW w:w="997" w:type="dxa"/>
            <w:shd w:val="clear" w:color="auto" w:fill="4BACC6"/>
          </w:tcPr>
          <w:p w14:paraId="4448584E" w14:textId="77777777" w:rsidR="000C2868" w:rsidRPr="003E1083" w:rsidRDefault="000C2868" w:rsidP="000C2868">
            <w:pPr>
              <w:jc w:val="center"/>
              <w:rPr>
                <w:rFonts w:asciiTheme="minorHAnsi" w:hAnsiTheme="minorHAnsi"/>
                <w:b/>
                <w:sz w:val="18"/>
                <w:lang w:val="sq-AL"/>
              </w:rPr>
            </w:pPr>
            <w:r w:rsidRPr="003E1083">
              <w:rPr>
                <w:rFonts w:asciiTheme="minorHAnsi" w:hAnsiTheme="minorHAnsi"/>
                <w:b/>
                <w:sz w:val="18"/>
                <w:lang w:val="sq-AL"/>
              </w:rPr>
              <w:t>Investime</w:t>
            </w:r>
          </w:p>
        </w:tc>
      </w:tr>
      <w:tr w:rsidR="000C2868" w:rsidRPr="003E1083" w14:paraId="45798C02" w14:textId="77777777" w:rsidTr="000C2868">
        <w:trPr>
          <w:trHeight w:val="334"/>
          <w:jc w:val="center"/>
        </w:trPr>
        <w:tc>
          <w:tcPr>
            <w:tcW w:w="523" w:type="dxa"/>
          </w:tcPr>
          <w:p w14:paraId="47978EFE"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1.</w:t>
            </w:r>
          </w:p>
        </w:tc>
        <w:tc>
          <w:tcPr>
            <w:tcW w:w="3082" w:type="dxa"/>
          </w:tcPr>
          <w:p w14:paraId="1C556E5B"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Planifikim, Menaxhim, Administrim</w:t>
            </w:r>
          </w:p>
        </w:tc>
        <w:tc>
          <w:tcPr>
            <w:tcW w:w="1027" w:type="dxa"/>
          </w:tcPr>
          <w:p w14:paraId="147768DC"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541,864</w:t>
            </w:r>
          </w:p>
        </w:tc>
        <w:tc>
          <w:tcPr>
            <w:tcW w:w="1153" w:type="dxa"/>
          </w:tcPr>
          <w:p w14:paraId="43FE848E"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153,164</w:t>
            </w:r>
          </w:p>
        </w:tc>
        <w:tc>
          <w:tcPr>
            <w:tcW w:w="1027" w:type="dxa"/>
          </w:tcPr>
          <w:p w14:paraId="1630241D"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153,164</w:t>
            </w:r>
          </w:p>
        </w:tc>
        <w:tc>
          <w:tcPr>
            <w:tcW w:w="1122" w:type="dxa"/>
          </w:tcPr>
          <w:p w14:paraId="4FE62EEC"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0</w:t>
            </w:r>
          </w:p>
        </w:tc>
        <w:tc>
          <w:tcPr>
            <w:tcW w:w="921" w:type="dxa"/>
          </w:tcPr>
          <w:p w14:paraId="4CA2EB06"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0.00%</w:t>
            </w:r>
          </w:p>
        </w:tc>
        <w:tc>
          <w:tcPr>
            <w:tcW w:w="997" w:type="dxa"/>
          </w:tcPr>
          <w:p w14:paraId="211F3679"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0.00%</w:t>
            </w:r>
          </w:p>
        </w:tc>
      </w:tr>
      <w:tr w:rsidR="000C2868" w:rsidRPr="003E1083" w14:paraId="689895CF" w14:textId="77777777" w:rsidTr="000C2868">
        <w:trPr>
          <w:trHeight w:val="334"/>
          <w:jc w:val="center"/>
        </w:trPr>
        <w:tc>
          <w:tcPr>
            <w:tcW w:w="523" w:type="dxa"/>
          </w:tcPr>
          <w:p w14:paraId="62FD1093"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2.</w:t>
            </w:r>
          </w:p>
        </w:tc>
        <w:tc>
          <w:tcPr>
            <w:tcW w:w="3082" w:type="dxa"/>
          </w:tcPr>
          <w:p w14:paraId="2171CE2A"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Transporti Rrugor</w:t>
            </w:r>
          </w:p>
        </w:tc>
        <w:tc>
          <w:tcPr>
            <w:tcW w:w="1027" w:type="dxa"/>
          </w:tcPr>
          <w:p w14:paraId="25FEF747"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2,830,640</w:t>
            </w:r>
          </w:p>
        </w:tc>
        <w:tc>
          <w:tcPr>
            <w:tcW w:w="1153" w:type="dxa"/>
          </w:tcPr>
          <w:p w14:paraId="4161265A"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813,433</w:t>
            </w:r>
          </w:p>
        </w:tc>
        <w:tc>
          <w:tcPr>
            <w:tcW w:w="1027" w:type="dxa"/>
          </w:tcPr>
          <w:p w14:paraId="47091014"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813,433</w:t>
            </w:r>
          </w:p>
        </w:tc>
        <w:tc>
          <w:tcPr>
            <w:tcW w:w="1122" w:type="dxa"/>
          </w:tcPr>
          <w:p w14:paraId="41BAB0BF"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6,984,596</w:t>
            </w:r>
          </w:p>
        </w:tc>
        <w:tc>
          <w:tcPr>
            <w:tcW w:w="921" w:type="dxa"/>
          </w:tcPr>
          <w:p w14:paraId="321B754A"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29.84%</w:t>
            </w:r>
          </w:p>
        </w:tc>
        <w:tc>
          <w:tcPr>
            <w:tcW w:w="997" w:type="dxa"/>
          </w:tcPr>
          <w:p w14:paraId="626F72EB"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29.84%</w:t>
            </w:r>
          </w:p>
        </w:tc>
      </w:tr>
      <w:tr w:rsidR="000C2868" w:rsidRPr="003E1083" w14:paraId="197B4353" w14:textId="77777777" w:rsidTr="000C2868">
        <w:trPr>
          <w:trHeight w:val="334"/>
          <w:jc w:val="center"/>
        </w:trPr>
        <w:tc>
          <w:tcPr>
            <w:tcW w:w="523" w:type="dxa"/>
          </w:tcPr>
          <w:p w14:paraId="40B80A61"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3.</w:t>
            </w:r>
          </w:p>
        </w:tc>
        <w:tc>
          <w:tcPr>
            <w:tcW w:w="3082" w:type="dxa"/>
          </w:tcPr>
          <w:p w14:paraId="6F72FF75"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 xml:space="preserve">Transporti Hekurudhor </w:t>
            </w:r>
          </w:p>
          <w:p w14:paraId="29BF0BA3" w14:textId="77777777" w:rsidR="000C2868" w:rsidRPr="003E1083" w:rsidRDefault="000C2868" w:rsidP="000C2868">
            <w:pPr>
              <w:rPr>
                <w:rFonts w:asciiTheme="minorHAnsi" w:hAnsiTheme="minorHAnsi"/>
                <w:sz w:val="18"/>
                <w:lang w:val="sq-AL"/>
              </w:rPr>
            </w:pPr>
          </w:p>
        </w:tc>
        <w:tc>
          <w:tcPr>
            <w:tcW w:w="1027" w:type="dxa"/>
          </w:tcPr>
          <w:p w14:paraId="212E47DB"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515,150</w:t>
            </w:r>
          </w:p>
        </w:tc>
        <w:tc>
          <w:tcPr>
            <w:tcW w:w="1153" w:type="dxa"/>
            <w:shd w:val="clear" w:color="auto" w:fill="auto"/>
          </w:tcPr>
          <w:p w14:paraId="078755A8"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158,102</w:t>
            </w:r>
          </w:p>
        </w:tc>
        <w:tc>
          <w:tcPr>
            <w:tcW w:w="1027" w:type="dxa"/>
            <w:shd w:val="clear" w:color="auto" w:fill="auto"/>
          </w:tcPr>
          <w:p w14:paraId="6DEDD13D"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158,102</w:t>
            </w:r>
          </w:p>
        </w:tc>
        <w:tc>
          <w:tcPr>
            <w:tcW w:w="1122" w:type="dxa"/>
            <w:shd w:val="clear" w:color="auto" w:fill="auto"/>
          </w:tcPr>
          <w:p w14:paraId="57810EBD"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358,820</w:t>
            </w:r>
          </w:p>
        </w:tc>
        <w:tc>
          <w:tcPr>
            <w:tcW w:w="921" w:type="dxa"/>
            <w:shd w:val="clear" w:color="auto" w:fill="auto"/>
          </w:tcPr>
          <w:p w14:paraId="0D1F52FD"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9.13%</w:t>
            </w:r>
          </w:p>
        </w:tc>
        <w:tc>
          <w:tcPr>
            <w:tcW w:w="997" w:type="dxa"/>
            <w:shd w:val="clear" w:color="auto" w:fill="auto"/>
          </w:tcPr>
          <w:p w14:paraId="05BF5DB9"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9.13%</w:t>
            </w:r>
          </w:p>
        </w:tc>
      </w:tr>
      <w:tr w:rsidR="000C2868" w:rsidRPr="003E1083" w14:paraId="4E2FD1A6" w14:textId="77777777" w:rsidTr="000C2868">
        <w:trPr>
          <w:trHeight w:val="342"/>
          <w:jc w:val="center"/>
        </w:trPr>
        <w:tc>
          <w:tcPr>
            <w:tcW w:w="523" w:type="dxa"/>
          </w:tcPr>
          <w:p w14:paraId="28D274B6"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4.</w:t>
            </w:r>
          </w:p>
        </w:tc>
        <w:tc>
          <w:tcPr>
            <w:tcW w:w="3082" w:type="dxa"/>
          </w:tcPr>
          <w:p w14:paraId="2CD42E61"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 xml:space="preserve">Transporti Detar </w:t>
            </w:r>
          </w:p>
        </w:tc>
        <w:tc>
          <w:tcPr>
            <w:tcW w:w="1027" w:type="dxa"/>
          </w:tcPr>
          <w:p w14:paraId="630404EB"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118,004</w:t>
            </w:r>
          </w:p>
        </w:tc>
        <w:tc>
          <w:tcPr>
            <w:tcW w:w="1153" w:type="dxa"/>
            <w:shd w:val="clear" w:color="auto" w:fill="auto"/>
          </w:tcPr>
          <w:p w14:paraId="2C3DA8BA"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29,307</w:t>
            </w:r>
          </w:p>
        </w:tc>
        <w:tc>
          <w:tcPr>
            <w:tcW w:w="1027" w:type="dxa"/>
            <w:shd w:val="clear" w:color="auto" w:fill="auto"/>
          </w:tcPr>
          <w:p w14:paraId="547EBCFD"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29,307</w:t>
            </w:r>
          </w:p>
        </w:tc>
        <w:tc>
          <w:tcPr>
            <w:tcW w:w="1122" w:type="dxa"/>
            <w:shd w:val="clear" w:color="auto" w:fill="auto"/>
          </w:tcPr>
          <w:p w14:paraId="1D251273"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1,830</w:t>
            </w:r>
          </w:p>
        </w:tc>
        <w:tc>
          <w:tcPr>
            <w:tcW w:w="921" w:type="dxa"/>
            <w:shd w:val="clear" w:color="auto" w:fill="auto"/>
          </w:tcPr>
          <w:p w14:paraId="324185C4"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2.67%</w:t>
            </w:r>
          </w:p>
        </w:tc>
        <w:tc>
          <w:tcPr>
            <w:tcW w:w="997" w:type="dxa"/>
            <w:shd w:val="clear" w:color="auto" w:fill="auto"/>
          </w:tcPr>
          <w:p w14:paraId="16B58EB1"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2.67%</w:t>
            </w:r>
          </w:p>
        </w:tc>
      </w:tr>
      <w:tr w:rsidR="000C2868" w:rsidRPr="003E1083" w14:paraId="5118E8BA" w14:textId="77777777" w:rsidTr="000C2868">
        <w:trPr>
          <w:trHeight w:val="312"/>
          <w:jc w:val="center"/>
        </w:trPr>
        <w:tc>
          <w:tcPr>
            <w:tcW w:w="523" w:type="dxa"/>
          </w:tcPr>
          <w:p w14:paraId="1B8AB3BC"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5.</w:t>
            </w:r>
          </w:p>
        </w:tc>
        <w:tc>
          <w:tcPr>
            <w:tcW w:w="3082" w:type="dxa"/>
          </w:tcPr>
          <w:p w14:paraId="331DF263"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 xml:space="preserve">Transporti Ajror </w:t>
            </w:r>
          </w:p>
        </w:tc>
        <w:tc>
          <w:tcPr>
            <w:tcW w:w="1027" w:type="dxa"/>
          </w:tcPr>
          <w:p w14:paraId="1EE8978F"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20,300</w:t>
            </w:r>
          </w:p>
        </w:tc>
        <w:tc>
          <w:tcPr>
            <w:tcW w:w="1153" w:type="dxa"/>
            <w:shd w:val="clear" w:color="auto" w:fill="auto"/>
          </w:tcPr>
          <w:p w14:paraId="5C0B0963"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2,228</w:t>
            </w:r>
          </w:p>
        </w:tc>
        <w:tc>
          <w:tcPr>
            <w:tcW w:w="1027" w:type="dxa"/>
            <w:shd w:val="clear" w:color="auto" w:fill="auto"/>
          </w:tcPr>
          <w:p w14:paraId="2E73FCE6"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2,228</w:t>
            </w:r>
          </w:p>
        </w:tc>
        <w:tc>
          <w:tcPr>
            <w:tcW w:w="1122" w:type="dxa"/>
            <w:shd w:val="clear" w:color="auto" w:fill="auto"/>
          </w:tcPr>
          <w:p w14:paraId="32B9C68B"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11,693</w:t>
            </w:r>
          </w:p>
        </w:tc>
        <w:tc>
          <w:tcPr>
            <w:tcW w:w="921" w:type="dxa"/>
            <w:shd w:val="clear" w:color="auto" w:fill="auto"/>
          </w:tcPr>
          <w:p w14:paraId="1C0284CF"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0.58%</w:t>
            </w:r>
          </w:p>
        </w:tc>
        <w:tc>
          <w:tcPr>
            <w:tcW w:w="997" w:type="dxa"/>
            <w:shd w:val="clear" w:color="auto" w:fill="auto"/>
          </w:tcPr>
          <w:p w14:paraId="27ADC986"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0.58%</w:t>
            </w:r>
          </w:p>
        </w:tc>
      </w:tr>
      <w:tr w:rsidR="000C2868" w:rsidRPr="003E1083" w14:paraId="1C541F2F" w14:textId="77777777" w:rsidTr="000C2868">
        <w:trPr>
          <w:trHeight w:val="247"/>
          <w:jc w:val="center"/>
        </w:trPr>
        <w:tc>
          <w:tcPr>
            <w:tcW w:w="523" w:type="dxa"/>
          </w:tcPr>
          <w:p w14:paraId="43A5199C"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6.</w:t>
            </w:r>
          </w:p>
        </w:tc>
        <w:tc>
          <w:tcPr>
            <w:tcW w:w="3082" w:type="dxa"/>
          </w:tcPr>
          <w:p w14:paraId="2FD4610C"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 xml:space="preserve">Mbështetje për Rrjetet e Komunikacionit </w:t>
            </w:r>
          </w:p>
        </w:tc>
        <w:tc>
          <w:tcPr>
            <w:tcW w:w="1027" w:type="dxa"/>
          </w:tcPr>
          <w:p w14:paraId="019BC801"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0</w:t>
            </w:r>
          </w:p>
        </w:tc>
        <w:tc>
          <w:tcPr>
            <w:tcW w:w="1153" w:type="dxa"/>
            <w:shd w:val="clear" w:color="auto" w:fill="auto"/>
          </w:tcPr>
          <w:p w14:paraId="50547C25"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0</w:t>
            </w:r>
          </w:p>
        </w:tc>
        <w:tc>
          <w:tcPr>
            <w:tcW w:w="1027" w:type="dxa"/>
            <w:shd w:val="clear" w:color="auto" w:fill="auto"/>
          </w:tcPr>
          <w:p w14:paraId="542B709B"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0</w:t>
            </w:r>
          </w:p>
        </w:tc>
        <w:tc>
          <w:tcPr>
            <w:tcW w:w="1122" w:type="dxa"/>
            <w:shd w:val="clear" w:color="auto" w:fill="auto"/>
          </w:tcPr>
          <w:p w14:paraId="218BD575"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0</w:t>
            </w:r>
          </w:p>
        </w:tc>
        <w:tc>
          <w:tcPr>
            <w:tcW w:w="921" w:type="dxa"/>
            <w:shd w:val="clear" w:color="auto" w:fill="auto"/>
          </w:tcPr>
          <w:p w14:paraId="0C88B99B"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0.00%</w:t>
            </w:r>
          </w:p>
        </w:tc>
        <w:tc>
          <w:tcPr>
            <w:tcW w:w="997" w:type="dxa"/>
            <w:shd w:val="clear" w:color="auto" w:fill="auto"/>
          </w:tcPr>
          <w:p w14:paraId="74452973"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0.00%</w:t>
            </w:r>
          </w:p>
        </w:tc>
      </w:tr>
      <w:tr w:rsidR="000C2868" w:rsidRPr="003E1083" w14:paraId="3C92319F" w14:textId="77777777" w:rsidTr="000C2868">
        <w:trPr>
          <w:trHeight w:val="247"/>
          <w:jc w:val="center"/>
        </w:trPr>
        <w:tc>
          <w:tcPr>
            <w:tcW w:w="523" w:type="dxa"/>
          </w:tcPr>
          <w:p w14:paraId="623D1208"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7.</w:t>
            </w:r>
          </w:p>
        </w:tc>
        <w:tc>
          <w:tcPr>
            <w:tcW w:w="3082" w:type="dxa"/>
          </w:tcPr>
          <w:p w14:paraId="5BE9B371"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Furnizimi me ujë dhe Kanalizime</w:t>
            </w:r>
          </w:p>
        </w:tc>
        <w:tc>
          <w:tcPr>
            <w:tcW w:w="1027" w:type="dxa"/>
          </w:tcPr>
          <w:p w14:paraId="2F95DD87"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422,409</w:t>
            </w:r>
          </w:p>
        </w:tc>
        <w:tc>
          <w:tcPr>
            <w:tcW w:w="1153" w:type="dxa"/>
            <w:shd w:val="clear" w:color="auto" w:fill="auto"/>
          </w:tcPr>
          <w:p w14:paraId="236057F7"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21,579</w:t>
            </w:r>
          </w:p>
        </w:tc>
        <w:tc>
          <w:tcPr>
            <w:tcW w:w="1027" w:type="dxa"/>
            <w:shd w:val="clear" w:color="auto" w:fill="auto"/>
          </w:tcPr>
          <w:p w14:paraId="421B62FE"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21,579</w:t>
            </w:r>
          </w:p>
        </w:tc>
        <w:tc>
          <w:tcPr>
            <w:tcW w:w="1122" w:type="dxa"/>
            <w:shd w:val="clear" w:color="auto" w:fill="auto"/>
          </w:tcPr>
          <w:p w14:paraId="2FB16FF5"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3,412,632</w:t>
            </w:r>
          </w:p>
        </w:tc>
        <w:tc>
          <w:tcPr>
            <w:tcW w:w="921" w:type="dxa"/>
            <w:shd w:val="clear" w:color="auto" w:fill="auto"/>
          </w:tcPr>
          <w:p w14:paraId="4520E0FF"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23.14%</w:t>
            </w:r>
          </w:p>
        </w:tc>
        <w:tc>
          <w:tcPr>
            <w:tcW w:w="997" w:type="dxa"/>
            <w:shd w:val="clear" w:color="auto" w:fill="auto"/>
          </w:tcPr>
          <w:p w14:paraId="19646C0F"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23.14%</w:t>
            </w:r>
          </w:p>
        </w:tc>
      </w:tr>
      <w:tr w:rsidR="000C2868" w:rsidRPr="003E1083" w14:paraId="19D48EE3" w14:textId="77777777" w:rsidTr="000C2868">
        <w:trPr>
          <w:trHeight w:val="247"/>
          <w:jc w:val="center"/>
        </w:trPr>
        <w:tc>
          <w:tcPr>
            <w:tcW w:w="523" w:type="dxa"/>
          </w:tcPr>
          <w:p w14:paraId="4F86871D"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8.</w:t>
            </w:r>
          </w:p>
        </w:tc>
        <w:tc>
          <w:tcPr>
            <w:tcW w:w="3082" w:type="dxa"/>
          </w:tcPr>
          <w:p w14:paraId="76FA4204"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Menaximi i Mbetjeve Urbane</w:t>
            </w:r>
          </w:p>
        </w:tc>
        <w:tc>
          <w:tcPr>
            <w:tcW w:w="1027" w:type="dxa"/>
          </w:tcPr>
          <w:p w14:paraId="79C39587"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200,000</w:t>
            </w:r>
          </w:p>
        </w:tc>
        <w:tc>
          <w:tcPr>
            <w:tcW w:w="1153" w:type="dxa"/>
            <w:shd w:val="clear" w:color="auto" w:fill="auto"/>
          </w:tcPr>
          <w:p w14:paraId="5F4C4278"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114,658</w:t>
            </w:r>
          </w:p>
        </w:tc>
        <w:tc>
          <w:tcPr>
            <w:tcW w:w="1027" w:type="dxa"/>
            <w:shd w:val="clear" w:color="auto" w:fill="auto"/>
          </w:tcPr>
          <w:p w14:paraId="0B9EDB20"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114,658</w:t>
            </w:r>
          </w:p>
        </w:tc>
        <w:tc>
          <w:tcPr>
            <w:tcW w:w="1122" w:type="dxa"/>
            <w:shd w:val="clear" w:color="auto" w:fill="auto"/>
          </w:tcPr>
          <w:p w14:paraId="684912D2"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17,344</w:t>
            </w:r>
          </w:p>
        </w:tc>
        <w:tc>
          <w:tcPr>
            <w:tcW w:w="921" w:type="dxa"/>
            <w:shd w:val="clear" w:color="auto" w:fill="auto"/>
          </w:tcPr>
          <w:p w14:paraId="5663E4F8"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1.32%</w:t>
            </w:r>
          </w:p>
        </w:tc>
        <w:tc>
          <w:tcPr>
            <w:tcW w:w="997" w:type="dxa"/>
            <w:shd w:val="clear" w:color="auto" w:fill="auto"/>
          </w:tcPr>
          <w:p w14:paraId="5153E066"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1.32%</w:t>
            </w:r>
          </w:p>
        </w:tc>
      </w:tr>
      <w:tr w:rsidR="000C2868" w:rsidRPr="003E1083" w14:paraId="2A91028F" w14:textId="77777777" w:rsidTr="000C2868">
        <w:trPr>
          <w:trHeight w:val="247"/>
          <w:jc w:val="center"/>
        </w:trPr>
        <w:tc>
          <w:tcPr>
            <w:tcW w:w="523" w:type="dxa"/>
          </w:tcPr>
          <w:p w14:paraId="0A7A482D"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9.</w:t>
            </w:r>
          </w:p>
        </w:tc>
        <w:tc>
          <w:tcPr>
            <w:tcW w:w="3082" w:type="dxa"/>
          </w:tcPr>
          <w:p w14:paraId="102F922F"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Planifikimi Urban</w:t>
            </w:r>
          </w:p>
        </w:tc>
        <w:tc>
          <w:tcPr>
            <w:tcW w:w="1027" w:type="dxa"/>
          </w:tcPr>
          <w:p w14:paraId="0C07D285"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74,040</w:t>
            </w:r>
          </w:p>
        </w:tc>
        <w:tc>
          <w:tcPr>
            <w:tcW w:w="1153" w:type="dxa"/>
            <w:shd w:val="clear" w:color="auto" w:fill="auto"/>
          </w:tcPr>
          <w:p w14:paraId="2323E9B2"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18,093</w:t>
            </w:r>
          </w:p>
        </w:tc>
        <w:tc>
          <w:tcPr>
            <w:tcW w:w="1027" w:type="dxa"/>
            <w:shd w:val="clear" w:color="auto" w:fill="auto"/>
          </w:tcPr>
          <w:p w14:paraId="33C9200A"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18,093</w:t>
            </w:r>
          </w:p>
        </w:tc>
        <w:tc>
          <w:tcPr>
            <w:tcW w:w="1122" w:type="dxa"/>
            <w:shd w:val="clear" w:color="auto" w:fill="auto"/>
          </w:tcPr>
          <w:p w14:paraId="45DEF952"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0</w:t>
            </w:r>
          </w:p>
        </w:tc>
        <w:tc>
          <w:tcPr>
            <w:tcW w:w="921" w:type="dxa"/>
            <w:shd w:val="clear" w:color="auto" w:fill="auto"/>
          </w:tcPr>
          <w:p w14:paraId="160FA8E4"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0.00%</w:t>
            </w:r>
          </w:p>
        </w:tc>
        <w:tc>
          <w:tcPr>
            <w:tcW w:w="997" w:type="dxa"/>
            <w:shd w:val="clear" w:color="auto" w:fill="auto"/>
          </w:tcPr>
          <w:p w14:paraId="71CEEE18"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0.00%</w:t>
            </w:r>
          </w:p>
        </w:tc>
      </w:tr>
      <w:tr w:rsidR="000C2868" w:rsidRPr="003E1083" w14:paraId="104E0F58" w14:textId="77777777" w:rsidTr="000C2868">
        <w:trPr>
          <w:trHeight w:val="247"/>
          <w:jc w:val="center"/>
        </w:trPr>
        <w:tc>
          <w:tcPr>
            <w:tcW w:w="523" w:type="dxa"/>
          </w:tcPr>
          <w:p w14:paraId="181BFAE6"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10.</w:t>
            </w:r>
          </w:p>
        </w:tc>
        <w:tc>
          <w:tcPr>
            <w:tcW w:w="3082" w:type="dxa"/>
          </w:tcPr>
          <w:p w14:paraId="0474FFF5"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Mbështetje për Energjinë</w:t>
            </w:r>
          </w:p>
        </w:tc>
        <w:tc>
          <w:tcPr>
            <w:tcW w:w="1027" w:type="dxa"/>
          </w:tcPr>
          <w:p w14:paraId="178C088A"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103,980</w:t>
            </w:r>
          </w:p>
        </w:tc>
        <w:tc>
          <w:tcPr>
            <w:tcW w:w="1153" w:type="dxa"/>
            <w:shd w:val="clear" w:color="auto" w:fill="auto"/>
          </w:tcPr>
          <w:p w14:paraId="723041E3"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43,223</w:t>
            </w:r>
          </w:p>
        </w:tc>
        <w:tc>
          <w:tcPr>
            <w:tcW w:w="1027" w:type="dxa"/>
            <w:shd w:val="clear" w:color="auto" w:fill="auto"/>
          </w:tcPr>
          <w:p w14:paraId="405CA4AA"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43,223</w:t>
            </w:r>
          </w:p>
        </w:tc>
        <w:tc>
          <w:tcPr>
            <w:tcW w:w="1122" w:type="dxa"/>
            <w:shd w:val="clear" w:color="auto" w:fill="auto"/>
          </w:tcPr>
          <w:p w14:paraId="3D25E9B2"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306,296</w:t>
            </w:r>
          </w:p>
        </w:tc>
        <w:tc>
          <w:tcPr>
            <w:tcW w:w="921" w:type="dxa"/>
            <w:shd w:val="clear" w:color="auto" w:fill="auto"/>
          </w:tcPr>
          <w:p w14:paraId="728326A1"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8.73%</w:t>
            </w:r>
          </w:p>
        </w:tc>
        <w:tc>
          <w:tcPr>
            <w:tcW w:w="997" w:type="dxa"/>
            <w:shd w:val="clear" w:color="auto" w:fill="auto"/>
          </w:tcPr>
          <w:p w14:paraId="2C6DEDF1"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8.73%</w:t>
            </w:r>
          </w:p>
        </w:tc>
      </w:tr>
      <w:tr w:rsidR="000C2868" w:rsidRPr="003E1083" w14:paraId="5C0B0CA9" w14:textId="77777777" w:rsidTr="000C2868">
        <w:trPr>
          <w:trHeight w:val="247"/>
          <w:jc w:val="center"/>
        </w:trPr>
        <w:tc>
          <w:tcPr>
            <w:tcW w:w="523" w:type="dxa"/>
          </w:tcPr>
          <w:p w14:paraId="1DAF5FD0"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11.</w:t>
            </w:r>
          </w:p>
        </w:tc>
        <w:tc>
          <w:tcPr>
            <w:tcW w:w="3082" w:type="dxa"/>
          </w:tcPr>
          <w:p w14:paraId="6BFB74EB"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Mbeshtetje per Burimet natyrore</w:t>
            </w:r>
          </w:p>
        </w:tc>
        <w:tc>
          <w:tcPr>
            <w:tcW w:w="1027" w:type="dxa"/>
          </w:tcPr>
          <w:p w14:paraId="28C14AB7"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240,700</w:t>
            </w:r>
          </w:p>
        </w:tc>
        <w:tc>
          <w:tcPr>
            <w:tcW w:w="1153" w:type="dxa"/>
            <w:shd w:val="clear" w:color="auto" w:fill="auto"/>
          </w:tcPr>
          <w:p w14:paraId="1A5C2553"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59,531</w:t>
            </w:r>
          </w:p>
        </w:tc>
        <w:tc>
          <w:tcPr>
            <w:tcW w:w="1027" w:type="dxa"/>
            <w:shd w:val="clear" w:color="auto" w:fill="auto"/>
          </w:tcPr>
          <w:p w14:paraId="5C10A8A2"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59,531</w:t>
            </w:r>
          </w:p>
        </w:tc>
        <w:tc>
          <w:tcPr>
            <w:tcW w:w="1122" w:type="dxa"/>
            <w:shd w:val="clear" w:color="auto" w:fill="auto"/>
          </w:tcPr>
          <w:p w14:paraId="062233A2"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20,911</w:t>
            </w:r>
          </w:p>
        </w:tc>
        <w:tc>
          <w:tcPr>
            <w:tcW w:w="921" w:type="dxa"/>
            <w:shd w:val="clear" w:color="auto" w:fill="auto"/>
          </w:tcPr>
          <w:p w14:paraId="69238D17"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22.98%</w:t>
            </w:r>
          </w:p>
        </w:tc>
        <w:tc>
          <w:tcPr>
            <w:tcW w:w="997" w:type="dxa"/>
            <w:shd w:val="clear" w:color="auto" w:fill="auto"/>
          </w:tcPr>
          <w:p w14:paraId="13E890E3"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22.98%</w:t>
            </w:r>
          </w:p>
        </w:tc>
      </w:tr>
      <w:tr w:rsidR="000C2868" w:rsidRPr="003E1083" w14:paraId="746A9F4D" w14:textId="77777777" w:rsidTr="000C2868">
        <w:trPr>
          <w:trHeight w:val="247"/>
          <w:jc w:val="center"/>
        </w:trPr>
        <w:tc>
          <w:tcPr>
            <w:tcW w:w="523" w:type="dxa"/>
          </w:tcPr>
          <w:p w14:paraId="2EF19214"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12.</w:t>
            </w:r>
          </w:p>
        </w:tc>
        <w:tc>
          <w:tcPr>
            <w:tcW w:w="3082" w:type="dxa"/>
          </w:tcPr>
          <w:p w14:paraId="047DC536" w14:textId="77777777" w:rsidR="000C2868" w:rsidRPr="003E1083" w:rsidRDefault="000C2868" w:rsidP="000C2868">
            <w:pPr>
              <w:rPr>
                <w:rFonts w:asciiTheme="minorHAnsi" w:hAnsiTheme="minorHAnsi"/>
                <w:sz w:val="18"/>
                <w:lang w:val="sq-AL"/>
              </w:rPr>
            </w:pPr>
            <w:r w:rsidRPr="003E1083">
              <w:rPr>
                <w:rFonts w:asciiTheme="minorHAnsi" w:hAnsiTheme="minorHAnsi"/>
                <w:sz w:val="18"/>
                <w:lang w:val="sq-AL"/>
              </w:rPr>
              <w:t>Mbeshtetje per Industrine</w:t>
            </w:r>
          </w:p>
        </w:tc>
        <w:tc>
          <w:tcPr>
            <w:tcW w:w="1027" w:type="dxa"/>
          </w:tcPr>
          <w:p w14:paraId="68036814"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290,853</w:t>
            </w:r>
          </w:p>
        </w:tc>
        <w:tc>
          <w:tcPr>
            <w:tcW w:w="1153" w:type="dxa"/>
            <w:shd w:val="clear" w:color="auto" w:fill="auto"/>
          </w:tcPr>
          <w:p w14:paraId="65BCC1B2"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90,451</w:t>
            </w:r>
          </w:p>
        </w:tc>
        <w:tc>
          <w:tcPr>
            <w:tcW w:w="1027" w:type="dxa"/>
            <w:shd w:val="clear" w:color="auto" w:fill="auto"/>
          </w:tcPr>
          <w:p w14:paraId="155FC23A"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90,451</w:t>
            </w:r>
          </w:p>
        </w:tc>
        <w:tc>
          <w:tcPr>
            <w:tcW w:w="1122" w:type="dxa"/>
            <w:shd w:val="clear" w:color="auto" w:fill="auto"/>
          </w:tcPr>
          <w:p w14:paraId="15AAE884"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15,611</w:t>
            </w:r>
          </w:p>
        </w:tc>
        <w:tc>
          <w:tcPr>
            <w:tcW w:w="921" w:type="dxa"/>
            <w:shd w:val="clear" w:color="auto" w:fill="auto"/>
          </w:tcPr>
          <w:p w14:paraId="58A6C154"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18.58%</w:t>
            </w:r>
          </w:p>
        </w:tc>
        <w:tc>
          <w:tcPr>
            <w:tcW w:w="997" w:type="dxa"/>
            <w:shd w:val="clear" w:color="auto" w:fill="auto"/>
          </w:tcPr>
          <w:p w14:paraId="1053A842"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18.58%</w:t>
            </w:r>
          </w:p>
        </w:tc>
      </w:tr>
      <w:tr w:rsidR="000C2868" w:rsidRPr="003E1083" w14:paraId="663D20EE" w14:textId="77777777" w:rsidTr="000C2868">
        <w:trPr>
          <w:trHeight w:val="247"/>
          <w:jc w:val="center"/>
        </w:trPr>
        <w:tc>
          <w:tcPr>
            <w:tcW w:w="3605" w:type="dxa"/>
            <w:gridSpan w:val="2"/>
          </w:tcPr>
          <w:p w14:paraId="396E3712" w14:textId="77777777" w:rsidR="000C2868" w:rsidRPr="003E1083" w:rsidRDefault="000C2868" w:rsidP="000C2868">
            <w:pPr>
              <w:jc w:val="center"/>
              <w:rPr>
                <w:rFonts w:asciiTheme="minorHAnsi" w:hAnsiTheme="minorHAnsi"/>
                <w:b/>
                <w:sz w:val="19"/>
                <w:szCs w:val="19"/>
                <w:lang w:val="sq-AL"/>
              </w:rPr>
            </w:pPr>
            <w:r w:rsidRPr="003E1083">
              <w:rPr>
                <w:rFonts w:asciiTheme="minorHAnsi" w:hAnsiTheme="minorHAnsi"/>
                <w:b/>
                <w:sz w:val="19"/>
                <w:szCs w:val="19"/>
                <w:lang w:val="sq-AL"/>
              </w:rPr>
              <w:t>Totali</w:t>
            </w:r>
          </w:p>
        </w:tc>
        <w:tc>
          <w:tcPr>
            <w:tcW w:w="1027" w:type="dxa"/>
          </w:tcPr>
          <w:p w14:paraId="54438F2B" w14:textId="77777777" w:rsidR="000C2868" w:rsidRPr="003E1083" w:rsidRDefault="000C2868" w:rsidP="000C2868">
            <w:pPr>
              <w:jc w:val="center"/>
              <w:rPr>
                <w:rFonts w:asciiTheme="minorHAnsi" w:hAnsiTheme="minorHAnsi"/>
                <w:b/>
                <w:sz w:val="18"/>
                <w:szCs w:val="18"/>
                <w:lang w:val="sq-AL"/>
              </w:rPr>
            </w:pPr>
            <w:r w:rsidRPr="003E1083">
              <w:rPr>
                <w:rFonts w:asciiTheme="minorHAnsi" w:hAnsiTheme="minorHAnsi"/>
                <w:b/>
                <w:sz w:val="18"/>
                <w:szCs w:val="18"/>
                <w:lang w:val="sq-AL"/>
              </w:rPr>
              <w:t>5,357,940</w:t>
            </w:r>
          </w:p>
        </w:tc>
        <w:tc>
          <w:tcPr>
            <w:tcW w:w="1153" w:type="dxa"/>
            <w:shd w:val="clear" w:color="auto" w:fill="auto"/>
          </w:tcPr>
          <w:p w14:paraId="3ED85876" w14:textId="77777777" w:rsidR="000C2868" w:rsidRPr="003E1083" w:rsidRDefault="000C2868" w:rsidP="000C2868">
            <w:pPr>
              <w:jc w:val="center"/>
              <w:rPr>
                <w:rFonts w:asciiTheme="minorHAnsi" w:hAnsiTheme="minorHAnsi"/>
                <w:b/>
                <w:sz w:val="18"/>
                <w:szCs w:val="18"/>
                <w:lang w:val="sq-AL"/>
              </w:rPr>
            </w:pPr>
            <w:r w:rsidRPr="003E1083">
              <w:rPr>
                <w:rFonts w:asciiTheme="minorHAnsi" w:hAnsiTheme="minorHAnsi"/>
                <w:b/>
                <w:sz w:val="18"/>
                <w:szCs w:val="18"/>
                <w:lang w:val="sq-AL"/>
              </w:rPr>
              <w:t>49,404,049</w:t>
            </w:r>
          </w:p>
        </w:tc>
        <w:tc>
          <w:tcPr>
            <w:tcW w:w="1027" w:type="dxa"/>
            <w:shd w:val="clear" w:color="auto" w:fill="auto"/>
          </w:tcPr>
          <w:p w14:paraId="0CC679AB" w14:textId="77777777" w:rsidR="000C2868" w:rsidRPr="003E1083" w:rsidRDefault="000C2868" w:rsidP="000C2868">
            <w:pPr>
              <w:jc w:val="center"/>
              <w:rPr>
                <w:rFonts w:asciiTheme="minorHAnsi" w:hAnsiTheme="minorHAnsi"/>
                <w:b/>
                <w:sz w:val="18"/>
                <w:szCs w:val="18"/>
                <w:lang w:val="sq-AL"/>
              </w:rPr>
            </w:pPr>
            <w:r w:rsidRPr="003E1083">
              <w:rPr>
                <w:rFonts w:asciiTheme="minorHAnsi" w:hAnsiTheme="minorHAnsi"/>
                <w:b/>
                <w:sz w:val="18"/>
                <w:szCs w:val="18"/>
                <w:lang w:val="sq-AL"/>
              </w:rPr>
              <w:t>1,503,767</w:t>
            </w:r>
          </w:p>
        </w:tc>
        <w:tc>
          <w:tcPr>
            <w:tcW w:w="1122" w:type="dxa"/>
            <w:shd w:val="clear" w:color="auto" w:fill="auto"/>
          </w:tcPr>
          <w:p w14:paraId="35363D95" w14:textId="77777777" w:rsidR="000C2868" w:rsidRPr="003E1083" w:rsidRDefault="000C2868" w:rsidP="000C2868">
            <w:pPr>
              <w:jc w:val="center"/>
              <w:rPr>
                <w:rFonts w:asciiTheme="minorHAnsi" w:hAnsiTheme="minorHAnsi"/>
                <w:b/>
                <w:sz w:val="18"/>
                <w:szCs w:val="18"/>
                <w:lang w:val="sq-AL"/>
              </w:rPr>
            </w:pPr>
            <w:r w:rsidRPr="003E1083">
              <w:rPr>
                <w:rFonts w:asciiTheme="minorHAnsi" w:hAnsiTheme="minorHAnsi"/>
                <w:b/>
                <w:sz w:val="18"/>
                <w:szCs w:val="18"/>
                <w:lang w:val="sq-AL"/>
              </w:rPr>
              <w:t>11,129,734</w:t>
            </w:r>
          </w:p>
        </w:tc>
        <w:tc>
          <w:tcPr>
            <w:tcW w:w="921" w:type="dxa"/>
            <w:shd w:val="clear" w:color="auto" w:fill="auto"/>
          </w:tcPr>
          <w:p w14:paraId="7CE55A43" w14:textId="77777777" w:rsidR="000C2868" w:rsidRPr="003E1083" w:rsidRDefault="000C2868" w:rsidP="000C2868">
            <w:pPr>
              <w:jc w:val="center"/>
              <w:rPr>
                <w:rFonts w:asciiTheme="minorHAnsi" w:hAnsiTheme="minorHAnsi"/>
                <w:b/>
                <w:sz w:val="18"/>
                <w:szCs w:val="18"/>
                <w:lang w:val="sq-AL"/>
              </w:rPr>
            </w:pPr>
            <w:r w:rsidRPr="003E1083">
              <w:rPr>
                <w:rFonts w:asciiTheme="minorHAnsi" w:hAnsiTheme="minorHAnsi"/>
                <w:b/>
                <w:sz w:val="18"/>
                <w:szCs w:val="18"/>
                <w:lang w:val="sq-AL"/>
              </w:rPr>
              <w:t>28.07%</w:t>
            </w:r>
          </w:p>
        </w:tc>
        <w:tc>
          <w:tcPr>
            <w:tcW w:w="997" w:type="dxa"/>
            <w:shd w:val="clear" w:color="auto" w:fill="auto"/>
          </w:tcPr>
          <w:p w14:paraId="05C4B414" w14:textId="77777777" w:rsidR="000C2868" w:rsidRPr="003E1083" w:rsidRDefault="000C2868" w:rsidP="000C2868">
            <w:pPr>
              <w:jc w:val="center"/>
              <w:rPr>
                <w:rFonts w:asciiTheme="minorHAnsi" w:hAnsiTheme="minorHAnsi"/>
                <w:b/>
                <w:sz w:val="18"/>
                <w:szCs w:val="18"/>
                <w:lang w:val="sq-AL"/>
              </w:rPr>
            </w:pPr>
            <w:r w:rsidRPr="003E1083">
              <w:rPr>
                <w:rFonts w:asciiTheme="minorHAnsi" w:hAnsiTheme="minorHAnsi"/>
                <w:b/>
                <w:sz w:val="18"/>
                <w:szCs w:val="18"/>
                <w:lang w:val="sq-AL"/>
              </w:rPr>
              <w:t>22.53%</w:t>
            </w:r>
          </w:p>
        </w:tc>
      </w:tr>
    </w:tbl>
    <w:p w14:paraId="5225371B" w14:textId="77777777" w:rsidR="000C2868" w:rsidRPr="003E1083" w:rsidRDefault="000C2868" w:rsidP="000C2868">
      <w:pPr>
        <w:jc w:val="center"/>
        <w:rPr>
          <w:rFonts w:asciiTheme="minorHAnsi" w:eastAsia="MS Mincho" w:hAnsiTheme="minorHAnsi"/>
          <w:b/>
          <w:lang w:val="sq-AL"/>
        </w:rPr>
      </w:pPr>
    </w:p>
    <w:p w14:paraId="78BFEF2E" w14:textId="70244031" w:rsidR="000C2868" w:rsidRDefault="000C2868" w:rsidP="000C2868">
      <w:pPr>
        <w:jc w:val="both"/>
        <w:rPr>
          <w:rFonts w:asciiTheme="minorHAnsi" w:hAnsiTheme="minorHAnsi"/>
          <w:lang w:val="sq-AL"/>
        </w:rPr>
      </w:pPr>
    </w:p>
    <w:p w14:paraId="39BF8160" w14:textId="77777777" w:rsidR="000C2868" w:rsidRDefault="000C2868" w:rsidP="000C2868">
      <w:pPr>
        <w:jc w:val="both"/>
        <w:rPr>
          <w:rFonts w:asciiTheme="minorHAnsi" w:hAnsiTheme="minorHAnsi"/>
          <w:lang w:val="sq-AL"/>
        </w:rPr>
      </w:pPr>
    </w:p>
    <w:p w14:paraId="7647B8E2" w14:textId="77777777" w:rsidR="000C2868" w:rsidRDefault="000C2868" w:rsidP="000C2868">
      <w:pPr>
        <w:jc w:val="both"/>
        <w:rPr>
          <w:rFonts w:asciiTheme="minorHAnsi" w:hAnsiTheme="minorHAnsi"/>
          <w:lang w:val="sq-AL"/>
        </w:rPr>
      </w:pPr>
    </w:p>
    <w:p w14:paraId="388CBC00" w14:textId="77777777" w:rsidR="000C2868" w:rsidRPr="003E1083" w:rsidRDefault="000C2868" w:rsidP="000C2868">
      <w:pPr>
        <w:jc w:val="both"/>
        <w:rPr>
          <w:rFonts w:asciiTheme="minorHAnsi" w:hAnsiTheme="minorHAnsi"/>
          <w:lang w:val="sq-AL"/>
        </w:rPr>
      </w:pPr>
      <w:r w:rsidRPr="003E1083">
        <w:rPr>
          <w:rFonts w:asciiTheme="minorHAnsi" w:hAnsiTheme="minorHAnsi"/>
          <w:lang w:val="sq-AL"/>
        </w:rPr>
        <w:lastRenderedPageBreak/>
        <w:t>Programi</w:t>
      </w:r>
      <w:r w:rsidRPr="003E1083">
        <w:rPr>
          <w:rFonts w:asciiTheme="minorHAnsi" w:hAnsiTheme="minorHAnsi"/>
          <w:b/>
          <w:lang w:val="sq-AL"/>
        </w:rPr>
        <w:t xml:space="preserve"> “Transporti Rrugor</w:t>
      </w:r>
      <w:r w:rsidRPr="003E1083">
        <w:rPr>
          <w:rFonts w:asciiTheme="minorHAnsi" w:hAnsiTheme="minorHAnsi"/>
          <w:lang w:val="sq-AL"/>
        </w:rPr>
        <w:t>” synon:</w:t>
      </w:r>
    </w:p>
    <w:p w14:paraId="0A151642" w14:textId="77777777" w:rsidR="000C2868" w:rsidRPr="00321968" w:rsidRDefault="000C2868" w:rsidP="000C2868">
      <w:pPr>
        <w:numPr>
          <w:ilvl w:val="0"/>
          <w:numId w:val="5"/>
        </w:numPr>
        <w:ind w:left="360"/>
        <w:contextualSpacing/>
        <w:jc w:val="both"/>
        <w:rPr>
          <w:rFonts w:asciiTheme="minorHAnsi" w:hAnsiTheme="minorHAnsi"/>
          <w:i/>
          <w:lang w:val="sq-AL"/>
        </w:rPr>
      </w:pPr>
      <w:r w:rsidRPr="003E1083">
        <w:rPr>
          <w:rFonts w:asciiTheme="minorHAnsi" w:hAnsiTheme="minorHAnsi"/>
          <w:i/>
          <w:lang w:val="sq-AL"/>
        </w:rPr>
        <w:t xml:space="preserve">Zhvillimin më tej të sistemit kombëtar të transportit, </w:t>
      </w:r>
    </w:p>
    <w:p w14:paraId="660395AD" w14:textId="77777777" w:rsidR="000C2868" w:rsidRPr="00321968" w:rsidRDefault="000C2868" w:rsidP="000C2868">
      <w:pPr>
        <w:numPr>
          <w:ilvl w:val="0"/>
          <w:numId w:val="5"/>
        </w:numPr>
        <w:ind w:left="360"/>
        <w:contextualSpacing/>
        <w:jc w:val="both"/>
        <w:rPr>
          <w:rFonts w:asciiTheme="minorHAnsi" w:hAnsiTheme="minorHAnsi"/>
          <w:i/>
          <w:lang w:val="sq-AL"/>
        </w:rPr>
      </w:pPr>
      <w:r w:rsidRPr="003E1083">
        <w:rPr>
          <w:rFonts w:asciiTheme="minorHAnsi" w:hAnsiTheme="minorHAnsi"/>
          <w:i/>
          <w:lang w:val="sq-AL"/>
        </w:rPr>
        <w:t>Përmirësimin e qëndrueshmërisë, ndërlidhjes, ndërveprimit dhe integrimin e tij me gjerë, me sistemin ndërkombëtar dhe evropian të transportit dhe rajonin,</w:t>
      </w:r>
    </w:p>
    <w:p w14:paraId="3291F46D" w14:textId="77777777" w:rsidR="000C2868" w:rsidRPr="00321968" w:rsidRDefault="000C2868" w:rsidP="000C2868">
      <w:pPr>
        <w:numPr>
          <w:ilvl w:val="0"/>
          <w:numId w:val="5"/>
        </w:numPr>
        <w:ind w:left="360"/>
        <w:contextualSpacing/>
        <w:jc w:val="both"/>
        <w:rPr>
          <w:rFonts w:asciiTheme="minorHAnsi" w:hAnsiTheme="minorHAnsi"/>
          <w:i/>
          <w:lang w:val="sq-AL"/>
        </w:rPr>
      </w:pPr>
      <w:r w:rsidRPr="003E1083">
        <w:rPr>
          <w:rFonts w:asciiTheme="minorHAnsi" w:hAnsiTheme="minorHAnsi"/>
          <w:i/>
          <w:lang w:val="sq-AL"/>
        </w:rPr>
        <w:t xml:space="preserve">Mbulimin me financim dhe zgjerimin, rritjen e standarteve dhe mirëmbajtjen e rrjetit kombëtar të rrugëve, me synim krijimin e një transporti të qëndrueshëm. </w:t>
      </w:r>
    </w:p>
    <w:p w14:paraId="245AC6A0" w14:textId="77777777" w:rsidR="000C2868" w:rsidRPr="00321968" w:rsidRDefault="000C2868" w:rsidP="000C2868">
      <w:pPr>
        <w:jc w:val="both"/>
        <w:rPr>
          <w:rFonts w:asciiTheme="minorHAnsi" w:hAnsiTheme="minorHAnsi"/>
          <w:sz w:val="12"/>
          <w:lang w:val="sq-AL"/>
        </w:rPr>
      </w:pPr>
    </w:p>
    <w:p w14:paraId="4982B779" w14:textId="77777777" w:rsidR="000C2868" w:rsidRDefault="000C2868" w:rsidP="000C2868">
      <w:pPr>
        <w:jc w:val="both"/>
        <w:rPr>
          <w:rFonts w:asciiTheme="minorHAnsi" w:hAnsiTheme="minorHAnsi"/>
          <w:lang w:val="sq-AL"/>
        </w:rPr>
      </w:pPr>
      <w:r w:rsidRPr="003E1083">
        <w:rPr>
          <w:rFonts w:asciiTheme="minorHAnsi" w:hAnsiTheme="minorHAnsi"/>
          <w:lang w:val="sq-AL"/>
        </w:rPr>
        <w:t xml:space="preserve">Qëllimi i programit është realizuar nëpërmjet dy objektivave specifikisht, </w:t>
      </w:r>
      <w:r w:rsidRPr="003573A0">
        <w:rPr>
          <w:rFonts w:asciiTheme="minorHAnsi" w:hAnsiTheme="minorHAnsi"/>
          <w:i/>
          <w:lang w:val="sq-AL"/>
        </w:rPr>
        <w:t>Ndërtim dhe rehabilitim sipas standarteve të projektimit, rrugë të rrjetit kombëtar dhe Sistemim asfaltim e riveshje për rrugë të rrjetit kombëtar</w:t>
      </w:r>
      <w:r w:rsidRPr="003E1083">
        <w:rPr>
          <w:rFonts w:asciiTheme="minorHAnsi" w:hAnsiTheme="minorHAnsi"/>
          <w:lang w:val="sq-AL"/>
        </w:rPr>
        <w:t>. Produktet që kanë kontribuar në realizimin e këtyre objektivave paraqiten si mëposhtë:</w:t>
      </w:r>
    </w:p>
    <w:p w14:paraId="36C58482" w14:textId="77777777" w:rsidR="000C2868" w:rsidRPr="00321968" w:rsidRDefault="000C2868" w:rsidP="000C2868">
      <w:pPr>
        <w:jc w:val="both"/>
        <w:rPr>
          <w:rFonts w:asciiTheme="minorHAnsi" w:hAnsiTheme="minorHAnsi"/>
          <w:sz w:val="8"/>
          <w:szCs w:val="8"/>
          <w:lang w:val="sq-AL"/>
        </w:rPr>
      </w:pPr>
    </w:p>
    <w:p w14:paraId="52794A1D" w14:textId="77777777" w:rsidR="000C2868" w:rsidRPr="003E1083" w:rsidRDefault="000C2868" w:rsidP="000C2868">
      <w:pPr>
        <w:numPr>
          <w:ilvl w:val="0"/>
          <w:numId w:val="5"/>
        </w:numPr>
        <w:ind w:left="360"/>
        <w:contextualSpacing/>
        <w:jc w:val="both"/>
        <w:rPr>
          <w:rFonts w:asciiTheme="minorHAnsi" w:hAnsiTheme="minorHAnsi"/>
          <w:lang w:val="sq-AL"/>
        </w:rPr>
      </w:pPr>
      <w:r w:rsidRPr="003E1083">
        <w:rPr>
          <w:rFonts w:asciiTheme="minorHAnsi" w:hAnsiTheme="minorHAnsi"/>
          <w:lang w:val="sq-AL"/>
        </w:rPr>
        <w:t xml:space="preserve">Për </w:t>
      </w:r>
      <w:r w:rsidRPr="003573A0">
        <w:rPr>
          <w:rFonts w:asciiTheme="minorHAnsi" w:hAnsiTheme="minorHAnsi"/>
          <w:lang w:val="sq-AL"/>
        </w:rPr>
        <w:t xml:space="preserve">objektivin </w:t>
      </w:r>
      <w:r w:rsidRPr="003573A0">
        <w:rPr>
          <w:rFonts w:asciiTheme="minorHAnsi" w:hAnsiTheme="minorHAnsi"/>
          <w:i/>
          <w:lang w:val="sq-AL"/>
        </w:rPr>
        <w:t xml:space="preserve">“Ndërtim dhe rehabilitim sipas standarteve të projektimit, rrugë të rrjetit kombëtar”, </w:t>
      </w:r>
      <w:r w:rsidRPr="003E1083">
        <w:rPr>
          <w:rFonts w:asciiTheme="minorHAnsi" w:hAnsiTheme="minorHAnsi"/>
          <w:lang w:val="sq-AL"/>
        </w:rPr>
        <w:t xml:space="preserve">disa nga produktet kryesore të realizuara përgjatë </w:t>
      </w:r>
      <w:r>
        <w:rPr>
          <w:rFonts w:asciiTheme="minorHAnsi" w:hAnsiTheme="minorHAnsi"/>
          <w:lang w:val="sq-AL"/>
        </w:rPr>
        <w:t>4M I</w:t>
      </w:r>
      <w:r w:rsidRPr="003E1083">
        <w:rPr>
          <w:rFonts w:asciiTheme="minorHAnsi" w:hAnsiTheme="minorHAnsi"/>
          <w:lang w:val="sq-AL"/>
        </w:rPr>
        <w:t xml:space="preserve"> të vitit 2023 janë:   </w:t>
      </w:r>
    </w:p>
    <w:p w14:paraId="121D210A" w14:textId="77777777" w:rsidR="000C2868" w:rsidRPr="00321968" w:rsidRDefault="000C2868" w:rsidP="000C2868">
      <w:pPr>
        <w:numPr>
          <w:ilvl w:val="0"/>
          <w:numId w:val="6"/>
        </w:numPr>
        <w:spacing w:after="120"/>
        <w:ind w:left="360"/>
        <w:contextualSpacing/>
        <w:jc w:val="both"/>
        <w:rPr>
          <w:rFonts w:asciiTheme="minorHAnsi" w:hAnsiTheme="minorHAnsi"/>
          <w:i/>
          <w:lang w:val="sq-AL"/>
        </w:rPr>
      </w:pPr>
      <w:r w:rsidRPr="00321968">
        <w:rPr>
          <w:rFonts w:asciiTheme="minorHAnsi" w:hAnsiTheme="minorHAnsi"/>
          <w:i/>
          <w:lang w:val="sq-AL"/>
        </w:rPr>
        <w:t>Tipi i rrugës A me katër korsi (2x2) sipas standarteve të reja, për të cilin fondet e planifik</w:t>
      </w:r>
      <w:r>
        <w:rPr>
          <w:rFonts w:asciiTheme="minorHAnsi" w:hAnsiTheme="minorHAnsi"/>
          <w:i/>
          <w:lang w:val="sq-AL"/>
        </w:rPr>
        <w:t>uara për vitin 2023, përgjatë 4M I</w:t>
      </w:r>
      <w:r w:rsidRPr="00321968">
        <w:rPr>
          <w:rFonts w:asciiTheme="minorHAnsi" w:hAnsiTheme="minorHAnsi"/>
          <w:i/>
          <w:lang w:val="sq-AL"/>
        </w:rPr>
        <w:t xml:space="preserve"> janë realizuar në masën 587.6 milionë lekë apo 60% e fondeve të planifikuara për këtë qëllim. Disa nga objektet e rëndësishme, që janë në proces paraqiten si më poshtë:</w:t>
      </w:r>
    </w:p>
    <w:p w14:paraId="028942B2" w14:textId="77777777" w:rsidR="000C2868" w:rsidRPr="000B7DEE" w:rsidRDefault="000C2868" w:rsidP="00056DE5">
      <w:pPr>
        <w:numPr>
          <w:ilvl w:val="1"/>
          <w:numId w:val="11"/>
        </w:numPr>
        <w:ind w:left="810"/>
        <w:jc w:val="both"/>
        <w:rPr>
          <w:rFonts w:asciiTheme="minorHAnsi" w:hAnsiTheme="minorHAnsi"/>
          <w:i/>
          <w:lang w:val="sq-AL"/>
        </w:rPr>
      </w:pPr>
      <w:r w:rsidRPr="000B7DEE">
        <w:rPr>
          <w:rFonts w:asciiTheme="minorHAnsi" w:hAnsiTheme="minorHAnsi"/>
          <w:i/>
          <w:lang w:val="sq-AL"/>
        </w:rPr>
        <w:t>“Rehabilitimi i segmentit rrugore mbikalimi pallati me shigjeta rrethrrotullimi Shqiponja Loti1, Loti 3”;</w:t>
      </w:r>
    </w:p>
    <w:p w14:paraId="66D053C5" w14:textId="77777777" w:rsidR="000C2868" w:rsidRPr="003E1083" w:rsidRDefault="000C2868" w:rsidP="00056DE5">
      <w:pPr>
        <w:numPr>
          <w:ilvl w:val="1"/>
          <w:numId w:val="11"/>
        </w:numPr>
        <w:ind w:left="810"/>
        <w:jc w:val="both"/>
        <w:rPr>
          <w:rFonts w:asciiTheme="minorHAnsi" w:hAnsiTheme="minorHAnsi"/>
          <w:i/>
          <w:lang w:val="sq-AL"/>
        </w:rPr>
      </w:pPr>
      <w:r w:rsidRPr="003E1083">
        <w:rPr>
          <w:rFonts w:asciiTheme="minorHAnsi" w:hAnsiTheme="minorHAnsi"/>
          <w:i/>
          <w:lang w:val="sq-AL"/>
        </w:rPr>
        <w:t>"Ndërtimi rruga mbikalimi TEG dhe rrugët lidhëse të tij”;</w:t>
      </w:r>
    </w:p>
    <w:p w14:paraId="612A93BE" w14:textId="77777777" w:rsidR="000C2868" w:rsidRPr="003E1083" w:rsidRDefault="000C2868" w:rsidP="00056DE5">
      <w:pPr>
        <w:numPr>
          <w:ilvl w:val="1"/>
          <w:numId w:val="11"/>
        </w:numPr>
        <w:ind w:left="810"/>
        <w:jc w:val="both"/>
        <w:rPr>
          <w:rFonts w:asciiTheme="minorHAnsi" w:hAnsiTheme="minorHAnsi"/>
          <w:i/>
          <w:lang w:val="sq-AL"/>
        </w:rPr>
      </w:pPr>
      <w:r w:rsidRPr="003E1083">
        <w:rPr>
          <w:rFonts w:asciiTheme="minorHAnsi" w:hAnsiTheme="minorHAnsi"/>
          <w:i/>
          <w:lang w:val="sq-AL"/>
        </w:rPr>
        <w:t>“Ndërtimi i Unazës së jashtme të Tiranës, Loti 4, Loti 5, Loti 6, Loti 7”.</w:t>
      </w:r>
    </w:p>
    <w:p w14:paraId="3972D570" w14:textId="77777777" w:rsidR="000C2868" w:rsidRPr="003E1083" w:rsidRDefault="000C2868" w:rsidP="00056DE5">
      <w:pPr>
        <w:numPr>
          <w:ilvl w:val="1"/>
          <w:numId w:val="11"/>
        </w:numPr>
        <w:ind w:left="810"/>
        <w:jc w:val="both"/>
        <w:rPr>
          <w:rFonts w:asciiTheme="minorHAnsi" w:hAnsiTheme="minorHAnsi"/>
          <w:i/>
          <w:lang w:val="sq-AL"/>
        </w:rPr>
      </w:pPr>
      <w:r w:rsidRPr="003E1083">
        <w:rPr>
          <w:rFonts w:asciiTheme="minorHAnsi" w:hAnsiTheme="minorHAnsi"/>
          <w:i/>
          <w:lang w:val="sq-AL"/>
        </w:rPr>
        <w:t>Ndërtim i segmentit rrugor Sheshi Shqiponja-Bulevardi i ri, loti 2.</w:t>
      </w:r>
    </w:p>
    <w:p w14:paraId="0572F55E" w14:textId="77777777" w:rsidR="000C2868" w:rsidRPr="003E1083" w:rsidRDefault="000C2868" w:rsidP="00056DE5">
      <w:pPr>
        <w:numPr>
          <w:ilvl w:val="1"/>
          <w:numId w:val="11"/>
        </w:numPr>
        <w:ind w:left="810"/>
        <w:jc w:val="both"/>
        <w:rPr>
          <w:rFonts w:asciiTheme="minorHAnsi" w:hAnsiTheme="minorHAnsi"/>
          <w:i/>
          <w:lang w:val="sq-AL"/>
        </w:rPr>
      </w:pPr>
      <w:r w:rsidRPr="003E1083">
        <w:rPr>
          <w:rFonts w:asciiTheme="minorHAnsi" w:hAnsiTheme="minorHAnsi"/>
          <w:i/>
          <w:lang w:val="sq-AL"/>
        </w:rPr>
        <w:t>Plotësim, rakordim dhe vazhdim i punimeve Sheshi Shqiponja</w:t>
      </w:r>
      <w:r>
        <w:rPr>
          <w:rFonts w:asciiTheme="minorHAnsi" w:hAnsiTheme="minorHAnsi"/>
          <w:i/>
          <w:lang w:val="sq-AL"/>
        </w:rPr>
        <w:t>-</w:t>
      </w:r>
      <w:r w:rsidRPr="003E1083">
        <w:rPr>
          <w:rFonts w:asciiTheme="minorHAnsi" w:hAnsiTheme="minorHAnsi"/>
          <w:i/>
          <w:lang w:val="sq-AL"/>
        </w:rPr>
        <w:t>Lumi i Tiranës, loti 1 dhe QMT.</w:t>
      </w:r>
    </w:p>
    <w:p w14:paraId="263BDC29" w14:textId="77777777" w:rsidR="000C2868" w:rsidRPr="003E1083" w:rsidRDefault="000C2868" w:rsidP="000C2868">
      <w:pPr>
        <w:ind w:left="630"/>
        <w:jc w:val="both"/>
        <w:rPr>
          <w:rFonts w:asciiTheme="minorHAnsi" w:hAnsiTheme="minorHAnsi"/>
          <w:i/>
          <w:lang w:val="sq-AL"/>
        </w:rPr>
      </w:pPr>
    </w:p>
    <w:p w14:paraId="6179CF88" w14:textId="77777777" w:rsidR="000C2868" w:rsidRPr="003E3E99" w:rsidRDefault="000C2868" w:rsidP="000C2868">
      <w:pPr>
        <w:numPr>
          <w:ilvl w:val="0"/>
          <w:numId w:val="6"/>
        </w:numPr>
        <w:spacing w:after="120"/>
        <w:ind w:left="360"/>
        <w:contextualSpacing/>
        <w:jc w:val="both"/>
        <w:rPr>
          <w:rFonts w:asciiTheme="minorHAnsi" w:hAnsiTheme="minorHAnsi"/>
          <w:i/>
          <w:lang w:val="sq-AL"/>
        </w:rPr>
      </w:pPr>
      <w:r w:rsidRPr="003E3E99">
        <w:rPr>
          <w:rFonts w:asciiTheme="minorHAnsi" w:hAnsiTheme="minorHAnsi"/>
          <w:i/>
          <w:lang w:val="sq-AL"/>
        </w:rPr>
        <w:t xml:space="preserve">Rruga tip B1’ me dy korsi, për të cilën janë realizuar fondet përgjatë </w:t>
      </w:r>
      <w:r>
        <w:rPr>
          <w:rFonts w:asciiTheme="minorHAnsi" w:hAnsiTheme="minorHAnsi"/>
          <w:i/>
          <w:lang w:val="sq-AL"/>
        </w:rPr>
        <w:t>4M I</w:t>
      </w:r>
      <w:r w:rsidRPr="003E3E99">
        <w:rPr>
          <w:rFonts w:asciiTheme="minorHAnsi" w:hAnsiTheme="minorHAnsi"/>
          <w:i/>
          <w:lang w:val="sq-AL"/>
        </w:rPr>
        <w:t xml:space="preserve"> të vitit 2023, në masën prej 170 milionë lekë ose 20% ndaj totalit të planifikuar për vitin 2023.  Objektet, në të cilat punohet me ritme të parashikuara janë:</w:t>
      </w:r>
    </w:p>
    <w:p w14:paraId="191B8EEB" w14:textId="77777777" w:rsidR="000C2868" w:rsidRPr="003E1083" w:rsidRDefault="000C2868" w:rsidP="00056DE5">
      <w:pPr>
        <w:numPr>
          <w:ilvl w:val="1"/>
          <w:numId w:val="11"/>
        </w:numPr>
        <w:ind w:left="990"/>
        <w:jc w:val="both"/>
        <w:rPr>
          <w:rFonts w:asciiTheme="minorHAnsi" w:hAnsiTheme="minorHAnsi"/>
          <w:i/>
          <w:lang w:val="sq-AL"/>
        </w:rPr>
      </w:pPr>
      <w:r w:rsidRPr="003E1083">
        <w:rPr>
          <w:rFonts w:asciiTheme="minorHAnsi" w:hAnsiTheme="minorHAnsi"/>
          <w:i/>
          <w:lang w:val="sq-AL"/>
        </w:rPr>
        <w:t xml:space="preserve">Ndërtim Rruga Kardhiq-Delvinë Loti 4 dhe Loti 8, </w:t>
      </w:r>
    </w:p>
    <w:p w14:paraId="5146802C" w14:textId="77777777" w:rsidR="000C2868" w:rsidRPr="003E1083" w:rsidRDefault="000C2868" w:rsidP="00056DE5">
      <w:pPr>
        <w:numPr>
          <w:ilvl w:val="1"/>
          <w:numId w:val="11"/>
        </w:numPr>
        <w:ind w:left="990"/>
        <w:jc w:val="both"/>
        <w:rPr>
          <w:rFonts w:asciiTheme="minorHAnsi" w:hAnsiTheme="minorHAnsi"/>
          <w:i/>
          <w:lang w:val="sq-AL"/>
        </w:rPr>
      </w:pPr>
      <w:r w:rsidRPr="003E1083">
        <w:rPr>
          <w:rFonts w:asciiTheme="minorHAnsi" w:hAnsiTheme="minorHAnsi"/>
          <w:i/>
          <w:lang w:val="sq-AL"/>
        </w:rPr>
        <w:t>Zgjerimi i rrugës Elbasan-Qafë Thanë (faza I dhe II)</w:t>
      </w:r>
    </w:p>
    <w:p w14:paraId="18AFF7AC" w14:textId="77777777" w:rsidR="000C2868" w:rsidRPr="003E1083" w:rsidRDefault="000C2868" w:rsidP="000C2868">
      <w:pPr>
        <w:ind w:left="990"/>
        <w:jc w:val="both"/>
        <w:rPr>
          <w:rFonts w:asciiTheme="minorHAnsi" w:hAnsiTheme="minorHAnsi"/>
          <w:i/>
          <w:lang w:val="sq-AL"/>
        </w:rPr>
      </w:pPr>
    </w:p>
    <w:p w14:paraId="31BD333D" w14:textId="77777777" w:rsidR="000C2868" w:rsidRPr="003E3E99" w:rsidRDefault="000C2868" w:rsidP="000C2868">
      <w:pPr>
        <w:numPr>
          <w:ilvl w:val="0"/>
          <w:numId w:val="6"/>
        </w:numPr>
        <w:spacing w:after="120"/>
        <w:ind w:left="360"/>
        <w:contextualSpacing/>
        <w:jc w:val="both"/>
        <w:rPr>
          <w:rFonts w:asciiTheme="minorHAnsi" w:hAnsiTheme="minorHAnsi"/>
          <w:i/>
          <w:lang w:val="sq-AL"/>
        </w:rPr>
      </w:pPr>
      <w:r w:rsidRPr="003E3E99">
        <w:rPr>
          <w:rFonts w:asciiTheme="minorHAnsi" w:hAnsiTheme="minorHAnsi"/>
          <w:i/>
          <w:lang w:val="sq-AL"/>
        </w:rPr>
        <w:t xml:space="preserve">Për rrugën tip C2 me dy korsi, janë realizuar fondet përgjatë </w:t>
      </w:r>
      <w:r>
        <w:rPr>
          <w:rFonts w:asciiTheme="minorHAnsi" w:hAnsiTheme="minorHAnsi"/>
          <w:i/>
          <w:lang w:val="sq-AL"/>
        </w:rPr>
        <w:t>4M I</w:t>
      </w:r>
      <w:r w:rsidRPr="003E3E99">
        <w:rPr>
          <w:rFonts w:asciiTheme="minorHAnsi" w:hAnsiTheme="minorHAnsi"/>
          <w:i/>
          <w:lang w:val="sq-AL"/>
        </w:rPr>
        <w:t xml:space="preserve"> të vitit 2023 në masën 574 milionë lekë ose 32% e fondeve të planifikuara. Disa nga objektet e rëndësishme, në të cilat punohet normalisht dhe që janë në proces janë:</w:t>
      </w:r>
    </w:p>
    <w:p w14:paraId="42637604" w14:textId="77777777" w:rsidR="000C2868" w:rsidRPr="003E1083" w:rsidRDefault="000C2868" w:rsidP="00056DE5">
      <w:pPr>
        <w:numPr>
          <w:ilvl w:val="1"/>
          <w:numId w:val="11"/>
        </w:numPr>
        <w:ind w:left="990"/>
        <w:jc w:val="both"/>
        <w:rPr>
          <w:rFonts w:asciiTheme="minorHAnsi" w:hAnsiTheme="minorHAnsi"/>
          <w:i/>
          <w:lang w:val="sq-AL"/>
        </w:rPr>
      </w:pPr>
      <w:r w:rsidRPr="003E1083">
        <w:rPr>
          <w:rFonts w:asciiTheme="minorHAnsi" w:hAnsiTheme="minorHAnsi"/>
          <w:i/>
          <w:lang w:val="sq-AL"/>
        </w:rPr>
        <w:t>Ndërtim rruga Korcë – Ersekë, Loti 2 (pjesa e parë dhe e dytë);</w:t>
      </w:r>
    </w:p>
    <w:p w14:paraId="7CB33C89" w14:textId="77777777" w:rsidR="000C2868" w:rsidRPr="003E1083" w:rsidRDefault="000C2868" w:rsidP="00056DE5">
      <w:pPr>
        <w:numPr>
          <w:ilvl w:val="1"/>
          <w:numId w:val="11"/>
        </w:numPr>
        <w:ind w:left="990"/>
        <w:jc w:val="both"/>
        <w:rPr>
          <w:rFonts w:asciiTheme="minorHAnsi" w:hAnsiTheme="minorHAnsi"/>
          <w:i/>
          <w:lang w:val="sq-AL"/>
        </w:rPr>
      </w:pPr>
      <w:r w:rsidRPr="003E1083">
        <w:rPr>
          <w:rFonts w:asciiTheme="minorHAnsi" w:hAnsiTheme="minorHAnsi"/>
          <w:i/>
          <w:lang w:val="sq-AL"/>
        </w:rPr>
        <w:t>Ndërtim rruga Palas – Dhërmi;</w:t>
      </w:r>
    </w:p>
    <w:p w14:paraId="03263FBF" w14:textId="77777777" w:rsidR="000C2868" w:rsidRPr="003E1083" w:rsidRDefault="000C2868" w:rsidP="00056DE5">
      <w:pPr>
        <w:numPr>
          <w:ilvl w:val="1"/>
          <w:numId w:val="11"/>
        </w:numPr>
        <w:ind w:left="990"/>
        <w:jc w:val="both"/>
        <w:rPr>
          <w:rFonts w:asciiTheme="minorHAnsi" w:hAnsiTheme="minorHAnsi"/>
          <w:i/>
          <w:lang w:val="sq-AL"/>
        </w:rPr>
      </w:pPr>
      <w:r w:rsidRPr="003E1083">
        <w:rPr>
          <w:rFonts w:asciiTheme="minorHAnsi" w:hAnsiTheme="minorHAnsi"/>
          <w:i/>
          <w:lang w:val="sq-AL"/>
        </w:rPr>
        <w:t>Rikonstruksion i rrugës Maliq – Lozhan i ri Strelcë;</w:t>
      </w:r>
    </w:p>
    <w:p w14:paraId="6D682C1F" w14:textId="77777777" w:rsidR="000C2868" w:rsidRPr="003E1083" w:rsidRDefault="000C2868" w:rsidP="00056DE5">
      <w:pPr>
        <w:numPr>
          <w:ilvl w:val="1"/>
          <w:numId w:val="11"/>
        </w:numPr>
        <w:ind w:left="990"/>
        <w:jc w:val="both"/>
        <w:rPr>
          <w:rFonts w:asciiTheme="minorHAnsi" w:hAnsiTheme="minorHAnsi"/>
          <w:i/>
          <w:lang w:val="sq-AL"/>
        </w:rPr>
      </w:pPr>
      <w:r w:rsidRPr="003E1083">
        <w:rPr>
          <w:rFonts w:asciiTheme="minorHAnsi" w:hAnsiTheme="minorHAnsi"/>
          <w:i/>
          <w:lang w:val="sq-AL"/>
        </w:rPr>
        <w:t>Ndërtim i rrugës, lidhja e Autostradës Milot - Morinë me Aeroportin e Kukësit;</w:t>
      </w:r>
    </w:p>
    <w:p w14:paraId="507181C5" w14:textId="77777777" w:rsidR="000C2868" w:rsidRPr="003E1083" w:rsidRDefault="000C2868" w:rsidP="00056DE5">
      <w:pPr>
        <w:numPr>
          <w:ilvl w:val="1"/>
          <w:numId w:val="11"/>
        </w:numPr>
        <w:ind w:left="990"/>
        <w:jc w:val="both"/>
        <w:rPr>
          <w:rFonts w:asciiTheme="minorHAnsi" w:hAnsiTheme="minorHAnsi"/>
          <w:i/>
          <w:lang w:val="sq-AL"/>
        </w:rPr>
      </w:pPr>
      <w:r w:rsidRPr="003E1083">
        <w:rPr>
          <w:rFonts w:asciiTheme="minorHAnsi" w:hAnsiTheme="minorHAnsi"/>
          <w:i/>
          <w:lang w:val="sq-AL"/>
        </w:rPr>
        <w:t>Zgjerim i rrugës Elbasan – Qafë – Thanë (Faza I)</w:t>
      </w:r>
    </w:p>
    <w:p w14:paraId="2D8C51B0" w14:textId="77777777" w:rsidR="000C2868" w:rsidRPr="003E1083" w:rsidRDefault="000C2868" w:rsidP="00056DE5">
      <w:pPr>
        <w:numPr>
          <w:ilvl w:val="1"/>
          <w:numId w:val="11"/>
        </w:numPr>
        <w:ind w:left="990"/>
        <w:jc w:val="both"/>
        <w:rPr>
          <w:rFonts w:asciiTheme="minorHAnsi" w:hAnsiTheme="minorHAnsi"/>
          <w:i/>
          <w:lang w:val="sq-AL"/>
        </w:rPr>
      </w:pPr>
      <w:r w:rsidRPr="003E1083">
        <w:rPr>
          <w:rFonts w:asciiTheme="minorHAnsi" w:hAnsiTheme="minorHAnsi"/>
          <w:i/>
          <w:lang w:val="sq-AL"/>
        </w:rPr>
        <w:t>Ndërtim rruga lidhëse e Aeroportit Ndërkombëtar të Vlorës (VIA)-Autostrada Fier-Vlorë.</w:t>
      </w:r>
    </w:p>
    <w:p w14:paraId="7B268EB9" w14:textId="77777777" w:rsidR="000C2868" w:rsidRPr="003E1083" w:rsidRDefault="000C2868" w:rsidP="000C2868">
      <w:pPr>
        <w:ind w:left="990"/>
        <w:jc w:val="both"/>
        <w:rPr>
          <w:rFonts w:asciiTheme="minorHAnsi" w:hAnsiTheme="minorHAnsi"/>
          <w:lang w:val="sq-AL"/>
        </w:rPr>
      </w:pPr>
    </w:p>
    <w:p w14:paraId="113E3B7B"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3E99">
        <w:rPr>
          <w:rFonts w:asciiTheme="minorHAnsi" w:hAnsiTheme="minorHAnsi"/>
          <w:i/>
          <w:lang w:val="sq-AL"/>
        </w:rPr>
        <w:t>Për rrugën Tip A e modifikuar, janë realizuar fondet në masën 123 milionë lekë ose 50% e fondeve të planifikuara për këtë qëllim. Objekti që përfshihen në këtë kategori rruge është: -</w:t>
      </w:r>
    </w:p>
    <w:p w14:paraId="1B7CA34B" w14:textId="77777777" w:rsidR="000C2868" w:rsidRPr="003E1083" w:rsidRDefault="000C2868" w:rsidP="00056DE5">
      <w:pPr>
        <w:numPr>
          <w:ilvl w:val="1"/>
          <w:numId w:val="11"/>
        </w:numPr>
        <w:ind w:left="810"/>
        <w:jc w:val="both"/>
        <w:rPr>
          <w:rFonts w:asciiTheme="minorHAnsi" w:hAnsiTheme="minorHAnsi"/>
          <w:i/>
          <w:lang w:val="sq-AL"/>
        </w:rPr>
      </w:pPr>
      <w:r w:rsidRPr="003E1083">
        <w:rPr>
          <w:rFonts w:asciiTheme="minorHAnsi" w:hAnsiTheme="minorHAnsi"/>
          <w:i/>
          <w:lang w:val="sq-AL"/>
        </w:rPr>
        <w:t>Ndërtim rruga Porto Romano Durrës, Loti 3.</w:t>
      </w:r>
    </w:p>
    <w:p w14:paraId="17914446" w14:textId="77777777" w:rsidR="000C2868" w:rsidRPr="003E1083" w:rsidRDefault="000C2868" w:rsidP="000C2868">
      <w:pPr>
        <w:ind w:left="450"/>
        <w:jc w:val="both"/>
        <w:rPr>
          <w:rFonts w:asciiTheme="minorHAnsi" w:hAnsiTheme="minorHAnsi"/>
          <w:sz w:val="14"/>
          <w:lang w:val="sq-AL"/>
        </w:rPr>
      </w:pPr>
    </w:p>
    <w:p w14:paraId="3AF4E49B" w14:textId="77777777" w:rsidR="000C2868" w:rsidRPr="003E1083" w:rsidRDefault="000C2868" w:rsidP="000C2868">
      <w:pPr>
        <w:numPr>
          <w:ilvl w:val="0"/>
          <w:numId w:val="5"/>
        </w:numPr>
        <w:ind w:left="360"/>
        <w:contextualSpacing/>
        <w:jc w:val="both"/>
        <w:rPr>
          <w:rFonts w:asciiTheme="minorHAnsi" w:hAnsiTheme="minorHAnsi"/>
          <w:lang w:val="sq-AL"/>
        </w:rPr>
      </w:pPr>
      <w:r w:rsidRPr="003E1083">
        <w:rPr>
          <w:rFonts w:asciiTheme="minorHAnsi" w:hAnsiTheme="minorHAnsi"/>
          <w:lang w:val="sq-AL"/>
        </w:rPr>
        <w:t xml:space="preserve">Lidhur me </w:t>
      </w:r>
      <w:r w:rsidRPr="006C19A2">
        <w:rPr>
          <w:rFonts w:asciiTheme="minorHAnsi" w:hAnsiTheme="minorHAnsi"/>
          <w:lang w:val="sq-AL"/>
        </w:rPr>
        <w:t>objektivin</w:t>
      </w:r>
      <w:r w:rsidRPr="003573A0">
        <w:rPr>
          <w:rFonts w:asciiTheme="minorHAnsi" w:hAnsiTheme="minorHAnsi"/>
          <w:i/>
          <w:lang w:val="sq-AL"/>
        </w:rPr>
        <w:t xml:space="preserve"> “Sistemim asfaltim e riveshje për rrugë të rrjetit kombëtar”,</w:t>
      </w:r>
      <w:r w:rsidRPr="003E1083">
        <w:rPr>
          <w:rFonts w:asciiTheme="minorHAnsi" w:hAnsiTheme="minorHAnsi"/>
          <w:lang w:val="sq-AL"/>
        </w:rPr>
        <w:t xml:space="preserve"> përgjatë </w:t>
      </w:r>
      <w:r>
        <w:rPr>
          <w:rFonts w:asciiTheme="minorHAnsi" w:hAnsiTheme="minorHAnsi"/>
          <w:lang w:val="sq-AL"/>
        </w:rPr>
        <w:t>4M I</w:t>
      </w:r>
      <w:r w:rsidRPr="003E1083">
        <w:rPr>
          <w:rFonts w:asciiTheme="minorHAnsi" w:hAnsiTheme="minorHAnsi"/>
          <w:lang w:val="sq-AL"/>
        </w:rPr>
        <w:t xml:space="preserve"> të vitit 2023, fondet janë realizuar në masën rreth 26%. Disa nga projektet e realizuara janë:</w:t>
      </w:r>
    </w:p>
    <w:p w14:paraId="5FF2EA78" w14:textId="77777777" w:rsidR="000C2868" w:rsidRPr="003E1083" w:rsidRDefault="000C2868" w:rsidP="00056DE5">
      <w:pPr>
        <w:numPr>
          <w:ilvl w:val="1"/>
          <w:numId w:val="11"/>
        </w:numPr>
        <w:ind w:left="990"/>
        <w:jc w:val="both"/>
        <w:rPr>
          <w:rFonts w:asciiTheme="minorHAnsi" w:hAnsiTheme="minorHAnsi"/>
          <w:i/>
          <w:lang w:val="sq-AL"/>
        </w:rPr>
      </w:pPr>
      <w:r w:rsidRPr="003E1083">
        <w:rPr>
          <w:rFonts w:asciiTheme="minorHAnsi" w:hAnsiTheme="minorHAnsi"/>
          <w:i/>
          <w:lang w:val="sq-AL"/>
        </w:rPr>
        <w:t>Eleminimi i pikave të zeza (Black spots), në rrjetin rrugor kombëtar;</w:t>
      </w:r>
    </w:p>
    <w:p w14:paraId="0519E779" w14:textId="77777777" w:rsidR="000C2868" w:rsidRPr="003E1083" w:rsidRDefault="000C2868" w:rsidP="00056DE5">
      <w:pPr>
        <w:numPr>
          <w:ilvl w:val="1"/>
          <w:numId w:val="11"/>
        </w:numPr>
        <w:ind w:left="990"/>
        <w:jc w:val="both"/>
        <w:rPr>
          <w:rFonts w:asciiTheme="minorHAnsi" w:hAnsiTheme="minorHAnsi"/>
          <w:i/>
          <w:lang w:val="sq-AL"/>
        </w:rPr>
      </w:pPr>
      <w:r w:rsidRPr="003E1083">
        <w:rPr>
          <w:rFonts w:asciiTheme="minorHAnsi" w:hAnsiTheme="minorHAnsi"/>
          <w:i/>
          <w:lang w:val="sq-AL"/>
        </w:rPr>
        <w:t>Përmirësimi i sinjalistikës horizontale, vertikale dhe pajisjeve të sigurisë rrugore, në akset e Rajonit Verior, Qendror dhe Jugor.</w:t>
      </w:r>
    </w:p>
    <w:p w14:paraId="4DD1B352" w14:textId="77777777" w:rsidR="000C2868" w:rsidRPr="003E1083" w:rsidRDefault="000C2868" w:rsidP="000C2868">
      <w:pPr>
        <w:jc w:val="both"/>
        <w:rPr>
          <w:rFonts w:asciiTheme="minorHAnsi" w:hAnsiTheme="minorHAnsi"/>
          <w:lang w:val="sq-AL"/>
        </w:rPr>
      </w:pPr>
      <w:r w:rsidRPr="003E1083">
        <w:rPr>
          <w:rFonts w:asciiTheme="minorHAnsi" w:hAnsiTheme="minorHAnsi"/>
          <w:b/>
          <w:lang w:val="sq-AL"/>
        </w:rPr>
        <w:lastRenderedPageBreak/>
        <w:t>Për programin “Furnizimi me Ujë dhe Kanalizime</w:t>
      </w:r>
      <w:r w:rsidRPr="003E1083">
        <w:rPr>
          <w:rFonts w:asciiTheme="minorHAnsi" w:hAnsiTheme="minorHAnsi"/>
          <w:lang w:val="sq-AL"/>
        </w:rPr>
        <w:t xml:space="preserve">”, përgjatë </w:t>
      </w:r>
      <w:r>
        <w:rPr>
          <w:rFonts w:asciiTheme="minorHAnsi" w:hAnsiTheme="minorHAnsi"/>
          <w:lang w:val="sq-AL"/>
        </w:rPr>
        <w:t>4M I</w:t>
      </w:r>
      <w:r w:rsidRPr="003E1083">
        <w:rPr>
          <w:rFonts w:asciiTheme="minorHAnsi" w:hAnsiTheme="minorHAnsi"/>
          <w:lang w:val="sq-AL"/>
        </w:rPr>
        <w:t xml:space="preserve"> të vitit 2023 është realizuar qëllimi i cili konsiston në ofrimin e </w:t>
      </w:r>
      <w:r w:rsidRPr="003E1083">
        <w:rPr>
          <w:rFonts w:asciiTheme="minorHAnsi" w:hAnsiTheme="minorHAnsi"/>
          <w:i/>
          <w:lang w:val="sq-AL"/>
        </w:rPr>
        <w:t>Shërbimit me furnizim me ujë dhe kanalizime për të gjithë popullsinë me cilësi dhe sipas standarteve ndërkombëtare</w:t>
      </w:r>
      <w:r w:rsidRPr="003E1083">
        <w:rPr>
          <w:rFonts w:asciiTheme="minorHAnsi" w:hAnsiTheme="minorHAnsi"/>
          <w:lang w:val="sq-AL"/>
        </w:rPr>
        <w:t xml:space="preserve">. Qëllimi i politikës së programit është realizuar nëpërmjet përmbushjes së objektivit i cili synon </w:t>
      </w:r>
      <w:r w:rsidRPr="003573A0">
        <w:rPr>
          <w:rFonts w:asciiTheme="minorHAnsi" w:hAnsiTheme="minorHAnsi"/>
          <w:i/>
          <w:lang w:val="sq-AL"/>
        </w:rPr>
        <w:t>mbulimin e plotë dhe më cilësi me shërbim të furnizimit me ujë në të gjithë zonën e shërbimit të shoqërive UK</w:t>
      </w:r>
      <w:r w:rsidRPr="003E1083">
        <w:rPr>
          <w:rFonts w:asciiTheme="minorHAnsi" w:hAnsiTheme="minorHAnsi"/>
          <w:lang w:val="sq-AL"/>
        </w:rPr>
        <w:t>,  si edhe nëpërmjet produkteve të paraqitur si më poshtë:</w:t>
      </w:r>
    </w:p>
    <w:p w14:paraId="00D92AA2" w14:textId="77777777" w:rsidR="000C2868" w:rsidRPr="000C2868" w:rsidRDefault="000C2868" w:rsidP="000C2868">
      <w:pPr>
        <w:numPr>
          <w:ilvl w:val="0"/>
          <w:numId w:val="6"/>
        </w:numPr>
        <w:spacing w:after="120"/>
        <w:ind w:left="360"/>
        <w:contextualSpacing/>
        <w:jc w:val="both"/>
        <w:rPr>
          <w:rFonts w:asciiTheme="minorHAnsi" w:hAnsiTheme="minorHAnsi"/>
          <w:i/>
          <w:sz w:val="22"/>
          <w:lang w:val="sq-AL"/>
        </w:rPr>
      </w:pPr>
      <w:r w:rsidRPr="000C2868">
        <w:rPr>
          <w:rFonts w:asciiTheme="minorHAnsi" w:hAnsiTheme="minorHAnsi"/>
          <w:i/>
          <w:sz w:val="22"/>
          <w:lang w:val="sq-AL"/>
        </w:rPr>
        <w:t>Realizimi i 229,943 ml linja të reja ujësjellësi për furnizimin me ujë, shoqëruar me një kosto prej 2,340 milionë lekë.</w:t>
      </w:r>
    </w:p>
    <w:p w14:paraId="26453429" w14:textId="43D15F41" w:rsidR="000C2868" w:rsidRPr="000C2868" w:rsidRDefault="000C2868" w:rsidP="000C2868">
      <w:pPr>
        <w:numPr>
          <w:ilvl w:val="0"/>
          <w:numId w:val="6"/>
        </w:numPr>
        <w:spacing w:after="120"/>
        <w:ind w:left="360"/>
        <w:contextualSpacing/>
        <w:jc w:val="both"/>
        <w:rPr>
          <w:rFonts w:asciiTheme="minorHAnsi" w:hAnsiTheme="minorHAnsi"/>
          <w:i/>
          <w:sz w:val="22"/>
          <w:lang w:val="sq-AL"/>
        </w:rPr>
      </w:pPr>
      <w:r w:rsidRPr="000C2868">
        <w:rPr>
          <w:rFonts w:asciiTheme="minorHAnsi" w:hAnsiTheme="minorHAnsi"/>
          <w:i/>
          <w:sz w:val="22"/>
          <w:lang w:val="sq-AL"/>
        </w:rPr>
        <w:t>U realizua rreth 56% e sasisë së planifikuar për 2023 për produktin “Kanalizimi i Ri”, apo rreth 34,084 ml.</w:t>
      </w:r>
    </w:p>
    <w:p w14:paraId="47EEE249" w14:textId="66B3204D" w:rsidR="000C2868" w:rsidRPr="000C2868" w:rsidRDefault="000C2868" w:rsidP="000C2868">
      <w:pPr>
        <w:numPr>
          <w:ilvl w:val="0"/>
          <w:numId w:val="6"/>
        </w:numPr>
        <w:spacing w:after="120"/>
        <w:ind w:left="360"/>
        <w:contextualSpacing/>
        <w:jc w:val="both"/>
        <w:rPr>
          <w:rFonts w:asciiTheme="minorHAnsi" w:hAnsiTheme="minorHAnsi"/>
          <w:i/>
          <w:sz w:val="22"/>
          <w:lang w:val="sq-AL"/>
        </w:rPr>
      </w:pPr>
      <w:r w:rsidRPr="000C2868">
        <w:rPr>
          <w:rFonts w:asciiTheme="minorHAnsi" w:hAnsiTheme="minorHAnsi"/>
          <w:i/>
          <w:sz w:val="22"/>
          <w:lang w:val="sq-AL"/>
        </w:rPr>
        <w:t>U rikonstruktua 62,061 ml ujësjellës apo 39% e sasisë së planifikuar për vitin 2023, shoqëruar me një kosto prej 652.9 milionë lekë.</w:t>
      </w:r>
    </w:p>
    <w:p w14:paraId="00EB1B91" w14:textId="77777777" w:rsidR="000C2868" w:rsidRPr="000C2868" w:rsidRDefault="000C2868" w:rsidP="000C2868">
      <w:pPr>
        <w:spacing w:after="120"/>
        <w:ind w:left="360"/>
        <w:contextualSpacing/>
        <w:jc w:val="both"/>
        <w:rPr>
          <w:rFonts w:asciiTheme="minorHAnsi" w:hAnsiTheme="minorHAnsi"/>
          <w:i/>
          <w:sz w:val="8"/>
          <w:lang w:val="sq-AL"/>
        </w:rPr>
      </w:pPr>
    </w:p>
    <w:p w14:paraId="326BE43F" w14:textId="77777777" w:rsidR="000C2868" w:rsidRPr="003E1083" w:rsidRDefault="000C2868" w:rsidP="000C2868">
      <w:pPr>
        <w:spacing w:before="120"/>
        <w:jc w:val="both"/>
        <w:rPr>
          <w:rFonts w:asciiTheme="minorHAnsi" w:hAnsiTheme="minorHAnsi"/>
          <w:lang w:val="sq-AL"/>
        </w:rPr>
      </w:pPr>
      <w:r w:rsidRPr="003E1083">
        <w:rPr>
          <w:rFonts w:asciiTheme="minorHAnsi" w:hAnsiTheme="minorHAnsi"/>
          <w:b/>
          <w:lang w:val="sq-AL"/>
        </w:rPr>
        <w:t xml:space="preserve">Për programin “Mbështetje për </w:t>
      </w:r>
      <w:r w:rsidRPr="003E1083">
        <w:rPr>
          <w:rFonts w:asciiTheme="minorHAnsi" w:hAnsiTheme="minorHAnsi"/>
          <w:b/>
          <w:bCs/>
          <w:lang w:val="sq-AL"/>
        </w:rPr>
        <w:t>Burimet Natyrore</w:t>
      </w:r>
      <w:r w:rsidRPr="003E1083">
        <w:rPr>
          <w:rFonts w:asciiTheme="minorHAnsi" w:hAnsiTheme="minorHAnsi"/>
          <w:b/>
          <w:lang w:val="sq-AL"/>
        </w:rPr>
        <w:t>”</w:t>
      </w:r>
      <w:r w:rsidRPr="003E1083">
        <w:rPr>
          <w:rFonts w:asciiTheme="minorHAnsi" w:hAnsiTheme="minorHAnsi"/>
          <w:lang w:val="sq-AL"/>
        </w:rPr>
        <w:t xml:space="preserve">, përgjatë </w:t>
      </w:r>
      <w:r>
        <w:rPr>
          <w:rFonts w:asciiTheme="minorHAnsi" w:hAnsiTheme="minorHAnsi"/>
          <w:lang w:val="sq-AL"/>
        </w:rPr>
        <w:t>4M I</w:t>
      </w:r>
      <w:r w:rsidRPr="003E1083">
        <w:rPr>
          <w:rFonts w:asciiTheme="minorHAnsi" w:hAnsiTheme="minorHAnsi"/>
          <w:lang w:val="sq-AL"/>
        </w:rPr>
        <w:t xml:space="preserve"> të vitit 2023, është realizuar qëllimi i programit, i cili lidhet me “</w:t>
      </w:r>
      <w:r w:rsidRPr="003E1083">
        <w:rPr>
          <w:rFonts w:asciiTheme="minorHAnsi" w:hAnsiTheme="minorHAnsi"/>
          <w:bCs/>
          <w:i/>
          <w:lang w:val="sq-AL"/>
        </w:rPr>
        <w:t>Realizimin e politikave te promovimit, mbikqyrjes, monitorimit dhe transparencës në fushën e gjeologjisë, minierave, ambientit dhe ujërave</w:t>
      </w:r>
      <w:r w:rsidRPr="003E1083">
        <w:rPr>
          <w:rFonts w:asciiTheme="minorHAnsi" w:hAnsiTheme="minorHAnsi"/>
          <w:lang w:val="sq-AL"/>
        </w:rPr>
        <w:t xml:space="preserve">”. </w:t>
      </w:r>
    </w:p>
    <w:p w14:paraId="70201F3F" w14:textId="77777777" w:rsidR="000C2868" w:rsidRPr="003E3E99" w:rsidRDefault="000C2868" w:rsidP="000C2868">
      <w:pPr>
        <w:jc w:val="both"/>
        <w:rPr>
          <w:rFonts w:asciiTheme="minorHAnsi" w:hAnsiTheme="minorHAnsi"/>
          <w:sz w:val="8"/>
          <w:szCs w:val="8"/>
          <w:lang w:val="sq-AL"/>
        </w:rPr>
      </w:pPr>
    </w:p>
    <w:p w14:paraId="1B5BB657" w14:textId="77777777" w:rsidR="000C2868" w:rsidRPr="003E1083" w:rsidRDefault="000C2868" w:rsidP="000C2868">
      <w:pPr>
        <w:jc w:val="both"/>
        <w:rPr>
          <w:rFonts w:asciiTheme="minorHAnsi" w:hAnsiTheme="minorHAnsi"/>
          <w:lang w:val="sq-AL"/>
        </w:rPr>
      </w:pPr>
      <w:r w:rsidRPr="003E1083">
        <w:rPr>
          <w:rFonts w:asciiTheme="minorHAnsi" w:hAnsiTheme="minorHAnsi"/>
          <w:lang w:val="sq-AL"/>
        </w:rPr>
        <w:t xml:space="preserve">Qëllimi i programit u realizuar përmes 3 objektivave të cilat janë </w:t>
      </w:r>
      <w:r w:rsidRPr="003E1083">
        <w:rPr>
          <w:rFonts w:asciiTheme="minorHAnsi" w:hAnsiTheme="minorHAnsi"/>
          <w:i/>
          <w:lang w:val="sq-AL"/>
        </w:rPr>
        <w:t xml:space="preserve">“Shfrytëzimi me efiçencë i burimeve natyrore minerare nga shoqëritë e licensuara për këtë veprimtari nëpërmjet zbatimit të kushteve tekniko-profesionale dhe mjedisore sipas standarteve europiane”, “Promovimi i burimeve hidrologjike dhe minerare të pashfrytëzuara” si dhe “Rritja e transparencës në industrinë nxjerrëse”. </w:t>
      </w:r>
      <w:r w:rsidRPr="003E1083">
        <w:rPr>
          <w:rFonts w:asciiTheme="minorHAnsi" w:hAnsiTheme="minorHAnsi"/>
          <w:lang w:val="sq-AL"/>
        </w:rPr>
        <w:t>Produktet që kanë kontribuar në realizimin e tyre paraqiten të renditura sa më poshtë:</w:t>
      </w:r>
    </w:p>
    <w:p w14:paraId="286EE439" w14:textId="77777777" w:rsidR="000C2868" w:rsidRPr="003E3E99" w:rsidRDefault="000C2868" w:rsidP="000C2868">
      <w:pPr>
        <w:numPr>
          <w:ilvl w:val="0"/>
          <w:numId w:val="6"/>
        </w:numPr>
        <w:spacing w:after="120"/>
        <w:ind w:left="360"/>
        <w:contextualSpacing/>
        <w:jc w:val="both"/>
        <w:rPr>
          <w:rFonts w:asciiTheme="minorHAnsi" w:hAnsiTheme="minorHAnsi"/>
          <w:i/>
          <w:lang w:val="sq-AL"/>
        </w:rPr>
      </w:pPr>
      <w:r w:rsidRPr="003E3E99">
        <w:rPr>
          <w:rFonts w:asciiTheme="minorHAnsi" w:hAnsiTheme="minorHAnsi"/>
          <w:i/>
          <w:lang w:val="sq-AL"/>
        </w:rPr>
        <w:t>Projekti “Raport mbi industrinë nxjërrëse në Shqipëri”, është realizuar në masën 31%.</w:t>
      </w:r>
    </w:p>
    <w:p w14:paraId="41363686" w14:textId="568D4B3D" w:rsidR="000C2868" w:rsidRDefault="000C2868" w:rsidP="000C2868">
      <w:pPr>
        <w:contextualSpacing/>
        <w:jc w:val="both"/>
        <w:rPr>
          <w:rFonts w:asciiTheme="minorHAnsi" w:eastAsia="Calibri" w:hAnsiTheme="minorHAnsi"/>
          <w:lang w:val="sq-AL"/>
        </w:rPr>
      </w:pPr>
    </w:p>
    <w:p w14:paraId="058C3A88" w14:textId="77777777" w:rsidR="000C2868" w:rsidRPr="000C2868" w:rsidRDefault="000C2868" w:rsidP="000C2868">
      <w:pPr>
        <w:contextualSpacing/>
        <w:jc w:val="both"/>
        <w:rPr>
          <w:rFonts w:asciiTheme="minorHAnsi" w:eastAsia="Calibri" w:hAnsiTheme="minorHAnsi"/>
          <w:sz w:val="8"/>
          <w:lang w:val="sq-AL"/>
        </w:rPr>
      </w:pPr>
    </w:p>
    <w:p w14:paraId="57D68806" w14:textId="77777777" w:rsidR="000C2868" w:rsidRPr="003E1083" w:rsidRDefault="000C2868" w:rsidP="000C2868">
      <w:pPr>
        <w:contextualSpacing/>
        <w:jc w:val="both"/>
        <w:rPr>
          <w:rFonts w:asciiTheme="minorHAnsi" w:eastAsia="Calibri" w:hAnsiTheme="minorHAnsi"/>
          <w:lang w:val="sq-AL"/>
        </w:rPr>
      </w:pPr>
    </w:p>
    <w:p w14:paraId="5C2D23BF" w14:textId="77777777" w:rsidR="000C2868" w:rsidRPr="003E1083" w:rsidRDefault="000C2868" w:rsidP="000C2868">
      <w:pPr>
        <w:spacing w:before="120"/>
        <w:jc w:val="both"/>
        <w:rPr>
          <w:rFonts w:asciiTheme="minorHAnsi" w:hAnsiTheme="minorHAnsi"/>
          <w:b/>
          <w:noProof/>
          <w:color w:val="0070C0"/>
          <w:lang w:val="sq-AL"/>
        </w:rPr>
      </w:pPr>
      <w:bookmarkStart w:id="203" w:name="_Toc10033298"/>
      <w:bookmarkStart w:id="204" w:name="_Toc10721434"/>
      <w:bookmarkStart w:id="205" w:name="_Toc11134229"/>
      <w:r w:rsidRPr="003E1083">
        <w:rPr>
          <w:rFonts w:asciiTheme="minorHAnsi" w:hAnsiTheme="minorHAnsi"/>
          <w:b/>
          <w:noProof/>
          <w:color w:val="0070C0"/>
          <w:lang w:val="sq-AL"/>
        </w:rPr>
        <w:t>Turizmi dhe Mjedisi</w:t>
      </w:r>
      <w:bookmarkEnd w:id="203"/>
      <w:bookmarkEnd w:id="204"/>
      <w:bookmarkEnd w:id="205"/>
    </w:p>
    <w:p w14:paraId="4AC140DC" w14:textId="77777777" w:rsidR="000C2868" w:rsidRPr="003E1083" w:rsidRDefault="000C2868" w:rsidP="000C2868">
      <w:pPr>
        <w:jc w:val="both"/>
        <w:rPr>
          <w:rFonts w:asciiTheme="minorHAnsi" w:hAnsiTheme="minorHAnsi"/>
          <w:color w:val="000000"/>
          <w:lang w:val="sq-AL"/>
        </w:rPr>
      </w:pPr>
      <w:r w:rsidRPr="003E1083">
        <w:rPr>
          <w:rFonts w:asciiTheme="minorHAnsi" w:hAnsiTheme="minorHAnsi"/>
          <w:color w:val="000000"/>
          <w:lang w:val="sq-AL"/>
        </w:rPr>
        <w:t>Performanca e treguesve buxhetorë për katër programet kryesore në Ministrinë e Mjedisit dhe Turizmit paraqitet si më poshtë:</w:t>
      </w:r>
      <w:r w:rsidRPr="003E1083">
        <w:rPr>
          <w:rFonts w:asciiTheme="minorHAnsi" w:hAnsiTheme="minorHAnsi"/>
          <w:color w:val="000000"/>
          <w:lang w:val="sq-AL"/>
        </w:rPr>
        <w:tab/>
      </w:r>
      <w:r w:rsidRPr="003E1083">
        <w:rPr>
          <w:rFonts w:asciiTheme="minorHAnsi" w:hAnsiTheme="minorHAnsi"/>
          <w:color w:val="000000"/>
          <w:lang w:val="sq-AL"/>
        </w:rPr>
        <w:tab/>
      </w:r>
    </w:p>
    <w:p w14:paraId="72E21607" w14:textId="77777777" w:rsidR="000C2868" w:rsidRPr="003E3E99" w:rsidRDefault="000C2868" w:rsidP="000C2868">
      <w:pPr>
        <w:jc w:val="both"/>
        <w:rPr>
          <w:rFonts w:asciiTheme="minorHAnsi" w:hAnsiTheme="minorHAnsi"/>
          <w:color w:val="000000"/>
          <w:sz w:val="12"/>
          <w:lang w:val="sq-AL"/>
        </w:rPr>
      </w:pPr>
    </w:p>
    <w:p w14:paraId="66741023" w14:textId="5C3BDAF7" w:rsidR="000C2868" w:rsidRPr="003E3E99" w:rsidRDefault="000C2868" w:rsidP="000C2868">
      <w:pPr>
        <w:rPr>
          <w:rFonts w:asciiTheme="minorHAnsi" w:hAnsiTheme="minorHAnsi"/>
          <w:i/>
          <w:iCs/>
          <w:color w:val="4F81BD"/>
          <w:sz w:val="22"/>
          <w:lang w:val="sq-AL"/>
        </w:rPr>
      </w:pPr>
      <w:bookmarkStart w:id="206" w:name="_Toc107496778"/>
      <w:r w:rsidRPr="003E3E99">
        <w:rPr>
          <w:rFonts w:asciiTheme="minorHAnsi" w:hAnsiTheme="minorHAnsi"/>
          <w:i/>
          <w:noProof/>
          <w:sz w:val="22"/>
          <w:lang w:val="sq-AL"/>
        </w:rPr>
        <w:t xml:space="preserve">Tabela </w:t>
      </w:r>
      <w:r w:rsidRPr="003E3E99">
        <w:rPr>
          <w:rFonts w:asciiTheme="minorHAnsi" w:hAnsiTheme="minorHAnsi"/>
          <w:i/>
          <w:noProof/>
          <w:sz w:val="22"/>
          <w:lang w:val="sq-AL"/>
        </w:rPr>
        <w:fldChar w:fldCharType="begin"/>
      </w:r>
      <w:r w:rsidRPr="003E3E99">
        <w:rPr>
          <w:rFonts w:asciiTheme="minorHAnsi" w:hAnsiTheme="minorHAnsi"/>
          <w:i/>
          <w:noProof/>
          <w:sz w:val="22"/>
          <w:lang w:val="sq-AL"/>
        </w:rPr>
        <w:instrText xml:space="preserve"> SEQ Tabela \* ARABIC </w:instrText>
      </w:r>
      <w:r w:rsidRPr="003E3E99">
        <w:rPr>
          <w:rFonts w:asciiTheme="minorHAnsi" w:hAnsiTheme="minorHAnsi"/>
          <w:i/>
          <w:noProof/>
          <w:sz w:val="22"/>
          <w:lang w:val="sq-AL"/>
        </w:rPr>
        <w:fldChar w:fldCharType="separate"/>
      </w:r>
      <w:r w:rsidR="00C153A9">
        <w:rPr>
          <w:rFonts w:asciiTheme="minorHAnsi" w:hAnsiTheme="minorHAnsi"/>
          <w:i/>
          <w:noProof/>
          <w:sz w:val="22"/>
          <w:lang w:val="sq-AL"/>
        </w:rPr>
        <w:t>41</w:t>
      </w:r>
      <w:r w:rsidRPr="003E3E99">
        <w:rPr>
          <w:rFonts w:asciiTheme="minorHAnsi" w:hAnsiTheme="minorHAnsi"/>
          <w:i/>
          <w:noProof/>
          <w:sz w:val="22"/>
          <w:lang w:val="sq-AL"/>
        </w:rPr>
        <w:fldChar w:fldCharType="end"/>
      </w:r>
      <w:r w:rsidRPr="003E3E99">
        <w:rPr>
          <w:rFonts w:asciiTheme="minorHAnsi" w:hAnsiTheme="minorHAnsi"/>
          <w:i/>
          <w:noProof/>
          <w:sz w:val="22"/>
          <w:lang w:val="sq-AL"/>
        </w:rPr>
        <w:t xml:space="preserve">: </w:t>
      </w:r>
      <w:r>
        <w:rPr>
          <w:rFonts w:ascii="Calibri" w:hAnsi="Calibri"/>
          <w:i/>
          <w:noProof/>
          <w:sz w:val="22"/>
          <w:lang w:val="sq-AL"/>
        </w:rPr>
        <w:t>Performanca e shpenzimeve për 4M I</w:t>
      </w:r>
      <w:r>
        <w:rPr>
          <w:rFonts w:asciiTheme="minorHAnsi" w:hAnsiTheme="minorHAnsi"/>
          <w:i/>
          <w:noProof/>
          <w:sz w:val="22"/>
          <w:lang w:val="sq-AL"/>
        </w:rPr>
        <w:t xml:space="preserve">, për </w:t>
      </w:r>
      <w:r w:rsidRPr="003E3E99">
        <w:rPr>
          <w:rFonts w:asciiTheme="minorHAnsi" w:hAnsiTheme="minorHAnsi"/>
          <w:i/>
          <w:noProof/>
          <w:sz w:val="22"/>
          <w:lang w:val="sq-AL"/>
        </w:rPr>
        <w:t>Turizmi</w:t>
      </w:r>
      <w:r>
        <w:rPr>
          <w:rFonts w:asciiTheme="minorHAnsi" w:hAnsiTheme="minorHAnsi"/>
          <w:i/>
          <w:noProof/>
          <w:sz w:val="22"/>
          <w:lang w:val="sq-AL"/>
        </w:rPr>
        <w:t>n</w:t>
      </w:r>
      <w:r w:rsidRPr="003E3E99">
        <w:rPr>
          <w:rFonts w:asciiTheme="minorHAnsi" w:hAnsiTheme="minorHAnsi"/>
          <w:i/>
          <w:noProof/>
          <w:sz w:val="22"/>
          <w:lang w:val="sq-AL"/>
        </w:rPr>
        <w:t xml:space="preserve"> </w:t>
      </w:r>
      <w:r>
        <w:rPr>
          <w:rFonts w:asciiTheme="minorHAnsi" w:hAnsiTheme="minorHAnsi"/>
          <w:i/>
          <w:noProof/>
          <w:sz w:val="22"/>
          <w:lang w:val="sq-AL"/>
        </w:rPr>
        <w:t>d</w:t>
      </w:r>
      <w:r w:rsidRPr="003E3E99">
        <w:rPr>
          <w:rFonts w:asciiTheme="minorHAnsi" w:hAnsiTheme="minorHAnsi"/>
          <w:i/>
          <w:noProof/>
          <w:sz w:val="22"/>
          <w:lang w:val="sq-AL"/>
        </w:rPr>
        <w:t>he Mjedisi</w:t>
      </w:r>
      <w:bookmarkEnd w:id="206"/>
      <w:r>
        <w:rPr>
          <w:rFonts w:asciiTheme="minorHAnsi" w:hAnsiTheme="minorHAnsi"/>
          <w:i/>
          <w:noProof/>
          <w:sz w:val="22"/>
          <w:lang w:val="sq-AL"/>
        </w:rPr>
        <w:t>n</w:t>
      </w:r>
      <w:r>
        <w:rPr>
          <w:rFonts w:asciiTheme="minorHAnsi" w:hAnsiTheme="minorHAnsi"/>
          <w:b/>
          <w:bCs/>
          <w:color w:val="000000"/>
          <w:sz w:val="22"/>
          <w:lang w:val="sq-AL"/>
        </w:rPr>
        <w:tab/>
        <w:t xml:space="preserve"> </w:t>
      </w:r>
      <w:r>
        <w:rPr>
          <w:rFonts w:asciiTheme="minorHAnsi" w:hAnsiTheme="minorHAnsi"/>
          <w:b/>
          <w:bCs/>
          <w:color w:val="000000"/>
          <w:sz w:val="22"/>
          <w:lang w:val="sq-AL"/>
        </w:rPr>
        <w:tab/>
      </w:r>
      <w:r>
        <w:rPr>
          <w:rFonts w:asciiTheme="minorHAnsi" w:hAnsiTheme="minorHAnsi"/>
          <w:b/>
          <w:bCs/>
          <w:color w:val="000000"/>
          <w:sz w:val="22"/>
          <w:lang w:val="sq-AL"/>
        </w:rPr>
        <w:tab/>
      </w:r>
      <w:r w:rsidRPr="003E3E99">
        <w:rPr>
          <w:rFonts w:asciiTheme="minorHAnsi" w:hAnsiTheme="minorHAnsi"/>
          <w:b/>
          <w:bCs/>
          <w:color w:val="000000"/>
          <w:sz w:val="22"/>
          <w:lang w:val="sq-AL"/>
        </w:rPr>
        <w:tab/>
      </w:r>
    </w:p>
    <w:p w14:paraId="0D9C09D3" w14:textId="77777777" w:rsidR="000C2868" w:rsidRPr="003E1083" w:rsidRDefault="000C2868" w:rsidP="000C2868">
      <w:pPr>
        <w:jc w:val="right"/>
        <w:rPr>
          <w:rFonts w:asciiTheme="minorHAnsi" w:hAnsiTheme="minorHAnsi"/>
          <w:color w:val="000000"/>
          <w:sz w:val="20"/>
          <w:lang w:val="sq-AL"/>
        </w:rPr>
      </w:pPr>
      <w:r w:rsidRPr="003E1083">
        <w:rPr>
          <w:rFonts w:asciiTheme="minorHAnsi" w:hAnsiTheme="minorHAnsi"/>
          <w:bCs/>
          <w:i/>
          <w:iCs/>
          <w:sz w:val="20"/>
          <w:lang w:val="sq-AL"/>
        </w:rPr>
        <w:t>Në mijë lekë</w:t>
      </w:r>
    </w:p>
    <w:tbl>
      <w:tblPr>
        <w:tblW w:w="0" w:type="auto"/>
        <w:jc w:val="center"/>
        <w:tblLayout w:type="fixed"/>
        <w:tblLook w:val="04A0" w:firstRow="1" w:lastRow="0" w:firstColumn="1" w:lastColumn="0" w:noHBand="0" w:noVBand="1"/>
      </w:tblPr>
      <w:tblGrid>
        <w:gridCol w:w="2520"/>
        <w:gridCol w:w="1170"/>
        <w:gridCol w:w="1080"/>
        <w:gridCol w:w="1097"/>
        <w:gridCol w:w="1153"/>
        <w:gridCol w:w="1170"/>
        <w:gridCol w:w="1260"/>
      </w:tblGrid>
      <w:tr w:rsidR="000C2868" w:rsidRPr="003E1083" w14:paraId="255A9301" w14:textId="77777777" w:rsidTr="000C2868">
        <w:trPr>
          <w:trHeight w:val="315"/>
          <w:jc w:val="center"/>
        </w:trPr>
        <w:tc>
          <w:tcPr>
            <w:tcW w:w="2520" w:type="dxa"/>
            <w:vMerge w:val="restart"/>
            <w:tcBorders>
              <w:top w:val="single" w:sz="8" w:space="0" w:color="4BACC6"/>
              <w:left w:val="single" w:sz="8" w:space="0" w:color="4BACC6"/>
              <w:bottom w:val="nil"/>
              <w:right w:val="single" w:sz="8" w:space="0" w:color="4BACC6"/>
            </w:tcBorders>
            <w:shd w:val="clear" w:color="000000" w:fill="4BACC6"/>
            <w:vAlign w:val="center"/>
            <w:hideMark/>
          </w:tcPr>
          <w:p w14:paraId="3631A7D7" w14:textId="77777777" w:rsidR="000C2868" w:rsidRPr="003E1083" w:rsidRDefault="000C2868" w:rsidP="000C2868">
            <w:pPr>
              <w:jc w:val="center"/>
              <w:rPr>
                <w:rFonts w:asciiTheme="minorHAnsi" w:hAnsiTheme="minorHAnsi"/>
                <w:b/>
                <w:bCs/>
                <w:sz w:val="18"/>
                <w:szCs w:val="18"/>
                <w:lang w:val="sq-AL"/>
              </w:rPr>
            </w:pPr>
            <w:r w:rsidRPr="003E1083">
              <w:rPr>
                <w:rFonts w:asciiTheme="minorHAnsi" w:hAnsiTheme="minorHAnsi"/>
                <w:b/>
                <w:bCs/>
                <w:sz w:val="18"/>
                <w:szCs w:val="18"/>
                <w:lang w:val="sq-AL"/>
              </w:rPr>
              <w:t>Emërtimi i Programit</w:t>
            </w:r>
          </w:p>
        </w:tc>
        <w:tc>
          <w:tcPr>
            <w:tcW w:w="2250" w:type="dxa"/>
            <w:gridSpan w:val="2"/>
            <w:tcBorders>
              <w:top w:val="single" w:sz="8" w:space="0" w:color="4BACC6"/>
              <w:left w:val="nil"/>
              <w:bottom w:val="single" w:sz="8" w:space="0" w:color="4BACC6"/>
              <w:right w:val="single" w:sz="8" w:space="0" w:color="4BACC6"/>
            </w:tcBorders>
            <w:shd w:val="clear" w:color="000000" w:fill="4BACC6"/>
            <w:vAlign w:val="center"/>
            <w:hideMark/>
          </w:tcPr>
          <w:p w14:paraId="2A00A1D2" w14:textId="77777777" w:rsidR="000C2868" w:rsidRPr="003E1083" w:rsidRDefault="000C2868" w:rsidP="000C2868">
            <w:pPr>
              <w:jc w:val="center"/>
              <w:rPr>
                <w:rFonts w:asciiTheme="minorHAnsi" w:hAnsiTheme="minorHAnsi"/>
                <w:b/>
                <w:bCs/>
                <w:sz w:val="18"/>
                <w:szCs w:val="18"/>
                <w:lang w:val="sq-AL"/>
              </w:rPr>
            </w:pPr>
            <w:r w:rsidRPr="003E1083">
              <w:rPr>
                <w:rFonts w:asciiTheme="minorHAnsi" w:hAnsiTheme="minorHAnsi"/>
                <w:b/>
                <w:bCs/>
                <w:sz w:val="18"/>
                <w:szCs w:val="18"/>
                <w:lang w:val="sq-AL"/>
              </w:rPr>
              <w:t>Plani 2023</w:t>
            </w:r>
          </w:p>
        </w:tc>
        <w:tc>
          <w:tcPr>
            <w:tcW w:w="2250" w:type="dxa"/>
            <w:gridSpan w:val="2"/>
            <w:tcBorders>
              <w:top w:val="single" w:sz="8" w:space="0" w:color="4BACC6"/>
              <w:left w:val="nil"/>
              <w:bottom w:val="single" w:sz="8" w:space="0" w:color="4BACC6"/>
              <w:right w:val="single" w:sz="8" w:space="0" w:color="4BACC6"/>
            </w:tcBorders>
            <w:shd w:val="clear" w:color="000000" w:fill="4BACC6"/>
            <w:vAlign w:val="center"/>
            <w:hideMark/>
          </w:tcPr>
          <w:p w14:paraId="754CD066" w14:textId="77777777" w:rsidR="000C2868" w:rsidRPr="003E1083" w:rsidRDefault="000C2868" w:rsidP="000C2868">
            <w:pPr>
              <w:jc w:val="center"/>
              <w:rPr>
                <w:rFonts w:asciiTheme="minorHAnsi" w:hAnsiTheme="minorHAnsi"/>
                <w:b/>
                <w:bCs/>
                <w:sz w:val="18"/>
                <w:szCs w:val="18"/>
                <w:lang w:val="sq-AL"/>
              </w:rPr>
            </w:pPr>
            <w:r w:rsidRPr="003E1083">
              <w:rPr>
                <w:rFonts w:asciiTheme="minorHAnsi" w:hAnsiTheme="minorHAnsi"/>
                <w:b/>
                <w:bCs/>
                <w:sz w:val="18"/>
                <w:szCs w:val="18"/>
                <w:lang w:val="sq-AL"/>
              </w:rPr>
              <w:t>Fakti 4M 2023</w:t>
            </w:r>
          </w:p>
        </w:tc>
        <w:tc>
          <w:tcPr>
            <w:tcW w:w="2430" w:type="dxa"/>
            <w:gridSpan w:val="2"/>
            <w:tcBorders>
              <w:top w:val="single" w:sz="8" w:space="0" w:color="4BACC6"/>
              <w:left w:val="nil"/>
              <w:bottom w:val="single" w:sz="8" w:space="0" w:color="4BACC6"/>
              <w:right w:val="single" w:sz="8" w:space="0" w:color="4BACC6"/>
            </w:tcBorders>
            <w:shd w:val="clear" w:color="000000" w:fill="4BACC6"/>
            <w:vAlign w:val="center"/>
            <w:hideMark/>
          </w:tcPr>
          <w:p w14:paraId="1EE3D477" w14:textId="77777777" w:rsidR="000C2868" w:rsidRPr="003E1083" w:rsidRDefault="000C2868" w:rsidP="000C2868">
            <w:pPr>
              <w:jc w:val="center"/>
              <w:rPr>
                <w:rFonts w:asciiTheme="minorHAnsi" w:hAnsiTheme="minorHAnsi"/>
                <w:b/>
                <w:bCs/>
                <w:sz w:val="18"/>
                <w:szCs w:val="18"/>
                <w:lang w:val="sq-AL"/>
              </w:rPr>
            </w:pPr>
            <w:r w:rsidRPr="003E1083">
              <w:rPr>
                <w:rFonts w:asciiTheme="minorHAnsi" w:hAnsiTheme="minorHAnsi"/>
                <w:b/>
                <w:bCs/>
                <w:sz w:val="18"/>
                <w:szCs w:val="18"/>
                <w:lang w:val="sq-AL"/>
              </w:rPr>
              <w:t>Përqindja  e realizimit</w:t>
            </w:r>
          </w:p>
        </w:tc>
      </w:tr>
      <w:tr w:rsidR="000C2868" w:rsidRPr="003E1083" w14:paraId="271E6147" w14:textId="77777777" w:rsidTr="000C2868">
        <w:trPr>
          <w:trHeight w:val="315"/>
          <w:jc w:val="center"/>
        </w:trPr>
        <w:tc>
          <w:tcPr>
            <w:tcW w:w="2520" w:type="dxa"/>
            <w:vMerge/>
            <w:tcBorders>
              <w:top w:val="single" w:sz="8" w:space="0" w:color="4BACC6"/>
              <w:left w:val="single" w:sz="8" w:space="0" w:color="4BACC6"/>
              <w:bottom w:val="nil"/>
              <w:right w:val="single" w:sz="8" w:space="0" w:color="4BACC6"/>
            </w:tcBorders>
            <w:vAlign w:val="center"/>
            <w:hideMark/>
          </w:tcPr>
          <w:p w14:paraId="1EC64291" w14:textId="77777777" w:rsidR="000C2868" w:rsidRPr="003E1083" w:rsidRDefault="000C2868" w:rsidP="000C2868">
            <w:pPr>
              <w:rPr>
                <w:rFonts w:asciiTheme="minorHAnsi" w:hAnsiTheme="minorHAnsi"/>
                <w:b/>
                <w:bCs/>
                <w:color w:val="FFFFFF"/>
                <w:sz w:val="18"/>
                <w:szCs w:val="18"/>
                <w:lang w:val="sq-AL"/>
              </w:rPr>
            </w:pPr>
          </w:p>
        </w:tc>
        <w:tc>
          <w:tcPr>
            <w:tcW w:w="1170" w:type="dxa"/>
            <w:tcBorders>
              <w:top w:val="nil"/>
              <w:left w:val="nil"/>
              <w:bottom w:val="nil"/>
              <w:right w:val="nil"/>
            </w:tcBorders>
            <w:shd w:val="clear" w:color="auto" w:fill="auto"/>
            <w:vAlign w:val="center"/>
            <w:hideMark/>
          </w:tcPr>
          <w:p w14:paraId="36F466CE" w14:textId="77777777" w:rsidR="000C2868" w:rsidRPr="003E1083" w:rsidRDefault="000C2868" w:rsidP="000C2868">
            <w:pPr>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Korrente</w:t>
            </w:r>
          </w:p>
        </w:tc>
        <w:tc>
          <w:tcPr>
            <w:tcW w:w="1080" w:type="dxa"/>
            <w:tcBorders>
              <w:top w:val="nil"/>
              <w:left w:val="single" w:sz="8" w:space="0" w:color="4BACC6"/>
              <w:bottom w:val="nil"/>
              <w:right w:val="single" w:sz="8" w:space="0" w:color="4BACC6"/>
            </w:tcBorders>
            <w:shd w:val="clear" w:color="auto" w:fill="auto"/>
            <w:vAlign w:val="center"/>
            <w:hideMark/>
          </w:tcPr>
          <w:p w14:paraId="5918B42B" w14:textId="77777777" w:rsidR="000C2868" w:rsidRPr="003E1083" w:rsidRDefault="000C2868" w:rsidP="000C2868">
            <w:pPr>
              <w:jc w:val="center"/>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Investime</w:t>
            </w:r>
          </w:p>
        </w:tc>
        <w:tc>
          <w:tcPr>
            <w:tcW w:w="1097" w:type="dxa"/>
            <w:tcBorders>
              <w:top w:val="nil"/>
              <w:left w:val="nil"/>
              <w:bottom w:val="nil"/>
              <w:right w:val="nil"/>
            </w:tcBorders>
            <w:shd w:val="clear" w:color="auto" w:fill="auto"/>
            <w:vAlign w:val="center"/>
            <w:hideMark/>
          </w:tcPr>
          <w:p w14:paraId="23C4AC77" w14:textId="77777777" w:rsidR="000C2868" w:rsidRPr="003E1083" w:rsidRDefault="000C2868" w:rsidP="000C2868">
            <w:pPr>
              <w:jc w:val="center"/>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Korrente</w:t>
            </w:r>
          </w:p>
        </w:tc>
        <w:tc>
          <w:tcPr>
            <w:tcW w:w="1153" w:type="dxa"/>
            <w:tcBorders>
              <w:top w:val="nil"/>
              <w:left w:val="single" w:sz="8" w:space="0" w:color="4BACC6"/>
              <w:bottom w:val="nil"/>
              <w:right w:val="single" w:sz="8" w:space="0" w:color="4BACC6"/>
            </w:tcBorders>
            <w:shd w:val="clear" w:color="auto" w:fill="auto"/>
            <w:vAlign w:val="center"/>
            <w:hideMark/>
          </w:tcPr>
          <w:p w14:paraId="4B1918B6" w14:textId="77777777" w:rsidR="000C2868" w:rsidRPr="003E1083" w:rsidRDefault="000C2868" w:rsidP="000C2868">
            <w:pPr>
              <w:jc w:val="center"/>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Investime</w:t>
            </w:r>
          </w:p>
        </w:tc>
        <w:tc>
          <w:tcPr>
            <w:tcW w:w="1170" w:type="dxa"/>
            <w:tcBorders>
              <w:top w:val="nil"/>
              <w:left w:val="nil"/>
              <w:bottom w:val="nil"/>
              <w:right w:val="nil"/>
            </w:tcBorders>
            <w:shd w:val="clear" w:color="auto" w:fill="auto"/>
            <w:vAlign w:val="center"/>
            <w:hideMark/>
          </w:tcPr>
          <w:p w14:paraId="1CD5E2E6" w14:textId="77777777" w:rsidR="000C2868" w:rsidRPr="003E1083" w:rsidRDefault="000C2868" w:rsidP="000C2868">
            <w:pPr>
              <w:jc w:val="center"/>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Korrente</w:t>
            </w:r>
          </w:p>
        </w:tc>
        <w:tc>
          <w:tcPr>
            <w:tcW w:w="1260" w:type="dxa"/>
            <w:tcBorders>
              <w:top w:val="nil"/>
              <w:left w:val="nil"/>
              <w:bottom w:val="nil"/>
              <w:right w:val="single" w:sz="8" w:space="0" w:color="4BACC6"/>
            </w:tcBorders>
            <w:shd w:val="clear" w:color="000000" w:fill="FFFFFF"/>
            <w:vAlign w:val="center"/>
            <w:hideMark/>
          </w:tcPr>
          <w:p w14:paraId="546E50CB" w14:textId="77777777" w:rsidR="000C2868" w:rsidRPr="003E1083" w:rsidRDefault="000C2868" w:rsidP="000C2868">
            <w:pPr>
              <w:jc w:val="center"/>
              <w:rPr>
                <w:rFonts w:asciiTheme="minorHAnsi" w:hAnsiTheme="minorHAnsi"/>
                <w:b/>
                <w:color w:val="000000"/>
                <w:sz w:val="18"/>
                <w:szCs w:val="18"/>
                <w:lang w:val="sq-AL"/>
              </w:rPr>
            </w:pPr>
            <w:r w:rsidRPr="003E1083">
              <w:rPr>
                <w:rFonts w:asciiTheme="minorHAnsi" w:hAnsiTheme="minorHAnsi"/>
                <w:b/>
                <w:color w:val="000000"/>
                <w:sz w:val="18"/>
                <w:szCs w:val="18"/>
                <w:lang w:val="sq-AL"/>
              </w:rPr>
              <w:t>Investime</w:t>
            </w:r>
          </w:p>
        </w:tc>
      </w:tr>
      <w:tr w:rsidR="000C2868" w:rsidRPr="003E1083" w14:paraId="64173038" w14:textId="77777777" w:rsidTr="000C2868">
        <w:trPr>
          <w:trHeight w:val="375"/>
          <w:jc w:val="center"/>
        </w:trPr>
        <w:tc>
          <w:tcPr>
            <w:tcW w:w="252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538698FD" w14:textId="77777777" w:rsidR="000C2868" w:rsidRPr="003E1083" w:rsidRDefault="000C2868" w:rsidP="000C2868">
            <w:pPr>
              <w:rPr>
                <w:rFonts w:asciiTheme="minorHAnsi" w:hAnsiTheme="minorHAnsi"/>
                <w:color w:val="000000"/>
                <w:sz w:val="18"/>
                <w:szCs w:val="18"/>
                <w:lang w:val="sq-AL"/>
              </w:rPr>
            </w:pPr>
            <w:r w:rsidRPr="003E1083">
              <w:rPr>
                <w:rFonts w:asciiTheme="minorHAnsi" w:hAnsiTheme="minorHAnsi"/>
                <w:color w:val="000000"/>
                <w:sz w:val="18"/>
                <w:szCs w:val="18"/>
                <w:lang w:val="sq-AL"/>
              </w:rPr>
              <w:t>Planifikim, Administrim</w:t>
            </w:r>
          </w:p>
        </w:tc>
        <w:tc>
          <w:tcPr>
            <w:tcW w:w="1170" w:type="dxa"/>
            <w:tcBorders>
              <w:top w:val="single" w:sz="8" w:space="0" w:color="4BACC6"/>
              <w:left w:val="nil"/>
              <w:bottom w:val="single" w:sz="8" w:space="0" w:color="4BACC6"/>
              <w:right w:val="single" w:sz="8" w:space="0" w:color="4BACC6"/>
            </w:tcBorders>
            <w:shd w:val="clear" w:color="auto" w:fill="auto"/>
            <w:vAlign w:val="center"/>
            <w:hideMark/>
          </w:tcPr>
          <w:p w14:paraId="6DA80497"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208,030</w:t>
            </w:r>
          </w:p>
        </w:tc>
        <w:tc>
          <w:tcPr>
            <w:tcW w:w="1080" w:type="dxa"/>
            <w:tcBorders>
              <w:top w:val="single" w:sz="8" w:space="0" w:color="4BACC6"/>
              <w:left w:val="nil"/>
              <w:bottom w:val="single" w:sz="8" w:space="0" w:color="4BACC6"/>
              <w:right w:val="single" w:sz="8" w:space="0" w:color="4BACC6"/>
            </w:tcBorders>
            <w:shd w:val="clear" w:color="auto" w:fill="auto"/>
            <w:vAlign w:val="center"/>
            <w:hideMark/>
          </w:tcPr>
          <w:p w14:paraId="61C4F729"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3,000</w:t>
            </w:r>
          </w:p>
        </w:tc>
        <w:tc>
          <w:tcPr>
            <w:tcW w:w="1097" w:type="dxa"/>
            <w:tcBorders>
              <w:top w:val="single" w:sz="8" w:space="0" w:color="4BACC6"/>
              <w:left w:val="nil"/>
              <w:bottom w:val="single" w:sz="8" w:space="0" w:color="4BACC6"/>
              <w:right w:val="nil"/>
            </w:tcBorders>
            <w:shd w:val="clear" w:color="auto" w:fill="auto"/>
            <w:vAlign w:val="center"/>
            <w:hideMark/>
          </w:tcPr>
          <w:p w14:paraId="5C4AC5B8"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 xml:space="preserve">64,600 </w:t>
            </w:r>
          </w:p>
        </w:tc>
        <w:tc>
          <w:tcPr>
            <w:tcW w:w="1153"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3B901E47" w14:textId="77777777" w:rsidR="000C2868" w:rsidRPr="003E1083" w:rsidRDefault="000C2868" w:rsidP="000C2868">
            <w:pPr>
              <w:rPr>
                <w:rFonts w:asciiTheme="minorHAnsi" w:hAnsiTheme="minorHAnsi"/>
                <w:color w:val="000000"/>
                <w:sz w:val="18"/>
                <w:szCs w:val="18"/>
                <w:lang w:val="sq-AL"/>
              </w:rPr>
            </w:pPr>
            <w:r w:rsidRPr="003E1083">
              <w:rPr>
                <w:rFonts w:asciiTheme="minorHAnsi" w:hAnsiTheme="minorHAnsi"/>
                <w:color w:val="000000"/>
                <w:sz w:val="18"/>
                <w:szCs w:val="18"/>
                <w:lang w:val="sq-AL"/>
              </w:rPr>
              <w:t xml:space="preserve">          0 </w:t>
            </w:r>
          </w:p>
        </w:tc>
        <w:tc>
          <w:tcPr>
            <w:tcW w:w="1170" w:type="dxa"/>
            <w:tcBorders>
              <w:top w:val="single" w:sz="8" w:space="0" w:color="4BACC6"/>
              <w:left w:val="nil"/>
              <w:bottom w:val="single" w:sz="8" w:space="0" w:color="4BACC6"/>
              <w:right w:val="nil"/>
            </w:tcBorders>
            <w:shd w:val="clear" w:color="auto" w:fill="auto"/>
            <w:vAlign w:val="center"/>
            <w:hideMark/>
          </w:tcPr>
          <w:p w14:paraId="22E65BFE"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31.1%</w:t>
            </w:r>
          </w:p>
        </w:tc>
        <w:tc>
          <w:tcPr>
            <w:tcW w:w="1260" w:type="dxa"/>
            <w:tcBorders>
              <w:top w:val="single" w:sz="8" w:space="0" w:color="4BACC6"/>
              <w:left w:val="nil"/>
              <w:bottom w:val="single" w:sz="8" w:space="0" w:color="4BACC6"/>
              <w:right w:val="single" w:sz="8" w:space="0" w:color="4BACC6"/>
            </w:tcBorders>
            <w:shd w:val="clear" w:color="000000" w:fill="FFFFFF"/>
            <w:vAlign w:val="center"/>
            <w:hideMark/>
          </w:tcPr>
          <w:p w14:paraId="7A63DCB6"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b/>
                <w:color w:val="000000"/>
                <w:sz w:val="18"/>
                <w:szCs w:val="18"/>
                <w:lang w:val="sq-AL"/>
              </w:rPr>
              <w:t>0</w:t>
            </w:r>
            <w:r w:rsidRPr="003E1083">
              <w:rPr>
                <w:rFonts w:asciiTheme="minorHAnsi" w:hAnsiTheme="minorHAnsi"/>
                <w:color w:val="000000"/>
                <w:sz w:val="18"/>
                <w:szCs w:val="18"/>
                <w:lang w:val="sq-AL"/>
              </w:rPr>
              <w:t>.0%</w:t>
            </w:r>
          </w:p>
        </w:tc>
      </w:tr>
      <w:tr w:rsidR="000C2868" w:rsidRPr="003E1083" w14:paraId="007F2495" w14:textId="77777777" w:rsidTr="000C2868">
        <w:trPr>
          <w:trHeight w:val="315"/>
          <w:jc w:val="center"/>
        </w:trPr>
        <w:tc>
          <w:tcPr>
            <w:tcW w:w="2520" w:type="dxa"/>
            <w:tcBorders>
              <w:top w:val="nil"/>
              <w:left w:val="single" w:sz="8" w:space="0" w:color="4BACC6"/>
              <w:bottom w:val="nil"/>
              <w:right w:val="single" w:sz="8" w:space="0" w:color="4BACC6"/>
            </w:tcBorders>
            <w:shd w:val="clear" w:color="auto" w:fill="auto"/>
            <w:vAlign w:val="center"/>
            <w:hideMark/>
          </w:tcPr>
          <w:p w14:paraId="68A1C928" w14:textId="77777777" w:rsidR="000C2868" w:rsidRPr="003E1083" w:rsidRDefault="000C2868" w:rsidP="000C2868">
            <w:pPr>
              <w:rPr>
                <w:rFonts w:asciiTheme="minorHAnsi" w:hAnsiTheme="minorHAnsi"/>
                <w:color w:val="000000"/>
                <w:sz w:val="18"/>
                <w:szCs w:val="18"/>
                <w:lang w:val="sq-AL"/>
              </w:rPr>
            </w:pPr>
            <w:r w:rsidRPr="003E1083">
              <w:rPr>
                <w:rFonts w:asciiTheme="minorHAnsi" w:hAnsiTheme="minorHAnsi"/>
                <w:color w:val="000000"/>
                <w:sz w:val="18"/>
                <w:szCs w:val="18"/>
                <w:lang w:val="sq-AL"/>
              </w:rPr>
              <w:t>Mbrojtja e Mjedisit</w:t>
            </w:r>
          </w:p>
        </w:tc>
        <w:tc>
          <w:tcPr>
            <w:tcW w:w="1170" w:type="dxa"/>
            <w:tcBorders>
              <w:top w:val="nil"/>
              <w:left w:val="nil"/>
              <w:bottom w:val="nil"/>
              <w:right w:val="nil"/>
            </w:tcBorders>
            <w:shd w:val="clear" w:color="000000" w:fill="FFFFFF"/>
            <w:vAlign w:val="center"/>
            <w:hideMark/>
          </w:tcPr>
          <w:p w14:paraId="21AEE431"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461,300</w:t>
            </w:r>
          </w:p>
        </w:tc>
        <w:tc>
          <w:tcPr>
            <w:tcW w:w="1080" w:type="dxa"/>
            <w:tcBorders>
              <w:top w:val="nil"/>
              <w:left w:val="single" w:sz="8" w:space="0" w:color="4BACC6"/>
              <w:bottom w:val="nil"/>
              <w:right w:val="single" w:sz="8" w:space="0" w:color="4BACC6"/>
            </w:tcBorders>
            <w:shd w:val="clear" w:color="auto" w:fill="auto"/>
            <w:vAlign w:val="center"/>
            <w:hideMark/>
          </w:tcPr>
          <w:p w14:paraId="4D74EB6A"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120,000</w:t>
            </w:r>
          </w:p>
        </w:tc>
        <w:tc>
          <w:tcPr>
            <w:tcW w:w="1097" w:type="dxa"/>
            <w:tcBorders>
              <w:top w:val="nil"/>
              <w:left w:val="nil"/>
              <w:bottom w:val="nil"/>
              <w:right w:val="nil"/>
            </w:tcBorders>
            <w:shd w:val="clear" w:color="auto" w:fill="auto"/>
            <w:vAlign w:val="center"/>
            <w:hideMark/>
          </w:tcPr>
          <w:p w14:paraId="19782384"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85,799</w:t>
            </w:r>
          </w:p>
        </w:tc>
        <w:tc>
          <w:tcPr>
            <w:tcW w:w="1153" w:type="dxa"/>
            <w:tcBorders>
              <w:top w:val="nil"/>
              <w:left w:val="single" w:sz="8" w:space="0" w:color="4BACC6"/>
              <w:bottom w:val="nil"/>
              <w:right w:val="single" w:sz="8" w:space="0" w:color="4BACC6"/>
            </w:tcBorders>
            <w:shd w:val="clear" w:color="auto" w:fill="auto"/>
            <w:vAlign w:val="center"/>
            <w:hideMark/>
          </w:tcPr>
          <w:p w14:paraId="30F748E9"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4,105</w:t>
            </w:r>
          </w:p>
        </w:tc>
        <w:tc>
          <w:tcPr>
            <w:tcW w:w="1170" w:type="dxa"/>
            <w:tcBorders>
              <w:top w:val="nil"/>
              <w:left w:val="nil"/>
              <w:bottom w:val="nil"/>
              <w:right w:val="nil"/>
            </w:tcBorders>
            <w:shd w:val="clear" w:color="auto" w:fill="auto"/>
            <w:vAlign w:val="center"/>
            <w:hideMark/>
          </w:tcPr>
          <w:p w14:paraId="19B4D0D6"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18.6%</w:t>
            </w:r>
          </w:p>
        </w:tc>
        <w:tc>
          <w:tcPr>
            <w:tcW w:w="1260" w:type="dxa"/>
            <w:tcBorders>
              <w:top w:val="nil"/>
              <w:left w:val="nil"/>
              <w:bottom w:val="nil"/>
              <w:right w:val="single" w:sz="8" w:space="0" w:color="4BACC6"/>
            </w:tcBorders>
            <w:shd w:val="clear" w:color="000000" w:fill="FFFFFF"/>
            <w:vAlign w:val="center"/>
            <w:hideMark/>
          </w:tcPr>
          <w:p w14:paraId="48BC7271"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3.4%</w:t>
            </w:r>
          </w:p>
        </w:tc>
      </w:tr>
      <w:tr w:rsidR="000C2868" w:rsidRPr="003E1083" w14:paraId="0BD6A626" w14:textId="77777777" w:rsidTr="000C2868">
        <w:trPr>
          <w:trHeight w:val="300"/>
          <w:jc w:val="center"/>
        </w:trPr>
        <w:tc>
          <w:tcPr>
            <w:tcW w:w="252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28AB1F34" w14:textId="77777777" w:rsidR="000C2868" w:rsidRPr="003E1083" w:rsidRDefault="000C2868" w:rsidP="000C2868">
            <w:pPr>
              <w:jc w:val="right"/>
              <w:rPr>
                <w:rFonts w:asciiTheme="minorHAnsi" w:hAnsiTheme="minorHAnsi"/>
                <w:i/>
                <w:iCs/>
                <w:color w:val="000000"/>
                <w:sz w:val="18"/>
                <w:szCs w:val="18"/>
                <w:lang w:val="sq-AL"/>
              </w:rPr>
            </w:pPr>
            <w:r w:rsidRPr="003E1083">
              <w:rPr>
                <w:rFonts w:asciiTheme="minorHAnsi" w:hAnsiTheme="minorHAnsi"/>
                <w:i/>
                <w:iCs/>
                <w:color w:val="000000"/>
                <w:sz w:val="18"/>
                <w:szCs w:val="18"/>
                <w:lang w:val="sq-AL"/>
              </w:rPr>
              <w:t>Financimi i huaj</w:t>
            </w:r>
          </w:p>
        </w:tc>
        <w:tc>
          <w:tcPr>
            <w:tcW w:w="1170" w:type="dxa"/>
            <w:tcBorders>
              <w:top w:val="single" w:sz="8" w:space="0" w:color="4BACC6"/>
              <w:left w:val="nil"/>
              <w:bottom w:val="single" w:sz="8" w:space="0" w:color="4BACC6"/>
              <w:right w:val="nil"/>
            </w:tcBorders>
            <w:shd w:val="clear" w:color="auto" w:fill="auto"/>
            <w:vAlign w:val="center"/>
            <w:hideMark/>
          </w:tcPr>
          <w:p w14:paraId="47D8D4C6" w14:textId="77777777" w:rsidR="000C2868" w:rsidRPr="003E1083" w:rsidRDefault="000C2868" w:rsidP="000C2868">
            <w:pPr>
              <w:jc w:val="center"/>
              <w:rPr>
                <w:rFonts w:asciiTheme="minorHAnsi" w:hAnsiTheme="minorHAnsi"/>
                <w:i/>
                <w:iCs/>
                <w:color w:val="000000"/>
                <w:sz w:val="18"/>
                <w:szCs w:val="18"/>
                <w:lang w:val="sq-AL"/>
              </w:rPr>
            </w:pPr>
            <w:r w:rsidRPr="003E1083">
              <w:rPr>
                <w:rFonts w:asciiTheme="minorHAnsi" w:hAnsiTheme="minorHAnsi"/>
                <w:i/>
                <w:iCs/>
                <w:color w:val="000000"/>
                <w:sz w:val="18"/>
                <w:szCs w:val="18"/>
                <w:lang w:val="sq-AL"/>
              </w:rPr>
              <w:t> </w:t>
            </w:r>
          </w:p>
        </w:tc>
        <w:tc>
          <w:tcPr>
            <w:tcW w:w="108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64678ED3" w14:textId="77777777" w:rsidR="000C2868" w:rsidRPr="003E1083" w:rsidRDefault="000C2868" w:rsidP="000C2868">
            <w:pPr>
              <w:jc w:val="center"/>
              <w:rPr>
                <w:rFonts w:asciiTheme="minorHAnsi" w:hAnsiTheme="minorHAnsi"/>
                <w:i/>
                <w:iCs/>
                <w:color w:val="000000"/>
                <w:sz w:val="18"/>
                <w:szCs w:val="18"/>
                <w:lang w:val="sq-AL"/>
              </w:rPr>
            </w:pPr>
            <w:r w:rsidRPr="003E1083">
              <w:rPr>
                <w:rFonts w:asciiTheme="minorHAnsi" w:hAnsiTheme="minorHAnsi"/>
                <w:i/>
                <w:iCs/>
                <w:color w:val="000000"/>
                <w:sz w:val="18"/>
                <w:szCs w:val="18"/>
                <w:lang w:val="sq-AL"/>
              </w:rPr>
              <w:t>390,000</w:t>
            </w:r>
          </w:p>
        </w:tc>
        <w:tc>
          <w:tcPr>
            <w:tcW w:w="1097" w:type="dxa"/>
            <w:tcBorders>
              <w:top w:val="single" w:sz="8" w:space="0" w:color="4BACC6"/>
              <w:left w:val="nil"/>
              <w:bottom w:val="single" w:sz="8" w:space="0" w:color="4BACC6"/>
              <w:right w:val="nil"/>
            </w:tcBorders>
            <w:shd w:val="clear" w:color="auto" w:fill="auto"/>
            <w:vAlign w:val="center"/>
            <w:hideMark/>
          </w:tcPr>
          <w:p w14:paraId="73DF238B" w14:textId="77777777" w:rsidR="000C2868" w:rsidRPr="003E1083" w:rsidRDefault="000C2868" w:rsidP="000C2868">
            <w:pPr>
              <w:jc w:val="center"/>
              <w:rPr>
                <w:rFonts w:asciiTheme="minorHAnsi" w:hAnsiTheme="minorHAnsi"/>
                <w:i/>
                <w:iCs/>
                <w:color w:val="000000"/>
                <w:sz w:val="18"/>
                <w:szCs w:val="18"/>
                <w:lang w:val="sq-AL"/>
              </w:rPr>
            </w:pPr>
            <w:r w:rsidRPr="003E1083">
              <w:rPr>
                <w:rFonts w:asciiTheme="minorHAnsi" w:hAnsiTheme="minorHAnsi"/>
                <w:i/>
                <w:iCs/>
                <w:color w:val="000000"/>
                <w:sz w:val="18"/>
                <w:szCs w:val="18"/>
                <w:lang w:val="sq-AL"/>
              </w:rPr>
              <w:t> </w:t>
            </w:r>
          </w:p>
        </w:tc>
        <w:tc>
          <w:tcPr>
            <w:tcW w:w="1153"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5263851B" w14:textId="77777777" w:rsidR="000C2868" w:rsidRPr="003E1083" w:rsidRDefault="000C2868" w:rsidP="000C2868">
            <w:pPr>
              <w:jc w:val="center"/>
              <w:rPr>
                <w:rFonts w:asciiTheme="minorHAnsi" w:hAnsiTheme="minorHAnsi"/>
                <w:i/>
                <w:iCs/>
                <w:color w:val="000000"/>
                <w:sz w:val="18"/>
                <w:szCs w:val="18"/>
                <w:lang w:val="sq-AL"/>
              </w:rPr>
            </w:pPr>
            <w:r w:rsidRPr="003E1083">
              <w:rPr>
                <w:rFonts w:asciiTheme="minorHAnsi" w:hAnsiTheme="minorHAnsi"/>
                <w:i/>
                <w:iCs/>
                <w:color w:val="000000"/>
                <w:sz w:val="18"/>
                <w:szCs w:val="18"/>
                <w:lang w:val="sq-AL"/>
              </w:rPr>
              <w:t>9,653</w:t>
            </w:r>
          </w:p>
        </w:tc>
        <w:tc>
          <w:tcPr>
            <w:tcW w:w="1170" w:type="dxa"/>
            <w:tcBorders>
              <w:top w:val="single" w:sz="8" w:space="0" w:color="4BACC6"/>
              <w:left w:val="nil"/>
              <w:bottom w:val="single" w:sz="8" w:space="0" w:color="4BACC6"/>
              <w:right w:val="nil"/>
            </w:tcBorders>
            <w:shd w:val="clear" w:color="auto" w:fill="auto"/>
            <w:vAlign w:val="center"/>
            <w:hideMark/>
          </w:tcPr>
          <w:p w14:paraId="4EF62F27" w14:textId="77777777" w:rsidR="000C2868" w:rsidRPr="003E1083" w:rsidRDefault="000C2868" w:rsidP="000C2868">
            <w:pPr>
              <w:jc w:val="center"/>
              <w:rPr>
                <w:rFonts w:asciiTheme="minorHAnsi" w:hAnsiTheme="minorHAnsi"/>
                <w:i/>
                <w:iCs/>
                <w:color w:val="000000"/>
                <w:sz w:val="18"/>
                <w:szCs w:val="18"/>
                <w:lang w:val="sq-AL"/>
              </w:rPr>
            </w:pPr>
            <w:r w:rsidRPr="003E1083">
              <w:rPr>
                <w:rFonts w:asciiTheme="minorHAnsi" w:hAnsiTheme="minorHAnsi"/>
                <w:i/>
                <w:iCs/>
                <w:color w:val="000000"/>
                <w:sz w:val="18"/>
                <w:szCs w:val="18"/>
                <w:lang w:val="sq-AL"/>
              </w:rPr>
              <w:t> 0</w:t>
            </w:r>
          </w:p>
        </w:tc>
        <w:tc>
          <w:tcPr>
            <w:tcW w:w="1260" w:type="dxa"/>
            <w:tcBorders>
              <w:top w:val="single" w:sz="8" w:space="0" w:color="4BACC6"/>
              <w:left w:val="nil"/>
              <w:bottom w:val="single" w:sz="8" w:space="0" w:color="4BACC6"/>
              <w:right w:val="single" w:sz="8" w:space="0" w:color="4BACC6"/>
            </w:tcBorders>
            <w:shd w:val="clear" w:color="000000" w:fill="FFFFFF"/>
            <w:vAlign w:val="center"/>
            <w:hideMark/>
          </w:tcPr>
          <w:p w14:paraId="557BDCE8" w14:textId="77777777" w:rsidR="000C2868" w:rsidRPr="003E1083" w:rsidRDefault="000C2868" w:rsidP="000C2868">
            <w:pPr>
              <w:jc w:val="center"/>
              <w:rPr>
                <w:rFonts w:asciiTheme="minorHAnsi" w:hAnsiTheme="minorHAnsi"/>
                <w:i/>
                <w:iCs/>
                <w:color w:val="000000"/>
                <w:sz w:val="18"/>
                <w:szCs w:val="18"/>
                <w:lang w:val="sq-AL"/>
              </w:rPr>
            </w:pPr>
            <w:r w:rsidRPr="003E1083">
              <w:rPr>
                <w:rFonts w:asciiTheme="minorHAnsi" w:hAnsiTheme="minorHAnsi"/>
                <w:i/>
                <w:iCs/>
                <w:color w:val="000000"/>
                <w:sz w:val="18"/>
                <w:szCs w:val="18"/>
                <w:lang w:val="sq-AL"/>
              </w:rPr>
              <w:t>2.5%</w:t>
            </w:r>
          </w:p>
        </w:tc>
      </w:tr>
      <w:tr w:rsidR="000C2868" w:rsidRPr="003E1083" w14:paraId="4200824F" w14:textId="77777777" w:rsidTr="000C2868">
        <w:trPr>
          <w:trHeight w:val="315"/>
          <w:jc w:val="center"/>
        </w:trPr>
        <w:tc>
          <w:tcPr>
            <w:tcW w:w="2520" w:type="dxa"/>
            <w:tcBorders>
              <w:top w:val="nil"/>
              <w:left w:val="single" w:sz="8" w:space="0" w:color="4BACC6"/>
              <w:bottom w:val="nil"/>
              <w:right w:val="single" w:sz="8" w:space="0" w:color="4BACC6"/>
            </w:tcBorders>
            <w:shd w:val="clear" w:color="auto" w:fill="auto"/>
            <w:vAlign w:val="center"/>
            <w:hideMark/>
          </w:tcPr>
          <w:p w14:paraId="44B0A891" w14:textId="77777777" w:rsidR="000C2868" w:rsidRPr="003E1083" w:rsidRDefault="000C2868" w:rsidP="000C2868">
            <w:pPr>
              <w:rPr>
                <w:rFonts w:asciiTheme="minorHAnsi" w:hAnsiTheme="minorHAnsi"/>
                <w:color w:val="000000"/>
                <w:sz w:val="18"/>
                <w:szCs w:val="18"/>
                <w:lang w:val="sq-AL"/>
              </w:rPr>
            </w:pPr>
            <w:r w:rsidRPr="003E1083">
              <w:rPr>
                <w:rFonts w:asciiTheme="minorHAnsi" w:hAnsiTheme="minorHAnsi"/>
                <w:color w:val="000000"/>
                <w:sz w:val="18"/>
                <w:szCs w:val="18"/>
                <w:lang w:val="sq-AL"/>
              </w:rPr>
              <w:t>Administrimi i Pyjeve</w:t>
            </w:r>
          </w:p>
        </w:tc>
        <w:tc>
          <w:tcPr>
            <w:tcW w:w="1170" w:type="dxa"/>
            <w:tcBorders>
              <w:top w:val="nil"/>
              <w:left w:val="nil"/>
              <w:bottom w:val="single" w:sz="8" w:space="0" w:color="4BACC6"/>
              <w:right w:val="single" w:sz="8" w:space="0" w:color="4BACC6"/>
            </w:tcBorders>
            <w:shd w:val="clear" w:color="auto" w:fill="auto"/>
            <w:vAlign w:val="center"/>
            <w:hideMark/>
          </w:tcPr>
          <w:p w14:paraId="483F9552"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368,310</w:t>
            </w:r>
          </w:p>
        </w:tc>
        <w:tc>
          <w:tcPr>
            <w:tcW w:w="1080" w:type="dxa"/>
            <w:tcBorders>
              <w:top w:val="nil"/>
              <w:left w:val="nil"/>
              <w:bottom w:val="single" w:sz="8" w:space="0" w:color="4BACC6"/>
              <w:right w:val="single" w:sz="8" w:space="0" w:color="4BACC6"/>
            </w:tcBorders>
            <w:shd w:val="clear" w:color="auto" w:fill="auto"/>
            <w:vAlign w:val="center"/>
            <w:hideMark/>
          </w:tcPr>
          <w:p w14:paraId="4A50520A"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158,600</w:t>
            </w:r>
          </w:p>
        </w:tc>
        <w:tc>
          <w:tcPr>
            <w:tcW w:w="1097" w:type="dxa"/>
            <w:tcBorders>
              <w:top w:val="nil"/>
              <w:left w:val="nil"/>
              <w:bottom w:val="single" w:sz="8" w:space="0" w:color="4BACC6"/>
              <w:right w:val="single" w:sz="8" w:space="0" w:color="4BACC6"/>
            </w:tcBorders>
            <w:shd w:val="clear" w:color="auto" w:fill="auto"/>
            <w:vAlign w:val="center"/>
            <w:hideMark/>
          </w:tcPr>
          <w:p w14:paraId="06682F04"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 xml:space="preserve">102,386 </w:t>
            </w:r>
          </w:p>
        </w:tc>
        <w:tc>
          <w:tcPr>
            <w:tcW w:w="1153" w:type="dxa"/>
            <w:tcBorders>
              <w:top w:val="nil"/>
              <w:left w:val="nil"/>
              <w:bottom w:val="single" w:sz="8" w:space="0" w:color="4BACC6"/>
              <w:right w:val="single" w:sz="8" w:space="0" w:color="4BACC6"/>
            </w:tcBorders>
            <w:shd w:val="clear" w:color="auto" w:fill="auto"/>
            <w:vAlign w:val="center"/>
            <w:hideMark/>
          </w:tcPr>
          <w:p w14:paraId="65E056B6" w14:textId="77777777" w:rsidR="000C2868" w:rsidRPr="003E1083" w:rsidRDefault="000C2868" w:rsidP="000C2868">
            <w:pPr>
              <w:rPr>
                <w:rFonts w:asciiTheme="minorHAnsi" w:hAnsiTheme="minorHAnsi"/>
                <w:color w:val="000000"/>
                <w:sz w:val="18"/>
                <w:szCs w:val="18"/>
                <w:lang w:val="sq-AL"/>
              </w:rPr>
            </w:pPr>
            <w:r w:rsidRPr="003E1083">
              <w:rPr>
                <w:rFonts w:asciiTheme="minorHAnsi" w:hAnsiTheme="minorHAnsi"/>
                <w:color w:val="000000"/>
                <w:sz w:val="18"/>
                <w:szCs w:val="18"/>
                <w:lang w:val="sq-AL"/>
              </w:rPr>
              <w:t xml:space="preserve">          0         </w:t>
            </w:r>
          </w:p>
        </w:tc>
        <w:tc>
          <w:tcPr>
            <w:tcW w:w="1170" w:type="dxa"/>
            <w:tcBorders>
              <w:top w:val="nil"/>
              <w:left w:val="nil"/>
              <w:bottom w:val="single" w:sz="8" w:space="0" w:color="4BACC6"/>
              <w:right w:val="nil"/>
            </w:tcBorders>
            <w:shd w:val="clear" w:color="auto" w:fill="auto"/>
            <w:vAlign w:val="center"/>
            <w:hideMark/>
          </w:tcPr>
          <w:p w14:paraId="6A6B6F0A"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27.8%</w:t>
            </w:r>
          </w:p>
        </w:tc>
        <w:tc>
          <w:tcPr>
            <w:tcW w:w="1260" w:type="dxa"/>
            <w:tcBorders>
              <w:top w:val="nil"/>
              <w:left w:val="nil"/>
              <w:bottom w:val="single" w:sz="8" w:space="0" w:color="4BACC6"/>
              <w:right w:val="single" w:sz="8" w:space="0" w:color="4BACC6"/>
            </w:tcBorders>
            <w:shd w:val="clear" w:color="000000" w:fill="FFFFFF"/>
            <w:vAlign w:val="center"/>
            <w:hideMark/>
          </w:tcPr>
          <w:p w14:paraId="368FB431"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0.0%</w:t>
            </w:r>
          </w:p>
        </w:tc>
      </w:tr>
      <w:tr w:rsidR="000C2868" w:rsidRPr="003E1083" w14:paraId="430FA8E0" w14:textId="77777777" w:rsidTr="000C2868">
        <w:trPr>
          <w:trHeight w:val="315"/>
          <w:jc w:val="center"/>
        </w:trPr>
        <w:tc>
          <w:tcPr>
            <w:tcW w:w="2520" w:type="dxa"/>
            <w:tcBorders>
              <w:top w:val="single" w:sz="8" w:space="0" w:color="4BACC6"/>
              <w:left w:val="single" w:sz="8" w:space="0" w:color="4BACC6"/>
              <w:bottom w:val="nil"/>
              <w:right w:val="single" w:sz="8" w:space="0" w:color="4BACC6"/>
            </w:tcBorders>
            <w:shd w:val="clear" w:color="auto" w:fill="auto"/>
            <w:vAlign w:val="center"/>
            <w:hideMark/>
          </w:tcPr>
          <w:p w14:paraId="2893E79E" w14:textId="77777777" w:rsidR="000C2868" w:rsidRPr="003E1083" w:rsidRDefault="000C2868" w:rsidP="000C2868">
            <w:pPr>
              <w:rPr>
                <w:rFonts w:asciiTheme="minorHAnsi" w:hAnsiTheme="minorHAnsi"/>
                <w:color w:val="000000"/>
                <w:sz w:val="18"/>
                <w:szCs w:val="18"/>
                <w:lang w:val="sq-AL"/>
              </w:rPr>
            </w:pPr>
            <w:r w:rsidRPr="003E1083">
              <w:rPr>
                <w:rFonts w:asciiTheme="minorHAnsi" w:hAnsiTheme="minorHAnsi"/>
                <w:color w:val="000000"/>
                <w:sz w:val="18"/>
                <w:szCs w:val="18"/>
                <w:lang w:val="sq-AL"/>
              </w:rPr>
              <w:t>Zhvillimi i Turizmit</w:t>
            </w:r>
          </w:p>
        </w:tc>
        <w:tc>
          <w:tcPr>
            <w:tcW w:w="1170" w:type="dxa"/>
            <w:tcBorders>
              <w:top w:val="nil"/>
              <w:left w:val="nil"/>
              <w:bottom w:val="nil"/>
              <w:right w:val="nil"/>
            </w:tcBorders>
            <w:shd w:val="clear" w:color="auto" w:fill="auto"/>
            <w:vAlign w:val="center"/>
            <w:hideMark/>
          </w:tcPr>
          <w:p w14:paraId="4D2966D9"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457,760</w:t>
            </w:r>
          </w:p>
        </w:tc>
        <w:tc>
          <w:tcPr>
            <w:tcW w:w="1080" w:type="dxa"/>
            <w:tcBorders>
              <w:top w:val="nil"/>
              <w:left w:val="single" w:sz="8" w:space="0" w:color="4BACC6"/>
              <w:bottom w:val="nil"/>
              <w:right w:val="single" w:sz="8" w:space="0" w:color="4BACC6"/>
            </w:tcBorders>
            <w:shd w:val="clear" w:color="auto" w:fill="auto"/>
            <w:vAlign w:val="center"/>
            <w:hideMark/>
          </w:tcPr>
          <w:p w14:paraId="485B737D"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137,500</w:t>
            </w:r>
          </w:p>
        </w:tc>
        <w:tc>
          <w:tcPr>
            <w:tcW w:w="1097" w:type="dxa"/>
            <w:tcBorders>
              <w:top w:val="nil"/>
              <w:left w:val="nil"/>
              <w:bottom w:val="nil"/>
              <w:right w:val="nil"/>
            </w:tcBorders>
            <w:shd w:val="clear" w:color="auto" w:fill="auto"/>
            <w:vAlign w:val="center"/>
            <w:hideMark/>
          </w:tcPr>
          <w:p w14:paraId="776A6862"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60,600</w:t>
            </w:r>
          </w:p>
        </w:tc>
        <w:tc>
          <w:tcPr>
            <w:tcW w:w="1153" w:type="dxa"/>
            <w:tcBorders>
              <w:top w:val="nil"/>
              <w:left w:val="single" w:sz="8" w:space="0" w:color="4BACC6"/>
              <w:bottom w:val="nil"/>
              <w:right w:val="single" w:sz="8" w:space="0" w:color="4BACC6"/>
            </w:tcBorders>
            <w:shd w:val="clear" w:color="auto" w:fill="auto"/>
            <w:vAlign w:val="center"/>
            <w:hideMark/>
          </w:tcPr>
          <w:p w14:paraId="48337FF9"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113,351</w:t>
            </w:r>
          </w:p>
        </w:tc>
        <w:tc>
          <w:tcPr>
            <w:tcW w:w="1170" w:type="dxa"/>
            <w:tcBorders>
              <w:top w:val="nil"/>
              <w:left w:val="nil"/>
              <w:bottom w:val="nil"/>
              <w:right w:val="nil"/>
            </w:tcBorders>
            <w:shd w:val="clear" w:color="auto" w:fill="auto"/>
            <w:vAlign w:val="center"/>
            <w:hideMark/>
          </w:tcPr>
          <w:p w14:paraId="7AC13D68"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13.2%</w:t>
            </w:r>
          </w:p>
        </w:tc>
        <w:tc>
          <w:tcPr>
            <w:tcW w:w="1260" w:type="dxa"/>
            <w:tcBorders>
              <w:top w:val="nil"/>
              <w:left w:val="nil"/>
              <w:bottom w:val="nil"/>
              <w:right w:val="single" w:sz="8" w:space="0" w:color="4BACC6"/>
            </w:tcBorders>
            <w:shd w:val="clear" w:color="000000" w:fill="FFFFFF"/>
            <w:vAlign w:val="center"/>
            <w:hideMark/>
          </w:tcPr>
          <w:p w14:paraId="625DC9B2"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82.4%</w:t>
            </w:r>
          </w:p>
        </w:tc>
      </w:tr>
      <w:tr w:rsidR="000C2868" w:rsidRPr="003E1083" w14:paraId="259F394E" w14:textId="77777777" w:rsidTr="000C2868">
        <w:trPr>
          <w:trHeight w:val="315"/>
          <w:jc w:val="center"/>
        </w:trPr>
        <w:tc>
          <w:tcPr>
            <w:tcW w:w="2520" w:type="dxa"/>
            <w:tcBorders>
              <w:top w:val="single" w:sz="8" w:space="0" w:color="4BACC6"/>
              <w:left w:val="single" w:sz="8" w:space="0" w:color="4BACC6"/>
              <w:bottom w:val="single" w:sz="8" w:space="0" w:color="4BACC6"/>
              <w:right w:val="single" w:sz="8" w:space="0" w:color="4BACC6"/>
            </w:tcBorders>
            <w:shd w:val="clear" w:color="auto" w:fill="auto"/>
            <w:vAlign w:val="center"/>
            <w:hideMark/>
          </w:tcPr>
          <w:p w14:paraId="4ACE72D7" w14:textId="77777777" w:rsidR="000C2868" w:rsidRPr="003E1083" w:rsidRDefault="000C2868" w:rsidP="000C2868">
            <w:pPr>
              <w:jc w:val="center"/>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Totali</w:t>
            </w:r>
          </w:p>
        </w:tc>
        <w:tc>
          <w:tcPr>
            <w:tcW w:w="1170" w:type="dxa"/>
            <w:tcBorders>
              <w:top w:val="single" w:sz="8" w:space="0" w:color="4BACC6"/>
              <w:left w:val="nil"/>
              <w:bottom w:val="single" w:sz="8" w:space="0" w:color="4BACC6"/>
              <w:right w:val="single" w:sz="8" w:space="0" w:color="4BACC6"/>
            </w:tcBorders>
            <w:shd w:val="clear" w:color="auto" w:fill="auto"/>
            <w:vAlign w:val="center"/>
            <w:hideMark/>
          </w:tcPr>
          <w:p w14:paraId="6D18774C" w14:textId="77777777" w:rsidR="000C2868" w:rsidRPr="003E1083" w:rsidRDefault="000C2868" w:rsidP="000C2868">
            <w:pPr>
              <w:jc w:val="center"/>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1,495,400</w:t>
            </w:r>
          </w:p>
        </w:tc>
        <w:tc>
          <w:tcPr>
            <w:tcW w:w="1080" w:type="dxa"/>
            <w:tcBorders>
              <w:top w:val="single" w:sz="8" w:space="0" w:color="4BACC6"/>
              <w:left w:val="nil"/>
              <w:bottom w:val="single" w:sz="8" w:space="0" w:color="4BACC6"/>
              <w:right w:val="single" w:sz="8" w:space="0" w:color="4BACC6"/>
            </w:tcBorders>
            <w:shd w:val="clear" w:color="auto" w:fill="auto"/>
            <w:vAlign w:val="center"/>
            <w:hideMark/>
          </w:tcPr>
          <w:p w14:paraId="5EA58C9A" w14:textId="77777777" w:rsidR="000C2868" w:rsidRPr="003E1083" w:rsidRDefault="000C2868" w:rsidP="000C2868">
            <w:pPr>
              <w:jc w:val="center"/>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809,100</w:t>
            </w:r>
          </w:p>
        </w:tc>
        <w:tc>
          <w:tcPr>
            <w:tcW w:w="1097" w:type="dxa"/>
            <w:tcBorders>
              <w:top w:val="single" w:sz="8" w:space="0" w:color="4BACC6"/>
              <w:left w:val="nil"/>
              <w:bottom w:val="single" w:sz="8" w:space="0" w:color="4BACC6"/>
              <w:right w:val="single" w:sz="8" w:space="0" w:color="4BACC6"/>
            </w:tcBorders>
            <w:shd w:val="clear" w:color="auto" w:fill="auto"/>
            <w:vAlign w:val="center"/>
            <w:hideMark/>
          </w:tcPr>
          <w:p w14:paraId="100FE2AA" w14:textId="77777777" w:rsidR="000C2868" w:rsidRPr="003E1083" w:rsidRDefault="000C2868" w:rsidP="000C2868">
            <w:pPr>
              <w:jc w:val="center"/>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313,385</w:t>
            </w:r>
          </w:p>
        </w:tc>
        <w:tc>
          <w:tcPr>
            <w:tcW w:w="1153" w:type="dxa"/>
            <w:tcBorders>
              <w:top w:val="single" w:sz="8" w:space="0" w:color="4BACC6"/>
              <w:left w:val="nil"/>
              <w:bottom w:val="single" w:sz="8" w:space="0" w:color="4BACC6"/>
              <w:right w:val="single" w:sz="8" w:space="0" w:color="4BACC6"/>
            </w:tcBorders>
            <w:shd w:val="clear" w:color="auto" w:fill="auto"/>
            <w:vAlign w:val="center"/>
            <w:hideMark/>
          </w:tcPr>
          <w:p w14:paraId="4C774AC1" w14:textId="77777777" w:rsidR="000C2868" w:rsidRPr="003E1083" w:rsidRDefault="000C2868" w:rsidP="000C2868">
            <w:pPr>
              <w:jc w:val="center"/>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127,109</w:t>
            </w:r>
          </w:p>
        </w:tc>
        <w:tc>
          <w:tcPr>
            <w:tcW w:w="1170" w:type="dxa"/>
            <w:tcBorders>
              <w:top w:val="single" w:sz="8" w:space="0" w:color="4BACC6"/>
              <w:left w:val="nil"/>
              <w:bottom w:val="single" w:sz="8" w:space="0" w:color="4BACC6"/>
              <w:right w:val="nil"/>
            </w:tcBorders>
            <w:shd w:val="clear" w:color="auto" w:fill="auto"/>
            <w:vAlign w:val="center"/>
            <w:hideMark/>
          </w:tcPr>
          <w:p w14:paraId="177BB465" w14:textId="77777777" w:rsidR="000C2868" w:rsidRPr="003E1083" w:rsidRDefault="000C2868" w:rsidP="000C2868">
            <w:pPr>
              <w:jc w:val="center"/>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21.0%</w:t>
            </w:r>
          </w:p>
        </w:tc>
        <w:tc>
          <w:tcPr>
            <w:tcW w:w="1260" w:type="dxa"/>
            <w:tcBorders>
              <w:top w:val="single" w:sz="8" w:space="0" w:color="4BACC6"/>
              <w:left w:val="nil"/>
              <w:bottom w:val="single" w:sz="8" w:space="0" w:color="4BACC6"/>
              <w:right w:val="single" w:sz="8" w:space="0" w:color="4BACC6"/>
            </w:tcBorders>
            <w:shd w:val="clear" w:color="000000" w:fill="FFFFFF"/>
            <w:vAlign w:val="center"/>
            <w:hideMark/>
          </w:tcPr>
          <w:p w14:paraId="7FC437D7" w14:textId="77777777" w:rsidR="000C2868" w:rsidRPr="003E1083" w:rsidRDefault="000C2868" w:rsidP="000C2868">
            <w:pPr>
              <w:jc w:val="center"/>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15.7%</w:t>
            </w:r>
          </w:p>
        </w:tc>
      </w:tr>
    </w:tbl>
    <w:p w14:paraId="68662519" w14:textId="77777777" w:rsidR="000C2868" w:rsidRPr="003E1083" w:rsidRDefault="000C2868" w:rsidP="000C2868">
      <w:pPr>
        <w:contextualSpacing/>
        <w:jc w:val="both"/>
        <w:rPr>
          <w:rFonts w:asciiTheme="minorHAnsi" w:eastAsia="MS Mincho" w:hAnsiTheme="minorHAnsi"/>
          <w:b/>
          <w:lang w:val="sq-AL"/>
        </w:rPr>
      </w:pPr>
    </w:p>
    <w:p w14:paraId="31AA2007" w14:textId="77777777" w:rsidR="000C2868" w:rsidRPr="003E1083" w:rsidRDefault="000C2868" w:rsidP="000C2868">
      <w:pPr>
        <w:contextualSpacing/>
        <w:jc w:val="both"/>
        <w:rPr>
          <w:rFonts w:asciiTheme="minorHAnsi" w:hAnsiTheme="minorHAnsi"/>
          <w:lang w:val="sq-AL"/>
        </w:rPr>
      </w:pPr>
      <w:r w:rsidRPr="003E1083">
        <w:rPr>
          <w:rFonts w:asciiTheme="minorHAnsi" w:eastAsia="MS Mincho" w:hAnsiTheme="minorHAnsi"/>
          <w:b/>
          <w:lang w:val="sq-AL"/>
        </w:rPr>
        <w:t>Në programin “Mbrojtja e Mjedisit</w:t>
      </w:r>
      <w:r w:rsidRPr="003E1083">
        <w:rPr>
          <w:rFonts w:asciiTheme="minorHAnsi" w:eastAsia="MS Mincho" w:hAnsiTheme="minorHAnsi"/>
          <w:lang w:val="sq-AL"/>
        </w:rPr>
        <w:t xml:space="preserve">” </w:t>
      </w:r>
      <w:r w:rsidRPr="003E1083">
        <w:rPr>
          <w:rFonts w:asciiTheme="minorHAnsi" w:hAnsiTheme="minorHAnsi"/>
          <w:lang w:val="sq-AL"/>
        </w:rPr>
        <w:t xml:space="preserve">për </w:t>
      </w:r>
      <w:r w:rsidRPr="00BC2DE0">
        <w:rPr>
          <w:rFonts w:asciiTheme="minorHAnsi" w:hAnsiTheme="minorHAnsi"/>
          <w:lang w:val="sq-AL"/>
        </w:rPr>
        <w:t xml:space="preserve">4M I </w:t>
      </w:r>
      <w:r w:rsidRPr="003E1083">
        <w:rPr>
          <w:rFonts w:asciiTheme="minorHAnsi" w:hAnsiTheme="minorHAnsi"/>
          <w:lang w:val="sq-AL"/>
        </w:rPr>
        <w:t xml:space="preserve">të vitit 2023, fondet në shpenzimet korente janë realizuar në nivelin 19% kundrejt fondeve vjetore te planifikuara. </w:t>
      </w:r>
      <w:r>
        <w:rPr>
          <w:rFonts w:asciiTheme="minorHAnsi" w:hAnsiTheme="minorHAnsi"/>
          <w:lang w:val="sq-AL"/>
        </w:rPr>
        <w:t xml:space="preserve"> </w:t>
      </w:r>
    </w:p>
    <w:p w14:paraId="669B6E41"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 xml:space="preserve">Produkti “Inspektime te kryera”, është realizuar në masën 20% përgjatë 4M, kundrejt fondeve të planifikuara për vitin 2023. </w:t>
      </w:r>
    </w:p>
    <w:p w14:paraId="73E198EA"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 xml:space="preserve">Produkti “Raporte monitorimi” është realizuar në masën 29% përgjatë 4M, kundrejt fondeve të planifikuara për vitin 2023. </w:t>
      </w:r>
    </w:p>
    <w:p w14:paraId="30B43907"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Produkti “Akte ligjore dhe nënligjore, dokumenta strategjike”, është realizuar në masën 4% kundrejt fondeve të planifikuara për vitin 2023.</w:t>
      </w:r>
    </w:p>
    <w:p w14:paraId="0CFC8A4D"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Produkti “Dosje të shqyrtuara” është realizuar në masën 26% kundrejt fondeve të planifikuara për 2023.</w:t>
      </w:r>
    </w:p>
    <w:p w14:paraId="079D97B3" w14:textId="77777777" w:rsidR="000C2868" w:rsidRDefault="000C2868" w:rsidP="000C2868">
      <w:pPr>
        <w:contextualSpacing/>
        <w:jc w:val="both"/>
        <w:rPr>
          <w:rFonts w:asciiTheme="minorHAnsi" w:eastAsia="MS Mincho" w:hAnsiTheme="minorHAnsi"/>
          <w:b/>
          <w:lang w:val="sq-AL"/>
        </w:rPr>
      </w:pPr>
    </w:p>
    <w:p w14:paraId="4F526DC2" w14:textId="6FAE2A67" w:rsidR="000C2868" w:rsidRPr="003E1083" w:rsidRDefault="000C2868" w:rsidP="000C2868">
      <w:pPr>
        <w:contextualSpacing/>
        <w:jc w:val="both"/>
        <w:rPr>
          <w:rFonts w:asciiTheme="minorHAnsi" w:hAnsiTheme="minorHAnsi"/>
          <w:lang w:val="sq-AL"/>
        </w:rPr>
      </w:pPr>
      <w:r w:rsidRPr="003E1083">
        <w:rPr>
          <w:rFonts w:asciiTheme="minorHAnsi" w:eastAsia="MS Mincho" w:hAnsiTheme="minorHAnsi"/>
          <w:b/>
          <w:lang w:val="sq-AL"/>
        </w:rPr>
        <w:lastRenderedPageBreak/>
        <w:t>Në programin “Administrimi i Pyjeve</w:t>
      </w:r>
      <w:r w:rsidRPr="003E1083">
        <w:rPr>
          <w:rFonts w:asciiTheme="minorHAnsi" w:eastAsia="MS Mincho" w:hAnsiTheme="minorHAnsi"/>
          <w:lang w:val="sq-AL"/>
        </w:rPr>
        <w:t xml:space="preserve">” </w:t>
      </w:r>
      <w:r w:rsidRPr="003E1083">
        <w:rPr>
          <w:rFonts w:asciiTheme="minorHAnsi" w:hAnsiTheme="minorHAnsi"/>
          <w:lang w:val="sq-AL"/>
        </w:rPr>
        <w:t xml:space="preserve">për </w:t>
      </w:r>
      <w:r w:rsidRPr="00BC2DE0">
        <w:rPr>
          <w:rFonts w:asciiTheme="minorHAnsi" w:hAnsiTheme="minorHAnsi"/>
          <w:lang w:val="sq-AL"/>
        </w:rPr>
        <w:t>4M I</w:t>
      </w:r>
      <w:r w:rsidRPr="003E1083">
        <w:rPr>
          <w:rFonts w:asciiTheme="minorHAnsi" w:hAnsiTheme="minorHAnsi"/>
          <w:lang w:val="sq-AL"/>
        </w:rPr>
        <w:t xml:space="preserve"> të vitit 2023, fondet në shpenzimet korente janë realizuar në nivelin 28% kundrejt fondeve vjetore te planifikuara. Produktet, të cilët kanë kontribuar në realizimin e qëllimit të programit paraqiten si vijon: </w:t>
      </w:r>
    </w:p>
    <w:p w14:paraId="284997C0" w14:textId="77777777" w:rsidR="000C2868" w:rsidRPr="003E3E99" w:rsidRDefault="000C2868" w:rsidP="000C2868">
      <w:pPr>
        <w:numPr>
          <w:ilvl w:val="0"/>
          <w:numId w:val="6"/>
        </w:numPr>
        <w:spacing w:after="120"/>
        <w:ind w:left="360"/>
        <w:contextualSpacing/>
        <w:jc w:val="both"/>
        <w:rPr>
          <w:rFonts w:asciiTheme="minorHAnsi" w:hAnsiTheme="minorHAnsi"/>
          <w:i/>
          <w:lang w:val="sq-AL"/>
        </w:rPr>
      </w:pPr>
      <w:r w:rsidRPr="003E3E99">
        <w:rPr>
          <w:rFonts w:asciiTheme="minorHAnsi" w:hAnsiTheme="minorHAnsi"/>
          <w:i/>
          <w:lang w:val="sq-AL"/>
        </w:rPr>
        <w:t>Produkti “Raporte monitorimi në Zonat e Mbrojtura”, është re</w:t>
      </w:r>
      <w:r>
        <w:rPr>
          <w:rFonts w:asciiTheme="minorHAnsi" w:hAnsiTheme="minorHAnsi"/>
          <w:i/>
          <w:lang w:val="sq-AL"/>
        </w:rPr>
        <w:t>alizuar në masën 27% përgjatë 4M</w:t>
      </w:r>
      <w:r w:rsidRPr="003E3E99">
        <w:rPr>
          <w:rFonts w:asciiTheme="minorHAnsi" w:hAnsiTheme="minorHAnsi"/>
          <w:i/>
          <w:lang w:val="sq-AL"/>
        </w:rPr>
        <w:t xml:space="preserve">, kundrejt fondeve të planifikuara për vitin 2023. </w:t>
      </w:r>
    </w:p>
    <w:p w14:paraId="2A4F6649" w14:textId="77777777" w:rsidR="000C2868" w:rsidRPr="003E3E99" w:rsidRDefault="000C2868" w:rsidP="000C2868">
      <w:pPr>
        <w:numPr>
          <w:ilvl w:val="0"/>
          <w:numId w:val="6"/>
        </w:numPr>
        <w:spacing w:after="120"/>
        <w:ind w:left="360"/>
        <w:contextualSpacing/>
        <w:jc w:val="both"/>
        <w:rPr>
          <w:rFonts w:asciiTheme="minorHAnsi" w:hAnsiTheme="minorHAnsi"/>
          <w:i/>
          <w:lang w:val="sq-AL"/>
        </w:rPr>
      </w:pPr>
      <w:r w:rsidRPr="003E3E99">
        <w:rPr>
          <w:rFonts w:asciiTheme="minorHAnsi" w:hAnsiTheme="minorHAnsi"/>
          <w:i/>
          <w:lang w:val="sq-AL"/>
        </w:rPr>
        <w:t>Produkti “Objekte te administruara nga Agjencia Kombëtare e Zonave të Mbrojtura” është realizuar në masën 36% përgjatë 4</w:t>
      </w:r>
      <w:r>
        <w:rPr>
          <w:rFonts w:asciiTheme="minorHAnsi" w:hAnsiTheme="minorHAnsi"/>
          <w:i/>
          <w:lang w:val="sq-AL"/>
        </w:rPr>
        <w:t>M</w:t>
      </w:r>
      <w:r w:rsidRPr="003E3E99">
        <w:rPr>
          <w:rFonts w:asciiTheme="minorHAnsi" w:hAnsiTheme="minorHAnsi"/>
          <w:i/>
          <w:lang w:val="sq-AL"/>
        </w:rPr>
        <w:t xml:space="preserve">, kundrejt fondeve të planifikuara për vitin 2023. </w:t>
      </w:r>
    </w:p>
    <w:p w14:paraId="4313C793" w14:textId="77777777" w:rsidR="000C2868" w:rsidRPr="003E3E99" w:rsidRDefault="000C2868" w:rsidP="000C2868">
      <w:pPr>
        <w:numPr>
          <w:ilvl w:val="0"/>
          <w:numId w:val="6"/>
        </w:numPr>
        <w:spacing w:after="120"/>
        <w:ind w:left="360"/>
        <w:contextualSpacing/>
        <w:jc w:val="both"/>
        <w:rPr>
          <w:rFonts w:asciiTheme="minorHAnsi" w:hAnsiTheme="minorHAnsi"/>
          <w:i/>
          <w:lang w:val="sq-AL"/>
        </w:rPr>
      </w:pPr>
      <w:r w:rsidRPr="003E3E99">
        <w:rPr>
          <w:rFonts w:asciiTheme="minorHAnsi" w:hAnsiTheme="minorHAnsi"/>
          <w:i/>
          <w:lang w:val="sq-AL"/>
        </w:rPr>
        <w:t>Produkti “Inventarizim dhe kadastër e kryer” është realizuar në masën 22% përgjatë 4</w:t>
      </w:r>
      <w:r>
        <w:rPr>
          <w:rFonts w:asciiTheme="minorHAnsi" w:hAnsiTheme="minorHAnsi"/>
          <w:i/>
          <w:lang w:val="sq-AL"/>
        </w:rPr>
        <w:t>M</w:t>
      </w:r>
      <w:r w:rsidRPr="003E3E99">
        <w:rPr>
          <w:rFonts w:asciiTheme="minorHAnsi" w:hAnsiTheme="minorHAnsi"/>
          <w:i/>
          <w:lang w:val="sq-AL"/>
        </w:rPr>
        <w:t xml:space="preserve">, kundrejt fondeve të planifikuara për vitin 2023. </w:t>
      </w:r>
    </w:p>
    <w:p w14:paraId="68DC300F" w14:textId="77777777" w:rsidR="000C2868" w:rsidRPr="003E3E99" w:rsidRDefault="000C2868" w:rsidP="000C2868">
      <w:pPr>
        <w:numPr>
          <w:ilvl w:val="0"/>
          <w:numId w:val="6"/>
        </w:numPr>
        <w:spacing w:after="120"/>
        <w:ind w:left="360"/>
        <w:contextualSpacing/>
        <w:jc w:val="both"/>
        <w:rPr>
          <w:rFonts w:asciiTheme="minorHAnsi" w:hAnsiTheme="minorHAnsi"/>
          <w:i/>
          <w:lang w:val="sq-AL"/>
        </w:rPr>
      </w:pPr>
      <w:r w:rsidRPr="003E3E99">
        <w:rPr>
          <w:rFonts w:asciiTheme="minorHAnsi" w:hAnsiTheme="minorHAnsi"/>
          <w:i/>
          <w:lang w:val="sq-AL"/>
        </w:rPr>
        <w:t>Produkti “Plane menaxhimi për pyjet” është realizuar në masën  23% përgjatë 4</w:t>
      </w:r>
      <w:r>
        <w:rPr>
          <w:rFonts w:asciiTheme="minorHAnsi" w:hAnsiTheme="minorHAnsi"/>
          <w:i/>
          <w:lang w:val="sq-AL"/>
        </w:rPr>
        <w:t>M</w:t>
      </w:r>
      <w:r w:rsidRPr="003E3E99">
        <w:rPr>
          <w:rFonts w:asciiTheme="minorHAnsi" w:hAnsiTheme="minorHAnsi"/>
          <w:i/>
          <w:lang w:val="sq-AL"/>
        </w:rPr>
        <w:t xml:space="preserve">, kundrejt fondeve të planifikuara për vitin 2023. </w:t>
      </w:r>
    </w:p>
    <w:p w14:paraId="622CB199" w14:textId="77777777" w:rsidR="000C2868" w:rsidRPr="000C2868" w:rsidRDefault="000C2868" w:rsidP="000C2868">
      <w:pPr>
        <w:spacing w:before="240"/>
        <w:contextualSpacing/>
        <w:jc w:val="both"/>
        <w:rPr>
          <w:rFonts w:asciiTheme="minorHAnsi" w:eastAsia="MS Mincho" w:hAnsiTheme="minorHAnsi"/>
          <w:b/>
          <w:sz w:val="8"/>
          <w:lang w:val="sq-AL"/>
        </w:rPr>
      </w:pPr>
    </w:p>
    <w:p w14:paraId="67A627FA" w14:textId="77777777" w:rsidR="000C2868" w:rsidRPr="003E1083" w:rsidRDefault="000C2868" w:rsidP="000C2868">
      <w:pPr>
        <w:spacing w:before="240"/>
        <w:contextualSpacing/>
        <w:jc w:val="both"/>
        <w:rPr>
          <w:rFonts w:asciiTheme="minorHAnsi" w:hAnsiTheme="minorHAnsi"/>
          <w:lang w:val="sq-AL"/>
        </w:rPr>
      </w:pPr>
      <w:r w:rsidRPr="003E1083">
        <w:rPr>
          <w:rFonts w:asciiTheme="minorHAnsi" w:eastAsia="MS Mincho" w:hAnsiTheme="minorHAnsi"/>
          <w:b/>
          <w:lang w:val="sq-AL"/>
        </w:rPr>
        <w:t>Në programin “Zhvillimi i Turizmit</w:t>
      </w:r>
      <w:r w:rsidRPr="003E1083">
        <w:rPr>
          <w:rFonts w:asciiTheme="minorHAnsi" w:eastAsia="MS Mincho" w:hAnsiTheme="minorHAnsi"/>
          <w:lang w:val="sq-AL"/>
        </w:rPr>
        <w:t xml:space="preserve">” </w:t>
      </w:r>
      <w:r w:rsidRPr="003E1083">
        <w:rPr>
          <w:rFonts w:asciiTheme="minorHAnsi" w:hAnsiTheme="minorHAnsi"/>
          <w:lang w:val="sq-AL"/>
        </w:rPr>
        <w:t xml:space="preserve">për </w:t>
      </w:r>
      <w:r w:rsidRPr="00BC2DE0">
        <w:rPr>
          <w:rFonts w:asciiTheme="minorHAnsi" w:hAnsiTheme="minorHAnsi"/>
          <w:lang w:val="sq-AL"/>
        </w:rPr>
        <w:t xml:space="preserve">4M I </w:t>
      </w:r>
      <w:r w:rsidRPr="003E1083">
        <w:rPr>
          <w:rFonts w:asciiTheme="minorHAnsi" w:hAnsiTheme="minorHAnsi"/>
          <w:lang w:val="sq-AL"/>
        </w:rPr>
        <w:t>të vitit 2023, fondet në shpenzime korente janë realizuar në nivelin 13.2 % kundrejt fondeve vjetore te planifikuara. Produktet të cilët kanë kontribuar në realizimin e objektivave të këtij programi paraqiten si vijon:</w:t>
      </w:r>
    </w:p>
    <w:p w14:paraId="6C588326"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Produkti “Monitorime të kryera përgjatë gjithë vijës bregdetare”, është realizuar në masën 25% përgjatë 4</w:t>
      </w:r>
      <w:r>
        <w:rPr>
          <w:rFonts w:asciiTheme="minorHAnsi" w:hAnsiTheme="minorHAnsi"/>
          <w:i/>
          <w:lang w:val="sq-AL"/>
        </w:rPr>
        <w:t>M</w:t>
      </w:r>
      <w:r w:rsidRPr="003E1083">
        <w:rPr>
          <w:rFonts w:asciiTheme="minorHAnsi" w:hAnsiTheme="minorHAnsi"/>
          <w:i/>
          <w:lang w:val="sq-AL"/>
        </w:rPr>
        <w:t xml:space="preserve">, kundrejt fondeve të planifikuara për vitin 2023. </w:t>
      </w:r>
    </w:p>
    <w:p w14:paraId="1AAC4723"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Produkti “Turizëm i promovuar” është realizuar në masën 40% përgjatë 4</w:t>
      </w:r>
      <w:r>
        <w:rPr>
          <w:rFonts w:asciiTheme="minorHAnsi" w:hAnsiTheme="minorHAnsi"/>
          <w:i/>
          <w:lang w:val="sq-AL"/>
        </w:rPr>
        <w:t>M</w:t>
      </w:r>
      <w:r w:rsidRPr="003E1083">
        <w:rPr>
          <w:rFonts w:asciiTheme="minorHAnsi" w:hAnsiTheme="minorHAnsi"/>
          <w:i/>
          <w:lang w:val="sq-AL"/>
        </w:rPr>
        <w:t xml:space="preserve">, kundrejt fondeve të planifikuara për vitin 2023. </w:t>
      </w:r>
    </w:p>
    <w:p w14:paraId="5E31C6C8"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Janë shpallur 25 subjekte fituese në kuader të programit për mbështetje financiare të projekteve me tematikë promovimin e destinacioneve dhe zhvillimin e produkteve turistike.</w:t>
      </w:r>
    </w:p>
    <w:p w14:paraId="36A3C1EB" w14:textId="77777777" w:rsidR="000C2868" w:rsidRPr="003E1083" w:rsidRDefault="000C2868" w:rsidP="000C2868">
      <w:pPr>
        <w:rPr>
          <w:rFonts w:asciiTheme="minorHAnsi" w:eastAsia="Calibri" w:hAnsiTheme="minorHAnsi"/>
          <w:lang w:val="sq-AL"/>
        </w:rPr>
      </w:pPr>
    </w:p>
    <w:p w14:paraId="4353375A" w14:textId="5240276A" w:rsidR="000C2868" w:rsidRDefault="000C2868" w:rsidP="000C2868">
      <w:pPr>
        <w:rPr>
          <w:rFonts w:asciiTheme="minorHAnsi" w:eastAsia="Calibri" w:hAnsiTheme="minorHAnsi"/>
          <w:lang w:val="sq-AL"/>
        </w:rPr>
      </w:pPr>
    </w:p>
    <w:p w14:paraId="0234EF71" w14:textId="77777777" w:rsidR="000C2868" w:rsidRPr="003E1083" w:rsidRDefault="000C2868" w:rsidP="000C2868">
      <w:pPr>
        <w:rPr>
          <w:rFonts w:asciiTheme="minorHAnsi" w:eastAsia="Calibri" w:hAnsiTheme="minorHAnsi"/>
          <w:lang w:val="sq-AL"/>
        </w:rPr>
      </w:pPr>
    </w:p>
    <w:p w14:paraId="6A7F4F82" w14:textId="77777777" w:rsidR="000C2868" w:rsidRPr="003E1083" w:rsidRDefault="000C2868" w:rsidP="000C2868">
      <w:pPr>
        <w:spacing w:before="120"/>
        <w:jc w:val="both"/>
        <w:rPr>
          <w:rFonts w:asciiTheme="minorHAnsi" w:hAnsiTheme="minorHAnsi"/>
          <w:b/>
          <w:noProof/>
          <w:color w:val="0070C0"/>
          <w:lang w:val="sq-AL"/>
        </w:rPr>
      </w:pPr>
      <w:bookmarkStart w:id="207" w:name="_Toc10033302"/>
      <w:bookmarkStart w:id="208" w:name="_Toc10721438"/>
      <w:bookmarkStart w:id="209" w:name="_Toc11134230"/>
      <w:r w:rsidRPr="003E1083">
        <w:rPr>
          <w:rFonts w:asciiTheme="minorHAnsi" w:hAnsiTheme="minorHAnsi"/>
          <w:b/>
          <w:noProof/>
          <w:color w:val="0070C0"/>
          <w:lang w:val="sq-AL"/>
        </w:rPr>
        <w:t>DREJTËSIA</w:t>
      </w:r>
      <w:bookmarkEnd w:id="207"/>
      <w:bookmarkEnd w:id="208"/>
      <w:bookmarkEnd w:id="209"/>
    </w:p>
    <w:p w14:paraId="311A29EF" w14:textId="77777777" w:rsidR="000C2868" w:rsidRPr="003E1083" w:rsidRDefault="000C2868" w:rsidP="000C2868">
      <w:pPr>
        <w:jc w:val="both"/>
        <w:rPr>
          <w:rFonts w:asciiTheme="minorHAnsi" w:eastAsia="MS Mincho" w:hAnsiTheme="minorHAnsi"/>
          <w:color w:val="000000"/>
          <w:lang w:val="sq-AL"/>
        </w:rPr>
      </w:pPr>
      <w:bookmarkStart w:id="210" w:name="_Toc10721442"/>
      <w:bookmarkStart w:id="211" w:name="_Toc11134231"/>
      <w:bookmarkStart w:id="212" w:name="_Toc10033303"/>
      <w:bookmarkStart w:id="213" w:name="_Toc10721439"/>
      <w:bookmarkStart w:id="214" w:name="_Toc11134232"/>
      <w:r w:rsidRPr="003E1083">
        <w:rPr>
          <w:rFonts w:asciiTheme="minorHAnsi" w:eastAsia="MS Mincho" w:hAnsiTheme="minorHAnsi"/>
          <w:color w:val="000000"/>
          <w:lang w:val="sq-AL"/>
        </w:rPr>
        <w:t>Performanca e treguesve buxhetorë për nëntë programet në Ministrinë e Drejtësisë, paraqitet si më poshtë:</w:t>
      </w:r>
    </w:p>
    <w:p w14:paraId="53C78B64" w14:textId="77777777" w:rsidR="000C2868" w:rsidRPr="003E1083" w:rsidRDefault="000C2868" w:rsidP="000C2868">
      <w:pPr>
        <w:jc w:val="both"/>
        <w:rPr>
          <w:rFonts w:asciiTheme="minorHAnsi" w:eastAsia="MS Mincho" w:hAnsiTheme="minorHAnsi"/>
          <w:color w:val="000000"/>
          <w:sz w:val="8"/>
          <w:szCs w:val="8"/>
          <w:lang w:val="sq-AL"/>
        </w:rPr>
      </w:pPr>
    </w:p>
    <w:p w14:paraId="293B65CE" w14:textId="0192C8D6" w:rsidR="000C2868" w:rsidRPr="003E3E99" w:rsidRDefault="000C2868" w:rsidP="000C2868">
      <w:pPr>
        <w:rPr>
          <w:rFonts w:asciiTheme="minorHAnsi" w:hAnsiTheme="minorHAnsi"/>
          <w:b/>
          <w:bCs/>
          <w:i/>
          <w:color w:val="000000"/>
          <w:sz w:val="22"/>
          <w:lang w:val="sq-AL"/>
        </w:rPr>
      </w:pPr>
      <w:bookmarkStart w:id="215" w:name="_Toc107496779"/>
      <w:r w:rsidRPr="003E3E99">
        <w:rPr>
          <w:rFonts w:asciiTheme="minorHAnsi" w:hAnsiTheme="minorHAnsi"/>
          <w:i/>
          <w:noProof/>
          <w:sz w:val="22"/>
          <w:lang w:val="sq-AL"/>
        </w:rPr>
        <w:t xml:space="preserve">Tabela </w:t>
      </w:r>
      <w:r w:rsidRPr="003E3E99">
        <w:rPr>
          <w:rFonts w:asciiTheme="minorHAnsi" w:hAnsiTheme="minorHAnsi"/>
          <w:i/>
          <w:noProof/>
          <w:sz w:val="22"/>
          <w:lang w:val="sq-AL"/>
        </w:rPr>
        <w:fldChar w:fldCharType="begin"/>
      </w:r>
      <w:r w:rsidRPr="003E3E99">
        <w:rPr>
          <w:rFonts w:asciiTheme="minorHAnsi" w:hAnsiTheme="minorHAnsi"/>
          <w:i/>
          <w:noProof/>
          <w:sz w:val="22"/>
          <w:lang w:val="sq-AL"/>
        </w:rPr>
        <w:instrText xml:space="preserve"> SEQ Tabela \* ARABIC </w:instrText>
      </w:r>
      <w:r w:rsidRPr="003E3E99">
        <w:rPr>
          <w:rFonts w:asciiTheme="minorHAnsi" w:hAnsiTheme="minorHAnsi"/>
          <w:i/>
          <w:noProof/>
          <w:sz w:val="22"/>
          <w:lang w:val="sq-AL"/>
        </w:rPr>
        <w:fldChar w:fldCharType="separate"/>
      </w:r>
      <w:r w:rsidR="00C153A9">
        <w:rPr>
          <w:rFonts w:asciiTheme="minorHAnsi" w:hAnsiTheme="minorHAnsi"/>
          <w:i/>
          <w:noProof/>
          <w:sz w:val="22"/>
          <w:lang w:val="sq-AL"/>
        </w:rPr>
        <w:t>42</w:t>
      </w:r>
      <w:r w:rsidRPr="003E3E99">
        <w:rPr>
          <w:rFonts w:asciiTheme="minorHAnsi" w:hAnsiTheme="minorHAnsi"/>
          <w:i/>
          <w:noProof/>
          <w:sz w:val="22"/>
          <w:lang w:val="sq-AL"/>
        </w:rPr>
        <w:fldChar w:fldCharType="end"/>
      </w:r>
      <w:r w:rsidRPr="003E3E99">
        <w:rPr>
          <w:rFonts w:asciiTheme="minorHAnsi" w:hAnsiTheme="minorHAnsi"/>
          <w:i/>
          <w:noProof/>
          <w:sz w:val="22"/>
          <w:lang w:val="sq-AL"/>
        </w:rPr>
        <w:t>:</w:t>
      </w:r>
      <w:r w:rsidRPr="003E3E99">
        <w:rPr>
          <w:rFonts w:asciiTheme="minorHAnsi" w:hAnsiTheme="minorHAnsi"/>
          <w:b/>
          <w:i/>
          <w:noProof/>
          <w:sz w:val="22"/>
          <w:lang w:val="sq-AL"/>
        </w:rPr>
        <w:t xml:space="preserve"> </w:t>
      </w:r>
      <w:r>
        <w:rPr>
          <w:rFonts w:ascii="Calibri" w:hAnsi="Calibri"/>
          <w:i/>
          <w:noProof/>
          <w:sz w:val="22"/>
          <w:lang w:val="sq-AL"/>
        </w:rPr>
        <w:t>Performanca e shpenzimeve për 4M I</w:t>
      </w:r>
      <w:r>
        <w:rPr>
          <w:rFonts w:asciiTheme="minorHAnsi" w:hAnsiTheme="minorHAnsi"/>
          <w:i/>
          <w:noProof/>
          <w:sz w:val="22"/>
          <w:lang w:val="sq-AL"/>
        </w:rPr>
        <w:t xml:space="preserve">, për </w:t>
      </w:r>
      <w:r w:rsidRPr="003E3E99">
        <w:rPr>
          <w:rFonts w:asciiTheme="minorHAnsi" w:hAnsiTheme="minorHAnsi"/>
          <w:i/>
          <w:noProof/>
          <w:sz w:val="22"/>
          <w:lang w:val="sq-AL"/>
        </w:rPr>
        <w:t>Drejtësi</w:t>
      </w:r>
      <w:bookmarkEnd w:id="215"/>
      <w:r>
        <w:rPr>
          <w:rFonts w:asciiTheme="minorHAnsi" w:hAnsiTheme="minorHAnsi"/>
          <w:i/>
          <w:noProof/>
          <w:sz w:val="22"/>
          <w:lang w:val="sq-AL"/>
        </w:rPr>
        <w:t>në</w:t>
      </w:r>
    </w:p>
    <w:p w14:paraId="66BD4795" w14:textId="77777777" w:rsidR="000C2868" w:rsidRPr="003E1083" w:rsidRDefault="000C2868" w:rsidP="000C2868">
      <w:pPr>
        <w:ind w:left="2880" w:firstLine="720"/>
        <w:jc w:val="right"/>
        <w:rPr>
          <w:rFonts w:asciiTheme="minorHAnsi" w:hAnsiTheme="minorHAnsi"/>
          <w:i/>
          <w:color w:val="000000"/>
          <w:lang w:val="sq-AL"/>
        </w:rPr>
      </w:pPr>
      <w:r w:rsidRPr="003E1083">
        <w:rPr>
          <w:rFonts w:asciiTheme="minorHAnsi" w:hAnsiTheme="minorHAnsi"/>
          <w:i/>
          <w:color w:val="000000"/>
          <w:lang w:val="sq-AL"/>
        </w:rPr>
        <w:t>Në mijë lekë</w:t>
      </w:r>
    </w:p>
    <w:tbl>
      <w:tblPr>
        <w:tblStyle w:val="ListTable3-Accent522"/>
        <w:tblW w:w="10570" w:type="dxa"/>
        <w:jc w:val="center"/>
        <w:tblLook w:val="0000" w:firstRow="0" w:lastRow="0" w:firstColumn="0" w:lastColumn="0" w:noHBand="0" w:noVBand="0"/>
      </w:tblPr>
      <w:tblGrid>
        <w:gridCol w:w="482"/>
        <w:gridCol w:w="3215"/>
        <w:gridCol w:w="1378"/>
        <w:gridCol w:w="1245"/>
        <w:gridCol w:w="1245"/>
        <w:gridCol w:w="1087"/>
        <w:gridCol w:w="920"/>
        <w:gridCol w:w="998"/>
      </w:tblGrid>
      <w:tr w:rsidR="000C2868" w:rsidRPr="003E1083" w14:paraId="3F5CC437" w14:textId="77777777" w:rsidTr="000C2868">
        <w:trPr>
          <w:cnfStyle w:val="000000100000" w:firstRow="0" w:lastRow="0" w:firstColumn="0" w:lastColumn="0" w:oddVBand="0" w:evenVBand="0" w:oddHBand="1" w:evenHBand="0" w:firstRowFirstColumn="0" w:firstRowLastColumn="0" w:lastRowFirstColumn="0" w:lastRowLastColumn="0"/>
          <w:trHeight w:val="154"/>
          <w:jc w:val="center"/>
        </w:trPr>
        <w:tc>
          <w:tcPr>
            <w:cnfStyle w:val="000010000000" w:firstRow="0" w:lastRow="0" w:firstColumn="0" w:lastColumn="0" w:oddVBand="1" w:evenVBand="0" w:oddHBand="0" w:evenHBand="0" w:firstRowFirstColumn="0" w:firstRowLastColumn="0" w:lastRowFirstColumn="0" w:lastRowLastColumn="0"/>
            <w:tcW w:w="482" w:type="dxa"/>
            <w:vMerge w:val="restart"/>
            <w:tcBorders>
              <w:top w:val="double" w:sz="4" w:space="0" w:color="4BACC6"/>
              <w:left w:val="double" w:sz="4" w:space="0" w:color="4BACC6"/>
            </w:tcBorders>
            <w:shd w:val="clear" w:color="auto" w:fill="B6DDE8"/>
          </w:tcPr>
          <w:p w14:paraId="066FFE5E" w14:textId="77777777" w:rsidR="000C2868" w:rsidRPr="003E1083" w:rsidRDefault="000C2868" w:rsidP="000C2868">
            <w:pPr>
              <w:rPr>
                <w:rFonts w:asciiTheme="minorHAnsi" w:hAnsiTheme="minorHAnsi"/>
                <w:b/>
                <w:sz w:val="18"/>
                <w:szCs w:val="18"/>
                <w:lang w:val="sq-AL"/>
              </w:rPr>
            </w:pPr>
          </w:p>
          <w:p w14:paraId="117E0A75" w14:textId="77777777" w:rsidR="000C2868" w:rsidRPr="003E1083" w:rsidRDefault="000C2868" w:rsidP="000C2868">
            <w:pPr>
              <w:rPr>
                <w:rFonts w:asciiTheme="minorHAnsi" w:hAnsiTheme="minorHAnsi"/>
                <w:b/>
                <w:sz w:val="18"/>
                <w:szCs w:val="18"/>
                <w:lang w:val="sq-AL"/>
              </w:rPr>
            </w:pPr>
            <w:r w:rsidRPr="003E1083">
              <w:rPr>
                <w:rFonts w:asciiTheme="minorHAnsi" w:hAnsiTheme="minorHAnsi"/>
                <w:b/>
                <w:sz w:val="18"/>
                <w:szCs w:val="18"/>
                <w:lang w:val="sq-AL"/>
              </w:rPr>
              <w:t>NR</w:t>
            </w:r>
          </w:p>
        </w:tc>
        <w:tc>
          <w:tcPr>
            <w:tcW w:w="3215" w:type="dxa"/>
            <w:vMerge w:val="restart"/>
            <w:tcBorders>
              <w:top w:val="double" w:sz="4" w:space="0" w:color="4BACC6"/>
            </w:tcBorders>
            <w:shd w:val="clear" w:color="auto" w:fill="B6DDE8"/>
          </w:tcPr>
          <w:p w14:paraId="2B63E7B9" w14:textId="77777777" w:rsidR="000C2868" w:rsidRPr="003E1083" w:rsidRDefault="000C2868" w:rsidP="000C2868">
            <w:pP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lang w:val="sq-AL"/>
              </w:rPr>
            </w:pPr>
          </w:p>
          <w:p w14:paraId="32BD670B"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lang w:val="sq-AL"/>
              </w:rPr>
            </w:pPr>
            <w:r w:rsidRPr="003E1083">
              <w:rPr>
                <w:rFonts w:asciiTheme="minorHAnsi" w:hAnsiTheme="minorHAnsi"/>
                <w:b/>
                <w:sz w:val="18"/>
                <w:szCs w:val="18"/>
                <w:lang w:val="sq-AL"/>
              </w:rPr>
              <w:t>Emërtimi i Programit</w:t>
            </w:r>
          </w:p>
        </w:tc>
        <w:tc>
          <w:tcPr>
            <w:cnfStyle w:val="000010000000" w:firstRow="0" w:lastRow="0" w:firstColumn="0" w:lastColumn="0" w:oddVBand="1" w:evenVBand="0" w:oddHBand="0" w:evenHBand="0" w:firstRowFirstColumn="0" w:firstRowLastColumn="0" w:lastRowFirstColumn="0" w:lastRowLastColumn="0"/>
            <w:tcW w:w="2623" w:type="dxa"/>
            <w:gridSpan w:val="2"/>
            <w:tcBorders>
              <w:top w:val="double" w:sz="4" w:space="0" w:color="4BACC6"/>
            </w:tcBorders>
            <w:shd w:val="clear" w:color="auto" w:fill="B6DDE8"/>
          </w:tcPr>
          <w:p w14:paraId="2726EBBC" w14:textId="77777777" w:rsidR="000C2868" w:rsidRPr="003E1083" w:rsidRDefault="000C2868" w:rsidP="000C2868">
            <w:pPr>
              <w:jc w:val="center"/>
              <w:rPr>
                <w:rFonts w:asciiTheme="minorHAnsi" w:hAnsiTheme="minorHAnsi"/>
                <w:b/>
                <w:sz w:val="18"/>
                <w:szCs w:val="18"/>
                <w:lang w:val="sq-AL"/>
              </w:rPr>
            </w:pPr>
            <w:r w:rsidRPr="003E1083">
              <w:rPr>
                <w:rFonts w:asciiTheme="minorHAnsi" w:hAnsiTheme="minorHAnsi"/>
                <w:b/>
                <w:sz w:val="18"/>
                <w:szCs w:val="18"/>
                <w:lang w:val="sq-AL"/>
              </w:rPr>
              <w:t>Plani 2023</w:t>
            </w:r>
          </w:p>
        </w:tc>
        <w:tc>
          <w:tcPr>
            <w:tcW w:w="2332" w:type="dxa"/>
            <w:gridSpan w:val="2"/>
            <w:tcBorders>
              <w:top w:val="double" w:sz="4" w:space="0" w:color="4BACC6"/>
            </w:tcBorders>
            <w:shd w:val="clear" w:color="auto" w:fill="B6DDE8"/>
          </w:tcPr>
          <w:p w14:paraId="1B2E63DD"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szCs w:val="18"/>
                <w:lang w:val="sq-AL"/>
              </w:rPr>
            </w:pPr>
            <w:r w:rsidRPr="003E1083">
              <w:rPr>
                <w:rFonts w:asciiTheme="minorHAnsi" w:hAnsiTheme="minorHAnsi"/>
                <w:b/>
                <w:sz w:val="18"/>
                <w:szCs w:val="18"/>
                <w:lang w:val="sq-AL"/>
              </w:rPr>
              <w:t>Fakti 4-mujori 2023</w:t>
            </w:r>
          </w:p>
        </w:tc>
        <w:tc>
          <w:tcPr>
            <w:cnfStyle w:val="000010000000" w:firstRow="0" w:lastRow="0" w:firstColumn="0" w:lastColumn="0" w:oddVBand="1" w:evenVBand="0" w:oddHBand="0" w:evenHBand="0" w:firstRowFirstColumn="0" w:firstRowLastColumn="0" w:lastRowFirstColumn="0" w:lastRowLastColumn="0"/>
            <w:tcW w:w="1918" w:type="dxa"/>
            <w:gridSpan w:val="2"/>
            <w:tcBorders>
              <w:top w:val="double" w:sz="4" w:space="0" w:color="4BACC6"/>
              <w:right w:val="double" w:sz="4" w:space="0" w:color="4BACC6"/>
            </w:tcBorders>
            <w:shd w:val="clear" w:color="auto" w:fill="B6DDE8"/>
          </w:tcPr>
          <w:p w14:paraId="5DB9E395" w14:textId="77777777" w:rsidR="000C2868" w:rsidRPr="003E1083" w:rsidRDefault="000C2868" w:rsidP="000C2868">
            <w:pPr>
              <w:rPr>
                <w:rFonts w:asciiTheme="minorHAnsi" w:hAnsiTheme="minorHAnsi"/>
                <w:b/>
                <w:sz w:val="18"/>
                <w:szCs w:val="18"/>
                <w:lang w:val="sq-AL"/>
              </w:rPr>
            </w:pPr>
            <w:r w:rsidRPr="003E1083">
              <w:rPr>
                <w:rFonts w:asciiTheme="minorHAnsi" w:hAnsiTheme="minorHAnsi"/>
                <w:b/>
                <w:sz w:val="18"/>
                <w:szCs w:val="18"/>
                <w:lang w:val="sq-AL"/>
              </w:rPr>
              <w:t>Përqindja  e realizimit</w:t>
            </w:r>
          </w:p>
        </w:tc>
      </w:tr>
      <w:tr w:rsidR="000C2868" w:rsidRPr="003E1083" w14:paraId="120113E4" w14:textId="77777777" w:rsidTr="000C2868">
        <w:trPr>
          <w:trHeight w:val="376"/>
          <w:jc w:val="center"/>
        </w:trPr>
        <w:tc>
          <w:tcPr>
            <w:cnfStyle w:val="000010000000" w:firstRow="0" w:lastRow="0" w:firstColumn="0" w:lastColumn="0" w:oddVBand="1" w:evenVBand="0" w:oddHBand="0" w:evenHBand="0" w:firstRowFirstColumn="0" w:firstRowLastColumn="0" w:lastRowFirstColumn="0" w:lastRowLastColumn="0"/>
            <w:tcW w:w="482" w:type="dxa"/>
            <w:vMerge/>
            <w:tcBorders>
              <w:left w:val="double" w:sz="4" w:space="0" w:color="4BACC6"/>
            </w:tcBorders>
            <w:shd w:val="clear" w:color="auto" w:fill="B6DDE8"/>
          </w:tcPr>
          <w:p w14:paraId="64E039D6" w14:textId="77777777" w:rsidR="000C2868" w:rsidRPr="003E1083" w:rsidRDefault="000C2868" w:rsidP="000C2868">
            <w:pPr>
              <w:rPr>
                <w:rFonts w:asciiTheme="minorHAnsi" w:hAnsiTheme="minorHAnsi"/>
                <w:b/>
                <w:sz w:val="18"/>
                <w:szCs w:val="18"/>
                <w:lang w:val="sq-AL"/>
              </w:rPr>
            </w:pPr>
          </w:p>
        </w:tc>
        <w:tc>
          <w:tcPr>
            <w:tcW w:w="3215" w:type="dxa"/>
            <w:vMerge/>
            <w:shd w:val="clear" w:color="auto" w:fill="B6DDE8"/>
          </w:tcPr>
          <w:p w14:paraId="0917A801" w14:textId="77777777" w:rsidR="000C2868" w:rsidRPr="003E1083" w:rsidRDefault="000C2868" w:rsidP="000C2868">
            <w:pP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lang w:val="sq-AL"/>
              </w:rPr>
            </w:pPr>
          </w:p>
        </w:tc>
        <w:tc>
          <w:tcPr>
            <w:cnfStyle w:val="000010000000" w:firstRow="0" w:lastRow="0" w:firstColumn="0" w:lastColumn="0" w:oddVBand="1" w:evenVBand="0" w:oddHBand="0" w:evenHBand="0" w:firstRowFirstColumn="0" w:firstRowLastColumn="0" w:lastRowFirstColumn="0" w:lastRowLastColumn="0"/>
            <w:tcW w:w="1378" w:type="dxa"/>
            <w:shd w:val="clear" w:color="auto" w:fill="B6DDE8"/>
          </w:tcPr>
          <w:p w14:paraId="6B94D8FF" w14:textId="77777777" w:rsidR="000C2868" w:rsidRPr="003E1083" w:rsidRDefault="000C2868" w:rsidP="000C2868">
            <w:pPr>
              <w:rPr>
                <w:rFonts w:asciiTheme="minorHAnsi" w:hAnsiTheme="minorHAnsi"/>
                <w:b/>
                <w:sz w:val="18"/>
                <w:szCs w:val="18"/>
                <w:lang w:val="sq-AL"/>
              </w:rPr>
            </w:pPr>
            <w:r w:rsidRPr="003E1083">
              <w:rPr>
                <w:rFonts w:asciiTheme="minorHAnsi" w:hAnsiTheme="minorHAnsi"/>
                <w:b/>
                <w:sz w:val="18"/>
                <w:szCs w:val="18"/>
                <w:lang w:val="sq-AL"/>
              </w:rPr>
              <w:t>Korrente</w:t>
            </w:r>
          </w:p>
        </w:tc>
        <w:tc>
          <w:tcPr>
            <w:tcW w:w="1245" w:type="dxa"/>
            <w:shd w:val="clear" w:color="auto" w:fill="B6DDE8"/>
          </w:tcPr>
          <w:p w14:paraId="4855960A" w14:textId="77777777" w:rsidR="000C2868" w:rsidRPr="003E1083" w:rsidRDefault="000C2868" w:rsidP="000C2868">
            <w:pP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lang w:val="sq-AL"/>
              </w:rPr>
            </w:pPr>
            <w:r w:rsidRPr="003E1083">
              <w:rPr>
                <w:rFonts w:asciiTheme="minorHAnsi" w:hAnsiTheme="minorHAnsi"/>
                <w:b/>
                <w:sz w:val="18"/>
                <w:szCs w:val="18"/>
                <w:lang w:val="sq-AL"/>
              </w:rPr>
              <w:t>Investime</w:t>
            </w:r>
          </w:p>
        </w:tc>
        <w:tc>
          <w:tcPr>
            <w:cnfStyle w:val="000010000000" w:firstRow="0" w:lastRow="0" w:firstColumn="0" w:lastColumn="0" w:oddVBand="1" w:evenVBand="0" w:oddHBand="0" w:evenHBand="0" w:firstRowFirstColumn="0" w:firstRowLastColumn="0" w:lastRowFirstColumn="0" w:lastRowLastColumn="0"/>
            <w:tcW w:w="1245" w:type="dxa"/>
            <w:shd w:val="clear" w:color="auto" w:fill="B6DDE8"/>
          </w:tcPr>
          <w:p w14:paraId="1669CA96" w14:textId="77777777" w:rsidR="000C2868" w:rsidRPr="003E1083" w:rsidRDefault="000C2868" w:rsidP="000C2868">
            <w:pPr>
              <w:rPr>
                <w:rFonts w:asciiTheme="minorHAnsi" w:hAnsiTheme="minorHAnsi"/>
                <w:b/>
                <w:sz w:val="18"/>
                <w:szCs w:val="18"/>
                <w:lang w:val="sq-AL"/>
              </w:rPr>
            </w:pPr>
            <w:r w:rsidRPr="003E1083">
              <w:rPr>
                <w:rFonts w:asciiTheme="minorHAnsi" w:hAnsiTheme="minorHAnsi"/>
                <w:b/>
                <w:sz w:val="18"/>
                <w:szCs w:val="18"/>
                <w:lang w:val="sq-AL"/>
              </w:rPr>
              <w:t>Korrente</w:t>
            </w:r>
          </w:p>
        </w:tc>
        <w:tc>
          <w:tcPr>
            <w:tcW w:w="1087" w:type="dxa"/>
            <w:shd w:val="clear" w:color="auto" w:fill="B6DDE8"/>
          </w:tcPr>
          <w:p w14:paraId="738DA4DF" w14:textId="77777777" w:rsidR="000C2868" w:rsidRPr="003E1083" w:rsidRDefault="000C2868" w:rsidP="000C2868">
            <w:pP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lang w:val="sq-AL"/>
              </w:rPr>
            </w:pPr>
            <w:r w:rsidRPr="003E1083">
              <w:rPr>
                <w:rFonts w:asciiTheme="minorHAnsi" w:hAnsiTheme="minorHAnsi"/>
                <w:b/>
                <w:sz w:val="18"/>
                <w:szCs w:val="18"/>
                <w:lang w:val="sq-AL"/>
              </w:rPr>
              <w:t>Investime</w:t>
            </w:r>
          </w:p>
        </w:tc>
        <w:tc>
          <w:tcPr>
            <w:cnfStyle w:val="000010000000" w:firstRow="0" w:lastRow="0" w:firstColumn="0" w:lastColumn="0" w:oddVBand="1" w:evenVBand="0" w:oddHBand="0" w:evenHBand="0" w:firstRowFirstColumn="0" w:firstRowLastColumn="0" w:lastRowFirstColumn="0" w:lastRowLastColumn="0"/>
            <w:tcW w:w="920" w:type="dxa"/>
            <w:shd w:val="clear" w:color="auto" w:fill="B6DDE8"/>
          </w:tcPr>
          <w:p w14:paraId="1BFAEAB0" w14:textId="77777777" w:rsidR="000C2868" w:rsidRPr="003E1083" w:rsidRDefault="000C2868" w:rsidP="000C2868">
            <w:pPr>
              <w:rPr>
                <w:rFonts w:asciiTheme="minorHAnsi" w:hAnsiTheme="minorHAnsi"/>
                <w:b/>
                <w:sz w:val="18"/>
                <w:szCs w:val="18"/>
                <w:lang w:val="sq-AL"/>
              </w:rPr>
            </w:pPr>
            <w:r w:rsidRPr="003E1083">
              <w:rPr>
                <w:rFonts w:asciiTheme="minorHAnsi" w:hAnsiTheme="minorHAnsi"/>
                <w:b/>
                <w:sz w:val="18"/>
                <w:szCs w:val="18"/>
                <w:lang w:val="sq-AL"/>
              </w:rPr>
              <w:t>Korrente</w:t>
            </w:r>
          </w:p>
        </w:tc>
        <w:tc>
          <w:tcPr>
            <w:tcW w:w="998" w:type="dxa"/>
            <w:tcBorders>
              <w:right w:val="double" w:sz="4" w:space="0" w:color="4BACC6"/>
            </w:tcBorders>
            <w:shd w:val="clear" w:color="auto" w:fill="B6DDE8"/>
          </w:tcPr>
          <w:p w14:paraId="040A162B" w14:textId="77777777" w:rsidR="000C2868" w:rsidRPr="003E1083" w:rsidRDefault="000C2868" w:rsidP="000C2868">
            <w:pP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lang w:val="sq-AL"/>
              </w:rPr>
            </w:pPr>
            <w:r w:rsidRPr="003E1083">
              <w:rPr>
                <w:rFonts w:asciiTheme="minorHAnsi" w:hAnsiTheme="minorHAnsi"/>
                <w:b/>
                <w:sz w:val="18"/>
                <w:szCs w:val="18"/>
                <w:lang w:val="sq-AL"/>
              </w:rPr>
              <w:t>Investime</w:t>
            </w:r>
          </w:p>
        </w:tc>
      </w:tr>
      <w:tr w:rsidR="000C2868" w:rsidRPr="003E1083" w14:paraId="1C0B2B61" w14:textId="77777777" w:rsidTr="000C2868">
        <w:trPr>
          <w:cnfStyle w:val="000000100000" w:firstRow="0" w:lastRow="0" w:firstColumn="0" w:lastColumn="0" w:oddVBand="0" w:evenVBand="0" w:oddHBand="1" w:evenHBand="0" w:firstRowFirstColumn="0" w:firstRowLastColumn="0" w:lastRowFirstColumn="0" w:lastRowLastColumn="0"/>
          <w:trHeight w:val="207"/>
          <w:jc w:val="center"/>
        </w:trPr>
        <w:tc>
          <w:tcPr>
            <w:cnfStyle w:val="000010000000" w:firstRow="0" w:lastRow="0" w:firstColumn="0" w:lastColumn="0" w:oddVBand="1" w:evenVBand="0" w:oddHBand="0" w:evenHBand="0" w:firstRowFirstColumn="0" w:firstRowLastColumn="0" w:lastRowFirstColumn="0" w:lastRowLastColumn="0"/>
            <w:tcW w:w="482" w:type="dxa"/>
            <w:tcBorders>
              <w:left w:val="double" w:sz="4" w:space="0" w:color="4BACC6"/>
            </w:tcBorders>
          </w:tcPr>
          <w:p w14:paraId="4E64C202" w14:textId="77777777" w:rsidR="000C2868" w:rsidRPr="003E1083" w:rsidRDefault="000C2868" w:rsidP="000C2868">
            <w:pPr>
              <w:rPr>
                <w:rFonts w:asciiTheme="minorHAnsi" w:hAnsiTheme="minorHAnsi"/>
                <w:sz w:val="18"/>
                <w:szCs w:val="18"/>
                <w:lang w:val="sq-AL"/>
              </w:rPr>
            </w:pPr>
            <w:r w:rsidRPr="003E1083">
              <w:rPr>
                <w:rFonts w:asciiTheme="minorHAnsi" w:hAnsiTheme="minorHAnsi"/>
                <w:sz w:val="18"/>
                <w:szCs w:val="18"/>
                <w:lang w:val="sq-AL"/>
              </w:rPr>
              <w:t>1.</w:t>
            </w:r>
          </w:p>
        </w:tc>
        <w:tc>
          <w:tcPr>
            <w:tcW w:w="3215" w:type="dxa"/>
          </w:tcPr>
          <w:p w14:paraId="0A7398B4"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Planifikimi, Menaxhimi dhe Administrimi</w:t>
            </w:r>
          </w:p>
        </w:tc>
        <w:tc>
          <w:tcPr>
            <w:cnfStyle w:val="000010000000" w:firstRow="0" w:lastRow="0" w:firstColumn="0" w:lastColumn="0" w:oddVBand="1" w:evenVBand="0" w:oddHBand="0" w:evenHBand="0" w:firstRowFirstColumn="0" w:firstRowLastColumn="0" w:lastRowFirstColumn="0" w:lastRowLastColumn="0"/>
            <w:tcW w:w="1378" w:type="dxa"/>
            <w:tcBorders>
              <w:top w:val="double" w:sz="6" w:space="0" w:color="auto"/>
              <w:left w:val="single" w:sz="4" w:space="0" w:color="auto"/>
              <w:bottom w:val="single" w:sz="4" w:space="0" w:color="auto"/>
              <w:right w:val="single" w:sz="4" w:space="0" w:color="auto"/>
            </w:tcBorders>
            <w:shd w:val="clear" w:color="auto" w:fill="auto"/>
          </w:tcPr>
          <w:p w14:paraId="0FB5D9EE"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468,570</w:t>
            </w:r>
          </w:p>
        </w:tc>
        <w:tc>
          <w:tcPr>
            <w:tcW w:w="1245" w:type="dxa"/>
            <w:tcBorders>
              <w:top w:val="single" w:sz="4" w:space="0" w:color="auto"/>
              <w:left w:val="single" w:sz="4" w:space="0" w:color="auto"/>
              <w:bottom w:val="single" w:sz="4" w:space="0" w:color="auto"/>
              <w:right w:val="single" w:sz="4" w:space="0" w:color="auto"/>
            </w:tcBorders>
            <w:shd w:val="clear" w:color="auto" w:fill="auto"/>
          </w:tcPr>
          <w:p w14:paraId="4E763D34"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711,800</w:t>
            </w:r>
          </w:p>
        </w:tc>
        <w:tc>
          <w:tcPr>
            <w:cnfStyle w:val="000010000000" w:firstRow="0" w:lastRow="0" w:firstColumn="0" w:lastColumn="0" w:oddVBand="1" w:evenVBand="0" w:oddHBand="0" w:evenHBand="0" w:firstRowFirstColumn="0" w:firstRowLastColumn="0" w:lastRowFirstColumn="0" w:lastRowLastColumn="0"/>
            <w:tcW w:w="1245" w:type="dxa"/>
            <w:tcBorders>
              <w:top w:val="double" w:sz="6" w:space="0" w:color="auto"/>
              <w:left w:val="nil"/>
              <w:bottom w:val="single" w:sz="4" w:space="0" w:color="auto"/>
              <w:right w:val="single" w:sz="4" w:space="0" w:color="auto"/>
            </w:tcBorders>
            <w:shd w:val="clear" w:color="auto" w:fill="auto"/>
          </w:tcPr>
          <w:p w14:paraId="2916C125"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123,420</w:t>
            </w:r>
          </w:p>
        </w:tc>
        <w:tc>
          <w:tcPr>
            <w:tcW w:w="1087" w:type="dxa"/>
            <w:tcBorders>
              <w:top w:val="single" w:sz="4" w:space="0" w:color="auto"/>
              <w:left w:val="single" w:sz="4" w:space="0" w:color="auto"/>
              <w:bottom w:val="single" w:sz="4" w:space="0" w:color="auto"/>
              <w:right w:val="single" w:sz="4" w:space="0" w:color="auto"/>
            </w:tcBorders>
            <w:shd w:val="clear" w:color="auto" w:fill="auto"/>
          </w:tcPr>
          <w:p w14:paraId="68FC6654"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930</w:t>
            </w:r>
          </w:p>
        </w:tc>
        <w:tc>
          <w:tcPr>
            <w:cnfStyle w:val="000010000000" w:firstRow="0" w:lastRow="0" w:firstColumn="0" w:lastColumn="0" w:oddVBand="1" w:evenVBand="0" w:oddHBand="0" w:evenHBand="0" w:firstRowFirstColumn="0" w:firstRowLastColumn="0" w:lastRowFirstColumn="0" w:lastRowLastColumn="0"/>
            <w:tcW w:w="920" w:type="dxa"/>
            <w:tcBorders>
              <w:top w:val="double" w:sz="6" w:space="0" w:color="auto"/>
              <w:left w:val="nil"/>
              <w:bottom w:val="single" w:sz="4" w:space="0" w:color="auto"/>
              <w:right w:val="double" w:sz="6" w:space="0" w:color="auto"/>
            </w:tcBorders>
            <w:shd w:val="clear" w:color="auto" w:fill="auto"/>
          </w:tcPr>
          <w:p w14:paraId="35EEA611"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26.3</w:t>
            </w:r>
          </w:p>
        </w:tc>
        <w:tc>
          <w:tcPr>
            <w:tcW w:w="998" w:type="dxa"/>
            <w:tcBorders>
              <w:top w:val="single" w:sz="4" w:space="0" w:color="auto"/>
              <w:left w:val="single" w:sz="4" w:space="0" w:color="auto"/>
              <w:bottom w:val="single" w:sz="4" w:space="0" w:color="auto"/>
              <w:right w:val="double" w:sz="4" w:space="0" w:color="4BACC6"/>
            </w:tcBorders>
            <w:shd w:val="clear" w:color="auto" w:fill="auto"/>
          </w:tcPr>
          <w:p w14:paraId="1F65B631"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0.1</w:t>
            </w:r>
          </w:p>
        </w:tc>
      </w:tr>
      <w:tr w:rsidR="000C2868" w:rsidRPr="003E1083" w14:paraId="4E0F7576" w14:textId="77777777" w:rsidTr="000C2868">
        <w:trPr>
          <w:trHeight w:val="161"/>
          <w:jc w:val="center"/>
        </w:trPr>
        <w:tc>
          <w:tcPr>
            <w:cnfStyle w:val="000010000000" w:firstRow="0" w:lastRow="0" w:firstColumn="0" w:lastColumn="0" w:oddVBand="1" w:evenVBand="0" w:oddHBand="0" w:evenHBand="0" w:firstRowFirstColumn="0" w:firstRowLastColumn="0" w:lastRowFirstColumn="0" w:lastRowLastColumn="0"/>
            <w:tcW w:w="482" w:type="dxa"/>
            <w:tcBorders>
              <w:left w:val="double" w:sz="4" w:space="0" w:color="4BACC6"/>
            </w:tcBorders>
          </w:tcPr>
          <w:p w14:paraId="738BD6D7" w14:textId="77777777" w:rsidR="000C2868" w:rsidRPr="003E1083" w:rsidRDefault="000C2868" w:rsidP="000C2868">
            <w:pPr>
              <w:rPr>
                <w:rFonts w:asciiTheme="minorHAnsi" w:hAnsiTheme="minorHAnsi"/>
                <w:sz w:val="18"/>
                <w:szCs w:val="18"/>
                <w:lang w:val="sq-AL"/>
              </w:rPr>
            </w:pPr>
            <w:r w:rsidRPr="003E1083">
              <w:rPr>
                <w:rFonts w:asciiTheme="minorHAnsi" w:hAnsiTheme="minorHAnsi"/>
                <w:sz w:val="18"/>
                <w:szCs w:val="18"/>
                <w:lang w:val="sq-AL"/>
              </w:rPr>
              <w:t>2.</w:t>
            </w:r>
          </w:p>
        </w:tc>
        <w:tc>
          <w:tcPr>
            <w:tcW w:w="3215" w:type="dxa"/>
          </w:tcPr>
          <w:p w14:paraId="56BDF58F"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Publikimet Zyrtare</w:t>
            </w:r>
          </w:p>
        </w:tc>
        <w:tc>
          <w:tcPr>
            <w:cnfStyle w:val="000010000000" w:firstRow="0" w:lastRow="0" w:firstColumn="0" w:lastColumn="0" w:oddVBand="1" w:evenVBand="0" w:oddHBand="0" w:evenHBand="0" w:firstRowFirstColumn="0" w:firstRowLastColumn="0" w:lastRowFirstColumn="0" w:lastRowLastColumn="0"/>
            <w:tcW w:w="1378" w:type="dxa"/>
            <w:tcBorders>
              <w:top w:val="nil"/>
              <w:left w:val="single" w:sz="4" w:space="0" w:color="auto"/>
              <w:bottom w:val="single" w:sz="4" w:space="0" w:color="auto"/>
              <w:right w:val="single" w:sz="4" w:space="0" w:color="auto"/>
            </w:tcBorders>
            <w:shd w:val="clear" w:color="auto" w:fill="auto"/>
          </w:tcPr>
          <w:p w14:paraId="508247BD"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56,600</w:t>
            </w:r>
          </w:p>
        </w:tc>
        <w:tc>
          <w:tcPr>
            <w:tcW w:w="1245" w:type="dxa"/>
            <w:tcBorders>
              <w:top w:val="nil"/>
              <w:left w:val="single" w:sz="4" w:space="0" w:color="auto"/>
              <w:bottom w:val="single" w:sz="4" w:space="0" w:color="auto"/>
              <w:right w:val="single" w:sz="4" w:space="0" w:color="auto"/>
            </w:tcBorders>
            <w:shd w:val="clear" w:color="auto" w:fill="auto"/>
          </w:tcPr>
          <w:p w14:paraId="310700DE"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5,000</w:t>
            </w:r>
          </w:p>
        </w:tc>
        <w:tc>
          <w:tcPr>
            <w:cnfStyle w:val="000010000000" w:firstRow="0" w:lastRow="0" w:firstColumn="0" w:lastColumn="0" w:oddVBand="1" w:evenVBand="0" w:oddHBand="0" w:evenHBand="0" w:firstRowFirstColumn="0" w:firstRowLastColumn="0" w:lastRowFirstColumn="0" w:lastRowLastColumn="0"/>
            <w:tcW w:w="1245" w:type="dxa"/>
            <w:tcBorders>
              <w:top w:val="nil"/>
              <w:left w:val="nil"/>
              <w:bottom w:val="single" w:sz="4" w:space="0" w:color="auto"/>
              <w:right w:val="single" w:sz="4" w:space="0" w:color="auto"/>
            </w:tcBorders>
            <w:shd w:val="clear" w:color="auto" w:fill="auto"/>
          </w:tcPr>
          <w:p w14:paraId="74B90B01"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13,006</w:t>
            </w:r>
          </w:p>
        </w:tc>
        <w:tc>
          <w:tcPr>
            <w:tcW w:w="1087" w:type="dxa"/>
            <w:tcBorders>
              <w:top w:val="nil"/>
              <w:left w:val="single" w:sz="4" w:space="0" w:color="auto"/>
              <w:bottom w:val="single" w:sz="4" w:space="0" w:color="auto"/>
              <w:right w:val="single" w:sz="4" w:space="0" w:color="auto"/>
            </w:tcBorders>
            <w:shd w:val="clear" w:color="auto" w:fill="auto"/>
          </w:tcPr>
          <w:p w14:paraId="79E814B4"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0</w:t>
            </w:r>
          </w:p>
        </w:tc>
        <w:tc>
          <w:tcPr>
            <w:cnfStyle w:val="000010000000" w:firstRow="0" w:lastRow="0" w:firstColumn="0" w:lastColumn="0" w:oddVBand="1" w:evenVBand="0" w:oddHBand="0" w:evenHBand="0" w:firstRowFirstColumn="0" w:firstRowLastColumn="0" w:lastRowFirstColumn="0" w:lastRowLastColumn="0"/>
            <w:tcW w:w="920" w:type="dxa"/>
            <w:tcBorders>
              <w:top w:val="nil"/>
              <w:left w:val="nil"/>
              <w:bottom w:val="single" w:sz="4" w:space="0" w:color="auto"/>
              <w:right w:val="double" w:sz="6" w:space="0" w:color="auto"/>
            </w:tcBorders>
            <w:shd w:val="clear" w:color="auto" w:fill="auto"/>
          </w:tcPr>
          <w:p w14:paraId="576F3A98"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23.0</w:t>
            </w:r>
          </w:p>
        </w:tc>
        <w:tc>
          <w:tcPr>
            <w:tcW w:w="998" w:type="dxa"/>
            <w:tcBorders>
              <w:top w:val="nil"/>
              <w:left w:val="single" w:sz="4" w:space="0" w:color="auto"/>
              <w:bottom w:val="single" w:sz="4" w:space="0" w:color="auto"/>
              <w:right w:val="double" w:sz="4" w:space="0" w:color="4BACC6"/>
            </w:tcBorders>
            <w:shd w:val="clear" w:color="auto" w:fill="auto"/>
          </w:tcPr>
          <w:p w14:paraId="6127C723"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0.0</w:t>
            </w:r>
          </w:p>
        </w:tc>
      </w:tr>
      <w:tr w:rsidR="000C2868" w:rsidRPr="003E1083" w14:paraId="40F2698B" w14:textId="77777777" w:rsidTr="000C2868">
        <w:trPr>
          <w:cnfStyle w:val="000000100000" w:firstRow="0" w:lastRow="0" w:firstColumn="0" w:lastColumn="0" w:oddVBand="0" w:evenVBand="0" w:oddHBand="1" w:evenHBand="0" w:firstRowFirstColumn="0" w:firstRowLastColumn="0" w:lastRowFirstColumn="0" w:lastRowLastColumn="0"/>
          <w:trHeight w:val="197"/>
          <w:jc w:val="center"/>
        </w:trPr>
        <w:tc>
          <w:tcPr>
            <w:cnfStyle w:val="000010000000" w:firstRow="0" w:lastRow="0" w:firstColumn="0" w:lastColumn="0" w:oddVBand="1" w:evenVBand="0" w:oddHBand="0" w:evenHBand="0" w:firstRowFirstColumn="0" w:firstRowLastColumn="0" w:lastRowFirstColumn="0" w:lastRowLastColumn="0"/>
            <w:tcW w:w="482" w:type="dxa"/>
            <w:tcBorders>
              <w:left w:val="double" w:sz="4" w:space="0" w:color="4BACC6"/>
            </w:tcBorders>
          </w:tcPr>
          <w:p w14:paraId="421A1159" w14:textId="77777777" w:rsidR="000C2868" w:rsidRPr="003E1083" w:rsidRDefault="000C2868" w:rsidP="000C2868">
            <w:pPr>
              <w:rPr>
                <w:rFonts w:asciiTheme="minorHAnsi" w:hAnsiTheme="minorHAnsi"/>
                <w:sz w:val="18"/>
                <w:szCs w:val="18"/>
                <w:lang w:val="sq-AL"/>
              </w:rPr>
            </w:pPr>
            <w:r w:rsidRPr="003E1083">
              <w:rPr>
                <w:rFonts w:asciiTheme="minorHAnsi" w:hAnsiTheme="minorHAnsi"/>
                <w:sz w:val="18"/>
                <w:szCs w:val="18"/>
                <w:lang w:val="sq-AL"/>
              </w:rPr>
              <w:t>3.</w:t>
            </w:r>
          </w:p>
        </w:tc>
        <w:tc>
          <w:tcPr>
            <w:tcW w:w="3215" w:type="dxa"/>
          </w:tcPr>
          <w:p w14:paraId="7D18693B"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Mjekësia Ligjore</w:t>
            </w:r>
          </w:p>
        </w:tc>
        <w:tc>
          <w:tcPr>
            <w:cnfStyle w:val="000010000000" w:firstRow="0" w:lastRow="0" w:firstColumn="0" w:lastColumn="0" w:oddVBand="1" w:evenVBand="0" w:oddHBand="0" w:evenHBand="0" w:firstRowFirstColumn="0" w:firstRowLastColumn="0" w:lastRowFirstColumn="0" w:lastRowLastColumn="0"/>
            <w:tcW w:w="1378" w:type="dxa"/>
            <w:tcBorders>
              <w:top w:val="nil"/>
              <w:left w:val="single" w:sz="4" w:space="0" w:color="auto"/>
              <w:bottom w:val="single" w:sz="4" w:space="0" w:color="auto"/>
              <w:right w:val="single" w:sz="4" w:space="0" w:color="auto"/>
            </w:tcBorders>
            <w:shd w:val="clear" w:color="auto" w:fill="auto"/>
          </w:tcPr>
          <w:p w14:paraId="2C89FDD6"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91,172</w:t>
            </w:r>
          </w:p>
        </w:tc>
        <w:tc>
          <w:tcPr>
            <w:tcW w:w="1245" w:type="dxa"/>
            <w:tcBorders>
              <w:top w:val="nil"/>
              <w:left w:val="single" w:sz="4" w:space="0" w:color="auto"/>
              <w:bottom w:val="single" w:sz="4" w:space="0" w:color="auto"/>
              <w:right w:val="single" w:sz="4" w:space="0" w:color="auto"/>
            </w:tcBorders>
            <w:shd w:val="clear" w:color="auto" w:fill="auto"/>
          </w:tcPr>
          <w:p w14:paraId="44DBC8E4"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101,000</w:t>
            </w:r>
          </w:p>
        </w:tc>
        <w:tc>
          <w:tcPr>
            <w:cnfStyle w:val="000010000000" w:firstRow="0" w:lastRow="0" w:firstColumn="0" w:lastColumn="0" w:oddVBand="1" w:evenVBand="0" w:oddHBand="0" w:evenHBand="0" w:firstRowFirstColumn="0" w:firstRowLastColumn="0" w:lastRowFirstColumn="0" w:lastRowLastColumn="0"/>
            <w:tcW w:w="1245" w:type="dxa"/>
            <w:tcBorders>
              <w:top w:val="nil"/>
              <w:left w:val="nil"/>
              <w:bottom w:val="single" w:sz="4" w:space="0" w:color="auto"/>
              <w:right w:val="single" w:sz="4" w:space="0" w:color="auto"/>
            </w:tcBorders>
            <w:shd w:val="clear" w:color="auto" w:fill="auto"/>
          </w:tcPr>
          <w:p w14:paraId="3EB6BDFA"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19,619</w:t>
            </w:r>
          </w:p>
        </w:tc>
        <w:tc>
          <w:tcPr>
            <w:tcW w:w="1087" w:type="dxa"/>
            <w:tcBorders>
              <w:top w:val="nil"/>
              <w:left w:val="single" w:sz="4" w:space="0" w:color="auto"/>
              <w:bottom w:val="single" w:sz="4" w:space="0" w:color="auto"/>
              <w:right w:val="single" w:sz="4" w:space="0" w:color="auto"/>
            </w:tcBorders>
            <w:shd w:val="clear" w:color="auto" w:fill="auto"/>
          </w:tcPr>
          <w:p w14:paraId="03A2EFEC"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0</w:t>
            </w:r>
          </w:p>
        </w:tc>
        <w:tc>
          <w:tcPr>
            <w:cnfStyle w:val="000010000000" w:firstRow="0" w:lastRow="0" w:firstColumn="0" w:lastColumn="0" w:oddVBand="1" w:evenVBand="0" w:oddHBand="0" w:evenHBand="0" w:firstRowFirstColumn="0" w:firstRowLastColumn="0" w:lastRowFirstColumn="0" w:lastRowLastColumn="0"/>
            <w:tcW w:w="920" w:type="dxa"/>
            <w:tcBorders>
              <w:top w:val="nil"/>
              <w:left w:val="nil"/>
              <w:bottom w:val="single" w:sz="4" w:space="0" w:color="auto"/>
              <w:right w:val="double" w:sz="6" w:space="0" w:color="auto"/>
            </w:tcBorders>
            <w:shd w:val="clear" w:color="auto" w:fill="auto"/>
          </w:tcPr>
          <w:p w14:paraId="1CDAEAE2"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21.5</w:t>
            </w:r>
          </w:p>
        </w:tc>
        <w:tc>
          <w:tcPr>
            <w:tcW w:w="998" w:type="dxa"/>
            <w:tcBorders>
              <w:top w:val="nil"/>
              <w:left w:val="single" w:sz="4" w:space="0" w:color="auto"/>
              <w:bottom w:val="single" w:sz="4" w:space="0" w:color="auto"/>
              <w:right w:val="double" w:sz="4" w:space="0" w:color="4BACC6"/>
            </w:tcBorders>
            <w:shd w:val="clear" w:color="auto" w:fill="auto"/>
          </w:tcPr>
          <w:p w14:paraId="157191C8"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0.0</w:t>
            </w:r>
          </w:p>
        </w:tc>
      </w:tr>
      <w:tr w:rsidR="000C2868" w:rsidRPr="003E1083" w14:paraId="365DF665" w14:textId="77777777" w:rsidTr="000C2868">
        <w:trPr>
          <w:trHeight w:val="242"/>
          <w:jc w:val="center"/>
        </w:trPr>
        <w:tc>
          <w:tcPr>
            <w:cnfStyle w:val="000010000000" w:firstRow="0" w:lastRow="0" w:firstColumn="0" w:lastColumn="0" w:oddVBand="1" w:evenVBand="0" w:oddHBand="0" w:evenHBand="0" w:firstRowFirstColumn="0" w:firstRowLastColumn="0" w:lastRowFirstColumn="0" w:lastRowLastColumn="0"/>
            <w:tcW w:w="482" w:type="dxa"/>
            <w:tcBorders>
              <w:left w:val="double" w:sz="4" w:space="0" w:color="4BACC6"/>
            </w:tcBorders>
          </w:tcPr>
          <w:p w14:paraId="2EC7C2B4" w14:textId="77777777" w:rsidR="000C2868" w:rsidRPr="003E1083" w:rsidRDefault="000C2868" w:rsidP="000C2868">
            <w:pPr>
              <w:rPr>
                <w:rFonts w:asciiTheme="minorHAnsi" w:hAnsiTheme="minorHAnsi"/>
                <w:sz w:val="18"/>
                <w:szCs w:val="18"/>
                <w:lang w:val="sq-AL"/>
              </w:rPr>
            </w:pPr>
            <w:r w:rsidRPr="003E1083">
              <w:rPr>
                <w:rFonts w:asciiTheme="minorHAnsi" w:hAnsiTheme="minorHAnsi"/>
                <w:sz w:val="18"/>
                <w:szCs w:val="18"/>
                <w:lang w:val="sq-AL"/>
              </w:rPr>
              <w:t>4.</w:t>
            </w:r>
          </w:p>
        </w:tc>
        <w:tc>
          <w:tcPr>
            <w:tcW w:w="3215" w:type="dxa"/>
          </w:tcPr>
          <w:p w14:paraId="408538A0"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Shërbimi për Çështjet e Birësimit</w:t>
            </w:r>
          </w:p>
        </w:tc>
        <w:tc>
          <w:tcPr>
            <w:cnfStyle w:val="000010000000" w:firstRow="0" w:lastRow="0" w:firstColumn="0" w:lastColumn="0" w:oddVBand="1" w:evenVBand="0" w:oddHBand="0" w:evenHBand="0" w:firstRowFirstColumn="0" w:firstRowLastColumn="0" w:lastRowFirstColumn="0" w:lastRowLastColumn="0"/>
            <w:tcW w:w="1378" w:type="dxa"/>
            <w:tcBorders>
              <w:top w:val="nil"/>
              <w:left w:val="single" w:sz="4" w:space="0" w:color="auto"/>
              <w:bottom w:val="single" w:sz="4" w:space="0" w:color="auto"/>
              <w:right w:val="single" w:sz="4" w:space="0" w:color="auto"/>
            </w:tcBorders>
            <w:shd w:val="clear" w:color="auto" w:fill="auto"/>
          </w:tcPr>
          <w:p w14:paraId="51DA25AB"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15,660</w:t>
            </w:r>
          </w:p>
        </w:tc>
        <w:tc>
          <w:tcPr>
            <w:tcW w:w="1245" w:type="dxa"/>
            <w:tcBorders>
              <w:top w:val="nil"/>
              <w:left w:val="single" w:sz="4" w:space="0" w:color="auto"/>
              <w:bottom w:val="single" w:sz="4" w:space="0" w:color="auto"/>
              <w:right w:val="single" w:sz="4" w:space="0" w:color="auto"/>
            </w:tcBorders>
            <w:shd w:val="clear" w:color="auto" w:fill="auto"/>
          </w:tcPr>
          <w:p w14:paraId="38E3FF44"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200</w:t>
            </w:r>
          </w:p>
        </w:tc>
        <w:tc>
          <w:tcPr>
            <w:cnfStyle w:val="000010000000" w:firstRow="0" w:lastRow="0" w:firstColumn="0" w:lastColumn="0" w:oddVBand="1" w:evenVBand="0" w:oddHBand="0" w:evenHBand="0" w:firstRowFirstColumn="0" w:firstRowLastColumn="0" w:lastRowFirstColumn="0" w:lastRowLastColumn="0"/>
            <w:tcW w:w="1245" w:type="dxa"/>
            <w:tcBorders>
              <w:top w:val="nil"/>
              <w:left w:val="nil"/>
              <w:bottom w:val="single" w:sz="4" w:space="0" w:color="auto"/>
              <w:right w:val="single" w:sz="4" w:space="0" w:color="auto"/>
            </w:tcBorders>
            <w:shd w:val="clear" w:color="auto" w:fill="auto"/>
          </w:tcPr>
          <w:p w14:paraId="1DC4ADFE"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4,280</w:t>
            </w:r>
          </w:p>
        </w:tc>
        <w:tc>
          <w:tcPr>
            <w:tcW w:w="1087" w:type="dxa"/>
            <w:tcBorders>
              <w:top w:val="nil"/>
              <w:left w:val="single" w:sz="4" w:space="0" w:color="auto"/>
              <w:bottom w:val="single" w:sz="4" w:space="0" w:color="auto"/>
              <w:right w:val="single" w:sz="4" w:space="0" w:color="auto"/>
            </w:tcBorders>
            <w:shd w:val="clear" w:color="auto" w:fill="auto"/>
          </w:tcPr>
          <w:p w14:paraId="1D53BE65"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0</w:t>
            </w:r>
          </w:p>
        </w:tc>
        <w:tc>
          <w:tcPr>
            <w:cnfStyle w:val="000010000000" w:firstRow="0" w:lastRow="0" w:firstColumn="0" w:lastColumn="0" w:oddVBand="1" w:evenVBand="0" w:oddHBand="0" w:evenHBand="0" w:firstRowFirstColumn="0" w:firstRowLastColumn="0" w:lastRowFirstColumn="0" w:lastRowLastColumn="0"/>
            <w:tcW w:w="920" w:type="dxa"/>
            <w:tcBorders>
              <w:top w:val="nil"/>
              <w:left w:val="nil"/>
              <w:bottom w:val="single" w:sz="4" w:space="0" w:color="auto"/>
              <w:right w:val="double" w:sz="6" w:space="0" w:color="auto"/>
            </w:tcBorders>
            <w:shd w:val="clear" w:color="auto" w:fill="auto"/>
          </w:tcPr>
          <w:p w14:paraId="30BBE95B"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27.3</w:t>
            </w:r>
          </w:p>
        </w:tc>
        <w:tc>
          <w:tcPr>
            <w:tcW w:w="998" w:type="dxa"/>
            <w:tcBorders>
              <w:top w:val="nil"/>
              <w:left w:val="single" w:sz="4" w:space="0" w:color="auto"/>
              <w:bottom w:val="single" w:sz="4" w:space="0" w:color="auto"/>
              <w:right w:val="double" w:sz="4" w:space="0" w:color="4BACC6"/>
            </w:tcBorders>
            <w:shd w:val="clear" w:color="auto" w:fill="auto"/>
          </w:tcPr>
          <w:p w14:paraId="33F41888"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0.0</w:t>
            </w:r>
          </w:p>
        </w:tc>
      </w:tr>
      <w:tr w:rsidR="000C2868" w:rsidRPr="003E1083" w14:paraId="4E700E67" w14:textId="77777777" w:rsidTr="000C2868">
        <w:trPr>
          <w:cnfStyle w:val="000000100000" w:firstRow="0" w:lastRow="0" w:firstColumn="0" w:lastColumn="0" w:oddVBand="0" w:evenVBand="0" w:oddHBand="1" w:evenHBand="0" w:firstRowFirstColumn="0" w:firstRowLastColumn="0" w:lastRowFirstColumn="0" w:lastRowLastColumn="0"/>
          <w:trHeight w:val="260"/>
          <w:jc w:val="center"/>
        </w:trPr>
        <w:tc>
          <w:tcPr>
            <w:cnfStyle w:val="000010000000" w:firstRow="0" w:lastRow="0" w:firstColumn="0" w:lastColumn="0" w:oddVBand="1" w:evenVBand="0" w:oddHBand="0" w:evenHBand="0" w:firstRowFirstColumn="0" w:firstRowLastColumn="0" w:lastRowFirstColumn="0" w:lastRowLastColumn="0"/>
            <w:tcW w:w="482" w:type="dxa"/>
            <w:tcBorders>
              <w:left w:val="double" w:sz="4" w:space="0" w:color="4BACC6"/>
            </w:tcBorders>
          </w:tcPr>
          <w:p w14:paraId="4DC24420" w14:textId="77777777" w:rsidR="000C2868" w:rsidRPr="003E1083" w:rsidRDefault="000C2868" w:rsidP="000C2868">
            <w:pPr>
              <w:rPr>
                <w:rFonts w:asciiTheme="minorHAnsi" w:hAnsiTheme="minorHAnsi"/>
                <w:sz w:val="18"/>
                <w:szCs w:val="18"/>
                <w:lang w:val="sq-AL"/>
              </w:rPr>
            </w:pPr>
            <w:r w:rsidRPr="003E1083">
              <w:rPr>
                <w:rFonts w:asciiTheme="minorHAnsi" w:hAnsiTheme="minorHAnsi"/>
                <w:sz w:val="18"/>
                <w:szCs w:val="18"/>
                <w:lang w:val="sq-AL"/>
              </w:rPr>
              <w:t>5.</w:t>
            </w:r>
          </w:p>
        </w:tc>
        <w:tc>
          <w:tcPr>
            <w:tcW w:w="3215" w:type="dxa"/>
          </w:tcPr>
          <w:p w14:paraId="30BC6BBF"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Agjencia e trajtimit të pronave</w:t>
            </w:r>
          </w:p>
        </w:tc>
        <w:tc>
          <w:tcPr>
            <w:cnfStyle w:val="000010000000" w:firstRow="0" w:lastRow="0" w:firstColumn="0" w:lastColumn="0" w:oddVBand="1" w:evenVBand="0" w:oddHBand="0" w:evenHBand="0" w:firstRowFirstColumn="0" w:firstRowLastColumn="0" w:lastRowFirstColumn="0" w:lastRowLastColumn="0"/>
            <w:tcW w:w="1378" w:type="dxa"/>
            <w:tcBorders>
              <w:top w:val="nil"/>
              <w:left w:val="single" w:sz="4" w:space="0" w:color="auto"/>
              <w:bottom w:val="single" w:sz="4" w:space="0" w:color="auto"/>
              <w:right w:val="single" w:sz="4" w:space="0" w:color="auto"/>
            </w:tcBorders>
            <w:shd w:val="clear" w:color="auto" w:fill="auto"/>
          </w:tcPr>
          <w:p w14:paraId="477E5C59"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3,759,717</w:t>
            </w:r>
          </w:p>
        </w:tc>
        <w:tc>
          <w:tcPr>
            <w:tcW w:w="1245" w:type="dxa"/>
            <w:tcBorders>
              <w:top w:val="nil"/>
              <w:left w:val="single" w:sz="4" w:space="0" w:color="auto"/>
              <w:bottom w:val="single" w:sz="4" w:space="0" w:color="auto"/>
              <w:right w:val="single" w:sz="4" w:space="0" w:color="auto"/>
            </w:tcBorders>
            <w:shd w:val="clear" w:color="auto" w:fill="auto"/>
          </w:tcPr>
          <w:p w14:paraId="55A993A1"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6,000</w:t>
            </w:r>
          </w:p>
        </w:tc>
        <w:tc>
          <w:tcPr>
            <w:cnfStyle w:val="000010000000" w:firstRow="0" w:lastRow="0" w:firstColumn="0" w:lastColumn="0" w:oddVBand="1" w:evenVBand="0" w:oddHBand="0" w:evenHBand="0" w:firstRowFirstColumn="0" w:firstRowLastColumn="0" w:lastRowFirstColumn="0" w:lastRowLastColumn="0"/>
            <w:tcW w:w="1245" w:type="dxa"/>
            <w:tcBorders>
              <w:top w:val="nil"/>
              <w:left w:val="nil"/>
              <w:bottom w:val="single" w:sz="4" w:space="0" w:color="auto"/>
              <w:right w:val="single" w:sz="4" w:space="0" w:color="auto"/>
            </w:tcBorders>
            <w:shd w:val="clear" w:color="auto" w:fill="auto"/>
          </w:tcPr>
          <w:p w14:paraId="65916466"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50,862</w:t>
            </w:r>
          </w:p>
        </w:tc>
        <w:tc>
          <w:tcPr>
            <w:tcW w:w="1087" w:type="dxa"/>
            <w:tcBorders>
              <w:top w:val="nil"/>
              <w:left w:val="single" w:sz="4" w:space="0" w:color="auto"/>
              <w:bottom w:val="single" w:sz="4" w:space="0" w:color="auto"/>
              <w:right w:val="single" w:sz="4" w:space="0" w:color="auto"/>
            </w:tcBorders>
            <w:shd w:val="clear" w:color="auto" w:fill="auto"/>
          </w:tcPr>
          <w:p w14:paraId="15C57FE3"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0</w:t>
            </w:r>
          </w:p>
        </w:tc>
        <w:tc>
          <w:tcPr>
            <w:cnfStyle w:val="000010000000" w:firstRow="0" w:lastRow="0" w:firstColumn="0" w:lastColumn="0" w:oddVBand="1" w:evenVBand="0" w:oddHBand="0" w:evenHBand="0" w:firstRowFirstColumn="0" w:firstRowLastColumn="0" w:lastRowFirstColumn="0" w:lastRowLastColumn="0"/>
            <w:tcW w:w="920" w:type="dxa"/>
            <w:tcBorders>
              <w:top w:val="nil"/>
              <w:left w:val="nil"/>
              <w:bottom w:val="single" w:sz="4" w:space="0" w:color="auto"/>
              <w:right w:val="double" w:sz="6" w:space="0" w:color="auto"/>
            </w:tcBorders>
            <w:shd w:val="clear" w:color="auto" w:fill="auto"/>
          </w:tcPr>
          <w:p w14:paraId="54C7F158"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1.4</w:t>
            </w:r>
          </w:p>
        </w:tc>
        <w:tc>
          <w:tcPr>
            <w:tcW w:w="998" w:type="dxa"/>
            <w:tcBorders>
              <w:top w:val="nil"/>
              <w:left w:val="single" w:sz="4" w:space="0" w:color="auto"/>
              <w:bottom w:val="single" w:sz="4" w:space="0" w:color="auto"/>
              <w:right w:val="double" w:sz="4" w:space="0" w:color="4BACC6"/>
            </w:tcBorders>
            <w:shd w:val="clear" w:color="auto" w:fill="auto"/>
          </w:tcPr>
          <w:p w14:paraId="15829A8F"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0.0</w:t>
            </w:r>
          </w:p>
        </w:tc>
      </w:tr>
      <w:tr w:rsidR="000C2868" w:rsidRPr="003E1083" w14:paraId="18AF47F5" w14:textId="77777777" w:rsidTr="000C2868">
        <w:trPr>
          <w:trHeight w:val="170"/>
          <w:jc w:val="center"/>
        </w:trPr>
        <w:tc>
          <w:tcPr>
            <w:cnfStyle w:val="000010000000" w:firstRow="0" w:lastRow="0" w:firstColumn="0" w:lastColumn="0" w:oddVBand="1" w:evenVBand="0" w:oddHBand="0" w:evenHBand="0" w:firstRowFirstColumn="0" w:firstRowLastColumn="0" w:lastRowFirstColumn="0" w:lastRowLastColumn="0"/>
            <w:tcW w:w="482" w:type="dxa"/>
            <w:tcBorders>
              <w:left w:val="double" w:sz="4" w:space="0" w:color="4BACC6"/>
            </w:tcBorders>
          </w:tcPr>
          <w:p w14:paraId="3BE576EF" w14:textId="77777777" w:rsidR="000C2868" w:rsidRPr="003E1083" w:rsidRDefault="000C2868" w:rsidP="000C2868">
            <w:pPr>
              <w:rPr>
                <w:rFonts w:asciiTheme="minorHAnsi" w:hAnsiTheme="minorHAnsi"/>
                <w:sz w:val="18"/>
                <w:szCs w:val="18"/>
                <w:lang w:val="sq-AL"/>
              </w:rPr>
            </w:pPr>
            <w:r w:rsidRPr="003E1083">
              <w:rPr>
                <w:rFonts w:asciiTheme="minorHAnsi" w:hAnsiTheme="minorHAnsi"/>
                <w:sz w:val="18"/>
                <w:szCs w:val="18"/>
                <w:lang w:val="sq-AL"/>
              </w:rPr>
              <w:t>6.</w:t>
            </w:r>
          </w:p>
        </w:tc>
        <w:tc>
          <w:tcPr>
            <w:tcW w:w="3215" w:type="dxa"/>
          </w:tcPr>
          <w:p w14:paraId="6D108FC7"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Ndihma juridike</w:t>
            </w:r>
          </w:p>
        </w:tc>
        <w:tc>
          <w:tcPr>
            <w:cnfStyle w:val="000010000000" w:firstRow="0" w:lastRow="0" w:firstColumn="0" w:lastColumn="0" w:oddVBand="1" w:evenVBand="0" w:oddHBand="0" w:evenHBand="0" w:firstRowFirstColumn="0" w:firstRowLastColumn="0" w:lastRowFirstColumn="0" w:lastRowLastColumn="0"/>
            <w:tcW w:w="1378" w:type="dxa"/>
            <w:tcBorders>
              <w:top w:val="nil"/>
              <w:left w:val="single" w:sz="4" w:space="0" w:color="auto"/>
              <w:bottom w:val="single" w:sz="4" w:space="0" w:color="auto"/>
              <w:right w:val="single" w:sz="4" w:space="0" w:color="auto"/>
            </w:tcBorders>
            <w:shd w:val="clear" w:color="auto" w:fill="auto"/>
          </w:tcPr>
          <w:p w14:paraId="2F68C725"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90,050</w:t>
            </w:r>
          </w:p>
        </w:tc>
        <w:tc>
          <w:tcPr>
            <w:tcW w:w="1245" w:type="dxa"/>
            <w:tcBorders>
              <w:top w:val="nil"/>
              <w:left w:val="single" w:sz="4" w:space="0" w:color="auto"/>
              <w:bottom w:val="single" w:sz="4" w:space="0" w:color="auto"/>
              <w:right w:val="single" w:sz="4" w:space="0" w:color="auto"/>
            </w:tcBorders>
            <w:shd w:val="clear" w:color="auto" w:fill="auto"/>
          </w:tcPr>
          <w:p w14:paraId="61ACA809"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2,000</w:t>
            </w:r>
          </w:p>
        </w:tc>
        <w:tc>
          <w:tcPr>
            <w:cnfStyle w:val="000010000000" w:firstRow="0" w:lastRow="0" w:firstColumn="0" w:lastColumn="0" w:oddVBand="1" w:evenVBand="0" w:oddHBand="0" w:evenHBand="0" w:firstRowFirstColumn="0" w:firstRowLastColumn="0" w:lastRowFirstColumn="0" w:lastRowLastColumn="0"/>
            <w:tcW w:w="1245" w:type="dxa"/>
            <w:tcBorders>
              <w:top w:val="nil"/>
              <w:left w:val="nil"/>
              <w:bottom w:val="single" w:sz="4" w:space="0" w:color="auto"/>
              <w:right w:val="single" w:sz="4" w:space="0" w:color="auto"/>
            </w:tcBorders>
            <w:shd w:val="clear" w:color="auto" w:fill="auto"/>
          </w:tcPr>
          <w:p w14:paraId="37B75A0E"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13,322</w:t>
            </w:r>
          </w:p>
        </w:tc>
        <w:tc>
          <w:tcPr>
            <w:tcW w:w="1087" w:type="dxa"/>
            <w:tcBorders>
              <w:top w:val="nil"/>
              <w:left w:val="single" w:sz="4" w:space="0" w:color="auto"/>
              <w:bottom w:val="single" w:sz="4" w:space="0" w:color="auto"/>
              <w:right w:val="single" w:sz="4" w:space="0" w:color="auto"/>
            </w:tcBorders>
            <w:shd w:val="clear" w:color="auto" w:fill="auto"/>
          </w:tcPr>
          <w:p w14:paraId="10069D6F"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0</w:t>
            </w:r>
          </w:p>
        </w:tc>
        <w:tc>
          <w:tcPr>
            <w:cnfStyle w:val="000010000000" w:firstRow="0" w:lastRow="0" w:firstColumn="0" w:lastColumn="0" w:oddVBand="1" w:evenVBand="0" w:oddHBand="0" w:evenHBand="0" w:firstRowFirstColumn="0" w:firstRowLastColumn="0" w:lastRowFirstColumn="0" w:lastRowLastColumn="0"/>
            <w:tcW w:w="920" w:type="dxa"/>
            <w:tcBorders>
              <w:top w:val="nil"/>
              <w:left w:val="nil"/>
              <w:bottom w:val="single" w:sz="4" w:space="0" w:color="auto"/>
              <w:right w:val="double" w:sz="6" w:space="0" w:color="auto"/>
            </w:tcBorders>
            <w:shd w:val="clear" w:color="auto" w:fill="auto"/>
          </w:tcPr>
          <w:p w14:paraId="68D276B3"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14.8</w:t>
            </w:r>
          </w:p>
        </w:tc>
        <w:tc>
          <w:tcPr>
            <w:tcW w:w="998" w:type="dxa"/>
            <w:tcBorders>
              <w:top w:val="nil"/>
              <w:left w:val="single" w:sz="4" w:space="0" w:color="auto"/>
              <w:bottom w:val="single" w:sz="4" w:space="0" w:color="auto"/>
              <w:right w:val="double" w:sz="4" w:space="0" w:color="4BACC6"/>
            </w:tcBorders>
            <w:shd w:val="clear" w:color="auto" w:fill="auto"/>
          </w:tcPr>
          <w:p w14:paraId="6D20A6E3"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0.0</w:t>
            </w:r>
          </w:p>
        </w:tc>
      </w:tr>
      <w:tr w:rsidR="000C2868" w:rsidRPr="003E1083" w14:paraId="6DA3E20E" w14:textId="77777777" w:rsidTr="000C2868">
        <w:trPr>
          <w:cnfStyle w:val="000000100000" w:firstRow="0" w:lastRow="0" w:firstColumn="0" w:lastColumn="0" w:oddVBand="0" w:evenVBand="0" w:oddHBand="1" w:evenHBand="0" w:firstRowFirstColumn="0" w:firstRowLastColumn="0" w:lastRowFirstColumn="0" w:lastRowLastColumn="0"/>
          <w:trHeight w:val="215"/>
          <w:jc w:val="center"/>
        </w:trPr>
        <w:tc>
          <w:tcPr>
            <w:cnfStyle w:val="000010000000" w:firstRow="0" w:lastRow="0" w:firstColumn="0" w:lastColumn="0" w:oddVBand="1" w:evenVBand="0" w:oddHBand="0" w:evenHBand="0" w:firstRowFirstColumn="0" w:firstRowLastColumn="0" w:lastRowFirstColumn="0" w:lastRowLastColumn="0"/>
            <w:tcW w:w="482" w:type="dxa"/>
            <w:tcBorders>
              <w:left w:val="double" w:sz="4" w:space="0" w:color="4BACC6"/>
            </w:tcBorders>
          </w:tcPr>
          <w:p w14:paraId="17682E4A" w14:textId="77777777" w:rsidR="000C2868" w:rsidRPr="003E1083" w:rsidRDefault="000C2868" w:rsidP="000C2868">
            <w:pPr>
              <w:rPr>
                <w:rFonts w:asciiTheme="minorHAnsi" w:hAnsiTheme="minorHAnsi"/>
                <w:sz w:val="18"/>
                <w:szCs w:val="18"/>
                <w:lang w:val="sq-AL"/>
              </w:rPr>
            </w:pPr>
            <w:r w:rsidRPr="003E1083">
              <w:rPr>
                <w:rFonts w:asciiTheme="minorHAnsi" w:hAnsiTheme="minorHAnsi"/>
                <w:sz w:val="18"/>
                <w:szCs w:val="18"/>
                <w:lang w:val="sq-AL"/>
              </w:rPr>
              <w:t>7.</w:t>
            </w:r>
          </w:p>
        </w:tc>
        <w:tc>
          <w:tcPr>
            <w:tcW w:w="3215" w:type="dxa"/>
          </w:tcPr>
          <w:p w14:paraId="12C48DC6"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Shërbimi i Përmbarimit gjyqësor</w:t>
            </w:r>
          </w:p>
        </w:tc>
        <w:tc>
          <w:tcPr>
            <w:cnfStyle w:val="000010000000" w:firstRow="0" w:lastRow="0" w:firstColumn="0" w:lastColumn="0" w:oddVBand="1" w:evenVBand="0" w:oddHBand="0" w:evenHBand="0" w:firstRowFirstColumn="0" w:firstRowLastColumn="0" w:lastRowFirstColumn="0" w:lastRowLastColumn="0"/>
            <w:tcW w:w="1378" w:type="dxa"/>
            <w:tcBorders>
              <w:top w:val="nil"/>
              <w:left w:val="single" w:sz="4" w:space="0" w:color="auto"/>
              <w:bottom w:val="single" w:sz="4" w:space="0" w:color="auto"/>
              <w:right w:val="single" w:sz="4" w:space="0" w:color="auto"/>
            </w:tcBorders>
            <w:shd w:val="clear" w:color="auto" w:fill="auto"/>
          </w:tcPr>
          <w:p w14:paraId="197FA3F2"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160,700</w:t>
            </w:r>
          </w:p>
        </w:tc>
        <w:tc>
          <w:tcPr>
            <w:tcW w:w="1245" w:type="dxa"/>
            <w:tcBorders>
              <w:top w:val="nil"/>
              <w:left w:val="single" w:sz="4" w:space="0" w:color="auto"/>
              <w:bottom w:val="single" w:sz="4" w:space="0" w:color="auto"/>
              <w:right w:val="single" w:sz="4" w:space="0" w:color="auto"/>
            </w:tcBorders>
            <w:shd w:val="clear" w:color="auto" w:fill="auto"/>
          </w:tcPr>
          <w:p w14:paraId="50C14B89"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5,000</w:t>
            </w:r>
          </w:p>
        </w:tc>
        <w:tc>
          <w:tcPr>
            <w:cnfStyle w:val="000010000000" w:firstRow="0" w:lastRow="0" w:firstColumn="0" w:lastColumn="0" w:oddVBand="1" w:evenVBand="0" w:oddHBand="0" w:evenHBand="0" w:firstRowFirstColumn="0" w:firstRowLastColumn="0" w:lastRowFirstColumn="0" w:lastRowLastColumn="0"/>
            <w:tcW w:w="1245" w:type="dxa"/>
            <w:tcBorders>
              <w:top w:val="nil"/>
              <w:left w:val="nil"/>
              <w:bottom w:val="single" w:sz="4" w:space="0" w:color="auto"/>
              <w:right w:val="single" w:sz="4" w:space="0" w:color="auto"/>
            </w:tcBorders>
            <w:shd w:val="clear" w:color="auto" w:fill="auto"/>
          </w:tcPr>
          <w:p w14:paraId="227BB1B2"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41,173</w:t>
            </w:r>
          </w:p>
        </w:tc>
        <w:tc>
          <w:tcPr>
            <w:tcW w:w="1087" w:type="dxa"/>
            <w:tcBorders>
              <w:top w:val="nil"/>
              <w:left w:val="single" w:sz="4" w:space="0" w:color="auto"/>
              <w:bottom w:val="single" w:sz="4" w:space="0" w:color="auto"/>
              <w:right w:val="single" w:sz="4" w:space="0" w:color="auto"/>
            </w:tcBorders>
            <w:shd w:val="clear" w:color="auto" w:fill="auto"/>
          </w:tcPr>
          <w:p w14:paraId="7E5CB4DB"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0</w:t>
            </w:r>
          </w:p>
        </w:tc>
        <w:tc>
          <w:tcPr>
            <w:cnfStyle w:val="000010000000" w:firstRow="0" w:lastRow="0" w:firstColumn="0" w:lastColumn="0" w:oddVBand="1" w:evenVBand="0" w:oddHBand="0" w:evenHBand="0" w:firstRowFirstColumn="0" w:firstRowLastColumn="0" w:lastRowFirstColumn="0" w:lastRowLastColumn="0"/>
            <w:tcW w:w="920" w:type="dxa"/>
            <w:tcBorders>
              <w:top w:val="nil"/>
              <w:left w:val="nil"/>
              <w:bottom w:val="single" w:sz="4" w:space="0" w:color="auto"/>
              <w:right w:val="double" w:sz="6" w:space="0" w:color="auto"/>
            </w:tcBorders>
            <w:shd w:val="clear" w:color="auto" w:fill="auto"/>
          </w:tcPr>
          <w:p w14:paraId="4593226E"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25.6</w:t>
            </w:r>
          </w:p>
        </w:tc>
        <w:tc>
          <w:tcPr>
            <w:tcW w:w="998" w:type="dxa"/>
            <w:tcBorders>
              <w:top w:val="nil"/>
              <w:left w:val="single" w:sz="4" w:space="0" w:color="auto"/>
              <w:bottom w:val="single" w:sz="4" w:space="0" w:color="auto"/>
              <w:right w:val="double" w:sz="4" w:space="0" w:color="4BACC6"/>
            </w:tcBorders>
            <w:shd w:val="clear" w:color="auto" w:fill="auto"/>
          </w:tcPr>
          <w:p w14:paraId="389CACF4"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0.0</w:t>
            </w:r>
          </w:p>
        </w:tc>
      </w:tr>
      <w:tr w:rsidR="000C2868" w:rsidRPr="003E1083" w14:paraId="3C932AD9" w14:textId="77777777" w:rsidTr="000C2868">
        <w:trPr>
          <w:trHeight w:val="251"/>
          <w:jc w:val="center"/>
        </w:trPr>
        <w:tc>
          <w:tcPr>
            <w:cnfStyle w:val="000010000000" w:firstRow="0" w:lastRow="0" w:firstColumn="0" w:lastColumn="0" w:oddVBand="1" w:evenVBand="0" w:oddHBand="0" w:evenHBand="0" w:firstRowFirstColumn="0" w:firstRowLastColumn="0" w:lastRowFirstColumn="0" w:lastRowLastColumn="0"/>
            <w:tcW w:w="482" w:type="dxa"/>
            <w:tcBorders>
              <w:left w:val="double" w:sz="4" w:space="0" w:color="4BACC6"/>
            </w:tcBorders>
          </w:tcPr>
          <w:p w14:paraId="432435FC" w14:textId="77777777" w:rsidR="000C2868" w:rsidRPr="003E1083" w:rsidRDefault="000C2868" w:rsidP="000C2868">
            <w:pPr>
              <w:rPr>
                <w:rFonts w:asciiTheme="minorHAnsi" w:hAnsiTheme="minorHAnsi"/>
                <w:sz w:val="18"/>
                <w:szCs w:val="18"/>
                <w:lang w:val="sq-AL"/>
              </w:rPr>
            </w:pPr>
            <w:r w:rsidRPr="003E1083">
              <w:rPr>
                <w:rFonts w:asciiTheme="minorHAnsi" w:hAnsiTheme="minorHAnsi"/>
                <w:sz w:val="18"/>
                <w:szCs w:val="18"/>
                <w:lang w:val="sq-AL"/>
              </w:rPr>
              <w:t>8.</w:t>
            </w:r>
          </w:p>
        </w:tc>
        <w:tc>
          <w:tcPr>
            <w:tcW w:w="3215" w:type="dxa"/>
          </w:tcPr>
          <w:p w14:paraId="5F37EAF9"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Sistemi i Burgjeve</w:t>
            </w:r>
          </w:p>
        </w:tc>
        <w:tc>
          <w:tcPr>
            <w:cnfStyle w:val="000010000000" w:firstRow="0" w:lastRow="0" w:firstColumn="0" w:lastColumn="0" w:oddVBand="1" w:evenVBand="0" w:oddHBand="0" w:evenHBand="0" w:firstRowFirstColumn="0" w:firstRowLastColumn="0" w:lastRowFirstColumn="0" w:lastRowLastColumn="0"/>
            <w:tcW w:w="1378" w:type="dxa"/>
            <w:tcBorders>
              <w:top w:val="nil"/>
              <w:left w:val="single" w:sz="4" w:space="0" w:color="auto"/>
              <w:bottom w:val="single" w:sz="4" w:space="0" w:color="auto"/>
              <w:right w:val="single" w:sz="4" w:space="0" w:color="auto"/>
            </w:tcBorders>
            <w:shd w:val="clear" w:color="auto" w:fill="auto"/>
          </w:tcPr>
          <w:p w14:paraId="7F3E37E8"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6,442,600</w:t>
            </w:r>
          </w:p>
        </w:tc>
        <w:tc>
          <w:tcPr>
            <w:tcW w:w="1245" w:type="dxa"/>
            <w:tcBorders>
              <w:top w:val="nil"/>
              <w:left w:val="single" w:sz="4" w:space="0" w:color="auto"/>
              <w:bottom w:val="single" w:sz="4" w:space="0" w:color="auto"/>
              <w:right w:val="single" w:sz="4" w:space="0" w:color="auto"/>
            </w:tcBorders>
            <w:shd w:val="clear" w:color="auto" w:fill="auto"/>
          </w:tcPr>
          <w:p w14:paraId="10F3BD3D"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220,000</w:t>
            </w:r>
          </w:p>
        </w:tc>
        <w:tc>
          <w:tcPr>
            <w:cnfStyle w:val="000010000000" w:firstRow="0" w:lastRow="0" w:firstColumn="0" w:lastColumn="0" w:oddVBand="1" w:evenVBand="0" w:oddHBand="0" w:evenHBand="0" w:firstRowFirstColumn="0" w:firstRowLastColumn="0" w:lastRowFirstColumn="0" w:lastRowLastColumn="0"/>
            <w:tcW w:w="1245" w:type="dxa"/>
            <w:tcBorders>
              <w:top w:val="nil"/>
              <w:left w:val="nil"/>
              <w:bottom w:val="single" w:sz="4" w:space="0" w:color="auto"/>
              <w:right w:val="single" w:sz="4" w:space="0" w:color="auto"/>
            </w:tcBorders>
            <w:shd w:val="clear" w:color="auto" w:fill="auto"/>
          </w:tcPr>
          <w:p w14:paraId="71AF8DAC"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1,953,786</w:t>
            </w:r>
          </w:p>
        </w:tc>
        <w:tc>
          <w:tcPr>
            <w:tcW w:w="1087" w:type="dxa"/>
            <w:tcBorders>
              <w:top w:val="nil"/>
              <w:left w:val="single" w:sz="4" w:space="0" w:color="auto"/>
              <w:bottom w:val="single" w:sz="4" w:space="0" w:color="auto"/>
              <w:right w:val="single" w:sz="4" w:space="0" w:color="auto"/>
            </w:tcBorders>
            <w:shd w:val="clear" w:color="auto" w:fill="auto"/>
          </w:tcPr>
          <w:p w14:paraId="76DAE862"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6,946</w:t>
            </w:r>
          </w:p>
        </w:tc>
        <w:tc>
          <w:tcPr>
            <w:cnfStyle w:val="000010000000" w:firstRow="0" w:lastRow="0" w:firstColumn="0" w:lastColumn="0" w:oddVBand="1" w:evenVBand="0" w:oddHBand="0" w:evenHBand="0" w:firstRowFirstColumn="0" w:firstRowLastColumn="0" w:lastRowFirstColumn="0" w:lastRowLastColumn="0"/>
            <w:tcW w:w="920" w:type="dxa"/>
            <w:tcBorders>
              <w:top w:val="nil"/>
              <w:left w:val="nil"/>
              <w:bottom w:val="single" w:sz="4" w:space="0" w:color="auto"/>
              <w:right w:val="double" w:sz="6" w:space="0" w:color="auto"/>
            </w:tcBorders>
            <w:shd w:val="clear" w:color="auto" w:fill="auto"/>
          </w:tcPr>
          <w:p w14:paraId="4711DCD4"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30.3</w:t>
            </w:r>
          </w:p>
        </w:tc>
        <w:tc>
          <w:tcPr>
            <w:tcW w:w="998" w:type="dxa"/>
            <w:tcBorders>
              <w:top w:val="nil"/>
              <w:left w:val="single" w:sz="4" w:space="0" w:color="auto"/>
              <w:bottom w:val="single" w:sz="4" w:space="0" w:color="auto"/>
              <w:right w:val="double" w:sz="4" w:space="0" w:color="4BACC6"/>
            </w:tcBorders>
            <w:shd w:val="clear" w:color="auto" w:fill="auto"/>
          </w:tcPr>
          <w:p w14:paraId="13519A25"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3.2</w:t>
            </w:r>
          </w:p>
        </w:tc>
      </w:tr>
      <w:tr w:rsidR="000C2868" w:rsidRPr="003E1083" w14:paraId="6BD60CE9" w14:textId="77777777" w:rsidTr="000C2868">
        <w:trPr>
          <w:cnfStyle w:val="000000100000" w:firstRow="0" w:lastRow="0" w:firstColumn="0" w:lastColumn="0" w:oddVBand="0" w:evenVBand="0" w:oddHBand="1" w:evenHBand="0" w:firstRowFirstColumn="0" w:firstRowLastColumn="0" w:lastRowFirstColumn="0" w:lastRowLastColumn="0"/>
          <w:trHeight w:val="170"/>
          <w:jc w:val="center"/>
        </w:trPr>
        <w:tc>
          <w:tcPr>
            <w:cnfStyle w:val="000010000000" w:firstRow="0" w:lastRow="0" w:firstColumn="0" w:lastColumn="0" w:oddVBand="1" w:evenVBand="0" w:oddHBand="0" w:evenHBand="0" w:firstRowFirstColumn="0" w:firstRowLastColumn="0" w:lastRowFirstColumn="0" w:lastRowLastColumn="0"/>
            <w:tcW w:w="482" w:type="dxa"/>
            <w:tcBorders>
              <w:left w:val="double" w:sz="4" w:space="0" w:color="4BACC6"/>
            </w:tcBorders>
          </w:tcPr>
          <w:p w14:paraId="74DFA384" w14:textId="77777777" w:rsidR="000C2868" w:rsidRPr="003E1083" w:rsidRDefault="000C2868" w:rsidP="000C2868">
            <w:pPr>
              <w:rPr>
                <w:rFonts w:asciiTheme="minorHAnsi" w:hAnsiTheme="minorHAnsi"/>
                <w:sz w:val="18"/>
                <w:szCs w:val="18"/>
                <w:lang w:val="sq-AL"/>
              </w:rPr>
            </w:pPr>
            <w:r w:rsidRPr="003E1083">
              <w:rPr>
                <w:rFonts w:asciiTheme="minorHAnsi" w:hAnsiTheme="minorHAnsi"/>
                <w:sz w:val="18"/>
                <w:szCs w:val="18"/>
                <w:lang w:val="sq-AL"/>
              </w:rPr>
              <w:t>9.</w:t>
            </w:r>
          </w:p>
        </w:tc>
        <w:tc>
          <w:tcPr>
            <w:tcW w:w="3215" w:type="dxa"/>
          </w:tcPr>
          <w:p w14:paraId="4290F33E"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Shërbimi i Provës</w:t>
            </w:r>
          </w:p>
        </w:tc>
        <w:tc>
          <w:tcPr>
            <w:cnfStyle w:val="000010000000" w:firstRow="0" w:lastRow="0" w:firstColumn="0" w:lastColumn="0" w:oddVBand="1" w:evenVBand="0" w:oddHBand="0" w:evenHBand="0" w:firstRowFirstColumn="0" w:firstRowLastColumn="0" w:lastRowFirstColumn="0" w:lastRowLastColumn="0"/>
            <w:tcW w:w="1378" w:type="dxa"/>
            <w:tcBorders>
              <w:top w:val="nil"/>
              <w:left w:val="single" w:sz="4" w:space="0" w:color="auto"/>
              <w:bottom w:val="single" w:sz="4" w:space="0" w:color="auto"/>
              <w:right w:val="single" w:sz="4" w:space="0" w:color="auto"/>
            </w:tcBorders>
            <w:shd w:val="clear" w:color="auto" w:fill="auto"/>
          </w:tcPr>
          <w:p w14:paraId="4DD067C4"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199,596</w:t>
            </w:r>
          </w:p>
        </w:tc>
        <w:tc>
          <w:tcPr>
            <w:tcW w:w="1245" w:type="dxa"/>
            <w:tcBorders>
              <w:top w:val="nil"/>
              <w:left w:val="single" w:sz="4" w:space="0" w:color="auto"/>
              <w:bottom w:val="single" w:sz="4" w:space="0" w:color="auto"/>
              <w:right w:val="single" w:sz="4" w:space="0" w:color="auto"/>
            </w:tcBorders>
            <w:shd w:val="clear" w:color="auto" w:fill="auto"/>
          </w:tcPr>
          <w:p w14:paraId="4F29A6AA"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2,000</w:t>
            </w:r>
          </w:p>
        </w:tc>
        <w:tc>
          <w:tcPr>
            <w:cnfStyle w:val="000010000000" w:firstRow="0" w:lastRow="0" w:firstColumn="0" w:lastColumn="0" w:oddVBand="1" w:evenVBand="0" w:oddHBand="0" w:evenHBand="0" w:firstRowFirstColumn="0" w:firstRowLastColumn="0" w:lastRowFirstColumn="0" w:lastRowLastColumn="0"/>
            <w:tcW w:w="1245" w:type="dxa"/>
            <w:tcBorders>
              <w:top w:val="nil"/>
              <w:left w:val="nil"/>
              <w:bottom w:val="single" w:sz="4" w:space="0" w:color="auto"/>
              <w:right w:val="single" w:sz="4" w:space="0" w:color="auto"/>
            </w:tcBorders>
            <w:shd w:val="clear" w:color="auto" w:fill="auto"/>
          </w:tcPr>
          <w:p w14:paraId="0BEBA725"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41,818</w:t>
            </w:r>
          </w:p>
        </w:tc>
        <w:tc>
          <w:tcPr>
            <w:tcW w:w="1087" w:type="dxa"/>
            <w:tcBorders>
              <w:top w:val="nil"/>
              <w:left w:val="single" w:sz="4" w:space="0" w:color="auto"/>
              <w:bottom w:val="single" w:sz="4" w:space="0" w:color="auto"/>
              <w:right w:val="single" w:sz="4" w:space="0" w:color="auto"/>
            </w:tcBorders>
            <w:shd w:val="clear" w:color="auto" w:fill="auto"/>
          </w:tcPr>
          <w:p w14:paraId="6A77F2AE"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168</w:t>
            </w:r>
          </w:p>
        </w:tc>
        <w:tc>
          <w:tcPr>
            <w:cnfStyle w:val="000010000000" w:firstRow="0" w:lastRow="0" w:firstColumn="0" w:lastColumn="0" w:oddVBand="1" w:evenVBand="0" w:oddHBand="0" w:evenHBand="0" w:firstRowFirstColumn="0" w:firstRowLastColumn="0" w:lastRowFirstColumn="0" w:lastRowLastColumn="0"/>
            <w:tcW w:w="920" w:type="dxa"/>
            <w:tcBorders>
              <w:top w:val="nil"/>
              <w:left w:val="nil"/>
              <w:bottom w:val="single" w:sz="4" w:space="0" w:color="auto"/>
              <w:right w:val="double" w:sz="6" w:space="0" w:color="auto"/>
            </w:tcBorders>
            <w:shd w:val="clear" w:color="auto" w:fill="auto"/>
          </w:tcPr>
          <w:p w14:paraId="16A5FEEA" w14:textId="77777777" w:rsidR="000C2868" w:rsidRPr="003E1083" w:rsidRDefault="000C2868" w:rsidP="000C2868">
            <w:pPr>
              <w:jc w:val="center"/>
              <w:rPr>
                <w:rFonts w:asciiTheme="minorHAnsi" w:hAnsiTheme="minorHAnsi"/>
                <w:sz w:val="18"/>
                <w:szCs w:val="18"/>
                <w:lang w:val="sq-AL"/>
              </w:rPr>
            </w:pPr>
            <w:r w:rsidRPr="003E1083">
              <w:rPr>
                <w:rFonts w:asciiTheme="minorHAnsi" w:hAnsiTheme="minorHAnsi"/>
                <w:sz w:val="18"/>
                <w:szCs w:val="18"/>
                <w:lang w:val="sq-AL"/>
              </w:rPr>
              <w:t>21.0</w:t>
            </w:r>
          </w:p>
        </w:tc>
        <w:tc>
          <w:tcPr>
            <w:tcW w:w="998" w:type="dxa"/>
            <w:tcBorders>
              <w:top w:val="nil"/>
              <w:left w:val="single" w:sz="4" w:space="0" w:color="auto"/>
              <w:bottom w:val="single" w:sz="4" w:space="0" w:color="auto"/>
              <w:right w:val="double" w:sz="4" w:space="0" w:color="4BACC6"/>
            </w:tcBorders>
            <w:shd w:val="clear" w:color="auto" w:fill="auto"/>
          </w:tcPr>
          <w:p w14:paraId="79311A97"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szCs w:val="18"/>
                <w:lang w:val="sq-AL"/>
              </w:rPr>
            </w:pPr>
            <w:r w:rsidRPr="003E1083">
              <w:rPr>
                <w:rFonts w:asciiTheme="minorHAnsi" w:hAnsiTheme="minorHAnsi"/>
                <w:sz w:val="18"/>
                <w:szCs w:val="18"/>
                <w:lang w:val="sq-AL"/>
              </w:rPr>
              <w:t>8.4</w:t>
            </w:r>
          </w:p>
        </w:tc>
      </w:tr>
      <w:tr w:rsidR="000C2868" w:rsidRPr="003E1083" w14:paraId="55CDC64F" w14:textId="77777777" w:rsidTr="000C2868">
        <w:trPr>
          <w:trHeight w:val="182"/>
          <w:jc w:val="center"/>
        </w:trPr>
        <w:tc>
          <w:tcPr>
            <w:cnfStyle w:val="000010000000" w:firstRow="0" w:lastRow="0" w:firstColumn="0" w:lastColumn="0" w:oddVBand="1" w:evenVBand="0" w:oddHBand="0" w:evenHBand="0" w:firstRowFirstColumn="0" w:firstRowLastColumn="0" w:lastRowFirstColumn="0" w:lastRowLastColumn="0"/>
            <w:tcW w:w="482" w:type="dxa"/>
            <w:tcBorders>
              <w:left w:val="double" w:sz="4" w:space="0" w:color="4BACC6"/>
              <w:bottom w:val="double" w:sz="4" w:space="0" w:color="4BACC6"/>
            </w:tcBorders>
          </w:tcPr>
          <w:p w14:paraId="0DBA42CE" w14:textId="77777777" w:rsidR="000C2868" w:rsidRPr="003E1083" w:rsidRDefault="000C2868" w:rsidP="000C2868">
            <w:pPr>
              <w:jc w:val="center"/>
              <w:rPr>
                <w:rFonts w:asciiTheme="minorHAnsi" w:hAnsiTheme="minorHAnsi"/>
                <w:b/>
                <w:sz w:val="18"/>
                <w:szCs w:val="18"/>
                <w:lang w:val="sq-AL"/>
              </w:rPr>
            </w:pPr>
          </w:p>
        </w:tc>
        <w:tc>
          <w:tcPr>
            <w:tcW w:w="3215" w:type="dxa"/>
            <w:tcBorders>
              <w:bottom w:val="double" w:sz="4" w:space="0" w:color="4BACC6"/>
            </w:tcBorders>
          </w:tcPr>
          <w:p w14:paraId="3DA18B90"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lang w:val="sq-AL"/>
              </w:rPr>
            </w:pPr>
            <w:r w:rsidRPr="003E1083">
              <w:rPr>
                <w:rFonts w:asciiTheme="minorHAnsi" w:hAnsiTheme="minorHAnsi"/>
                <w:b/>
                <w:sz w:val="18"/>
                <w:szCs w:val="18"/>
                <w:lang w:val="sq-AL"/>
              </w:rPr>
              <w:t>TOTAL</w:t>
            </w:r>
          </w:p>
        </w:tc>
        <w:tc>
          <w:tcPr>
            <w:cnfStyle w:val="000010000000" w:firstRow="0" w:lastRow="0" w:firstColumn="0" w:lastColumn="0" w:oddVBand="1" w:evenVBand="0" w:oddHBand="0" w:evenHBand="0" w:firstRowFirstColumn="0" w:firstRowLastColumn="0" w:lastRowFirstColumn="0" w:lastRowLastColumn="0"/>
            <w:tcW w:w="1378" w:type="dxa"/>
            <w:tcBorders>
              <w:top w:val="nil"/>
              <w:left w:val="single" w:sz="4" w:space="0" w:color="auto"/>
              <w:bottom w:val="double" w:sz="4" w:space="0" w:color="4BACC6"/>
              <w:right w:val="single" w:sz="4" w:space="0" w:color="auto"/>
            </w:tcBorders>
            <w:shd w:val="clear" w:color="auto" w:fill="auto"/>
          </w:tcPr>
          <w:p w14:paraId="7973EC06" w14:textId="77777777" w:rsidR="000C2868" w:rsidRPr="003E1083" w:rsidRDefault="000C2868" w:rsidP="000C2868">
            <w:pPr>
              <w:jc w:val="center"/>
              <w:rPr>
                <w:rFonts w:asciiTheme="minorHAnsi" w:hAnsiTheme="minorHAnsi"/>
                <w:b/>
                <w:sz w:val="18"/>
                <w:szCs w:val="18"/>
                <w:lang w:val="sq-AL"/>
              </w:rPr>
            </w:pPr>
            <w:r w:rsidRPr="003E1083">
              <w:rPr>
                <w:rFonts w:asciiTheme="minorHAnsi" w:hAnsiTheme="minorHAnsi"/>
                <w:b/>
                <w:sz w:val="18"/>
                <w:szCs w:val="18"/>
                <w:lang w:val="sq-AL"/>
              </w:rPr>
              <w:t>11,284,665</w:t>
            </w:r>
          </w:p>
        </w:tc>
        <w:tc>
          <w:tcPr>
            <w:tcW w:w="1245" w:type="dxa"/>
            <w:tcBorders>
              <w:top w:val="nil"/>
              <w:left w:val="single" w:sz="4" w:space="0" w:color="auto"/>
              <w:bottom w:val="double" w:sz="4" w:space="0" w:color="4BACC6"/>
              <w:right w:val="single" w:sz="4" w:space="0" w:color="auto"/>
            </w:tcBorders>
            <w:shd w:val="clear" w:color="auto" w:fill="auto"/>
          </w:tcPr>
          <w:p w14:paraId="6F32A4C7"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lang w:val="sq-AL"/>
              </w:rPr>
            </w:pPr>
            <w:r w:rsidRPr="003E1083">
              <w:rPr>
                <w:rFonts w:asciiTheme="minorHAnsi" w:hAnsiTheme="minorHAnsi"/>
                <w:b/>
                <w:sz w:val="18"/>
                <w:szCs w:val="18"/>
                <w:lang w:val="sq-AL"/>
              </w:rPr>
              <w:t>1,053,000</w:t>
            </w:r>
          </w:p>
        </w:tc>
        <w:tc>
          <w:tcPr>
            <w:cnfStyle w:val="000010000000" w:firstRow="0" w:lastRow="0" w:firstColumn="0" w:lastColumn="0" w:oddVBand="1" w:evenVBand="0" w:oddHBand="0" w:evenHBand="0" w:firstRowFirstColumn="0" w:firstRowLastColumn="0" w:lastRowFirstColumn="0" w:lastRowLastColumn="0"/>
            <w:tcW w:w="1245" w:type="dxa"/>
            <w:tcBorders>
              <w:top w:val="nil"/>
              <w:left w:val="nil"/>
              <w:bottom w:val="double" w:sz="4" w:space="0" w:color="4BACC6"/>
              <w:right w:val="single" w:sz="4" w:space="0" w:color="auto"/>
            </w:tcBorders>
            <w:shd w:val="clear" w:color="auto" w:fill="auto"/>
          </w:tcPr>
          <w:p w14:paraId="04E85737" w14:textId="77777777" w:rsidR="000C2868" w:rsidRPr="003E1083" w:rsidRDefault="000C2868" w:rsidP="000C2868">
            <w:pPr>
              <w:jc w:val="center"/>
              <w:rPr>
                <w:rFonts w:asciiTheme="minorHAnsi" w:hAnsiTheme="minorHAnsi"/>
                <w:b/>
                <w:sz w:val="18"/>
                <w:szCs w:val="18"/>
                <w:lang w:val="sq-AL"/>
              </w:rPr>
            </w:pPr>
            <w:r w:rsidRPr="003E1083">
              <w:rPr>
                <w:rFonts w:asciiTheme="minorHAnsi" w:hAnsiTheme="minorHAnsi"/>
                <w:b/>
                <w:sz w:val="18"/>
                <w:szCs w:val="18"/>
                <w:lang w:val="sq-AL"/>
              </w:rPr>
              <w:t>2,261,286</w:t>
            </w:r>
          </w:p>
        </w:tc>
        <w:tc>
          <w:tcPr>
            <w:tcW w:w="1087" w:type="dxa"/>
            <w:tcBorders>
              <w:top w:val="nil"/>
              <w:left w:val="single" w:sz="4" w:space="0" w:color="auto"/>
              <w:bottom w:val="double" w:sz="4" w:space="0" w:color="4BACC6"/>
              <w:right w:val="single" w:sz="4" w:space="0" w:color="auto"/>
            </w:tcBorders>
            <w:shd w:val="clear" w:color="auto" w:fill="auto"/>
          </w:tcPr>
          <w:p w14:paraId="60668244"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lang w:val="sq-AL"/>
              </w:rPr>
            </w:pPr>
            <w:r w:rsidRPr="003E1083">
              <w:rPr>
                <w:rFonts w:asciiTheme="minorHAnsi" w:hAnsiTheme="minorHAnsi"/>
                <w:b/>
                <w:sz w:val="18"/>
                <w:szCs w:val="18"/>
                <w:lang w:val="sq-AL"/>
              </w:rPr>
              <w:t>8,044</w:t>
            </w:r>
          </w:p>
        </w:tc>
        <w:tc>
          <w:tcPr>
            <w:cnfStyle w:val="000010000000" w:firstRow="0" w:lastRow="0" w:firstColumn="0" w:lastColumn="0" w:oddVBand="1" w:evenVBand="0" w:oddHBand="0" w:evenHBand="0" w:firstRowFirstColumn="0" w:firstRowLastColumn="0" w:lastRowFirstColumn="0" w:lastRowLastColumn="0"/>
            <w:tcW w:w="920" w:type="dxa"/>
            <w:tcBorders>
              <w:top w:val="nil"/>
              <w:left w:val="nil"/>
              <w:bottom w:val="double" w:sz="4" w:space="0" w:color="4BACC6"/>
              <w:right w:val="double" w:sz="6" w:space="0" w:color="auto"/>
            </w:tcBorders>
            <w:shd w:val="clear" w:color="auto" w:fill="auto"/>
          </w:tcPr>
          <w:p w14:paraId="57A047C3" w14:textId="77777777" w:rsidR="000C2868" w:rsidRPr="003E1083" w:rsidRDefault="000C2868" w:rsidP="000C2868">
            <w:pPr>
              <w:jc w:val="center"/>
              <w:rPr>
                <w:rFonts w:asciiTheme="minorHAnsi" w:hAnsiTheme="minorHAnsi"/>
                <w:b/>
                <w:sz w:val="18"/>
                <w:szCs w:val="18"/>
                <w:lang w:val="sq-AL"/>
              </w:rPr>
            </w:pPr>
            <w:r w:rsidRPr="003E1083">
              <w:rPr>
                <w:rFonts w:asciiTheme="minorHAnsi" w:hAnsiTheme="minorHAnsi"/>
                <w:b/>
                <w:sz w:val="18"/>
                <w:szCs w:val="18"/>
                <w:lang w:val="sq-AL"/>
              </w:rPr>
              <w:t>20.0</w:t>
            </w:r>
          </w:p>
        </w:tc>
        <w:tc>
          <w:tcPr>
            <w:tcW w:w="998" w:type="dxa"/>
            <w:tcBorders>
              <w:top w:val="nil"/>
              <w:left w:val="nil"/>
              <w:bottom w:val="double" w:sz="4" w:space="0" w:color="4BACC6"/>
              <w:right w:val="double" w:sz="4" w:space="0" w:color="4BACC6"/>
            </w:tcBorders>
            <w:shd w:val="clear" w:color="auto" w:fill="auto"/>
          </w:tcPr>
          <w:p w14:paraId="3AEDF49C"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szCs w:val="18"/>
                <w:lang w:val="sq-AL"/>
              </w:rPr>
            </w:pPr>
            <w:r w:rsidRPr="003E1083">
              <w:rPr>
                <w:rFonts w:asciiTheme="minorHAnsi" w:hAnsiTheme="minorHAnsi"/>
                <w:b/>
                <w:sz w:val="18"/>
                <w:szCs w:val="18"/>
                <w:lang w:val="sq-AL"/>
              </w:rPr>
              <w:t>0.8</w:t>
            </w:r>
          </w:p>
        </w:tc>
      </w:tr>
    </w:tbl>
    <w:p w14:paraId="523DA308" w14:textId="77777777" w:rsidR="000C2868" w:rsidRPr="003E1083" w:rsidRDefault="000C2868" w:rsidP="000C2868">
      <w:pPr>
        <w:spacing w:before="240"/>
        <w:jc w:val="both"/>
        <w:rPr>
          <w:rFonts w:asciiTheme="minorHAnsi" w:eastAsia="Calibri" w:hAnsiTheme="minorHAnsi"/>
          <w:lang w:val="sq-AL"/>
        </w:rPr>
      </w:pPr>
      <w:r w:rsidRPr="003E1083">
        <w:rPr>
          <w:rFonts w:asciiTheme="minorHAnsi" w:eastAsia="Calibri" w:hAnsiTheme="minorHAnsi"/>
          <w:lang w:val="sq-AL"/>
        </w:rPr>
        <w:t>Në programin “</w:t>
      </w:r>
      <w:r w:rsidRPr="003E1083">
        <w:rPr>
          <w:rFonts w:asciiTheme="minorHAnsi" w:eastAsia="Calibri" w:hAnsiTheme="minorHAnsi"/>
          <w:b/>
          <w:lang w:val="sq-AL"/>
        </w:rPr>
        <w:t>Sistemi i burgjeve</w:t>
      </w:r>
      <w:r w:rsidRPr="003E1083">
        <w:rPr>
          <w:rFonts w:asciiTheme="minorHAnsi" w:eastAsia="Calibri" w:hAnsiTheme="minorHAnsi"/>
          <w:lang w:val="sq-AL"/>
        </w:rPr>
        <w:t>” për 4 mujorin e parë të vitit 2023 janë realizuar produkte</w:t>
      </w:r>
      <w:r w:rsidRPr="003E1083">
        <w:rPr>
          <w:rFonts w:asciiTheme="minorHAnsi" w:hAnsiTheme="minorHAnsi"/>
          <w:lang w:val="sq-AL"/>
        </w:rPr>
        <w:t xml:space="preserve"> për të matur performancën e Sistemit të Burgjeve, si dhe projekte që shërbejnë për përmirësimin e kushteve në sistemin penitenciar, me një kosto faktike prej 2 miliard lekë.</w:t>
      </w:r>
    </w:p>
    <w:p w14:paraId="21A45E0C"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 xml:space="preserve">Rezultojnë se për </w:t>
      </w:r>
      <w:r>
        <w:rPr>
          <w:rFonts w:asciiTheme="minorHAnsi" w:hAnsiTheme="minorHAnsi"/>
          <w:i/>
          <w:lang w:val="sq-AL"/>
        </w:rPr>
        <w:t>4M I</w:t>
      </w:r>
      <w:r w:rsidRPr="003E1083">
        <w:rPr>
          <w:rFonts w:asciiTheme="minorHAnsi" w:hAnsiTheme="minorHAnsi"/>
          <w:i/>
          <w:lang w:val="sq-AL"/>
        </w:rPr>
        <w:t xml:space="preserve"> janë trajtuar 4,822 të dënuar burra në IEVP;</w:t>
      </w:r>
    </w:p>
    <w:p w14:paraId="39B8BAAA"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Janë trajtuar 419 raste të dënuar të trajtuar me shërbim shëndetësor;</w:t>
      </w:r>
    </w:p>
    <w:p w14:paraId="7EDDF075"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 xml:space="preserve">Janë të trajtuara në kushte të veçanta të vuajtjes se dënimit 72 të dënuara femra; </w:t>
      </w:r>
    </w:p>
    <w:p w14:paraId="235EBD81"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Janë trajtuar 21 të mitur të dënuar të cilët vuajnë dënimin në ambientet të përshtatshme për vuajtjen e dënimit;</w:t>
      </w:r>
    </w:p>
    <w:p w14:paraId="0498C13A" w14:textId="77777777" w:rsidR="000C2868" w:rsidRPr="003E1083" w:rsidRDefault="000C2868" w:rsidP="000C2868">
      <w:pPr>
        <w:spacing w:before="240"/>
        <w:contextualSpacing/>
        <w:jc w:val="both"/>
        <w:rPr>
          <w:rFonts w:asciiTheme="minorHAnsi" w:hAnsiTheme="minorHAnsi"/>
          <w:i/>
          <w:lang w:val="sq-AL"/>
        </w:rPr>
      </w:pPr>
    </w:p>
    <w:p w14:paraId="73398CDC" w14:textId="77777777" w:rsidR="000C2868" w:rsidRPr="003E1083" w:rsidRDefault="000C2868" w:rsidP="000C2868">
      <w:pPr>
        <w:jc w:val="both"/>
        <w:rPr>
          <w:rFonts w:asciiTheme="minorHAnsi" w:hAnsiTheme="minorHAnsi"/>
          <w:lang w:val="sq-AL"/>
        </w:rPr>
      </w:pPr>
      <w:r w:rsidRPr="003E1083">
        <w:rPr>
          <w:rFonts w:asciiTheme="minorHAnsi" w:eastAsia="Calibri" w:hAnsiTheme="minorHAnsi"/>
          <w:lang w:val="sq-AL"/>
        </w:rPr>
        <w:lastRenderedPageBreak/>
        <w:t>Në programin “</w:t>
      </w:r>
      <w:r w:rsidRPr="003E1083">
        <w:rPr>
          <w:rFonts w:asciiTheme="minorHAnsi" w:eastAsia="Calibri" w:hAnsiTheme="minorHAnsi"/>
          <w:b/>
          <w:lang w:val="sq-AL"/>
        </w:rPr>
        <w:t>Agjencia e Trajtimit të Pronave</w:t>
      </w:r>
      <w:r w:rsidRPr="003E1083">
        <w:rPr>
          <w:rFonts w:asciiTheme="minorHAnsi" w:eastAsia="Calibri" w:hAnsiTheme="minorHAnsi"/>
          <w:lang w:val="sq-AL"/>
        </w:rPr>
        <w:t>” janë realizuar produkte me kosto faktike prej 50.9 milionë lekë, ndër produktet përmendim:</w:t>
      </w:r>
    </w:p>
    <w:p w14:paraId="01DDB602"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 xml:space="preserve">Shpërndarja e fondit fizik dhe financiar për </w:t>
      </w:r>
      <w:r w:rsidRPr="000C638D">
        <w:rPr>
          <w:rFonts w:asciiTheme="minorHAnsi" w:hAnsiTheme="minorHAnsi"/>
          <w:i/>
          <w:lang w:val="sq-AL"/>
        </w:rPr>
        <w:t>147 subjekte nga 1,600 të planifikuara</w:t>
      </w:r>
      <w:r w:rsidRPr="003E1083">
        <w:rPr>
          <w:rFonts w:asciiTheme="minorHAnsi" w:hAnsiTheme="minorHAnsi"/>
          <w:i/>
          <w:lang w:val="sq-AL"/>
        </w:rPr>
        <w:t xml:space="preserve"> me një kosto faktike prej afërsisht 50 milionë lekë.</w:t>
      </w:r>
    </w:p>
    <w:p w14:paraId="319C155D"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Mbrojtja e interesave të ATP në proceset gjyqësore,  janë mbyllur 125 raste gjyqësore që kanë të bëjnë me çështje njohje të drejte pronësie apo që kanë të bëjnë me vlerësimin e pronës së njohur për kompensim.</w:t>
      </w:r>
    </w:p>
    <w:p w14:paraId="4BEC51D3" w14:textId="77777777" w:rsidR="000C2868" w:rsidRPr="003E1083" w:rsidRDefault="000C2868" w:rsidP="000C2868">
      <w:pPr>
        <w:numPr>
          <w:ilvl w:val="0"/>
          <w:numId w:val="6"/>
        </w:numPr>
        <w:spacing w:after="120"/>
        <w:ind w:left="360"/>
        <w:contextualSpacing/>
        <w:jc w:val="both"/>
        <w:rPr>
          <w:rFonts w:asciiTheme="minorHAnsi" w:hAnsiTheme="minorHAnsi"/>
          <w:i/>
          <w:lang w:val="sq-AL"/>
        </w:rPr>
      </w:pPr>
      <w:r w:rsidRPr="003E1083">
        <w:rPr>
          <w:rFonts w:asciiTheme="minorHAnsi" w:hAnsiTheme="minorHAnsi"/>
          <w:i/>
          <w:lang w:val="sq-AL"/>
        </w:rPr>
        <w:t xml:space="preserve">Shpërndarja e fondit të ish-ALUIZNIT, janë trajtuar 234 subjekte pagesa e të cilëve është bërë me fondet që ndodhen ne Bankën e Shqipërisë e cila i korrespondon një shume prej 89 milionë lekë. </w:t>
      </w:r>
    </w:p>
    <w:p w14:paraId="440BEF9B" w14:textId="77777777" w:rsidR="000C2868" w:rsidRPr="003E1083" w:rsidRDefault="000C2868" w:rsidP="000C2868">
      <w:pPr>
        <w:spacing w:before="120"/>
        <w:jc w:val="both"/>
        <w:rPr>
          <w:rFonts w:asciiTheme="minorHAnsi" w:hAnsiTheme="minorHAnsi"/>
          <w:b/>
          <w:noProof/>
          <w:color w:val="0070C0"/>
          <w:lang w:val="sq-AL"/>
        </w:rPr>
      </w:pPr>
    </w:p>
    <w:p w14:paraId="18F3F2FD" w14:textId="77777777" w:rsidR="000C2868" w:rsidRPr="003E1083" w:rsidRDefault="000C2868" w:rsidP="000C2868">
      <w:pPr>
        <w:jc w:val="both"/>
        <w:rPr>
          <w:rFonts w:asciiTheme="minorHAnsi" w:hAnsiTheme="minorHAnsi"/>
          <w:lang w:val="sq-AL"/>
        </w:rPr>
      </w:pPr>
      <w:r w:rsidRPr="003E1083">
        <w:rPr>
          <w:rFonts w:asciiTheme="minorHAnsi" w:hAnsiTheme="minorHAnsi"/>
          <w:lang w:val="sq-AL"/>
        </w:rPr>
        <w:t xml:space="preserve">Në programin </w:t>
      </w:r>
      <w:r w:rsidRPr="003E1083">
        <w:rPr>
          <w:rFonts w:asciiTheme="minorHAnsi" w:hAnsiTheme="minorHAnsi"/>
          <w:b/>
          <w:lang w:val="sq-AL"/>
        </w:rPr>
        <w:t>“Publikimet Zyrtare”</w:t>
      </w:r>
      <w:r w:rsidRPr="003E1083">
        <w:rPr>
          <w:rFonts w:asciiTheme="minorHAnsi" w:hAnsiTheme="minorHAnsi"/>
          <w:lang w:val="sq-AL"/>
        </w:rPr>
        <w:t xml:space="preserve"> </w:t>
      </w:r>
      <w:r w:rsidRPr="003E1083">
        <w:rPr>
          <w:rFonts w:asciiTheme="minorHAnsi" w:eastAsia="Calibri" w:hAnsiTheme="minorHAnsi"/>
          <w:lang w:val="sq-AL"/>
        </w:rPr>
        <w:t xml:space="preserve"> janë realizuar produkte me kosto faktike prej 13 milionë lekë, ndër produktet përmendim:</w:t>
      </w:r>
    </w:p>
    <w:p w14:paraId="61BD9A0B" w14:textId="77777777" w:rsidR="000C2868" w:rsidRPr="000C638D" w:rsidRDefault="000C2868" w:rsidP="000C2868">
      <w:pPr>
        <w:numPr>
          <w:ilvl w:val="0"/>
          <w:numId w:val="6"/>
        </w:numPr>
        <w:spacing w:after="120"/>
        <w:ind w:left="360"/>
        <w:contextualSpacing/>
        <w:jc w:val="both"/>
        <w:rPr>
          <w:rFonts w:asciiTheme="minorHAnsi" w:hAnsiTheme="minorHAnsi"/>
          <w:i/>
          <w:lang w:val="sq-AL"/>
        </w:rPr>
      </w:pPr>
      <w:r w:rsidRPr="000C638D">
        <w:rPr>
          <w:rFonts w:asciiTheme="minorHAnsi" w:hAnsiTheme="minorHAnsi"/>
          <w:i/>
          <w:lang w:val="sq-AL"/>
        </w:rPr>
        <w:t>“Publikimi i fletores zyrtare” nga 190 akte të planifikuara për tu botuar përgjatë vitit 2023 janë realizuar 69 botime, me një kosto prej 11.6 milionë lekë.</w:t>
      </w:r>
    </w:p>
    <w:p w14:paraId="41CB726F" w14:textId="77777777" w:rsidR="000C2868" w:rsidRPr="000C638D" w:rsidRDefault="000C2868" w:rsidP="000C2868">
      <w:pPr>
        <w:numPr>
          <w:ilvl w:val="0"/>
          <w:numId w:val="6"/>
        </w:numPr>
        <w:spacing w:after="120"/>
        <w:ind w:left="360"/>
        <w:contextualSpacing/>
        <w:jc w:val="both"/>
        <w:rPr>
          <w:rFonts w:asciiTheme="minorHAnsi" w:hAnsiTheme="minorHAnsi"/>
          <w:i/>
          <w:lang w:val="sq-AL"/>
        </w:rPr>
      </w:pPr>
      <w:r w:rsidRPr="000C638D">
        <w:rPr>
          <w:rFonts w:asciiTheme="minorHAnsi" w:hAnsiTheme="minorHAnsi"/>
          <w:i/>
          <w:lang w:val="sq-AL"/>
        </w:rPr>
        <w:t>“Botimi elektronik i fletores zyrtare, buletinit të njoftimeve zyrtare, kodeve dhe përmbledhëseve të legjislacionit” nga 10 botime të planifikuara janë botuar 4, shoqëruar me një kosto prej 528 mijë lekë</w:t>
      </w:r>
    </w:p>
    <w:p w14:paraId="34F1EF61" w14:textId="77777777" w:rsidR="000C2868" w:rsidRPr="000C638D" w:rsidRDefault="000C2868" w:rsidP="000C2868">
      <w:pPr>
        <w:numPr>
          <w:ilvl w:val="0"/>
          <w:numId w:val="6"/>
        </w:numPr>
        <w:spacing w:after="120"/>
        <w:ind w:left="360"/>
        <w:contextualSpacing/>
        <w:jc w:val="both"/>
        <w:rPr>
          <w:rFonts w:asciiTheme="minorHAnsi" w:hAnsiTheme="minorHAnsi"/>
          <w:i/>
          <w:lang w:val="sq-AL"/>
        </w:rPr>
      </w:pPr>
      <w:r w:rsidRPr="000C638D">
        <w:rPr>
          <w:rFonts w:asciiTheme="minorHAnsi" w:hAnsiTheme="minorHAnsi"/>
          <w:i/>
          <w:lang w:val="sq-AL"/>
        </w:rPr>
        <w:t>“Botimi i Buletinit të Njoftimeve Zyrtare” nga 48 buletine të planifikuara janë botuar 13 buletine, shoqëruar me një kosto prej 527 mijë lekë</w:t>
      </w:r>
    </w:p>
    <w:p w14:paraId="40793B06" w14:textId="77777777" w:rsidR="000C2868" w:rsidRPr="000C638D" w:rsidRDefault="000C2868" w:rsidP="000C2868">
      <w:pPr>
        <w:numPr>
          <w:ilvl w:val="0"/>
          <w:numId w:val="6"/>
        </w:numPr>
        <w:spacing w:after="120"/>
        <w:ind w:left="360"/>
        <w:contextualSpacing/>
        <w:jc w:val="both"/>
        <w:rPr>
          <w:rFonts w:asciiTheme="minorHAnsi" w:hAnsiTheme="minorHAnsi"/>
          <w:i/>
          <w:lang w:val="sq-AL"/>
        </w:rPr>
      </w:pPr>
      <w:r w:rsidRPr="000C638D">
        <w:rPr>
          <w:rFonts w:asciiTheme="minorHAnsi" w:hAnsiTheme="minorHAnsi"/>
          <w:i/>
          <w:lang w:val="sq-AL"/>
        </w:rPr>
        <w:t xml:space="preserve">“Botimi elektronik i fletores zyrtare” janë botuar 86 nga 248 botime të planifikuara për vitin 2023, shoqëruar me në kosto prej 329 mijë lekë. </w:t>
      </w:r>
    </w:p>
    <w:p w14:paraId="05DA2668" w14:textId="77777777" w:rsidR="000C2868" w:rsidRPr="003E1083" w:rsidRDefault="000C2868" w:rsidP="000C2868">
      <w:pPr>
        <w:jc w:val="both"/>
        <w:rPr>
          <w:rFonts w:asciiTheme="minorHAnsi" w:hAnsiTheme="minorHAnsi"/>
          <w:b/>
          <w:u w:val="single"/>
          <w:lang w:val="sq-AL"/>
        </w:rPr>
      </w:pPr>
    </w:p>
    <w:p w14:paraId="1D00135D" w14:textId="77777777" w:rsidR="000C2868" w:rsidRPr="003E1083" w:rsidRDefault="000C2868" w:rsidP="000C2868">
      <w:pPr>
        <w:jc w:val="both"/>
        <w:rPr>
          <w:rFonts w:asciiTheme="minorHAnsi" w:hAnsiTheme="minorHAnsi"/>
          <w:lang w:val="sq-AL"/>
        </w:rPr>
      </w:pPr>
      <w:r w:rsidRPr="003E1083">
        <w:rPr>
          <w:rFonts w:asciiTheme="minorHAnsi" w:hAnsiTheme="minorHAnsi"/>
          <w:lang w:val="sq-AL"/>
        </w:rPr>
        <w:t xml:space="preserve">Në programin </w:t>
      </w:r>
      <w:r w:rsidRPr="003E1083">
        <w:rPr>
          <w:rFonts w:asciiTheme="minorHAnsi" w:hAnsiTheme="minorHAnsi"/>
          <w:b/>
          <w:lang w:val="sq-AL"/>
        </w:rPr>
        <w:t xml:space="preserve">“Shërbimi për Çështjet e Birësimit” </w:t>
      </w:r>
      <w:r w:rsidRPr="003E1083">
        <w:rPr>
          <w:rFonts w:asciiTheme="minorHAnsi" w:eastAsia="Calibri" w:hAnsiTheme="minorHAnsi"/>
          <w:lang w:val="sq-AL"/>
        </w:rPr>
        <w:t>janë realizuar produkte me kosto faktike prej 4.3 milionë lekë, ndër produktet përmendim:</w:t>
      </w:r>
    </w:p>
    <w:p w14:paraId="26F39760" w14:textId="77777777" w:rsidR="000C2868" w:rsidRPr="000C638D" w:rsidRDefault="000C2868" w:rsidP="000C2868">
      <w:pPr>
        <w:numPr>
          <w:ilvl w:val="0"/>
          <w:numId w:val="6"/>
        </w:numPr>
        <w:spacing w:after="120"/>
        <w:ind w:left="360"/>
        <w:contextualSpacing/>
        <w:jc w:val="both"/>
        <w:rPr>
          <w:rFonts w:asciiTheme="minorHAnsi" w:hAnsiTheme="minorHAnsi"/>
          <w:i/>
          <w:lang w:val="sq-AL"/>
        </w:rPr>
      </w:pPr>
      <w:r w:rsidRPr="000C638D">
        <w:rPr>
          <w:rFonts w:asciiTheme="minorHAnsi" w:hAnsiTheme="minorHAnsi"/>
          <w:i/>
          <w:lang w:val="sq-AL"/>
        </w:rPr>
        <w:t xml:space="preserve">“Birësime të realizuara brenda dhe jashtë vendit”, janë 7 kërkesa për birësime nga 35 të planifikuara, shoqëruar me një kosto prej 4.3 milionë lekë. </w:t>
      </w:r>
    </w:p>
    <w:p w14:paraId="6A030761" w14:textId="43D28509" w:rsidR="000C2868" w:rsidRDefault="000C2868" w:rsidP="000C2868">
      <w:pPr>
        <w:jc w:val="both"/>
        <w:rPr>
          <w:rFonts w:asciiTheme="minorHAnsi" w:hAnsiTheme="minorHAnsi"/>
          <w:lang w:val="sq-AL"/>
        </w:rPr>
      </w:pPr>
    </w:p>
    <w:p w14:paraId="7E4692F1" w14:textId="635194AC" w:rsidR="000C2868" w:rsidRDefault="000C2868" w:rsidP="000C2868">
      <w:pPr>
        <w:jc w:val="both"/>
        <w:rPr>
          <w:rFonts w:asciiTheme="minorHAnsi" w:hAnsiTheme="minorHAnsi"/>
          <w:lang w:val="sq-AL"/>
        </w:rPr>
      </w:pPr>
    </w:p>
    <w:p w14:paraId="4BC178B4" w14:textId="77777777" w:rsidR="000C2868" w:rsidRPr="003E1083" w:rsidRDefault="000C2868" w:rsidP="000C2868">
      <w:pPr>
        <w:jc w:val="both"/>
        <w:rPr>
          <w:rFonts w:asciiTheme="minorHAnsi" w:hAnsiTheme="minorHAnsi"/>
          <w:lang w:val="sq-AL"/>
        </w:rPr>
      </w:pPr>
    </w:p>
    <w:p w14:paraId="113EF559" w14:textId="77777777" w:rsidR="000C2868" w:rsidRPr="003E1083" w:rsidRDefault="000C2868" w:rsidP="000C2868">
      <w:pPr>
        <w:spacing w:before="120"/>
        <w:jc w:val="both"/>
        <w:rPr>
          <w:rFonts w:asciiTheme="minorHAnsi" w:hAnsiTheme="minorHAnsi"/>
          <w:b/>
          <w:noProof/>
          <w:color w:val="0070C0"/>
          <w:lang w:val="sq-AL"/>
        </w:rPr>
      </w:pPr>
      <w:r w:rsidRPr="003E1083">
        <w:rPr>
          <w:rFonts w:asciiTheme="minorHAnsi" w:hAnsiTheme="minorHAnsi"/>
          <w:b/>
          <w:noProof/>
          <w:color w:val="0070C0"/>
          <w:lang w:val="sq-AL"/>
        </w:rPr>
        <w:t>INSTITUCIONET E SISTEMIT TË DREJTËSISË</w:t>
      </w:r>
      <w:bookmarkEnd w:id="210"/>
      <w:bookmarkEnd w:id="211"/>
    </w:p>
    <w:p w14:paraId="37571A65" w14:textId="77777777" w:rsidR="000C2868" w:rsidRPr="003E1083" w:rsidRDefault="000C2868" w:rsidP="000C2868">
      <w:pPr>
        <w:spacing w:before="120"/>
        <w:jc w:val="both"/>
        <w:rPr>
          <w:rFonts w:asciiTheme="minorHAnsi" w:eastAsia="MS Mincho" w:hAnsiTheme="minorHAnsi"/>
          <w:lang w:val="sq-AL"/>
        </w:rPr>
      </w:pPr>
      <w:bookmarkStart w:id="216" w:name="_Toc10033304"/>
      <w:bookmarkStart w:id="217" w:name="_Toc10721440"/>
      <w:bookmarkStart w:id="218" w:name="_Toc11134233"/>
      <w:bookmarkEnd w:id="212"/>
      <w:bookmarkEnd w:id="213"/>
      <w:bookmarkEnd w:id="214"/>
      <w:r w:rsidRPr="003E1083">
        <w:rPr>
          <w:rFonts w:asciiTheme="minorHAnsi" w:hAnsiTheme="minorHAnsi"/>
          <w:lang w:val="sq-AL"/>
        </w:rPr>
        <w:t xml:space="preserve">Shpenzimet e planifikuara dhe ato faktike si dhe realizimi në përqindje për </w:t>
      </w:r>
      <w:r>
        <w:rPr>
          <w:rFonts w:asciiTheme="minorHAnsi" w:hAnsiTheme="minorHAnsi"/>
          <w:lang w:val="sq-AL"/>
        </w:rPr>
        <w:t>4M I</w:t>
      </w:r>
      <w:r w:rsidRPr="003E1083">
        <w:rPr>
          <w:rFonts w:asciiTheme="minorHAnsi" w:hAnsiTheme="minorHAnsi"/>
          <w:lang w:val="sq-AL"/>
        </w:rPr>
        <w:t xml:space="preserve"> të vitit 2023 për institucionet e Sistemit të Drejtësisë, paraqiten si më poshtë</w:t>
      </w:r>
      <w:r w:rsidRPr="003E1083">
        <w:rPr>
          <w:rFonts w:asciiTheme="minorHAnsi" w:eastAsia="MS Mincho" w:hAnsiTheme="minorHAnsi"/>
          <w:lang w:val="sq-AL"/>
        </w:rPr>
        <w:t>:</w:t>
      </w:r>
    </w:p>
    <w:p w14:paraId="239C5DF9" w14:textId="5D3B92B3" w:rsidR="000C2868" w:rsidRPr="000C638D" w:rsidRDefault="000C2868" w:rsidP="000C2868">
      <w:pPr>
        <w:spacing w:before="120"/>
        <w:rPr>
          <w:rFonts w:asciiTheme="minorHAnsi" w:hAnsiTheme="minorHAnsi"/>
          <w:i/>
          <w:noProof/>
          <w:sz w:val="22"/>
          <w:lang w:val="sq-AL"/>
        </w:rPr>
      </w:pPr>
      <w:bookmarkStart w:id="219" w:name="_Toc107496780"/>
      <w:r w:rsidRPr="000C638D">
        <w:rPr>
          <w:rFonts w:asciiTheme="minorHAnsi" w:hAnsiTheme="minorHAnsi"/>
          <w:i/>
          <w:noProof/>
          <w:sz w:val="22"/>
          <w:lang w:val="sq-AL"/>
        </w:rPr>
        <w:t xml:space="preserve">Tabela </w:t>
      </w:r>
      <w:r w:rsidRPr="000C638D">
        <w:rPr>
          <w:rFonts w:asciiTheme="minorHAnsi" w:hAnsiTheme="minorHAnsi"/>
          <w:i/>
          <w:noProof/>
          <w:sz w:val="22"/>
          <w:lang w:val="sq-AL"/>
        </w:rPr>
        <w:fldChar w:fldCharType="begin"/>
      </w:r>
      <w:r w:rsidRPr="000C638D">
        <w:rPr>
          <w:rFonts w:asciiTheme="minorHAnsi" w:hAnsiTheme="minorHAnsi"/>
          <w:i/>
          <w:noProof/>
          <w:sz w:val="22"/>
          <w:lang w:val="sq-AL"/>
        </w:rPr>
        <w:instrText xml:space="preserve"> SEQ Tabela \* ARABIC </w:instrText>
      </w:r>
      <w:r w:rsidRPr="000C638D">
        <w:rPr>
          <w:rFonts w:asciiTheme="minorHAnsi" w:hAnsiTheme="minorHAnsi"/>
          <w:i/>
          <w:noProof/>
          <w:sz w:val="22"/>
          <w:lang w:val="sq-AL"/>
        </w:rPr>
        <w:fldChar w:fldCharType="separate"/>
      </w:r>
      <w:r w:rsidR="00C153A9">
        <w:rPr>
          <w:rFonts w:asciiTheme="minorHAnsi" w:hAnsiTheme="minorHAnsi"/>
          <w:i/>
          <w:noProof/>
          <w:sz w:val="22"/>
          <w:lang w:val="sq-AL"/>
        </w:rPr>
        <w:t>43</w:t>
      </w:r>
      <w:r w:rsidRPr="000C638D">
        <w:rPr>
          <w:rFonts w:asciiTheme="minorHAnsi" w:hAnsiTheme="minorHAnsi"/>
          <w:i/>
          <w:noProof/>
          <w:sz w:val="22"/>
          <w:lang w:val="sq-AL"/>
        </w:rPr>
        <w:fldChar w:fldCharType="end"/>
      </w:r>
      <w:r w:rsidRPr="000C638D">
        <w:rPr>
          <w:rFonts w:asciiTheme="minorHAnsi" w:hAnsiTheme="minorHAnsi"/>
          <w:i/>
          <w:noProof/>
          <w:sz w:val="22"/>
          <w:lang w:val="sq-AL"/>
        </w:rPr>
        <w:t xml:space="preserve">: </w:t>
      </w:r>
      <w:r>
        <w:rPr>
          <w:rFonts w:ascii="Calibri" w:hAnsi="Calibri"/>
          <w:i/>
          <w:noProof/>
          <w:sz w:val="22"/>
          <w:lang w:val="sq-AL"/>
        </w:rPr>
        <w:t>Performanca e shpenzimeve për 4M I</w:t>
      </w:r>
      <w:r>
        <w:rPr>
          <w:rFonts w:asciiTheme="minorHAnsi" w:hAnsiTheme="minorHAnsi"/>
          <w:i/>
          <w:noProof/>
          <w:sz w:val="22"/>
          <w:lang w:val="sq-AL"/>
        </w:rPr>
        <w:t xml:space="preserve">, për </w:t>
      </w:r>
      <w:r w:rsidRPr="000C638D">
        <w:rPr>
          <w:rFonts w:asciiTheme="minorHAnsi" w:hAnsiTheme="minorHAnsi"/>
          <w:i/>
          <w:noProof/>
          <w:sz w:val="22"/>
          <w:lang w:val="sq-AL"/>
        </w:rPr>
        <w:t>Institucionet e Sistemit të Drejtësisë</w:t>
      </w:r>
      <w:bookmarkEnd w:id="219"/>
    </w:p>
    <w:p w14:paraId="40CDE5A9" w14:textId="77777777" w:rsidR="000C2868" w:rsidRPr="003E1083" w:rsidRDefault="000C2868" w:rsidP="000C2868">
      <w:pPr>
        <w:jc w:val="right"/>
        <w:rPr>
          <w:rFonts w:asciiTheme="minorHAnsi" w:eastAsia="MS Mincho" w:hAnsiTheme="minorHAnsi"/>
          <w:i/>
          <w:iCs/>
          <w:lang w:val="sq-AL"/>
        </w:rPr>
      </w:pPr>
      <w:r w:rsidRPr="003E1083">
        <w:rPr>
          <w:rFonts w:asciiTheme="minorHAnsi" w:eastAsia="MS Mincho" w:hAnsiTheme="minorHAnsi"/>
          <w:i/>
          <w:iCs/>
          <w:lang w:val="sq-AL"/>
        </w:rPr>
        <w:t>Në mijë lekë</w:t>
      </w:r>
    </w:p>
    <w:tbl>
      <w:tblPr>
        <w:tblW w:w="10047" w:type="dxa"/>
        <w:jc w:val="center"/>
        <w:tblLook w:val="04A0" w:firstRow="1" w:lastRow="0" w:firstColumn="1" w:lastColumn="0" w:noHBand="0" w:noVBand="1"/>
      </w:tblPr>
      <w:tblGrid>
        <w:gridCol w:w="418"/>
        <w:gridCol w:w="4070"/>
        <w:gridCol w:w="1107"/>
        <w:gridCol w:w="994"/>
        <w:gridCol w:w="878"/>
        <w:gridCol w:w="882"/>
        <w:gridCol w:w="816"/>
        <w:gridCol w:w="882"/>
      </w:tblGrid>
      <w:tr w:rsidR="000C2868" w:rsidRPr="003E1083" w14:paraId="4B58EE8E" w14:textId="77777777" w:rsidTr="000C2868">
        <w:trPr>
          <w:trHeight w:val="322"/>
          <w:jc w:val="center"/>
        </w:trPr>
        <w:tc>
          <w:tcPr>
            <w:tcW w:w="0" w:type="auto"/>
            <w:vMerge w:val="restart"/>
            <w:tcBorders>
              <w:top w:val="single" w:sz="8" w:space="0" w:color="4BACC6"/>
              <w:left w:val="single" w:sz="8" w:space="0" w:color="4BACC6"/>
              <w:bottom w:val="single" w:sz="8" w:space="0" w:color="4BACC6"/>
              <w:right w:val="nil"/>
            </w:tcBorders>
            <w:shd w:val="clear" w:color="000000" w:fill="4BACC6"/>
            <w:vAlign w:val="center"/>
            <w:hideMark/>
          </w:tcPr>
          <w:p w14:paraId="35F053D2"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NR</w:t>
            </w:r>
          </w:p>
        </w:tc>
        <w:tc>
          <w:tcPr>
            <w:tcW w:w="4063" w:type="dxa"/>
            <w:vMerge w:val="restart"/>
            <w:tcBorders>
              <w:top w:val="single" w:sz="8" w:space="0" w:color="4BACC6"/>
              <w:left w:val="nil"/>
              <w:bottom w:val="single" w:sz="8" w:space="0" w:color="4BACC6"/>
              <w:right w:val="nil"/>
            </w:tcBorders>
            <w:shd w:val="clear" w:color="000000" w:fill="4BACC6"/>
            <w:vAlign w:val="center"/>
            <w:hideMark/>
          </w:tcPr>
          <w:p w14:paraId="5FCC6772"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Emërtimi I Programit/Institucionit</w:t>
            </w:r>
          </w:p>
        </w:tc>
        <w:tc>
          <w:tcPr>
            <w:tcW w:w="2101" w:type="dxa"/>
            <w:gridSpan w:val="2"/>
            <w:tcBorders>
              <w:top w:val="single" w:sz="8" w:space="0" w:color="4BACC6"/>
              <w:left w:val="nil"/>
              <w:bottom w:val="single" w:sz="8" w:space="0" w:color="4BACC6"/>
              <w:right w:val="nil"/>
            </w:tcBorders>
            <w:shd w:val="clear" w:color="000000" w:fill="4BACC6"/>
            <w:vAlign w:val="center"/>
            <w:hideMark/>
          </w:tcPr>
          <w:p w14:paraId="3FA9572E"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Plani 2023</w:t>
            </w:r>
          </w:p>
        </w:tc>
        <w:tc>
          <w:tcPr>
            <w:tcW w:w="0" w:type="auto"/>
            <w:gridSpan w:val="2"/>
            <w:tcBorders>
              <w:top w:val="single" w:sz="8" w:space="0" w:color="4BACC6"/>
              <w:left w:val="nil"/>
              <w:bottom w:val="single" w:sz="8" w:space="0" w:color="4BACC6"/>
              <w:right w:val="nil"/>
            </w:tcBorders>
            <w:shd w:val="clear" w:color="000000" w:fill="4BACC6"/>
            <w:vAlign w:val="center"/>
            <w:hideMark/>
          </w:tcPr>
          <w:p w14:paraId="5E826696"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sz w:val="16"/>
                <w:lang w:val="sq-AL"/>
              </w:rPr>
              <w:t>Fakti 4-mujori 2023</w:t>
            </w:r>
          </w:p>
        </w:tc>
        <w:tc>
          <w:tcPr>
            <w:tcW w:w="0" w:type="auto"/>
            <w:gridSpan w:val="2"/>
            <w:tcBorders>
              <w:top w:val="single" w:sz="8" w:space="0" w:color="4BACC6"/>
              <w:left w:val="nil"/>
              <w:bottom w:val="single" w:sz="8" w:space="0" w:color="4BACC6"/>
              <w:right w:val="single" w:sz="8" w:space="0" w:color="4BACC6"/>
            </w:tcBorders>
            <w:shd w:val="clear" w:color="000000" w:fill="4BACC6"/>
            <w:vAlign w:val="center"/>
            <w:hideMark/>
          </w:tcPr>
          <w:p w14:paraId="4BA67164"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Përqindja  e realizimit</w:t>
            </w:r>
          </w:p>
        </w:tc>
      </w:tr>
      <w:tr w:rsidR="000C2868" w:rsidRPr="003E1083" w14:paraId="46A2084E" w14:textId="77777777" w:rsidTr="000C2868">
        <w:trPr>
          <w:trHeight w:val="430"/>
          <w:jc w:val="center"/>
        </w:trPr>
        <w:tc>
          <w:tcPr>
            <w:tcW w:w="0" w:type="auto"/>
            <w:vMerge/>
            <w:tcBorders>
              <w:top w:val="single" w:sz="8" w:space="0" w:color="4BACC6"/>
              <w:left w:val="single" w:sz="8" w:space="0" w:color="4BACC6"/>
              <w:bottom w:val="single" w:sz="8" w:space="0" w:color="4BACC6"/>
              <w:right w:val="nil"/>
            </w:tcBorders>
            <w:vAlign w:val="center"/>
            <w:hideMark/>
          </w:tcPr>
          <w:p w14:paraId="2DC4A6A3" w14:textId="77777777" w:rsidR="000C2868" w:rsidRPr="003E1083" w:rsidRDefault="000C2868" w:rsidP="000C2868">
            <w:pPr>
              <w:rPr>
                <w:rFonts w:asciiTheme="minorHAnsi" w:hAnsiTheme="minorHAnsi"/>
                <w:b/>
                <w:bCs/>
                <w:sz w:val="16"/>
                <w:lang w:val="sq-AL"/>
              </w:rPr>
            </w:pPr>
          </w:p>
        </w:tc>
        <w:tc>
          <w:tcPr>
            <w:tcW w:w="4063" w:type="dxa"/>
            <w:vMerge/>
            <w:tcBorders>
              <w:top w:val="single" w:sz="8" w:space="0" w:color="4BACC6"/>
              <w:left w:val="nil"/>
              <w:bottom w:val="single" w:sz="8" w:space="0" w:color="4BACC6"/>
              <w:right w:val="nil"/>
            </w:tcBorders>
            <w:vAlign w:val="center"/>
            <w:hideMark/>
          </w:tcPr>
          <w:p w14:paraId="6C398804" w14:textId="77777777" w:rsidR="000C2868" w:rsidRPr="003E1083" w:rsidRDefault="000C2868" w:rsidP="000C2868">
            <w:pPr>
              <w:rPr>
                <w:rFonts w:asciiTheme="minorHAnsi" w:hAnsiTheme="minorHAnsi"/>
                <w:b/>
                <w:bCs/>
                <w:sz w:val="16"/>
                <w:lang w:val="sq-AL"/>
              </w:rPr>
            </w:pPr>
          </w:p>
        </w:tc>
        <w:tc>
          <w:tcPr>
            <w:tcW w:w="1107" w:type="dxa"/>
            <w:tcBorders>
              <w:top w:val="nil"/>
              <w:left w:val="nil"/>
              <w:bottom w:val="single" w:sz="8" w:space="0" w:color="4BACC6"/>
              <w:right w:val="nil"/>
            </w:tcBorders>
            <w:shd w:val="clear" w:color="auto" w:fill="auto"/>
            <w:vAlign w:val="center"/>
            <w:hideMark/>
          </w:tcPr>
          <w:p w14:paraId="7623E242"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Korrente</w:t>
            </w:r>
          </w:p>
        </w:tc>
        <w:tc>
          <w:tcPr>
            <w:tcW w:w="994" w:type="dxa"/>
            <w:tcBorders>
              <w:top w:val="nil"/>
              <w:left w:val="nil"/>
              <w:bottom w:val="single" w:sz="8" w:space="0" w:color="4BACC6"/>
              <w:right w:val="nil"/>
            </w:tcBorders>
            <w:shd w:val="clear" w:color="auto" w:fill="auto"/>
            <w:vAlign w:val="center"/>
            <w:hideMark/>
          </w:tcPr>
          <w:p w14:paraId="59ABF1E4"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Investime</w:t>
            </w:r>
          </w:p>
        </w:tc>
        <w:tc>
          <w:tcPr>
            <w:tcW w:w="0" w:type="auto"/>
            <w:tcBorders>
              <w:top w:val="nil"/>
              <w:left w:val="nil"/>
              <w:bottom w:val="single" w:sz="8" w:space="0" w:color="4BACC6"/>
              <w:right w:val="nil"/>
            </w:tcBorders>
            <w:shd w:val="clear" w:color="auto" w:fill="auto"/>
            <w:vAlign w:val="center"/>
            <w:hideMark/>
          </w:tcPr>
          <w:p w14:paraId="346B91AB"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Korrente</w:t>
            </w:r>
          </w:p>
        </w:tc>
        <w:tc>
          <w:tcPr>
            <w:tcW w:w="0" w:type="auto"/>
            <w:tcBorders>
              <w:top w:val="nil"/>
              <w:left w:val="nil"/>
              <w:bottom w:val="single" w:sz="8" w:space="0" w:color="4BACC6"/>
              <w:right w:val="nil"/>
            </w:tcBorders>
            <w:shd w:val="clear" w:color="auto" w:fill="auto"/>
            <w:vAlign w:val="center"/>
            <w:hideMark/>
          </w:tcPr>
          <w:p w14:paraId="1DC01ECC"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Investime</w:t>
            </w:r>
          </w:p>
        </w:tc>
        <w:tc>
          <w:tcPr>
            <w:tcW w:w="0" w:type="auto"/>
            <w:tcBorders>
              <w:top w:val="nil"/>
              <w:left w:val="nil"/>
              <w:bottom w:val="single" w:sz="8" w:space="0" w:color="4BACC6"/>
              <w:right w:val="nil"/>
            </w:tcBorders>
            <w:shd w:val="clear" w:color="auto" w:fill="auto"/>
            <w:vAlign w:val="center"/>
            <w:hideMark/>
          </w:tcPr>
          <w:p w14:paraId="6E6A2B22"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Korrente</w:t>
            </w:r>
          </w:p>
        </w:tc>
        <w:tc>
          <w:tcPr>
            <w:tcW w:w="0" w:type="auto"/>
            <w:tcBorders>
              <w:top w:val="nil"/>
              <w:left w:val="nil"/>
              <w:bottom w:val="single" w:sz="8" w:space="0" w:color="4BACC6"/>
              <w:right w:val="single" w:sz="8" w:space="0" w:color="4BACC6"/>
            </w:tcBorders>
            <w:shd w:val="clear" w:color="auto" w:fill="auto"/>
            <w:vAlign w:val="center"/>
            <w:hideMark/>
          </w:tcPr>
          <w:p w14:paraId="7A05ABF0"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Investime</w:t>
            </w:r>
          </w:p>
        </w:tc>
      </w:tr>
      <w:tr w:rsidR="000C2868" w:rsidRPr="003E1083" w14:paraId="30D03FCC" w14:textId="77777777" w:rsidTr="000C2868">
        <w:trPr>
          <w:trHeight w:val="252"/>
          <w:jc w:val="center"/>
        </w:trPr>
        <w:tc>
          <w:tcPr>
            <w:tcW w:w="0" w:type="auto"/>
            <w:tcBorders>
              <w:top w:val="nil"/>
              <w:left w:val="single" w:sz="8" w:space="0" w:color="4BACC6"/>
              <w:bottom w:val="single" w:sz="8" w:space="0" w:color="4BACC6"/>
              <w:right w:val="single" w:sz="8" w:space="0" w:color="4BACC6"/>
            </w:tcBorders>
            <w:shd w:val="clear" w:color="000000" w:fill="FFFFFF"/>
            <w:vAlign w:val="center"/>
            <w:hideMark/>
          </w:tcPr>
          <w:p w14:paraId="51256463"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1</w:t>
            </w:r>
          </w:p>
        </w:tc>
        <w:tc>
          <w:tcPr>
            <w:tcW w:w="4063" w:type="dxa"/>
            <w:tcBorders>
              <w:top w:val="nil"/>
              <w:left w:val="nil"/>
              <w:bottom w:val="single" w:sz="8" w:space="0" w:color="4BACC6"/>
              <w:right w:val="single" w:sz="8" w:space="0" w:color="4BACC6"/>
            </w:tcBorders>
            <w:shd w:val="clear" w:color="auto" w:fill="auto"/>
            <w:vAlign w:val="center"/>
            <w:hideMark/>
          </w:tcPr>
          <w:p w14:paraId="228911D1" w14:textId="77777777" w:rsidR="000C2868" w:rsidRPr="003E1083" w:rsidRDefault="000C2868" w:rsidP="000C2868">
            <w:pPr>
              <w:jc w:val="center"/>
              <w:rPr>
                <w:rFonts w:asciiTheme="minorHAnsi" w:hAnsiTheme="minorHAnsi"/>
                <w:sz w:val="16"/>
                <w:lang w:val="sq-AL"/>
              </w:rPr>
            </w:pPr>
            <w:r w:rsidRPr="003E1083">
              <w:rPr>
                <w:rFonts w:asciiTheme="minorHAnsi" w:hAnsiTheme="minorHAnsi"/>
                <w:b/>
                <w:bCs/>
                <w:sz w:val="16"/>
                <w:lang w:val="sq-AL"/>
              </w:rPr>
              <w:t>Inspektoriati i Larte i Drejtesise</w:t>
            </w:r>
          </w:p>
        </w:tc>
        <w:tc>
          <w:tcPr>
            <w:tcW w:w="1107" w:type="dxa"/>
            <w:tcBorders>
              <w:top w:val="nil"/>
              <w:left w:val="nil"/>
              <w:bottom w:val="single" w:sz="8" w:space="0" w:color="4BACC6"/>
              <w:right w:val="single" w:sz="8" w:space="0" w:color="4BACC6"/>
            </w:tcBorders>
            <w:shd w:val="clear" w:color="auto" w:fill="auto"/>
            <w:noWrap/>
            <w:vAlign w:val="center"/>
          </w:tcPr>
          <w:p w14:paraId="7F7D4F52" w14:textId="77777777" w:rsidR="000C2868" w:rsidRPr="003E1083" w:rsidRDefault="000C2868" w:rsidP="000C2868">
            <w:pPr>
              <w:jc w:val="center"/>
              <w:rPr>
                <w:rFonts w:asciiTheme="minorHAnsi" w:hAnsiTheme="minorHAnsi"/>
                <w:sz w:val="16"/>
                <w:lang w:val="sq-AL"/>
              </w:rPr>
            </w:pPr>
            <w:r w:rsidRPr="003E1083">
              <w:rPr>
                <w:rFonts w:asciiTheme="minorHAnsi" w:hAnsiTheme="minorHAnsi"/>
                <w:sz w:val="16"/>
                <w:lang w:val="sq-AL"/>
              </w:rPr>
              <w:t>215,700</w:t>
            </w:r>
          </w:p>
        </w:tc>
        <w:tc>
          <w:tcPr>
            <w:tcW w:w="994" w:type="dxa"/>
            <w:tcBorders>
              <w:top w:val="nil"/>
              <w:left w:val="nil"/>
              <w:bottom w:val="single" w:sz="8" w:space="0" w:color="4BACC6"/>
              <w:right w:val="single" w:sz="8" w:space="0" w:color="4BACC6"/>
            </w:tcBorders>
            <w:shd w:val="clear" w:color="auto" w:fill="auto"/>
            <w:noWrap/>
            <w:vAlign w:val="center"/>
          </w:tcPr>
          <w:p w14:paraId="0558F92D" w14:textId="77777777" w:rsidR="000C2868" w:rsidRPr="003E1083" w:rsidRDefault="000C2868" w:rsidP="000C2868">
            <w:pPr>
              <w:jc w:val="center"/>
              <w:rPr>
                <w:rFonts w:asciiTheme="minorHAnsi" w:hAnsiTheme="minorHAnsi"/>
                <w:sz w:val="16"/>
                <w:lang w:val="sq-AL"/>
              </w:rPr>
            </w:pPr>
            <w:r w:rsidRPr="003E1083">
              <w:rPr>
                <w:rFonts w:asciiTheme="minorHAnsi" w:hAnsiTheme="minorHAnsi"/>
                <w:sz w:val="16"/>
                <w:lang w:val="sq-AL"/>
              </w:rPr>
              <w:t>73,000</w:t>
            </w:r>
          </w:p>
        </w:tc>
        <w:tc>
          <w:tcPr>
            <w:tcW w:w="0" w:type="auto"/>
            <w:tcBorders>
              <w:top w:val="nil"/>
              <w:left w:val="nil"/>
              <w:bottom w:val="single" w:sz="8" w:space="0" w:color="4BACC6"/>
              <w:right w:val="single" w:sz="8" w:space="0" w:color="4BACC6"/>
            </w:tcBorders>
            <w:shd w:val="clear" w:color="auto" w:fill="auto"/>
            <w:noWrap/>
            <w:vAlign w:val="center"/>
          </w:tcPr>
          <w:p w14:paraId="415BD48B" w14:textId="77777777" w:rsidR="000C2868" w:rsidRPr="003E1083" w:rsidRDefault="000C2868" w:rsidP="000C2868">
            <w:pPr>
              <w:jc w:val="center"/>
              <w:rPr>
                <w:rFonts w:asciiTheme="minorHAnsi" w:hAnsiTheme="minorHAnsi"/>
                <w:sz w:val="16"/>
                <w:lang w:val="sq-AL"/>
              </w:rPr>
            </w:pPr>
            <w:r w:rsidRPr="003E1083">
              <w:rPr>
                <w:rFonts w:asciiTheme="minorHAnsi" w:hAnsiTheme="minorHAnsi"/>
                <w:sz w:val="16"/>
                <w:lang w:val="sq-AL"/>
              </w:rPr>
              <w:t>54,616</w:t>
            </w:r>
          </w:p>
        </w:tc>
        <w:tc>
          <w:tcPr>
            <w:tcW w:w="0" w:type="auto"/>
            <w:tcBorders>
              <w:top w:val="nil"/>
              <w:left w:val="nil"/>
              <w:bottom w:val="single" w:sz="8" w:space="0" w:color="4BACC6"/>
              <w:right w:val="single" w:sz="8" w:space="0" w:color="4BACC6"/>
            </w:tcBorders>
            <w:shd w:val="clear" w:color="auto" w:fill="auto"/>
            <w:noWrap/>
            <w:vAlign w:val="center"/>
          </w:tcPr>
          <w:p w14:paraId="7AF59DE0" w14:textId="77777777" w:rsidR="000C2868" w:rsidRPr="003E1083" w:rsidRDefault="000C2868" w:rsidP="000C2868">
            <w:pPr>
              <w:jc w:val="center"/>
              <w:rPr>
                <w:rFonts w:asciiTheme="minorHAnsi" w:hAnsiTheme="minorHAnsi"/>
                <w:sz w:val="16"/>
                <w:lang w:val="sq-AL"/>
              </w:rPr>
            </w:pPr>
            <w:r w:rsidRPr="003E1083">
              <w:rPr>
                <w:rFonts w:asciiTheme="minorHAnsi" w:hAnsiTheme="minorHAnsi"/>
                <w:sz w:val="16"/>
                <w:lang w:val="sq-AL"/>
              </w:rPr>
              <w:t>0</w:t>
            </w:r>
          </w:p>
        </w:tc>
        <w:tc>
          <w:tcPr>
            <w:tcW w:w="0" w:type="auto"/>
            <w:tcBorders>
              <w:top w:val="nil"/>
              <w:left w:val="nil"/>
              <w:bottom w:val="single" w:sz="8" w:space="0" w:color="4BACC6"/>
              <w:right w:val="single" w:sz="8" w:space="0" w:color="4BACC6"/>
            </w:tcBorders>
            <w:shd w:val="clear" w:color="auto" w:fill="auto"/>
            <w:vAlign w:val="center"/>
          </w:tcPr>
          <w:p w14:paraId="3BB6A238" w14:textId="77777777" w:rsidR="000C2868" w:rsidRPr="003E1083" w:rsidRDefault="000C2868" w:rsidP="000C2868">
            <w:pPr>
              <w:jc w:val="center"/>
              <w:rPr>
                <w:rFonts w:asciiTheme="minorHAnsi" w:hAnsiTheme="minorHAnsi"/>
                <w:sz w:val="16"/>
                <w:lang w:val="sq-AL"/>
              </w:rPr>
            </w:pPr>
            <w:r w:rsidRPr="003E1083">
              <w:rPr>
                <w:rFonts w:asciiTheme="minorHAnsi" w:hAnsiTheme="minorHAnsi"/>
                <w:sz w:val="16"/>
                <w:lang w:val="sq-AL"/>
              </w:rPr>
              <w:t>25.32%</w:t>
            </w:r>
          </w:p>
        </w:tc>
        <w:tc>
          <w:tcPr>
            <w:tcW w:w="0" w:type="auto"/>
            <w:tcBorders>
              <w:top w:val="nil"/>
              <w:left w:val="nil"/>
              <w:bottom w:val="single" w:sz="8" w:space="0" w:color="4BACC6"/>
              <w:right w:val="single" w:sz="8" w:space="0" w:color="4BACC6"/>
            </w:tcBorders>
            <w:shd w:val="clear" w:color="auto" w:fill="auto"/>
            <w:vAlign w:val="center"/>
          </w:tcPr>
          <w:p w14:paraId="687A2452" w14:textId="77777777" w:rsidR="000C2868" w:rsidRPr="003E1083" w:rsidRDefault="000C2868" w:rsidP="000C2868">
            <w:pPr>
              <w:jc w:val="center"/>
              <w:rPr>
                <w:rFonts w:asciiTheme="minorHAnsi" w:hAnsiTheme="minorHAnsi"/>
                <w:sz w:val="16"/>
                <w:lang w:val="sq-AL"/>
              </w:rPr>
            </w:pPr>
            <w:r w:rsidRPr="003E1083">
              <w:rPr>
                <w:rFonts w:asciiTheme="minorHAnsi" w:hAnsiTheme="minorHAnsi"/>
                <w:sz w:val="16"/>
                <w:lang w:val="sq-AL"/>
              </w:rPr>
              <w:t>0%</w:t>
            </w:r>
          </w:p>
        </w:tc>
      </w:tr>
      <w:tr w:rsidR="000C2868" w:rsidRPr="003E1083" w14:paraId="15BED2E9" w14:textId="77777777" w:rsidTr="000C2868">
        <w:trPr>
          <w:trHeight w:val="252"/>
          <w:jc w:val="center"/>
        </w:trPr>
        <w:tc>
          <w:tcPr>
            <w:tcW w:w="0" w:type="auto"/>
            <w:tcBorders>
              <w:top w:val="nil"/>
              <w:left w:val="single" w:sz="8" w:space="0" w:color="4BACC6"/>
              <w:bottom w:val="single" w:sz="8" w:space="0" w:color="4BACC6"/>
              <w:right w:val="single" w:sz="8" w:space="0" w:color="4BACC6"/>
            </w:tcBorders>
            <w:shd w:val="clear" w:color="000000" w:fill="FFFFFF"/>
            <w:vAlign w:val="center"/>
            <w:hideMark/>
          </w:tcPr>
          <w:p w14:paraId="402C3F10"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2</w:t>
            </w:r>
          </w:p>
        </w:tc>
        <w:tc>
          <w:tcPr>
            <w:tcW w:w="4063" w:type="dxa"/>
            <w:tcBorders>
              <w:top w:val="nil"/>
              <w:left w:val="nil"/>
              <w:bottom w:val="single" w:sz="8" w:space="0" w:color="4BACC6"/>
              <w:right w:val="single" w:sz="8" w:space="0" w:color="4BACC6"/>
            </w:tcBorders>
            <w:shd w:val="clear" w:color="auto" w:fill="auto"/>
            <w:vAlign w:val="center"/>
            <w:hideMark/>
          </w:tcPr>
          <w:p w14:paraId="7C7C2D5D" w14:textId="77777777" w:rsidR="000C2868" w:rsidRPr="003E1083" w:rsidRDefault="000C2868" w:rsidP="000C2868">
            <w:pPr>
              <w:jc w:val="center"/>
              <w:rPr>
                <w:rFonts w:asciiTheme="minorHAnsi" w:hAnsiTheme="minorHAnsi"/>
                <w:sz w:val="16"/>
                <w:lang w:val="sq-AL"/>
              </w:rPr>
            </w:pPr>
            <w:r w:rsidRPr="003E1083">
              <w:rPr>
                <w:rFonts w:asciiTheme="minorHAnsi" w:hAnsiTheme="minorHAnsi"/>
                <w:b/>
                <w:bCs/>
                <w:sz w:val="16"/>
                <w:lang w:val="sq-AL"/>
              </w:rPr>
              <w:t>Komisioni I Pavarur I Kualifikimit</w:t>
            </w:r>
          </w:p>
        </w:tc>
        <w:tc>
          <w:tcPr>
            <w:tcW w:w="1107" w:type="dxa"/>
            <w:tcBorders>
              <w:top w:val="nil"/>
              <w:left w:val="nil"/>
              <w:bottom w:val="single" w:sz="8" w:space="0" w:color="4BACC6"/>
              <w:right w:val="single" w:sz="8" w:space="0" w:color="4BACC6"/>
            </w:tcBorders>
            <w:shd w:val="clear" w:color="auto" w:fill="auto"/>
            <w:noWrap/>
          </w:tcPr>
          <w:p w14:paraId="42E53FD9"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273,500</w:t>
            </w:r>
          </w:p>
        </w:tc>
        <w:tc>
          <w:tcPr>
            <w:tcW w:w="994" w:type="dxa"/>
            <w:tcBorders>
              <w:top w:val="nil"/>
              <w:left w:val="nil"/>
              <w:bottom w:val="single" w:sz="8" w:space="0" w:color="4BACC6"/>
              <w:right w:val="single" w:sz="8" w:space="0" w:color="4BACC6"/>
            </w:tcBorders>
            <w:shd w:val="clear" w:color="auto" w:fill="auto"/>
            <w:noWrap/>
          </w:tcPr>
          <w:p w14:paraId="6FCF336F"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2,000</w:t>
            </w:r>
          </w:p>
        </w:tc>
        <w:tc>
          <w:tcPr>
            <w:tcW w:w="0" w:type="auto"/>
            <w:tcBorders>
              <w:top w:val="nil"/>
              <w:left w:val="nil"/>
              <w:bottom w:val="single" w:sz="8" w:space="0" w:color="4BACC6"/>
              <w:right w:val="single" w:sz="8" w:space="0" w:color="4BACC6"/>
            </w:tcBorders>
            <w:shd w:val="clear" w:color="auto" w:fill="auto"/>
            <w:noWrap/>
            <w:vAlign w:val="center"/>
          </w:tcPr>
          <w:p w14:paraId="7AF50DBA"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90,417</w:t>
            </w:r>
          </w:p>
        </w:tc>
        <w:tc>
          <w:tcPr>
            <w:tcW w:w="0" w:type="auto"/>
            <w:tcBorders>
              <w:top w:val="nil"/>
              <w:left w:val="nil"/>
              <w:bottom w:val="single" w:sz="8" w:space="0" w:color="4BACC6"/>
              <w:right w:val="single" w:sz="8" w:space="0" w:color="4BACC6"/>
            </w:tcBorders>
            <w:shd w:val="clear" w:color="auto" w:fill="auto"/>
            <w:noWrap/>
            <w:vAlign w:val="center"/>
          </w:tcPr>
          <w:p w14:paraId="261C81B2"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0</w:t>
            </w:r>
          </w:p>
        </w:tc>
        <w:tc>
          <w:tcPr>
            <w:tcW w:w="0" w:type="auto"/>
            <w:tcBorders>
              <w:top w:val="nil"/>
              <w:left w:val="nil"/>
              <w:bottom w:val="single" w:sz="8" w:space="0" w:color="4BACC6"/>
              <w:right w:val="single" w:sz="8" w:space="0" w:color="4BACC6"/>
            </w:tcBorders>
            <w:shd w:val="clear" w:color="auto" w:fill="auto"/>
            <w:vAlign w:val="center"/>
          </w:tcPr>
          <w:p w14:paraId="2EA85D83"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33.06%</w:t>
            </w:r>
          </w:p>
        </w:tc>
        <w:tc>
          <w:tcPr>
            <w:tcW w:w="0" w:type="auto"/>
            <w:tcBorders>
              <w:top w:val="nil"/>
              <w:left w:val="nil"/>
              <w:bottom w:val="single" w:sz="8" w:space="0" w:color="4BACC6"/>
              <w:right w:val="single" w:sz="8" w:space="0" w:color="4BACC6"/>
            </w:tcBorders>
            <w:shd w:val="clear" w:color="auto" w:fill="auto"/>
            <w:vAlign w:val="center"/>
          </w:tcPr>
          <w:p w14:paraId="0C1827E2"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sz w:val="16"/>
                <w:lang w:val="sq-AL"/>
              </w:rPr>
              <w:t>0%</w:t>
            </w:r>
          </w:p>
        </w:tc>
      </w:tr>
      <w:tr w:rsidR="000C2868" w:rsidRPr="003E1083" w14:paraId="4E1405DA" w14:textId="77777777" w:rsidTr="000C2868">
        <w:trPr>
          <w:trHeight w:val="252"/>
          <w:jc w:val="center"/>
        </w:trPr>
        <w:tc>
          <w:tcPr>
            <w:tcW w:w="0" w:type="auto"/>
            <w:tcBorders>
              <w:top w:val="nil"/>
              <w:left w:val="single" w:sz="8" w:space="0" w:color="4BACC6"/>
              <w:bottom w:val="single" w:sz="8" w:space="0" w:color="4BACC6"/>
              <w:right w:val="single" w:sz="8" w:space="0" w:color="4BACC6"/>
            </w:tcBorders>
            <w:shd w:val="clear" w:color="000000" w:fill="FFFFFF"/>
            <w:vAlign w:val="center"/>
            <w:hideMark/>
          </w:tcPr>
          <w:p w14:paraId="54ADE4E6"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3</w:t>
            </w:r>
          </w:p>
        </w:tc>
        <w:tc>
          <w:tcPr>
            <w:tcW w:w="4063" w:type="dxa"/>
            <w:tcBorders>
              <w:top w:val="nil"/>
              <w:left w:val="nil"/>
              <w:bottom w:val="single" w:sz="8" w:space="0" w:color="4BACC6"/>
              <w:right w:val="single" w:sz="8" w:space="0" w:color="4BACC6"/>
            </w:tcBorders>
            <w:shd w:val="clear" w:color="auto" w:fill="auto"/>
            <w:vAlign w:val="center"/>
            <w:hideMark/>
          </w:tcPr>
          <w:p w14:paraId="2E33247F" w14:textId="77777777" w:rsidR="000C2868" w:rsidRPr="003E1083" w:rsidRDefault="000C2868" w:rsidP="000C2868">
            <w:pPr>
              <w:jc w:val="center"/>
              <w:rPr>
                <w:rFonts w:asciiTheme="minorHAnsi" w:hAnsiTheme="minorHAnsi"/>
                <w:sz w:val="16"/>
                <w:lang w:val="sq-AL"/>
              </w:rPr>
            </w:pPr>
            <w:r w:rsidRPr="003E1083">
              <w:rPr>
                <w:rFonts w:asciiTheme="minorHAnsi" w:hAnsiTheme="minorHAnsi"/>
                <w:b/>
                <w:bCs/>
                <w:sz w:val="16"/>
                <w:lang w:val="sq-AL"/>
              </w:rPr>
              <w:t>Kolegji I Posaçëm I Apelimit</w:t>
            </w:r>
          </w:p>
        </w:tc>
        <w:tc>
          <w:tcPr>
            <w:tcW w:w="1107" w:type="dxa"/>
            <w:tcBorders>
              <w:top w:val="nil"/>
              <w:left w:val="nil"/>
              <w:bottom w:val="single" w:sz="8" w:space="0" w:color="4BACC6"/>
              <w:right w:val="single" w:sz="8" w:space="0" w:color="4BACC6"/>
            </w:tcBorders>
            <w:shd w:val="clear" w:color="auto" w:fill="auto"/>
            <w:noWrap/>
          </w:tcPr>
          <w:p w14:paraId="7B0BE6E9"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205,664</w:t>
            </w:r>
          </w:p>
        </w:tc>
        <w:tc>
          <w:tcPr>
            <w:tcW w:w="994" w:type="dxa"/>
            <w:tcBorders>
              <w:top w:val="nil"/>
              <w:left w:val="nil"/>
              <w:bottom w:val="single" w:sz="8" w:space="0" w:color="4BACC6"/>
              <w:right w:val="single" w:sz="8" w:space="0" w:color="4BACC6"/>
            </w:tcBorders>
            <w:shd w:val="clear" w:color="auto" w:fill="auto"/>
            <w:noWrap/>
          </w:tcPr>
          <w:p w14:paraId="12A6837D"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2,000</w:t>
            </w:r>
          </w:p>
        </w:tc>
        <w:tc>
          <w:tcPr>
            <w:tcW w:w="0" w:type="auto"/>
            <w:tcBorders>
              <w:top w:val="nil"/>
              <w:left w:val="nil"/>
              <w:bottom w:val="single" w:sz="8" w:space="0" w:color="4BACC6"/>
              <w:right w:val="single" w:sz="8" w:space="0" w:color="4BACC6"/>
            </w:tcBorders>
            <w:shd w:val="clear" w:color="auto" w:fill="auto"/>
            <w:noWrap/>
            <w:vAlign w:val="center"/>
          </w:tcPr>
          <w:p w14:paraId="190F1C38"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59,252</w:t>
            </w:r>
          </w:p>
        </w:tc>
        <w:tc>
          <w:tcPr>
            <w:tcW w:w="0" w:type="auto"/>
            <w:tcBorders>
              <w:top w:val="nil"/>
              <w:left w:val="nil"/>
              <w:bottom w:val="single" w:sz="8" w:space="0" w:color="4BACC6"/>
              <w:right w:val="single" w:sz="8" w:space="0" w:color="4BACC6"/>
            </w:tcBorders>
            <w:shd w:val="clear" w:color="auto" w:fill="auto"/>
            <w:noWrap/>
            <w:vAlign w:val="center"/>
          </w:tcPr>
          <w:p w14:paraId="73BA4098"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0</w:t>
            </w:r>
          </w:p>
        </w:tc>
        <w:tc>
          <w:tcPr>
            <w:tcW w:w="0" w:type="auto"/>
            <w:tcBorders>
              <w:top w:val="nil"/>
              <w:left w:val="nil"/>
              <w:bottom w:val="single" w:sz="8" w:space="0" w:color="4BACC6"/>
              <w:right w:val="single" w:sz="8" w:space="0" w:color="4BACC6"/>
            </w:tcBorders>
            <w:shd w:val="clear" w:color="auto" w:fill="auto"/>
            <w:vAlign w:val="center"/>
          </w:tcPr>
          <w:p w14:paraId="4B4D0686"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28.81%</w:t>
            </w:r>
          </w:p>
        </w:tc>
        <w:tc>
          <w:tcPr>
            <w:tcW w:w="0" w:type="auto"/>
            <w:tcBorders>
              <w:top w:val="nil"/>
              <w:left w:val="nil"/>
              <w:bottom w:val="single" w:sz="8" w:space="0" w:color="4BACC6"/>
              <w:right w:val="single" w:sz="8" w:space="0" w:color="4BACC6"/>
            </w:tcBorders>
            <w:shd w:val="clear" w:color="auto" w:fill="auto"/>
            <w:vAlign w:val="center"/>
          </w:tcPr>
          <w:p w14:paraId="65000D88"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0%</w:t>
            </w:r>
          </w:p>
        </w:tc>
      </w:tr>
      <w:tr w:rsidR="000C2868" w:rsidRPr="003E1083" w14:paraId="469BB329" w14:textId="77777777" w:rsidTr="000C2868">
        <w:trPr>
          <w:trHeight w:val="252"/>
          <w:jc w:val="center"/>
        </w:trPr>
        <w:tc>
          <w:tcPr>
            <w:tcW w:w="0" w:type="auto"/>
            <w:tcBorders>
              <w:top w:val="nil"/>
              <w:left w:val="single" w:sz="8" w:space="0" w:color="4BACC6"/>
              <w:bottom w:val="single" w:sz="8" w:space="0" w:color="4BACC6"/>
              <w:right w:val="single" w:sz="8" w:space="0" w:color="4BACC6"/>
            </w:tcBorders>
            <w:shd w:val="clear" w:color="000000" w:fill="FFFFFF"/>
            <w:vAlign w:val="center"/>
          </w:tcPr>
          <w:p w14:paraId="7131682A"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4</w:t>
            </w:r>
          </w:p>
        </w:tc>
        <w:tc>
          <w:tcPr>
            <w:tcW w:w="4063" w:type="dxa"/>
            <w:tcBorders>
              <w:top w:val="nil"/>
              <w:left w:val="nil"/>
              <w:bottom w:val="single" w:sz="8" w:space="0" w:color="4BACC6"/>
              <w:right w:val="single" w:sz="8" w:space="0" w:color="4BACC6"/>
            </w:tcBorders>
            <w:shd w:val="clear" w:color="auto" w:fill="auto"/>
            <w:vAlign w:val="center"/>
          </w:tcPr>
          <w:p w14:paraId="0F7609A6" w14:textId="77777777" w:rsidR="000C2868" w:rsidRPr="003E1083" w:rsidRDefault="000C2868" w:rsidP="000C2868">
            <w:pPr>
              <w:jc w:val="center"/>
              <w:rPr>
                <w:rFonts w:asciiTheme="minorHAnsi" w:hAnsiTheme="minorHAnsi"/>
                <w:sz w:val="16"/>
                <w:lang w:val="sq-AL"/>
              </w:rPr>
            </w:pPr>
            <w:r w:rsidRPr="003E1083">
              <w:rPr>
                <w:rFonts w:asciiTheme="minorHAnsi" w:hAnsiTheme="minorHAnsi"/>
                <w:b/>
                <w:bCs/>
                <w:sz w:val="16"/>
                <w:lang w:val="sq-AL"/>
              </w:rPr>
              <w:t>Komisionerët Publikë</w:t>
            </w:r>
          </w:p>
        </w:tc>
        <w:tc>
          <w:tcPr>
            <w:tcW w:w="1107" w:type="dxa"/>
            <w:tcBorders>
              <w:top w:val="nil"/>
              <w:left w:val="nil"/>
              <w:bottom w:val="single" w:sz="8" w:space="0" w:color="4BACC6"/>
              <w:right w:val="single" w:sz="8" w:space="0" w:color="4BACC6"/>
            </w:tcBorders>
            <w:shd w:val="clear" w:color="auto" w:fill="auto"/>
            <w:noWrap/>
            <w:vAlign w:val="center"/>
          </w:tcPr>
          <w:p w14:paraId="3E5CD87B"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88,900</w:t>
            </w:r>
          </w:p>
        </w:tc>
        <w:tc>
          <w:tcPr>
            <w:tcW w:w="994" w:type="dxa"/>
            <w:tcBorders>
              <w:top w:val="nil"/>
              <w:left w:val="nil"/>
              <w:bottom w:val="single" w:sz="8" w:space="0" w:color="4BACC6"/>
              <w:right w:val="single" w:sz="8" w:space="0" w:color="4BACC6"/>
            </w:tcBorders>
            <w:shd w:val="clear" w:color="auto" w:fill="auto"/>
            <w:noWrap/>
            <w:vAlign w:val="center"/>
          </w:tcPr>
          <w:p w14:paraId="0AE9C2D9"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1,500</w:t>
            </w:r>
          </w:p>
        </w:tc>
        <w:tc>
          <w:tcPr>
            <w:tcW w:w="0" w:type="auto"/>
            <w:tcBorders>
              <w:top w:val="nil"/>
              <w:left w:val="nil"/>
              <w:bottom w:val="single" w:sz="8" w:space="0" w:color="4BACC6"/>
              <w:right w:val="single" w:sz="8" w:space="0" w:color="4BACC6"/>
            </w:tcBorders>
            <w:shd w:val="clear" w:color="auto" w:fill="auto"/>
            <w:noWrap/>
            <w:vAlign w:val="center"/>
          </w:tcPr>
          <w:p w14:paraId="44E4C258"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28,696</w:t>
            </w:r>
          </w:p>
        </w:tc>
        <w:tc>
          <w:tcPr>
            <w:tcW w:w="0" w:type="auto"/>
            <w:tcBorders>
              <w:top w:val="nil"/>
              <w:left w:val="nil"/>
              <w:bottom w:val="single" w:sz="8" w:space="0" w:color="4BACC6"/>
              <w:right w:val="single" w:sz="8" w:space="0" w:color="4BACC6"/>
            </w:tcBorders>
            <w:shd w:val="clear" w:color="auto" w:fill="auto"/>
            <w:noWrap/>
            <w:vAlign w:val="center"/>
          </w:tcPr>
          <w:p w14:paraId="170076B3"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0</w:t>
            </w:r>
          </w:p>
        </w:tc>
        <w:tc>
          <w:tcPr>
            <w:tcW w:w="0" w:type="auto"/>
            <w:tcBorders>
              <w:top w:val="nil"/>
              <w:left w:val="nil"/>
              <w:bottom w:val="single" w:sz="8" w:space="0" w:color="4BACC6"/>
              <w:right w:val="single" w:sz="8" w:space="0" w:color="4BACC6"/>
            </w:tcBorders>
            <w:shd w:val="clear" w:color="auto" w:fill="auto"/>
            <w:vAlign w:val="center"/>
          </w:tcPr>
          <w:p w14:paraId="07D66482"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32.28%</w:t>
            </w:r>
          </w:p>
        </w:tc>
        <w:tc>
          <w:tcPr>
            <w:tcW w:w="0" w:type="auto"/>
            <w:tcBorders>
              <w:top w:val="nil"/>
              <w:left w:val="nil"/>
              <w:bottom w:val="single" w:sz="8" w:space="0" w:color="4BACC6"/>
              <w:right w:val="single" w:sz="8" w:space="0" w:color="4BACC6"/>
            </w:tcBorders>
            <w:shd w:val="clear" w:color="auto" w:fill="auto"/>
            <w:vAlign w:val="center"/>
          </w:tcPr>
          <w:p w14:paraId="46DA7A89"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0%</w:t>
            </w:r>
          </w:p>
        </w:tc>
      </w:tr>
      <w:tr w:rsidR="000C2868" w:rsidRPr="003E1083" w14:paraId="6C56DCFE" w14:textId="77777777" w:rsidTr="000C2868">
        <w:trPr>
          <w:trHeight w:val="252"/>
          <w:jc w:val="center"/>
        </w:trPr>
        <w:tc>
          <w:tcPr>
            <w:tcW w:w="0" w:type="auto"/>
            <w:tcBorders>
              <w:top w:val="nil"/>
              <w:left w:val="single" w:sz="8" w:space="0" w:color="4BACC6"/>
              <w:bottom w:val="single" w:sz="8" w:space="0" w:color="4BACC6"/>
              <w:right w:val="single" w:sz="8" w:space="0" w:color="4BACC6"/>
            </w:tcBorders>
            <w:shd w:val="clear" w:color="000000" w:fill="FFFFFF"/>
            <w:vAlign w:val="center"/>
          </w:tcPr>
          <w:p w14:paraId="5E34FA1E"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5</w:t>
            </w:r>
          </w:p>
        </w:tc>
        <w:tc>
          <w:tcPr>
            <w:tcW w:w="4063" w:type="dxa"/>
            <w:tcBorders>
              <w:top w:val="nil"/>
              <w:left w:val="nil"/>
              <w:bottom w:val="single" w:sz="8" w:space="0" w:color="4BACC6"/>
              <w:right w:val="single" w:sz="8" w:space="0" w:color="4BACC6"/>
            </w:tcBorders>
            <w:shd w:val="clear" w:color="auto" w:fill="auto"/>
            <w:vAlign w:val="center"/>
          </w:tcPr>
          <w:p w14:paraId="316C4304" w14:textId="77777777" w:rsidR="000C2868" w:rsidRPr="003E1083" w:rsidRDefault="000C2868" w:rsidP="000C2868">
            <w:pPr>
              <w:jc w:val="center"/>
              <w:rPr>
                <w:rFonts w:asciiTheme="minorHAnsi" w:hAnsiTheme="minorHAnsi"/>
                <w:b/>
                <w:sz w:val="16"/>
                <w:lang w:val="sq-AL"/>
              </w:rPr>
            </w:pPr>
            <w:r w:rsidRPr="003E1083">
              <w:rPr>
                <w:rFonts w:asciiTheme="minorHAnsi" w:hAnsiTheme="minorHAnsi"/>
                <w:b/>
                <w:sz w:val="16"/>
                <w:lang w:val="sq-AL"/>
              </w:rPr>
              <w:t>Struktura e Posaçme kundër Korrupsionit dhe Krimit të Organizuar</w:t>
            </w:r>
          </w:p>
        </w:tc>
        <w:tc>
          <w:tcPr>
            <w:tcW w:w="1107" w:type="dxa"/>
            <w:tcBorders>
              <w:top w:val="nil"/>
              <w:left w:val="nil"/>
              <w:bottom w:val="single" w:sz="8" w:space="0" w:color="4BACC6"/>
              <w:right w:val="single" w:sz="8" w:space="0" w:color="4BACC6"/>
            </w:tcBorders>
            <w:shd w:val="clear" w:color="auto" w:fill="auto"/>
            <w:noWrap/>
          </w:tcPr>
          <w:p w14:paraId="2153BC6F"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1,111,330</w:t>
            </w:r>
          </w:p>
        </w:tc>
        <w:tc>
          <w:tcPr>
            <w:tcW w:w="994" w:type="dxa"/>
            <w:tcBorders>
              <w:top w:val="nil"/>
              <w:left w:val="nil"/>
              <w:bottom w:val="single" w:sz="8" w:space="0" w:color="4BACC6"/>
              <w:right w:val="single" w:sz="8" w:space="0" w:color="4BACC6"/>
            </w:tcBorders>
            <w:shd w:val="clear" w:color="auto" w:fill="auto"/>
            <w:noWrap/>
          </w:tcPr>
          <w:p w14:paraId="2470A8D8"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67,000</w:t>
            </w:r>
          </w:p>
        </w:tc>
        <w:tc>
          <w:tcPr>
            <w:tcW w:w="0" w:type="auto"/>
            <w:tcBorders>
              <w:top w:val="nil"/>
              <w:left w:val="nil"/>
              <w:bottom w:val="single" w:sz="8" w:space="0" w:color="4BACC6"/>
              <w:right w:val="single" w:sz="8" w:space="0" w:color="4BACC6"/>
            </w:tcBorders>
            <w:shd w:val="clear" w:color="auto" w:fill="auto"/>
            <w:noWrap/>
          </w:tcPr>
          <w:p w14:paraId="110A3AFE"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227,833</w:t>
            </w:r>
          </w:p>
        </w:tc>
        <w:tc>
          <w:tcPr>
            <w:tcW w:w="0" w:type="auto"/>
            <w:tcBorders>
              <w:top w:val="nil"/>
              <w:left w:val="nil"/>
              <w:bottom w:val="single" w:sz="8" w:space="0" w:color="4BACC6"/>
              <w:right w:val="single" w:sz="8" w:space="0" w:color="4BACC6"/>
            </w:tcBorders>
            <w:shd w:val="clear" w:color="auto" w:fill="auto"/>
            <w:noWrap/>
            <w:vAlign w:val="center"/>
          </w:tcPr>
          <w:p w14:paraId="5085D18D"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0</w:t>
            </w:r>
          </w:p>
        </w:tc>
        <w:tc>
          <w:tcPr>
            <w:tcW w:w="0" w:type="auto"/>
            <w:tcBorders>
              <w:top w:val="nil"/>
              <w:left w:val="nil"/>
              <w:bottom w:val="single" w:sz="8" w:space="0" w:color="4BACC6"/>
              <w:right w:val="single" w:sz="8" w:space="0" w:color="4BACC6"/>
            </w:tcBorders>
            <w:shd w:val="clear" w:color="auto" w:fill="auto"/>
            <w:vAlign w:val="center"/>
          </w:tcPr>
          <w:p w14:paraId="38C4FFAA"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20.50%</w:t>
            </w:r>
          </w:p>
        </w:tc>
        <w:tc>
          <w:tcPr>
            <w:tcW w:w="0" w:type="auto"/>
            <w:tcBorders>
              <w:top w:val="nil"/>
              <w:left w:val="nil"/>
              <w:bottom w:val="single" w:sz="8" w:space="0" w:color="4BACC6"/>
              <w:right w:val="single" w:sz="8" w:space="0" w:color="4BACC6"/>
            </w:tcBorders>
            <w:shd w:val="clear" w:color="auto" w:fill="auto"/>
            <w:vAlign w:val="center"/>
          </w:tcPr>
          <w:p w14:paraId="7890F6BE"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0%</w:t>
            </w:r>
          </w:p>
        </w:tc>
      </w:tr>
      <w:tr w:rsidR="000C2868" w:rsidRPr="003E1083" w14:paraId="4D7A0986" w14:textId="77777777" w:rsidTr="000C2868">
        <w:trPr>
          <w:trHeight w:val="252"/>
          <w:jc w:val="center"/>
        </w:trPr>
        <w:tc>
          <w:tcPr>
            <w:tcW w:w="0" w:type="auto"/>
            <w:tcBorders>
              <w:top w:val="nil"/>
              <w:left w:val="single" w:sz="8" w:space="0" w:color="4BACC6"/>
              <w:bottom w:val="single" w:sz="8" w:space="0" w:color="4BACC6"/>
              <w:right w:val="single" w:sz="8" w:space="0" w:color="4BACC6"/>
            </w:tcBorders>
            <w:shd w:val="clear" w:color="000000" w:fill="FFFFFF"/>
            <w:vAlign w:val="center"/>
          </w:tcPr>
          <w:p w14:paraId="5B68F3C8"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6</w:t>
            </w:r>
          </w:p>
        </w:tc>
        <w:tc>
          <w:tcPr>
            <w:tcW w:w="4063" w:type="dxa"/>
            <w:tcBorders>
              <w:top w:val="nil"/>
              <w:left w:val="nil"/>
              <w:bottom w:val="single" w:sz="8" w:space="0" w:color="4BACC6"/>
              <w:right w:val="single" w:sz="8" w:space="0" w:color="4BACC6"/>
            </w:tcBorders>
            <w:shd w:val="clear" w:color="auto" w:fill="auto"/>
            <w:vAlign w:val="center"/>
          </w:tcPr>
          <w:p w14:paraId="645D3511" w14:textId="77777777" w:rsidR="000C2868" w:rsidRPr="003E1083" w:rsidRDefault="000C2868" w:rsidP="000C2868">
            <w:pPr>
              <w:jc w:val="center"/>
              <w:rPr>
                <w:rFonts w:asciiTheme="minorHAnsi" w:hAnsiTheme="minorHAnsi"/>
                <w:b/>
                <w:sz w:val="16"/>
                <w:lang w:val="sq-AL"/>
              </w:rPr>
            </w:pPr>
            <w:r w:rsidRPr="003E1083">
              <w:rPr>
                <w:rFonts w:asciiTheme="minorHAnsi" w:hAnsiTheme="minorHAnsi"/>
                <w:b/>
                <w:sz w:val="16"/>
                <w:lang w:val="sq-AL"/>
              </w:rPr>
              <w:t>Këshilli i Lartë Gjyqësor</w:t>
            </w:r>
          </w:p>
        </w:tc>
        <w:tc>
          <w:tcPr>
            <w:tcW w:w="1107" w:type="dxa"/>
            <w:tcBorders>
              <w:top w:val="nil"/>
              <w:left w:val="nil"/>
              <w:bottom w:val="single" w:sz="8" w:space="0" w:color="4BACC6"/>
              <w:right w:val="single" w:sz="8" w:space="0" w:color="4BACC6"/>
            </w:tcBorders>
            <w:shd w:val="clear" w:color="auto" w:fill="auto"/>
            <w:noWrap/>
          </w:tcPr>
          <w:p w14:paraId="66C9BF37"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3,636,100</w:t>
            </w:r>
          </w:p>
        </w:tc>
        <w:tc>
          <w:tcPr>
            <w:tcW w:w="994" w:type="dxa"/>
            <w:tcBorders>
              <w:top w:val="nil"/>
              <w:left w:val="nil"/>
              <w:bottom w:val="single" w:sz="8" w:space="0" w:color="4BACC6"/>
              <w:right w:val="single" w:sz="8" w:space="0" w:color="4BACC6"/>
            </w:tcBorders>
            <w:shd w:val="clear" w:color="auto" w:fill="auto"/>
            <w:noWrap/>
          </w:tcPr>
          <w:p w14:paraId="64B98C5A"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731,000</w:t>
            </w:r>
          </w:p>
        </w:tc>
        <w:tc>
          <w:tcPr>
            <w:tcW w:w="0" w:type="auto"/>
            <w:tcBorders>
              <w:top w:val="nil"/>
              <w:left w:val="nil"/>
              <w:bottom w:val="single" w:sz="8" w:space="0" w:color="4BACC6"/>
              <w:right w:val="single" w:sz="8" w:space="0" w:color="4BACC6"/>
            </w:tcBorders>
            <w:shd w:val="clear" w:color="auto" w:fill="auto"/>
            <w:noWrap/>
            <w:vAlign w:val="center"/>
          </w:tcPr>
          <w:p w14:paraId="3D4A3DB3"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1,020,919</w:t>
            </w:r>
          </w:p>
        </w:tc>
        <w:tc>
          <w:tcPr>
            <w:tcW w:w="0" w:type="auto"/>
            <w:tcBorders>
              <w:top w:val="nil"/>
              <w:left w:val="nil"/>
              <w:bottom w:val="single" w:sz="8" w:space="0" w:color="4BACC6"/>
              <w:right w:val="single" w:sz="8" w:space="0" w:color="4BACC6"/>
            </w:tcBorders>
            <w:shd w:val="clear" w:color="auto" w:fill="auto"/>
            <w:noWrap/>
            <w:vAlign w:val="center"/>
          </w:tcPr>
          <w:p w14:paraId="642DD02C"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360</w:t>
            </w:r>
          </w:p>
        </w:tc>
        <w:tc>
          <w:tcPr>
            <w:tcW w:w="0" w:type="auto"/>
            <w:tcBorders>
              <w:top w:val="nil"/>
              <w:left w:val="nil"/>
              <w:bottom w:val="single" w:sz="8" w:space="0" w:color="4BACC6"/>
              <w:right w:val="single" w:sz="8" w:space="0" w:color="4BACC6"/>
            </w:tcBorders>
            <w:shd w:val="clear" w:color="auto" w:fill="auto"/>
            <w:vAlign w:val="center"/>
          </w:tcPr>
          <w:p w14:paraId="4C980126"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28.08%</w:t>
            </w:r>
          </w:p>
        </w:tc>
        <w:tc>
          <w:tcPr>
            <w:tcW w:w="0" w:type="auto"/>
            <w:tcBorders>
              <w:top w:val="nil"/>
              <w:left w:val="nil"/>
              <w:bottom w:val="single" w:sz="8" w:space="0" w:color="4BACC6"/>
              <w:right w:val="single" w:sz="8" w:space="0" w:color="4BACC6"/>
            </w:tcBorders>
            <w:shd w:val="clear" w:color="auto" w:fill="auto"/>
            <w:vAlign w:val="center"/>
          </w:tcPr>
          <w:p w14:paraId="7E70EE7C"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0.05%</w:t>
            </w:r>
          </w:p>
        </w:tc>
      </w:tr>
      <w:tr w:rsidR="000C2868" w:rsidRPr="003E1083" w14:paraId="2AC80F70" w14:textId="77777777" w:rsidTr="000C2868">
        <w:trPr>
          <w:trHeight w:val="252"/>
          <w:jc w:val="center"/>
        </w:trPr>
        <w:tc>
          <w:tcPr>
            <w:tcW w:w="0" w:type="auto"/>
            <w:tcBorders>
              <w:top w:val="nil"/>
              <w:left w:val="single" w:sz="8" w:space="0" w:color="4BACC6"/>
              <w:bottom w:val="single" w:sz="8" w:space="0" w:color="4BACC6"/>
              <w:right w:val="single" w:sz="8" w:space="0" w:color="4BACC6"/>
            </w:tcBorders>
            <w:shd w:val="clear" w:color="000000" w:fill="FFFFFF"/>
            <w:vAlign w:val="center"/>
          </w:tcPr>
          <w:p w14:paraId="5DCC4AE5"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7</w:t>
            </w:r>
          </w:p>
        </w:tc>
        <w:tc>
          <w:tcPr>
            <w:tcW w:w="4063" w:type="dxa"/>
            <w:tcBorders>
              <w:top w:val="nil"/>
              <w:left w:val="nil"/>
              <w:bottom w:val="single" w:sz="8" w:space="0" w:color="4BACC6"/>
              <w:right w:val="single" w:sz="8" w:space="0" w:color="4BACC6"/>
            </w:tcBorders>
            <w:shd w:val="clear" w:color="auto" w:fill="auto"/>
            <w:vAlign w:val="center"/>
          </w:tcPr>
          <w:p w14:paraId="01621EA5" w14:textId="77777777" w:rsidR="000C2868" w:rsidRPr="003E1083" w:rsidRDefault="000C2868" w:rsidP="000C2868">
            <w:pPr>
              <w:jc w:val="center"/>
              <w:rPr>
                <w:rFonts w:asciiTheme="minorHAnsi" w:hAnsiTheme="minorHAnsi"/>
                <w:b/>
                <w:sz w:val="16"/>
                <w:lang w:val="sq-AL"/>
              </w:rPr>
            </w:pPr>
            <w:r w:rsidRPr="003E1083">
              <w:rPr>
                <w:rFonts w:asciiTheme="minorHAnsi" w:hAnsiTheme="minorHAnsi"/>
                <w:b/>
                <w:sz w:val="16"/>
                <w:lang w:val="sq-AL"/>
              </w:rPr>
              <w:t>Këshilli i Lartë i Prokurorisë</w:t>
            </w:r>
          </w:p>
        </w:tc>
        <w:tc>
          <w:tcPr>
            <w:tcW w:w="1107" w:type="dxa"/>
            <w:tcBorders>
              <w:top w:val="nil"/>
              <w:left w:val="nil"/>
              <w:bottom w:val="single" w:sz="8" w:space="0" w:color="4BACC6"/>
              <w:right w:val="single" w:sz="8" w:space="0" w:color="4BACC6"/>
            </w:tcBorders>
            <w:shd w:val="clear" w:color="auto" w:fill="auto"/>
            <w:noWrap/>
          </w:tcPr>
          <w:p w14:paraId="2C3E3F30"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157,750</w:t>
            </w:r>
          </w:p>
        </w:tc>
        <w:tc>
          <w:tcPr>
            <w:tcW w:w="994" w:type="dxa"/>
            <w:tcBorders>
              <w:top w:val="nil"/>
              <w:left w:val="nil"/>
              <w:bottom w:val="single" w:sz="8" w:space="0" w:color="4BACC6"/>
              <w:right w:val="single" w:sz="8" w:space="0" w:color="4BACC6"/>
            </w:tcBorders>
            <w:shd w:val="clear" w:color="auto" w:fill="auto"/>
            <w:noWrap/>
          </w:tcPr>
          <w:p w14:paraId="6B0AE476"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15,000</w:t>
            </w:r>
          </w:p>
        </w:tc>
        <w:tc>
          <w:tcPr>
            <w:tcW w:w="0" w:type="auto"/>
            <w:tcBorders>
              <w:top w:val="nil"/>
              <w:left w:val="nil"/>
              <w:bottom w:val="single" w:sz="8" w:space="0" w:color="4BACC6"/>
              <w:right w:val="single" w:sz="8" w:space="0" w:color="4BACC6"/>
            </w:tcBorders>
            <w:shd w:val="clear" w:color="auto" w:fill="auto"/>
            <w:noWrap/>
            <w:vAlign w:val="center"/>
          </w:tcPr>
          <w:p w14:paraId="1BEB67E9"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55,944</w:t>
            </w:r>
          </w:p>
        </w:tc>
        <w:tc>
          <w:tcPr>
            <w:tcW w:w="0" w:type="auto"/>
            <w:tcBorders>
              <w:top w:val="nil"/>
              <w:left w:val="nil"/>
              <w:bottom w:val="single" w:sz="8" w:space="0" w:color="4BACC6"/>
              <w:right w:val="single" w:sz="8" w:space="0" w:color="4BACC6"/>
            </w:tcBorders>
            <w:shd w:val="clear" w:color="auto" w:fill="auto"/>
            <w:noWrap/>
            <w:vAlign w:val="center"/>
          </w:tcPr>
          <w:p w14:paraId="30FE1A35"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19</w:t>
            </w:r>
          </w:p>
        </w:tc>
        <w:tc>
          <w:tcPr>
            <w:tcW w:w="0" w:type="auto"/>
            <w:tcBorders>
              <w:top w:val="nil"/>
              <w:left w:val="nil"/>
              <w:bottom w:val="single" w:sz="8" w:space="0" w:color="4BACC6"/>
              <w:right w:val="single" w:sz="8" w:space="0" w:color="4BACC6"/>
            </w:tcBorders>
            <w:shd w:val="clear" w:color="auto" w:fill="auto"/>
            <w:vAlign w:val="center"/>
          </w:tcPr>
          <w:p w14:paraId="1F401E73"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35.46%</w:t>
            </w:r>
          </w:p>
        </w:tc>
        <w:tc>
          <w:tcPr>
            <w:tcW w:w="0" w:type="auto"/>
            <w:tcBorders>
              <w:top w:val="nil"/>
              <w:left w:val="nil"/>
              <w:bottom w:val="single" w:sz="8" w:space="0" w:color="4BACC6"/>
              <w:right w:val="single" w:sz="8" w:space="0" w:color="4BACC6"/>
            </w:tcBorders>
            <w:shd w:val="clear" w:color="auto" w:fill="auto"/>
            <w:vAlign w:val="center"/>
          </w:tcPr>
          <w:p w14:paraId="79DCE848"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0.12%</w:t>
            </w:r>
          </w:p>
        </w:tc>
      </w:tr>
      <w:tr w:rsidR="000C2868" w:rsidRPr="003E1083" w14:paraId="712DDC0F" w14:textId="77777777" w:rsidTr="000C2868">
        <w:trPr>
          <w:trHeight w:val="170"/>
          <w:jc w:val="center"/>
        </w:trPr>
        <w:tc>
          <w:tcPr>
            <w:tcW w:w="0" w:type="auto"/>
            <w:tcBorders>
              <w:top w:val="nil"/>
              <w:left w:val="single" w:sz="8" w:space="0" w:color="4BACC6"/>
              <w:bottom w:val="nil"/>
              <w:right w:val="single" w:sz="8" w:space="0" w:color="4BACC6"/>
            </w:tcBorders>
            <w:shd w:val="clear" w:color="000000" w:fill="FFFFFF"/>
            <w:vAlign w:val="center"/>
          </w:tcPr>
          <w:p w14:paraId="58050A23"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8</w:t>
            </w:r>
          </w:p>
        </w:tc>
        <w:tc>
          <w:tcPr>
            <w:tcW w:w="4063" w:type="dxa"/>
            <w:tcBorders>
              <w:top w:val="nil"/>
              <w:left w:val="nil"/>
              <w:bottom w:val="nil"/>
              <w:right w:val="single" w:sz="8" w:space="0" w:color="4BACC6"/>
            </w:tcBorders>
            <w:shd w:val="clear" w:color="auto" w:fill="auto"/>
            <w:vAlign w:val="center"/>
          </w:tcPr>
          <w:p w14:paraId="5462C15F" w14:textId="77777777" w:rsidR="000C2868" w:rsidRPr="003E1083" w:rsidRDefault="000C2868" w:rsidP="000C2868">
            <w:pPr>
              <w:jc w:val="center"/>
              <w:rPr>
                <w:rFonts w:asciiTheme="minorHAnsi" w:hAnsiTheme="minorHAnsi"/>
                <w:b/>
                <w:sz w:val="16"/>
                <w:lang w:val="sq-AL"/>
              </w:rPr>
            </w:pPr>
            <w:r w:rsidRPr="003E1083">
              <w:rPr>
                <w:rFonts w:asciiTheme="minorHAnsi" w:hAnsiTheme="minorHAnsi"/>
                <w:b/>
                <w:sz w:val="16"/>
                <w:lang w:val="sq-AL"/>
              </w:rPr>
              <w:t>Gjykata Kushtetuese</w:t>
            </w:r>
          </w:p>
        </w:tc>
        <w:tc>
          <w:tcPr>
            <w:tcW w:w="1107" w:type="dxa"/>
            <w:tcBorders>
              <w:top w:val="nil"/>
              <w:left w:val="nil"/>
              <w:bottom w:val="nil"/>
              <w:right w:val="single" w:sz="8" w:space="0" w:color="4BACC6"/>
            </w:tcBorders>
            <w:shd w:val="clear" w:color="auto" w:fill="auto"/>
            <w:noWrap/>
          </w:tcPr>
          <w:p w14:paraId="6BA13F7D"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165,408</w:t>
            </w:r>
          </w:p>
        </w:tc>
        <w:tc>
          <w:tcPr>
            <w:tcW w:w="994" w:type="dxa"/>
            <w:tcBorders>
              <w:top w:val="nil"/>
              <w:left w:val="nil"/>
              <w:bottom w:val="nil"/>
              <w:right w:val="single" w:sz="8" w:space="0" w:color="4BACC6"/>
            </w:tcBorders>
            <w:shd w:val="clear" w:color="auto" w:fill="auto"/>
            <w:noWrap/>
          </w:tcPr>
          <w:p w14:paraId="240D806B"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8,000</w:t>
            </w:r>
          </w:p>
        </w:tc>
        <w:tc>
          <w:tcPr>
            <w:tcW w:w="0" w:type="auto"/>
            <w:tcBorders>
              <w:top w:val="nil"/>
              <w:left w:val="nil"/>
              <w:bottom w:val="nil"/>
              <w:right w:val="single" w:sz="8" w:space="0" w:color="4BACC6"/>
            </w:tcBorders>
            <w:shd w:val="clear" w:color="auto" w:fill="auto"/>
            <w:noWrap/>
            <w:vAlign w:val="center"/>
          </w:tcPr>
          <w:p w14:paraId="350452D4"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54,473</w:t>
            </w:r>
          </w:p>
        </w:tc>
        <w:tc>
          <w:tcPr>
            <w:tcW w:w="0" w:type="auto"/>
            <w:tcBorders>
              <w:top w:val="nil"/>
              <w:left w:val="nil"/>
              <w:bottom w:val="nil"/>
              <w:right w:val="single" w:sz="8" w:space="0" w:color="4BACC6"/>
            </w:tcBorders>
            <w:shd w:val="clear" w:color="auto" w:fill="auto"/>
            <w:noWrap/>
            <w:vAlign w:val="center"/>
          </w:tcPr>
          <w:p w14:paraId="01EA4D36"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0</w:t>
            </w:r>
          </w:p>
        </w:tc>
        <w:tc>
          <w:tcPr>
            <w:tcW w:w="0" w:type="auto"/>
            <w:tcBorders>
              <w:top w:val="nil"/>
              <w:left w:val="nil"/>
              <w:bottom w:val="nil"/>
              <w:right w:val="single" w:sz="8" w:space="0" w:color="4BACC6"/>
            </w:tcBorders>
            <w:shd w:val="clear" w:color="auto" w:fill="auto"/>
            <w:vAlign w:val="center"/>
          </w:tcPr>
          <w:p w14:paraId="14A0BAF4"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32.93%</w:t>
            </w:r>
          </w:p>
        </w:tc>
        <w:tc>
          <w:tcPr>
            <w:tcW w:w="0" w:type="auto"/>
            <w:tcBorders>
              <w:top w:val="nil"/>
              <w:left w:val="nil"/>
              <w:bottom w:val="nil"/>
              <w:right w:val="single" w:sz="8" w:space="0" w:color="4BACC6"/>
            </w:tcBorders>
            <w:shd w:val="clear" w:color="auto" w:fill="auto"/>
            <w:vAlign w:val="center"/>
          </w:tcPr>
          <w:p w14:paraId="7530EE2B" w14:textId="77777777" w:rsidR="000C2868" w:rsidRPr="003E1083" w:rsidRDefault="000C2868" w:rsidP="000C2868">
            <w:pPr>
              <w:jc w:val="center"/>
              <w:rPr>
                <w:rFonts w:asciiTheme="minorHAnsi" w:hAnsiTheme="minorHAnsi"/>
                <w:bCs/>
                <w:sz w:val="16"/>
                <w:lang w:val="sq-AL"/>
              </w:rPr>
            </w:pPr>
            <w:r w:rsidRPr="003E1083">
              <w:rPr>
                <w:rFonts w:asciiTheme="minorHAnsi" w:hAnsiTheme="minorHAnsi"/>
                <w:bCs/>
                <w:sz w:val="16"/>
                <w:lang w:val="sq-AL"/>
              </w:rPr>
              <w:t>0%</w:t>
            </w:r>
          </w:p>
        </w:tc>
      </w:tr>
      <w:tr w:rsidR="000C2868" w:rsidRPr="003E1083" w14:paraId="1D19C3DE" w14:textId="77777777" w:rsidTr="000C2868">
        <w:trPr>
          <w:trHeight w:val="270"/>
          <w:jc w:val="center"/>
        </w:trPr>
        <w:tc>
          <w:tcPr>
            <w:tcW w:w="4483" w:type="dxa"/>
            <w:gridSpan w:val="2"/>
            <w:tcBorders>
              <w:top w:val="nil"/>
              <w:left w:val="single" w:sz="8" w:space="0" w:color="4BACC6"/>
              <w:bottom w:val="single" w:sz="8" w:space="0" w:color="4BACC6"/>
              <w:right w:val="single" w:sz="8" w:space="0" w:color="4BACC6"/>
            </w:tcBorders>
            <w:shd w:val="clear" w:color="000000" w:fill="FFFFFF"/>
            <w:vAlign w:val="center"/>
          </w:tcPr>
          <w:p w14:paraId="07600FC8" w14:textId="77777777" w:rsidR="000C2868" w:rsidRPr="003E1083" w:rsidRDefault="000C2868" w:rsidP="000C2868">
            <w:pPr>
              <w:jc w:val="center"/>
              <w:rPr>
                <w:rFonts w:asciiTheme="minorHAnsi" w:hAnsiTheme="minorHAnsi"/>
                <w:b/>
                <w:sz w:val="18"/>
                <w:lang w:val="sq-AL"/>
              </w:rPr>
            </w:pPr>
            <w:r w:rsidRPr="003E1083">
              <w:rPr>
                <w:rFonts w:asciiTheme="minorHAnsi" w:hAnsiTheme="minorHAnsi"/>
                <w:b/>
                <w:sz w:val="18"/>
                <w:lang w:val="sq-AL"/>
              </w:rPr>
              <w:t>Totali</w:t>
            </w:r>
          </w:p>
        </w:tc>
        <w:tc>
          <w:tcPr>
            <w:tcW w:w="1107" w:type="dxa"/>
            <w:tcBorders>
              <w:top w:val="nil"/>
              <w:left w:val="nil"/>
              <w:bottom w:val="single" w:sz="8" w:space="0" w:color="4BACC6"/>
              <w:right w:val="single" w:sz="8" w:space="0" w:color="4BACC6"/>
            </w:tcBorders>
            <w:shd w:val="clear" w:color="auto" w:fill="auto"/>
            <w:noWrap/>
          </w:tcPr>
          <w:p w14:paraId="0B4A2787"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5,854,352</w:t>
            </w:r>
          </w:p>
        </w:tc>
        <w:tc>
          <w:tcPr>
            <w:tcW w:w="994" w:type="dxa"/>
            <w:tcBorders>
              <w:top w:val="nil"/>
              <w:left w:val="nil"/>
              <w:bottom w:val="single" w:sz="8" w:space="0" w:color="4BACC6"/>
              <w:right w:val="single" w:sz="8" w:space="0" w:color="4BACC6"/>
            </w:tcBorders>
            <w:shd w:val="clear" w:color="auto" w:fill="auto"/>
            <w:noWrap/>
          </w:tcPr>
          <w:p w14:paraId="36DB1E8A"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899,500</w:t>
            </w:r>
          </w:p>
        </w:tc>
        <w:tc>
          <w:tcPr>
            <w:tcW w:w="0" w:type="auto"/>
            <w:tcBorders>
              <w:top w:val="nil"/>
              <w:left w:val="nil"/>
              <w:bottom w:val="single" w:sz="8" w:space="0" w:color="4BACC6"/>
              <w:right w:val="single" w:sz="8" w:space="0" w:color="4BACC6"/>
            </w:tcBorders>
            <w:shd w:val="clear" w:color="auto" w:fill="auto"/>
            <w:noWrap/>
          </w:tcPr>
          <w:p w14:paraId="0F2F6C54"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1,592,150</w:t>
            </w:r>
          </w:p>
        </w:tc>
        <w:tc>
          <w:tcPr>
            <w:tcW w:w="0" w:type="auto"/>
            <w:tcBorders>
              <w:top w:val="nil"/>
              <w:left w:val="nil"/>
              <w:bottom w:val="single" w:sz="8" w:space="0" w:color="4BACC6"/>
              <w:right w:val="single" w:sz="8" w:space="0" w:color="4BACC6"/>
            </w:tcBorders>
            <w:shd w:val="clear" w:color="auto" w:fill="auto"/>
            <w:noWrap/>
          </w:tcPr>
          <w:p w14:paraId="295B7DFA"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379</w:t>
            </w:r>
          </w:p>
        </w:tc>
        <w:tc>
          <w:tcPr>
            <w:tcW w:w="0" w:type="auto"/>
            <w:tcBorders>
              <w:top w:val="nil"/>
              <w:left w:val="nil"/>
              <w:bottom w:val="single" w:sz="8" w:space="0" w:color="4BACC6"/>
              <w:right w:val="single" w:sz="8" w:space="0" w:color="4BACC6"/>
            </w:tcBorders>
            <w:shd w:val="clear" w:color="auto" w:fill="auto"/>
          </w:tcPr>
          <w:p w14:paraId="35FCA0C9"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27.20%</w:t>
            </w:r>
          </w:p>
        </w:tc>
        <w:tc>
          <w:tcPr>
            <w:tcW w:w="0" w:type="auto"/>
            <w:tcBorders>
              <w:top w:val="nil"/>
              <w:left w:val="nil"/>
              <w:bottom w:val="single" w:sz="8" w:space="0" w:color="4BACC6"/>
              <w:right w:val="single" w:sz="8" w:space="0" w:color="4BACC6"/>
            </w:tcBorders>
            <w:shd w:val="clear" w:color="auto" w:fill="auto"/>
          </w:tcPr>
          <w:p w14:paraId="37B10501" w14:textId="77777777" w:rsidR="000C2868" w:rsidRPr="003E1083" w:rsidRDefault="000C2868" w:rsidP="000C2868">
            <w:pPr>
              <w:jc w:val="center"/>
              <w:rPr>
                <w:rFonts w:asciiTheme="minorHAnsi" w:hAnsiTheme="minorHAnsi"/>
                <w:b/>
                <w:bCs/>
                <w:sz w:val="16"/>
                <w:lang w:val="sq-AL"/>
              </w:rPr>
            </w:pPr>
            <w:r w:rsidRPr="003E1083">
              <w:rPr>
                <w:rFonts w:asciiTheme="minorHAnsi" w:hAnsiTheme="minorHAnsi"/>
                <w:b/>
                <w:bCs/>
                <w:sz w:val="16"/>
                <w:lang w:val="sq-AL"/>
              </w:rPr>
              <w:t>0.04%</w:t>
            </w:r>
          </w:p>
        </w:tc>
      </w:tr>
    </w:tbl>
    <w:p w14:paraId="007BE096" w14:textId="77777777" w:rsidR="000C2868" w:rsidRPr="003E1083" w:rsidRDefault="000C2868" w:rsidP="000C2868">
      <w:pPr>
        <w:jc w:val="center"/>
        <w:rPr>
          <w:rFonts w:asciiTheme="minorHAnsi" w:eastAsia="MS Mincho" w:hAnsiTheme="minorHAnsi"/>
          <w:i/>
          <w:iCs/>
          <w:lang w:val="sq-AL"/>
        </w:rPr>
      </w:pPr>
    </w:p>
    <w:p w14:paraId="2B63922A" w14:textId="584072A5" w:rsidR="000C2868" w:rsidRDefault="000C2868" w:rsidP="000C2868">
      <w:pPr>
        <w:contextualSpacing/>
        <w:jc w:val="both"/>
        <w:rPr>
          <w:rFonts w:asciiTheme="minorHAnsi" w:hAnsiTheme="minorHAnsi"/>
          <w:lang w:val="sq-AL"/>
        </w:rPr>
      </w:pPr>
    </w:p>
    <w:p w14:paraId="3B7B1B4E" w14:textId="77777777" w:rsidR="000C2868" w:rsidRDefault="000C2868" w:rsidP="000C2868">
      <w:pPr>
        <w:contextualSpacing/>
        <w:jc w:val="both"/>
        <w:rPr>
          <w:rFonts w:asciiTheme="minorHAnsi" w:hAnsiTheme="minorHAnsi"/>
          <w:lang w:val="sq-AL"/>
        </w:rPr>
      </w:pPr>
    </w:p>
    <w:p w14:paraId="25EB2D87" w14:textId="77777777" w:rsidR="000C2868" w:rsidRPr="003E1083" w:rsidRDefault="000C2868" w:rsidP="000C2868">
      <w:pPr>
        <w:contextualSpacing/>
        <w:jc w:val="both"/>
        <w:rPr>
          <w:rFonts w:asciiTheme="minorHAnsi" w:hAnsiTheme="minorHAnsi"/>
          <w:lang w:val="sq-AL"/>
        </w:rPr>
      </w:pPr>
      <w:r w:rsidRPr="003E1083">
        <w:rPr>
          <w:rFonts w:asciiTheme="minorHAnsi" w:hAnsiTheme="minorHAnsi"/>
          <w:lang w:val="sq-AL"/>
        </w:rPr>
        <w:lastRenderedPageBreak/>
        <w:t>Në lidhje me disa nga treguesit e performancës për institucionet e drejtësisë përmendim:</w:t>
      </w:r>
    </w:p>
    <w:p w14:paraId="4A3E51F9" w14:textId="77777777" w:rsidR="000C2868" w:rsidRPr="003E1083" w:rsidRDefault="000C2868" w:rsidP="000C2868">
      <w:pPr>
        <w:numPr>
          <w:ilvl w:val="0"/>
          <w:numId w:val="5"/>
        </w:numPr>
        <w:ind w:left="360"/>
        <w:contextualSpacing/>
        <w:jc w:val="both"/>
        <w:rPr>
          <w:rFonts w:asciiTheme="minorHAnsi" w:hAnsiTheme="minorHAnsi"/>
          <w:i/>
          <w:lang w:val="sq-AL"/>
        </w:rPr>
      </w:pPr>
      <w:r w:rsidRPr="003E1083">
        <w:rPr>
          <w:rFonts w:asciiTheme="minorHAnsi" w:hAnsiTheme="minorHAnsi"/>
          <w:i/>
          <w:lang w:val="sq-AL"/>
        </w:rPr>
        <w:t xml:space="preserve">Institucioni i Komisionit të Pavarur të Kualifikimit (KPK), tregues të performancës ka numrin e dosjeve të shortuara, numri i dosjeve të shqyruara dhe vendime të marra. Konkretisht raportohet se prej fillimit të veprimtarisë, janë shortuar 805 subjekte rivlerësimi dhe për </w:t>
      </w:r>
      <w:r>
        <w:rPr>
          <w:rFonts w:asciiTheme="minorHAnsi" w:hAnsiTheme="minorHAnsi"/>
          <w:i/>
          <w:lang w:val="sq-AL"/>
        </w:rPr>
        <w:t>4M I</w:t>
      </w:r>
      <w:r w:rsidRPr="003E1083">
        <w:rPr>
          <w:rFonts w:asciiTheme="minorHAnsi" w:hAnsiTheme="minorHAnsi"/>
          <w:i/>
          <w:lang w:val="sq-AL"/>
        </w:rPr>
        <w:t xml:space="preserve"> të vitit 2023 janë marrë 47 vendime dhe janë shqyrtuar afërsisht 200 dosje.</w:t>
      </w:r>
    </w:p>
    <w:p w14:paraId="53DB88F2" w14:textId="77777777" w:rsidR="000C2868" w:rsidRPr="003E1083" w:rsidRDefault="000C2868" w:rsidP="000C2868">
      <w:pPr>
        <w:numPr>
          <w:ilvl w:val="0"/>
          <w:numId w:val="5"/>
        </w:numPr>
        <w:ind w:left="360"/>
        <w:contextualSpacing/>
        <w:jc w:val="both"/>
        <w:rPr>
          <w:rFonts w:asciiTheme="minorHAnsi" w:hAnsiTheme="minorHAnsi"/>
          <w:i/>
          <w:lang w:val="sq-AL"/>
        </w:rPr>
      </w:pPr>
      <w:r w:rsidRPr="003E1083">
        <w:rPr>
          <w:rFonts w:asciiTheme="minorHAnsi" w:hAnsiTheme="minorHAnsi"/>
          <w:i/>
          <w:lang w:val="sq-AL"/>
        </w:rPr>
        <w:t xml:space="preserve">Për Komisionerin Publik produkti është “Çështje të njoftuara nga KPK dhe shqyrtuar nga KP brenda afateve ligjore”, ku rezulton se përgjatë </w:t>
      </w:r>
      <w:r>
        <w:rPr>
          <w:rFonts w:asciiTheme="minorHAnsi" w:hAnsiTheme="minorHAnsi"/>
          <w:i/>
          <w:lang w:val="sq-AL"/>
        </w:rPr>
        <w:t>4M I</w:t>
      </w:r>
      <w:r w:rsidRPr="003E1083">
        <w:rPr>
          <w:rFonts w:asciiTheme="minorHAnsi" w:hAnsiTheme="minorHAnsi"/>
          <w:i/>
          <w:lang w:val="sq-AL"/>
        </w:rPr>
        <w:t xml:space="preserve"> të vitit 2022 nga 130 të planifikuara për vitin 2023, janë realizuar në sasi 50 çështje, shoqëruar me një kosto 29</w:t>
      </w:r>
      <w:r>
        <w:rPr>
          <w:rFonts w:asciiTheme="minorHAnsi" w:hAnsiTheme="minorHAnsi"/>
          <w:i/>
          <w:lang w:val="sq-AL"/>
        </w:rPr>
        <w:t>mln</w:t>
      </w:r>
      <w:r w:rsidRPr="003E1083">
        <w:rPr>
          <w:rFonts w:asciiTheme="minorHAnsi" w:hAnsiTheme="minorHAnsi"/>
          <w:i/>
          <w:lang w:val="sq-AL"/>
        </w:rPr>
        <w:t xml:space="preserve"> lekë.</w:t>
      </w:r>
    </w:p>
    <w:p w14:paraId="28219903" w14:textId="7CD3405F" w:rsidR="000C2868" w:rsidRPr="000C2868" w:rsidRDefault="000C2868" w:rsidP="000C2868">
      <w:pPr>
        <w:numPr>
          <w:ilvl w:val="0"/>
          <w:numId w:val="5"/>
        </w:numPr>
        <w:ind w:left="360"/>
        <w:contextualSpacing/>
        <w:jc w:val="both"/>
        <w:rPr>
          <w:rFonts w:asciiTheme="minorHAnsi" w:hAnsiTheme="minorHAnsi"/>
          <w:i/>
          <w:lang w:val="sq-AL"/>
        </w:rPr>
      </w:pPr>
      <w:r w:rsidRPr="000C2868">
        <w:rPr>
          <w:rFonts w:asciiTheme="minorHAnsi" w:hAnsiTheme="minorHAnsi"/>
          <w:i/>
          <w:lang w:val="sq-AL"/>
        </w:rPr>
        <w:t xml:space="preserve">Për Inspektoriatin e Lartë të Drejtësisë produkti “Inspektime të kryera”, përgjatë 4M I 2023 është realizuar me rreth 44% kundrejt sasisë vjetore të planifikuar, shoqëruar me një kosto prej 55 milionë lekë. </w:t>
      </w:r>
    </w:p>
    <w:p w14:paraId="2BF7CD8D" w14:textId="77777777" w:rsidR="000C2868" w:rsidRPr="003E1083" w:rsidRDefault="000C2868" w:rsidP="000C2868">
      <w:pPr>
        <w:numPr>
          <w:ilvl w:val="0"/>
          <w:numId w:val="5"/>
        </w:numPr>
        <w:ind w:left="360"/>
        <w:contextualSpacing/>
        <w:jc w:val="both"/>
        <w:rPr>
          <w:rFonts w:asciiTheme="minorHAnsi" w:hAnsiTheme="minorHAnsi"/>
          <w:i/>
          <w:lang w:val="sq-AL"/>
        </w:rPr>
      </w:pPr>
      <w:r w:rsidRPr="000C2868">
        <w:rPr>
          <w:rFonts w:asciiTheme="minorHAnsi" w:hAnsiTheme="minorHAnsi"/>
          <w:i/>
          <w:lang w:val="sq-AL"/>
        </w:rPr>
        <w:t>Struktura e Posaçme kundër Korrupsionit dhe Krimit të Organizuar, për përmbushjen e objektivit të saj “Lufta kundër krimit të organizuar dhe korrupsionit, ushtrimit të ndjekjes penale dhe</w:t>
      </w:r>
      <w:r w:rsidRPr="003E1083">
        <w:rPr>
          <w:rFonts w:asciiTheme="minorHAnsi" w:hAnsiTheme="minorHAnsi"/>
          <w:i/>
          <w:lang w:val="sq-AL"/>
        </w:rPr>
        <w:t xml:space="preserve"> përfaqësimit të akuzës pranë Gjykatave të Posaçme dhe Gjykatës së Lartë</w:t>
      </w:r>
      <w:r w:rsidRPr="000C638D">
        <w:rPr>
          <w:rFonts w:asciiTheme="minorHAnsi" w:hAnsiTheme="minorHAnsi"/>
          <w:i/>
          <w:lang w:val="sq-AL"/>
        </w:rPr>
        <w:t>”</w:t>
      </w:r>
      <w:r w:rsidRPr="003E1083">
        <w:rPr>
          <w:rFonts w:asciiTheme="minorHAnsi" w:hAnsiTheme="minorHAnsi"/>
          <w:i/>
          <w:lang w:val="sq-AL"/>
        </w:rPr>
        <w:t xml:space="preserve"> ka përfunduar 20% </w:t>
      </w:r>
      <w:r>
        <w:rPr>
          <w:rFonts w:asciiTheme="minorHAnsi" w:hAnsiTheme="minorHAnsi"/>
          <w:i/>
          <w:lang w:val="sq-AL"/>
        </w:rPr>
        <w:t>të</w:t>
      </w:r>
      <w:r w:rsidRPr="003E1083">
        <w:rPr>
          <w:rFonts w:asciiTheme="minorHAnsi" w:hAnsiTheme="minorHAnsi"/>
          <w:i/>
          <w:lang w:val="sq-AL"/>
        </w:rPr>
        <w:t xml:space="preserve"> çështjeve të regjistruara dhe gjykimi</w:t>
      </w:r>
      <w:r>
        <w:rPr>
          <w:rFonts w:asciiTheme="minorHAnsi" w:hAnsiTheme="minorHAnsi"/>
          <w:i/>
          <w:lang w:val="sq-AL"/>
        </w:rPr>
        <w:t>n</w:t>
      </w:r>
      <w:r w:rsidRPr="003E1083">
        <w:rPr>
          <w:rFonts w:asciiTheme="minorHAnsi" w:hAnsiTheme="minorHAnsi"/>
          <w:i/>
          <w:lang w:val="sq-AL"/>
        </w:rPr>
        <w:t xml:space="preserve"> për 21% të personave të regjistruar për tu gjykuar.</w:t>
      </w:r>
    </w:p>
    <w:p w14:paraId="5C955C4F" w14:textId="77777777" w:rsidR="000C2868" w:rsidRPr="000C638D" w:rsidRDefault="000C2868" w:rsidP="000C2868">
      <w:pPr>
        <w:numPr>
          <w:ilvl w:val="0"/>
          <w:numId w:val="5"/>
        </w:numPr>
        <w:ind w:left="360"/>
        <w:contextualSpacing/>
        <w:jc w:val="both"/>
        <w:rPr>
          <w:rFonts w:asciiTheme="minorHAnsi" w:hAnsiTheme="minorHAnsi"/>
          <w:i/>
          <w:lang w:val="sq-AL"/>
        </w:rPr>
      </w:pPr>
      <w:r w:rsidRPr="003E1083">
        <w:rPr>
          <w:rFonts w:asciiTheme="minorHAnsi" w:hAnsiTheme="minorHAnsi"/>
          <w:i/>
          <w:lang w:val="sq-AL"/>
        </w:rPr>
        <w:t xml:space="preserve">Këshilli i Lartë Gjyqësor, ka si tregues performance </w:t>
      </w:r>
      <w:r>
        <w:rPr>
          <w:rFonts w:asciiTheme="minorHAnsi" w:hAnsiTheme="minorHAnsi"/>
          <w:i/>
          <w:lang w:val="sq-AL"/>
        </w:rPr>
        <w:t>“N</w:t>
      </w:r>
      <w:r w:rsidRPr="003E1083">
        <w:rPr>
          <w:rFonts w:asciiTheme="minorHAnsi" w:hAnsiTheme="minorHAnsi"/>
          <w:i/>
          <w:lang w:val="sq-AL"/>
        </w:rPr>
        <w:t>umër çështjesh të gjykuara</w:t>
      </w:r>
      <w:r>
        <w:rPr>
          <w:rFonts w:asciiTheme="minorHAnsi" w:hAnsiTheme="minorHAnsi"/>
          <w:i/>
          <w:lang w:val="sq-AL"/>
        </w:rPr>
        <w:t>”</w:t>
      </w:r>
      <w:r w:rsidRPr="003E1083">
        <w:rPr>
          <w:rFonts w:asciiTheme="minorHAnsi" w:hAnsiTheme="minorHAnsi"/>
          <w:i/>
          <w:lang w:val="sq-AL"/>
        </w:rPr>
        <w:t xml:space="preserve">, ku përgjatë </w:t>
      </w:r>
      <w:r>
        <w:rPr>
          <w:rFonts w:asciiTheme="minorHAnsi" w:hAnsiTheme="minorHAnsi"/>
          <w:i/>
          <w:lang w:val="sq-AL"/>
        </w:rPr>
        <w:t>4M I</w:t>
      </w:r>
      <w:r w:rsidRPr="003E1083">
        <w:rPr>
          <w:rFonts w:asciiTheme="minorHAnsi" w:hAnsiTheme="minorHAnsi"/>
          <w:i/>
          <w:lang w:val="sq-AL"/>
        </w:rPr>
        <w:t xml:space="preserve"> 2023 janë gjykuar rreth </w:t>
      </w:r>
      <w:r w:rsidRPr="000C638D">
        <w:rPr>
          <w:rFonts w:asciiTheme="minorHAnsi" w:hAnsiTheme="minorHAnsi"/>
          <w:i/>
          <w:lang w:val="sq-AL"/>
        </w:rPr>
        <w:t xml:space="preserve">40,908 </w:t>
      </w:r>
      <w:r w:rsidRPr="003E1083">
        <w:rPr>
          <w:rFonts w:asciiTheme="minorHAnsi" w:hAnsiTheme="minorHAnsi"/>
          <w:i/>
          <w:lang w:val="sq-AL"/>
        </w:rPr>
        <w:t>çështje shoqëruar me një kosto 945</w:t>
      </w:r>
      <w:r>
        <w:rPr>
          <w:rFonts w:asciiTheme="minorHAnsi" w:hAnsiTheme="minorHAnsi"/>
          <w:i/>
          <w:lang w:val="sq-AL"/>
        </w:rPr>
        <w:t>mln</w:t>
      </w:r>
      <w:r w:rsidRPr="003E1083">
        <w:rPr>
          <w:rFonts w:asciiTheme="minorHAnsi" w:hAnsiTheme="minorHAnsi"/>
          <w:i/>
          <w:lang w:val="sq-AL"/>
        </w:rPr>
        <w:t xml:space="preserve"> lekë</w:t>
      </w:r>
      <w:r w:rsidRPr="000C638D">
        <w:rPr>
          <w:rFonts w:asciiTheme="minorHAnsi" w:hAnsiTheme="minorHAnsi"/>
          <w:i/>
          <w:lang w:val="sq-AL"/>
        </w:rPr>
        <w:t>.</w:t>
      </w:r>
    </w:p>
    <w:p w14:paraId="6903247A" w14:textId="77777777" w:rsidR="000C2868" w:rsidRPr="003E1083" w:rsidRDefault="000C2868" w:rsidP="000C2868">
      <w:pPr>
        <w:rPr>
          <w:rFonts w:asciiTheme="minorHAnsi" w:hAnsiTheme="minorHAnsi"/>
          <w:lang w:val="sq-AL"/>
        </w:rPr>
      </w:pPr>
    </w:p>
    <w:p w14:paraId="389B5E19" w14:textId="4F596FD3" w:rsidR="000C2868" w:rsidRDefault="000C2868" w:rsidP="000C2868">
      <w:pPr>
        <w:rPr>
          <w:rFonts w:asciiTheme="minorHAnsi" w:hAnsiTheme="minorHAnsi"/>
          <w:lang w:val="sq-AL"/>
        </w:rPr>
      </w:pPr>
    </w:p>
    <w:p w14:paraId="3523E079" w14:textId="2818B1E3" w:rsidR="000C2868" w:rsidRDefault="000C2868" w:rsidP="000C2868">
      <w:pPr>
        <w:rPr>
          <w:rFonts w:asciiTheme="minorHAnsi" w:hAnsiTheme="minorHAnsi"/>
          <w:lang w:val="sq-AL"/>
        </w:rPr>
      </w:pPr>
    </w:p>
    <w:p w14:paraId="3B75AFA3" w14:textId="77777777" w:rsidR="000C2868" w:rsidRPr="003E1083" w:rsidRDefault="000C2868" w:rsidP="000C2868">
      <w:pPr>
        <w:spacing w:before="120"/>
        <w:jc w:val="both"/>
        <w:rPr>
          <w:rFonts w:asciiTheme="minorHAnsi" w:hAnsiTheme="minorHAnsi"/>
          <w:b/>
          <w:noProof/>
          <w:color w:val="0070C0"/>
          <w:lang w:val="sq-AL"/>
        </w:rPr>
      </w:pPr>
      <w:bookmarkStart w:id="220" w:name="_Toc10033299"/>
      <w:bookmarkStart w:id="221" w:name="_Toc10721435"/>
      <w:bookmarkStart w:id="222" w:name="_Toc11134234"/>
      <w:bookmarkEnd w:id="216"/>
      <w:bookmarkEnd w:id="217"/>
      <w:bookmarkEnd w:id="218"/>
      <w:r w:rsidRPr="003E1083">
        <w:rPr>
          <w:rFonts w:asciiTheme="minorHAnsi" w:hAnsiTheme="minorHAnsi"/>
          <w:b/>
          <w:noProof/>
          <w:color w:val="0070C0"/>
          <w:lang w:val="sq-AL"/>
        </w:rPr>
        <w:t>FINANCAT, EKONOMIA, PUNËSIMI DHE ARSIMI PROFESIONAL</w:t>
      </w:r>
    </w:p>
    <w:p w14:paraId="2CDFCFCA" w14:textId="77777777" w:rsidR="000C2868" w:rsidRPr="003E1083" w:rsidRDefault="000C2868" w:rsidP="000C2868">
      <w:pPr>
        <w:jc w:val="both"/>
        <w:rPr>
          <w:rFonts w:asciiTheme="minorHAnsi" w:hAnsiTheme="minorHAnsi"/>
          <w:lang w:val="sq-AL"/>
        </w:rPr>
      </w:pPr>
      <w:r w:rsidRPr="003E1083">
        <w:rPr>
          <w:rFonts w:asciiTheme="minorHAnsi" w:hAnsiTheme="minorHAnsi"/>
          <w:lang w:val="sq-AL"/>
        </w:rPr>
        <w:t>Shpenzimet e planifikuara për vitin 2023 dhe ato faktike për 4M I, si dhe realizimi në përqindje për Ministrinë e Financave dhe Ekonomisë, për disa nga programet kryesore, paraqiten si mëposhtë:</w:t>
      </w:r>
    </w:p>
    <w:p w14:paraId="21334E7A" w14:textId="2B05C6E1" w:rsidR="000C2868" w:rsidRPr="000C638D" w:rsidRDefault="000C2868" w:rsidP="00EA4B27">
      <w:pPr>
        <w:spacing w:before="120"/>
        <w:jc w:val="both"/>
        <w:rPr>
          <w:rFonts w:asciiTheme="minorHAnsi" w:hAnsiTheme="minorHAnsi"/>
          <w:i/>
          <w:noProof/>
          <w:sz w:val="22"/>
          <w:lang w:val="sq-AL"/>
        </w:rPr>
      </w:pPr>
      <w:bookmarkStart w:id="223" w:name="_Toc107496781"/>
      <w:r w:rsidRPr="000C638D">
        <w:rPr>
          <w:rFonts w:asciiTheme="minorHAnsi" w:hAnsiTheme="minorHAnsi"/>
          <w:i/>
          <w:noProof/>
          <w:sz w:val="22"/>
          <w:lang w:val="sq-AL"/>
        </w:rPr>
        <w:t xml:space="preserve">Tabela </w:t>
      </w:r>
      <w:r w:rsidRPr="000C638D">
        <w:rPr>
          <w:rFonts w:asciiTheme="minorHAnsi" w:hAnsiTheme="minorHAnsi"/>
          <w:i/>
          <w:noProof/>
          <w:sz w:val="22"/>
          <w:lang w:val="sq-AL"/>
        </w:rPr>
        <w:fldChar w:fldCharType="begin"/>
      </w:r>
      <w:r w:rsidRPr="000C638D">
        <w:rPr>
          <w:rFonts w:asciiTheme="minorHAnsi" w:hAnsiTheme="minorHAnsi"/>
          <w:i/>
          <w:noProof/>
          <w:sz w:val="22"/>
          <w:lang w:val="sq-AL"/>
        </w:rPr>
        <w:instrText xml:space="preserve"> SEQ Tabela \* ARABIC </w:instrText>
      </w:r>
      <w:r w:rsidRPr="000C638D">
        <w:rPr>
          <w:rFonts w:asciiTheme="minorHAnsi" w:hAnsiTheme="minorHAnsi"/>
          <w:i/>
          <w:noProof/>
          <w:sz w:val="22"/>
          <w:lang w:val="sq-AL"/>
        </w:rPr>
        <w:fldChar w:fldCharType="separate"/>
      </w:r>
      <w:r w:rsidR="00C153A9">
        <w:rPr>
          <w:rFonts w:asciiTheme="minorHAnsi" w:hAnsiTheme="minorHAnsi"/>
          <w:i/>
          <w:noProof/>
          <w:sz w:val="22"/>
          <w:lang w:val="sq-AL"/>
        </w:rPr>
        <w:t>44</w:t>
      </w:r>
      <w:r w:rsidRPr="000C638D">
        <w:rPr>
          <w:rFonts w:asciiTheme="minorHAnsi" w:hAnsiTheme="minorHAnsi"/>
          <w:i/>
          <w:noProof/>
          <w:sz w:val="22"/>
          <w:lang w:val="sq-AL"/>
        </w:rPr>
        <w:fldChar w:fldCharType="end"/>
      </w:r>
      <w:r w:rsidRPr="000C638D">
        <w:rPr>
          <w:rFonts w:asciiTheme="minorHAnsi" w:hAnsiTheme="minorHAnsi"/>
          <w:i/>
          <w:noProof/>
          <w:sz w:val="22"/>
          <w:lang w:val="sq-AL"/>
        </w:rPr>
        <w:t xml:space="preserve">: </w:t>
      </w:r>
      <w:r>
        <w:rPr>
          <w:rFonts w:ascii="Calibri" w:hAnsi="Calibri"/>
          <w:i/>
          <w:noProof/>
          <w:sz w:val="22"/>
          <w:lang w:val="sq-AL"/>
        </w:rPr>
        <w:t>Performanca e shpenzimeve për 4M I</w:t>
      </w:r>
      <w:r>
        <w:rPr>
          <w:rFonts w:asciiTheme="minorHAnsi" w:hAnsiTheme="minorHAnsi"/>
          <w:i/>
          <w:noProof/>
          <w:sz w:val="22"/>
          <w:lang w:val="sq-AL"/>
        </w:rPr>
        <w:t>, për Financat, Ekonominë</w:t>
      </w:r>
      <w:r w:rsidRPr="000C638D">
        <w:rPr>
          <w:rFonts w:asciiTheme="minorHAnsi" w:hAnsiTheme="minorHAnsi"/>
          <w:i/>
          <w:noProof/>
          <w:sz w:val="22"/>
          <w:lang w:val="sq-AL"/>
        </w:rPr>
        <w:t>, Punësimi</w:t>
      </w:r>
      <w:r>
        <w:rPr>
          <w:rFonts w:asciiTheme="minorHAnsi" w:hAnsiTheme="minorHAnsi"/>
          <w:i/>
          <w:noProof/>
          <w:sz w:val="22"/>
          <w:lang w:val="sq-AL"/>
        </w:rPr>
        <w:t xml:space="preserve">n dhe Arsimin </w:t>
      </w:r>
      <w:r w:rsidRPr="000C638D">
        <w:rPr>
          <w:rFonts w:asciiTheme="minorHAnsi" w:hAnsiTheme="minorHAnsi"/>
          <w:i/>
          <w:noProof/>
          <w:sz w:val="22"/>
          <w:lang w:val="sq-AL"/>
        </w:rPr>
        <w:t>Profesional</w:t>
      </w:r>
      <w:bookmarkEnd w:id="223"/>
    </w:p>
    <w:p w14:paraId="48566CD8" w14:textId="61C39CE7" w:rsidR="000C2868" w:rsidRPr="00EA4B27" w:rsidRDefault="000C2868" w:rsidP="000C2868">
      <w:pPr>
        <w:jc w:val="center"/>
        <w:rPr>
          <w:rFonts w:asciiTheme="minorHAnsi" w:eastAsia="MS Mincho" w:hAnsiTheme="minorHAnsi"/>
          <w:i/>
          <w:sz w:val="22"/>
          <w:lang w:val="sq-AL"/>
        </w:rPr>
      </w:pPr>
      <w:r w:rsidRPr="00EA4B27">
        <w:rPr>
          <w:rFonts w:asciiTheme="minorHAnsi" w:eastAsia="MS Mincho" w:hAnsiTheme="minorHAnsi"/>
          <w:sz w:val="22"/>
          <w:lang w:val="sq-AL"/>
        </w:rPr>
        <w:t xml:space="preserve">                                                                                                                                                          </w:t>
      </w:r>
      <w:r w:rsidR="00EA4B27">
        <w:rPr>
          <w:rFonts w:asciiTheme="minorHAnsi" w:eastAsia="MS Mincho" w:hAnsiTheme="minorHAnsi"/>
          <w:sz w:val="22"/>
          <w:lang w:val="sq-AL"/>
        </w:rPr>
        <w:t xml:space="preserve">    </w:t>
      </w:r>
      <w:r w:rsidRPr="00EA4B27">
        <w:rPr>
          <w:rFonts w:asciiTheme="minorHAnsi" w:eastAsia="MS Mincho" w:hAnsiTheme="minorHAnsi"/>
          <w:i/>
          <w:sz w:val="22"/>
          <w:lang w:val="sq-AL"/>
        </w:rPr>
        <w:t>Në mijë lekë</w:t>
      </w:r>
    </w:p>
    <w:tbl>
      <w:tblPr>
        <w:tblW w:w="9565" w:type="dxa"/>
        <w:tblInd w:w="93" w:type="dxa"/>
        <w:tblLook w:val="04A0" w:firstRow="1" w:lastRow="0" w:firstColumn="1" w:lastColumn="0" w:noHBand="0" w:noVBand="1"/>
      </w:tblPr>
      <w:tblGrid>
        <w:gridCol w:w="3740"/>
        <w:gridCol w:w="1039"/>
        <w:gridCol w:w="952"/>
        <w:gridCol w:w="1039"/>
        <w:gridCol w:w="952"/>
        <w:gridCol w:w="885"/>
        <w:gridCol w:w="958"/>
      </w:tblGrid>
      <w:tr w:rsidR="000C2868" w:rsidRPr="000C638D" w14:paraId="3633D817" w14:textId="77777777" w:rsidTr="000C2868">
        <w:trPr>
          <w:trHeight w:val="391"/>
        </w:trPr>
        <w:tc>
          <w:tcPr>
            <w:tcW w:w="0" w:type="auto"/>
            <w:tcBorders>
              <w:top w:val="single" w:sz="8" w:space="0" w:color="4BACC6"/>
              <w:left w:val="single" w:sz="8" w:space="0" w:color="4BACC6"/>
              <w:bottom w:val="nil"/>
              <w:right w:val="nil"/>
            </w:tcBorders>
            <w:shd w:val="clear" w:color="000000" w:fill="4BACC6"/>
            <w:vAlign w:val="center"/>
            <w:hideMark/>
          </w:tcPr>
          <w:p w14:paraId="369A8218" w14:textId="77777777" w:rsidR="000C2868" w:rsidRPr="000C638D" w:rsidRDefault="000C2868" w:rsidP="000C2868">
            <w:pPr>
              <w:rPr>
                <w:rFonts w:asciiTheme="minorHAnsi" w:hAnsiTheme="minorHAnsi"/>
                <w:b/>
                <w:bCs/>
                <w:sz w:val="18"/>
                <w:szCs w:val="18"/>
                <w:lang w:val="sq-AL"/>
              </w:rPr>
            </w:pPr>
            <w:r w:rsidRPr="000C638D">
              <w:rPr>
                <w:rFonts w:asciiTheme="minorHAnsi" w:hAnsiTheme="minorHAnsi"/>
                <w:b/>
                <w:bCs/>
                <w:sz w:val="18"/>
                <w:szCs w:val="18"/>
                <w:lang w:val="sq-AL"/>
              </w:rPr>
              <w:t> </w:t>
            </w:r>
          </w:p>
        </w:tc>
        <w:tc>
          <w:tcPr>
            <w:tcW w:w="0" w:type="auto"/>
            <w:gridSpan w:val="2"/>
            <w:tcBorders>
              <w:top w:val="single" w:sz="8" w:space="0" w:color="4BACC6"/>
              <w:left w:val="nil"/>
              <w:bottom w:val="single" w:sz="8" w:space="0" w:color="4BACC6"/>
              <w:right w:val="nil"/>
            </w:tcBorders>
            <w:shd w:val="clear" w:color="000000" w:fill="4BACC6"/>
            <w:vAlign w:val="center"/>
            <w:hideMark/>
          </w:tcPr>
          <w:p w14:paraId="607DB493" w14:textId="77777777" w:rsidR="000C2868" w:rsidRPr="000C638D" w:rsidRDefault="000C2868" w:rsidP="000C2868">
            <w:pPr>
              <w:jc w:val="center"/>
              <w:rPr>
                <w:rFonts w:asciiTheme="minorHAnsi" w:hAnsiTheme="minorHAnsi"/>
                <w:b/>
                <w:bCs/>
                <w:sz w:val="18"/>
                <w:szCs w:val="18"/>
                <w:lang w:val="sq-AL"/>
              </w:rPr>
            </w:pPr>
            <w:r w:rsidRPr="000C638D">
              <w:rPr>
                <w:rFonts w:asciiTheme="minorHAnsi" w:hAnsiTheme="minorHAnsi"/>
                <w:b/>
                <w:bCs/>
                <w:sz w:val="18"/>
                <w:szCs w:val="18"/>
                <w:lang w:val="sq-AL"/>
              </w:rPr>
              <w:t>Plani 2023</w:t>
            </w:r>
          </w:p>
        </w:tc>
        <w:tc>
          <w:tcPr>
            <w:tcW w:w="0" w:type="auto"/>
            <w:gridSpan w:val="2"/>
            <w:tcBorders>
              <w:top w:val="single" w:sz="8" w:space="0" w:color="4BACC6"/>
              <w:left w:val="nil"/>
              <w:bottom w:val="single" w:sz="8" w:space="0" w:color="4BACC6"/>
              <w:right w:val="nil"/>
            </w:tcBorders>
            <w:shd w:val="clear" w:color="000000" w:fill="4BACC6"/>
            <w:vAlign w:val="center"/>
            <w:hideMark/>
          </w:tcPr>
          <w:p w14:paraId="51854DC8" w14:textId="77777777" w:rsidR="000C2868" w:rsidRPr="000C638D" w:rsidRDefault="000C2868" w:rsidP="000C2868">
            <w:pPr>
              <w:jc w:val="center"/>
              <w:rPr>
                <w:rFonts w:asciiTheme="minorHAnsi" w:hAnsiTheme="minorHAnsi"/>
                <w:b/>
                <w:bCs/>
                <w:sz w:val="18"/>
                <w:szCs w:val="18"/>
                <w:lang w:val="sq-AL"/>
              </w:rPr>
            </w:pPr>
            <w:r w:rsidRPr="000C638D">
              <w:rPr>
                <w:rFonts w:asciiTheme="minorHAnsi" w:hAnsiTheme="minorHAnsi"/>
                <w:b/>
                <w:bCs/>
                <w:sz w:val="18"/>
                <w:szCs w:val="18"/>
                <w:lang w:val="sq-AL"/>
              </w:rPr>
              <w:t>Fakti 4 mujor</w:t>
            </w:r>
          </w:p>
        </w:tc>
        <w:tc>
          <w:tcPr>
            <w:tcW w:w="0" w:type="auto"/>
            <w:gridSpan w:val="2"/>
            <w:tcBorders>
              <w:top w:val="single" w:sz="8" w:space="0" w:color="4BACC6"/>
              <w:left w:val="nil"/>
              <w:bottom w:val="single" w:sz="8" w:space="0" w:color="4BACC6"/>
              <w:right w:val="single" w:sz="8" w:space="0" w:color="4BACC6"/>
            </w:tcBorders>
            <w:shd w:val="clear" w:color="000000" w:fill="4BACC6"/>
            <w:vAlign w:val="center"/>
            <w:hideMark/>
          </w:tcPr>
          <w:p w14:paraId="0205DE75" w14:textId="77777777" w:rsidR="000C2868" w:rsidRPr="000C638D" w:rsidRDefault="000C2868" w:rsidP="000C2868">
            <w:pPr>
              <w:jc w:val="center"/>
              <w:rPr>
                <w:rFonts w:asciiTheme="minorHAnsi" w:hAnsiTheme="minorHAnsi"/>
                <w:b/>
                <w:bCs/>
                <w:sz w:val="18"/>
                <w:szCs w:val="18"/>
                <w:lang w:val="sq-AL"/>
              </w:rPr>
            </w:pPr>
            <w:r w:rsidRPr="000C638D">
              <w:rPr>
                <w:rFonts w:asciiTheme="minorHAnsi" w:hAnsiTheme="minorHAnsi"/>
                <w:b/>
                <w:bCs/>
                <w:sz w:val="18"/>
                <w:szCs w:val="18"/>
                <w:lang w:val="sq-AL"/>
              </w:rPr>
              <w:t>Përqindja  e realizimit</w:t>
            </w:r>
          </w:p>
        </w:tc>
      </w:tr>
      <w:tr w:rsidR="000C2868" w:rsidRPr="000C638D" w14:paraId="4A969D62"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7DF5BCED" w14:textId="77777777" w:rsidR="000C2868" w:rsidRPr="000C638D" w:rsidRDefault="000C2868" w:rsidP="000C2868">
            <w:pPr>
              <w:jc w:val="center"/>
              <w:rPr>
                <w:rFonts w:asciiTheme="minorHAnsi" w:hAnsiTheme="minorHAnsi"/>
                <w:b/>
                <w:bCs/>
                <w:color w:val="000000"/>
                <w:sz w:val="18"/>
                <w:szCs w:val="18"/>
                <w:lang w:val="sq-AL"/>
              </w:rPr>
            </w:pPr>
            <w:r w:rsidRPr="000C638D">
              <w:rPr>
                <w:rFonts w:asciiTheme="minorHAnsi" w:hAnsiTheme="minorHAnsi"/>
                <w:b/>
                <w:bCs/>
                <w:color w:val="000000"/>
                <w:sz w:val="18"/>
                <w:szCs w:val="18"/>
                <w:lang w:val="sq-AL"/>
              </w:rPr>
              <w:t>Emërtimi i Programit</w:t>
            </w:r>
          </w:p>
        </w:tc>
        <w:tc>
          <w:tcPr>
            <w:tcW w:w="0" w:type="auto"/>
            <w:tcBorders>
              <w:top w:val="nil"/>
              <w:left w:val="nil"/>
              <w:bottom w:val="single" w:sz="8" w:space="0" w:color="4BACC6"/>
              <w:right w:val="single" w:sz="8" w:space="0" w:color="4BACC6"/>
            </w:tcBorders>
            <w:shd w:val="clear" w:color="auto" w:fill="auto"/>
            <w:vAlign w:val="center"/>
            <w:hideMark/>
          </w:tcPr>
          <w:p w14:paraId="575DC762" w14:textId="77777777" w:rsidR="000C2868" w:rsidRPr="000C638D" w:rsidRDefault="000C2868" w:rsidP="000C2868">
            <w:pPr>
              <w:jc w:val="center"/>
              <w:rPr>
                <w:rFonts w:asciiTheme="minorHAnsi" w:hAnsiTheme="minorHAnsi"/>
                <w:b/>
                <w:bCs/>
                <w:color w:val="000000"/>
                <w:sz w:val="18"/>
                <w:szCs w:val="18"/>
                <w:lang w:val="sq-AL"/>
              </w:rPr>
            </w:pPr>
            <w:r w:rsidRPr="000C638D">
              <w:rPr>
                <w:rFonts w:asciiTheme="minorHAnsi" w:hAnsiTheme="minorHAnsi"/>
                <w:b/>
                <w:bCs/>
                <w:color w:val="000000"/>
                <w:sz w:val="18"/>
                <w:szCs w:val="18"/>
                <w:lang w:val="sq-AL"/>
              </w:rPr>
              <w:t>Korrente</w:t>
            </w:r>
          </w:p>
        </w:tc>
        <w:tc>
          <w:tcPr>
            <w:tcW w:w="0" w:type="auto"/>
            <w:tcBorders>
              <w:top w:val="nil"/>
              <w:left w:val="nil"/>
              <w:bottom w:val="single" w:sz="8" w:space="0" w:color="4BACC6"/>
              <w:right w:val="single" w:sz="8" w:space="0" w:color="4BACC6"/>
            </w:tcBorders>
            <w:shd w:val="clear" w:color="auto" w:fill="auto"/>
            <w:vAlign w:val="center"/>
            <w:hideMark/>
          </w:tcPr>
          <w:p w14:paraId="43B6DB09" w14:textId="77777777" w:rsidR="000C2868" w:rsidRPr="000C638D" w:rsidRDefault="000C2868" w:rsidP="000C2868">
            <w:pPr>
              <w:jc w:val="center"/>
              <w:rPr>
                <w:rFonts w:asciiTheme="minorHAnsi" w:hAnsiTheme="minorHAnsi"/>
                <w:b/>
                <w:bCs/>
                <w:color w:val="000000"/>
                <w:sz w:val="18"/>
                <w:szCs w:val="18"/>
                <w:lang w:val="sq-AL"/>
              </w:rPr>
            </w:pPr>
            <w:r w:rsidRPr="000C638D">
              <w:rPr>
                <w:rFonts w:asciiTheme="minorHAnsi" w:hAnsiTheme="minorHAnsi"/>
                <w:b/>
                <w:bCs/>
                <w:color w:val="000000"/>
                <w:sz w:val="18"/>
                <w:szCs w:val="18"/>
                <w:lang w:val="sq-AL"/>
              </w:rPr>
              <w:t>Investime</w:t>
            </w:r>
          </w:p>
        </w:tc>
        <w:tc>
          <w:tcPr>
            <w:tcW w:w="0" w:type="auto"/>
            <w:tcBorders>
              <w:top w:val="nil"/>
              <w:left w:val="nil"/>
              <w:bottom w:val="single" w:sz="8" w:space="0" w:color="4BACC6"/>
              <w:right w:val="single" w:sz="8" w:space="0" w:color="4BACC6"/>
            </w:tcBorders>
            <w:shd w:val="clear" w:color="auto" w:fill="auto"/>
            <w:vAlign w:val="center"/>
            <w:hideMark/>
          </w:tcPr>
          <w:p w14:paraId="58FDB957" w14:textId="77777777" w:rsidR="000C2868" w:rsidRPr="000C638D" w:rsidRDefault="000C2868" w:rsidP="000C2868">
            <w:pPr>
              <w:jc w:val="center"/>
              <w:rPr>
                <w:rFonts w:asciiTheme="minorHAnsi" w:hAnsiTheme="minorHAnsi"/>
                <w:b/>
                <w:bCs/>
                <w:color w:val="000000"/>
                <w:sz w:val="18"/>
                <w:szCs w:val="18"/>
                <w:lang w:val="sq-AL"/>
              </w:rPr>
            </w:pPr>
            <w:r w:rsidRPr="000C638D">
              <w:rPr>
                <w:rFonts w:asciiTheme="minorHAnsi" w:hAnsiTheme="minorHAnsi"/>
                <w:b/>
                <w:bCs/>
                <w:color w:val="000000"/>
                <w:sz w:val="18"/>
                <w:szCs w:val="18"/>
                <w:lang w:val="sq-AL"/>
              </w:rPr>
              <w:t>Korrente</w:t>
            </w:r>
          </w:p>
        </w:tc>
        <w:tc>
          <w:tcPr>
            <w:tcW w:w="0" w:type="auto"/>
            <w:tcBorders>
              <w:top w:val="nil"/>
              <w:left w:val="nil"/>
              <w:bottom w:val="single" w:sz="8" w:space="0" w:color="4BACC6"/>
              <w:right w:val="single" w:sz="8" w:space="0" w:color="4BACC6"/>
            </w:tcBorders>
            <w:shd w:val="clear" w:color="auto" w:fill="auto"/>
            <w:vAlign w:val="center"/>
            <w:hideMark/>
          </w:tcPr>
          <w:p w14:paraId="18BC2CFA" w14:textId="77777777" w:rsidR="000C2868" w:rsidRPr="000C638D" w:rsidRDefault="000C2868" w:rsidP="000C2868">
            <w:pPr>
              <w:jc w:val="center"/>
              <w:rPr>
                <w:rFonts w:asciiTheme="minorHAnsi" w:hAnsiTheme="minorHAnsi"/>
                <w:b/>
                <w:bCs/>
                <w:color w:val="000000"/>
                <w:sz w:val="18"/>
                <w:szCs w:val="18"/>
                <w:lang w:val="sq-AL"/>
              </w:rPr>
            </w:pPr>
            <w:r w:rsidRPr="000C638D">
              <w:rPr>
                <w:rFonts w:asciiTheme="minorHAnsi" w:hAnsiTheme="minorHAnsi"/>
                <w:b/>
                <w:bCs/>
                <w:color w:val="000000"/>
                <w:sz w:val="18"/>
                <w:szCs w:val="18"/>
                <w:lang w:val="sq-AL"/>
              </w:rPr>
              <w:t>Investime</w:t>
            </w:r>
          </w:p>
        </w:tc>
        <w:tc>
          <w:tcPr>
            <w:tcW w:w="0" w:type="auto"/>
            <w:tcBorders>
              <w:top w:val="nil"/>
              <w:left w:val="nil"/>
              <w:bottom w:val="single" w:sz="8" w:space="0" w:color="4BACC6"/>
              <w:right w:val="single" w:sz="8" w:space="0" w:color="4BACC6"/>
            </w:tcBorders>
            <w:shd w:val="clear" w:color="auto" w:fill="auto"/>
            <w:vAlign w:val="center"/>
            <w:hideMark/>
          </w:tcPr>
          <w:p w14:paraId="06163BA8" w14:textId="77777777" w:rsidR="000C2868" w:rsidRPr="000C638D" w:rsidRDefault="000C2868" w:rsidP="000C2868">
            <w:pPr>
              <w:jc w:val="center"/>
              <w:rPr>
                <w:rFonts w:asciiTheme="minorHAnsi" w:hAnsiTheme="minorHAnsi"/>
                <w:b/>
                <w:bCs/>
                <w:color w:val="000000"/>
                <w:sz w:val="18"/>
                <w:szCs w:val="18"/>
                <w:lang w:val="sq-AL"/>
              </w:rPr>
            </w:pPr>
            <w:r w:rsidRPr="000C638D">
              <w:rPr>
                <w:rFonts w:asciiTheme="minorHAnsi" w:hAnsiTheme="minorHAnsi"/>
                <w:b/>
                <w:bCs/>
                <w:color w:val="000000"/>
                <w:sz w:val="18"/>
                <w:szCs w:val="18"/>
                <w:lang w:val="sq-AL"/>
              </w:rPr>
              <w:t>Korrente</w:t>
            </w:r>
          </w:p>
        </w:tc>
        <w:tc>
          <w:tcPr>
            <w:tcW w:w="0" w:type="auto"/>
            <w:tcBorders>
              <w:top w:val="nil"/>
              <w:left w:val="nil"/>
              <w:bottom w:val="single" w:sz="8" w:space="0" w:color="4BACC6"/>
              <w:right w:val="single" w:sz="8" w:space="0" w:color="4BACC6"/>
            </w:tcBorders>
            <w:shd w:val="clear" w:color="auto" w:fill="auto"/>
            <w:vAlign w:val="center"/>
            <w:hideMark/>
          </w:tcPr>
          <w:p w14:paraId="1DFB3E6D" w14:textId="77777777" w:rsidR="000C2868" w:rsidRPr="000C638D" w:rsidRDefault="000C2868" w:rsidP="000C2868">
            <w:pPr>
              <w:jc w:val="center"/>
              <w:rPr>
                <w:rFonts w:asciiTheme="minorHAnsi" w:hAnsiTheme="minorHAnsi"/>
                <w:b/>
                <w:bCs/>
                <w:color w:val="000000"/>
                <w:sz w:val="18"/>
                <w:szCs w:val="18"/>
                <w:lang w:val="sq-AL"/>
              </w:rPr>
            </w:pPr>
            <w:r w:rsidRPr="000C638D">
              <w:rPr>
                <w:rFonts w:asciiTheme="minorHAnsi" w:hAnsiTheme="minorHAnsi"/>
                <w:b/>
                <w:bCs/>
                <w:color w:val="000000"/>
                <w:sz w:val="18"/>
                <w:szCs w:val="18"/>
                <w:lang w:val="sq-AL"/>
              </w:rPr>
              <w:t>Investime</w:t>
            </w:r>
          </w:p>
        </w:tc>
      </w:tr>
      <w:tr w:rsidR="000C2868" w:rsidRPr="000C638D" w14:paraId="1DFE1221"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0F20A4E0" w14:textId="77777777" w:rsidR="000C2868" w:rsidRPr="000C638D" w:rsidRDefault="000C2868" w:rsidP="000C2868">
            <w:pPr>
              <w:rPr>
                <w:rFonts w:asciiTheme="minorHAnsi" w:hAnsiTheme="minorHAnsi"/>
                <w:color w:val="000000"/>
                <w:sz w:val="18"/>
                <w:szCs w:val="18"/>
                <w:lang w:val="sq-AL"/>
              </w:rPr>
            </w:pPr>
            <w:r w:rsidRPr="000C638D">
              <w:rPr>
                <w:rFonts w:asciiTheme="minorHAnsi" w:hAnsiTheme="minorHAnsi"/>
                <w:color w:val="000000"/>
                <w:sz w:val="18"/>
                <w:szCs w:val="18"/>
                <w:lang w:val="sq-AL"/>
              </w:rPr>
              <w:t>Planifikimi, Menaxhimi dhe Administrimi</w:t>
            </w:r>
          </w:p>
        </w:tc>
        <w:tc>
          <w:tcPr>
            <w:tcW w:w="0" w:type="auto"/>
            <w:tcBorders>
              <w:top w:val="nil"/>
              <w:left w:val="nil"/>
              <w:bottom w:val="single" w:sz="8" w:space="0" w:color="4BACC6"/>
              <w:right w:val="single" w:sz="8" w:space="0" w:color="4BACC6"/>
            </w:tcBorders>
            <w:shd w:val="clear" w:color="auto" w:fill="auto"/>
            <w:noWrap/>
            <w:vAlign w:val="center"/>
            <w:hideMark/>
          </w:tcPr>
          <w:p w14:paraId="7261EAE8"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600,850</w:t>
            </w:r>
          </w:p>
        </w:tc>
        <w:tc>
          <w:tcPr>
            <w:tcW w:w="0" w:type="auto"/>
            <w:tcBorders>
              <w:top w:val="nil"/>
              <w:left w:val="nil"/>
              <w:bottom w:val="single" w:sz="8" w:space="0" w:color="4BACC6"/>
              <w:right w:val="single" w:sz="8" w:space="0" w:color="4BACC6"/>
            </w:tcBorders>
            <w:shd w:val="clear" w:color="auto" w:fill="auto"/>
            <w:noWrap/>
            <w:vAlign w:val="center"/>
            <w:hideMark/>
          </w:tcPr>
          <w:p w14:paraId="317DB5B3"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215,000</w:t>
            </w:r>
          </w:p>
        </w:tc>
        <w:tc>
          <w:tcPr>
            <w:tcW w:w="0" w:type="auto"/>
            <w:tcBorders>
              <w:top w:val="nil"/>
              <w:left w:val="nil"/>
              <w:bottom w:val="single" w:sz="8" w:space="0" w:color="4BACC6"/>
              <w:right w:val="single" w:sz="8" w:space="0" w:color="4BACC6"/>
            </w:tcBorders>
            <w:shd w:val="clear" w:color="auto" w:fill="auto"/>
            <w:noWrap/>
            <w:vAlign w:val="center"/>
            <w:hideMark/>
          </w:tcPr>
          <w:p w14:paraId="3EB071C3"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211,788</w:t>
            </w:r>
          </w:p>
        </w:tc>
        <w:tc>
          <w:tcPr>
            <w:tcW w:w="0" w:type="auto"/>
            <w:tcBorders>
              <w:top w:val="nil"/>
              <w:left w:val="nil"/>
              <w:bottom w:val="single" w:sz="8" w:space="0" w:color="4BACC6"/>
              <w:right w:val="single" w:sz="8" w:space="0" w:color="4BACC6"/>
            </w:tcBorders>
            <w:shd w:val="clear" w:color="auto" w:fill="auto"/>
            <w:noWrap/>
            <w:vAlign w:val="center"/>
            <w:hideMark/>
          </w:tcPr>
          <w:p w14:paraId="12092899"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w:t>
            </w:r>
          </w:p>
        </w:tc>
        <w:tc>
          <w:tcPr>
            <w:tcW w:w="0" w:type="auto"/>
            <w:tcBorders>
              <w:top w:val="nil"/>
              <w:left w:val="nil"/>
              <w:bottom w:val="single" w:sz="8" w:space="0" w:color="4BACC6"/>
              <w:right w:val="single" w:sz="8" w:space="0" w:color="4BACC6"/>
            </w:tcBorders>
            <w:shd w:val="clear" w:color="auto" w:fill="auto"/>
            <w:noWrap/>
            <w:vAlign w:val="center"/>
            <w:hideMark/>
          </w:tcPr>
          <w:p w14:paraId="0467387F"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 xml:space="preserve">35.25 </w:t>
            </w:r>
          </w:p>
        </w:tc>
        <w:tc>
          <w:tcPr>
            <w:tcW w:w="0" w:type="auto"/>
            <w:tcBorders>
              <w:top w:val="nil"/>
              <w:left w:val="nil"/>
              <w:bottom w:val="single" w:sz="8" w:space="0" w:color="4BACC6"/>
              <w:right w:val="single" w:sz="8" w:space="0" w:color="4BACC6"/>
            </w:tcBorders>
            <w:shd w:val="clear" w:color="auto" w:fill="auto"/>
            <w:noWrap/>
            <w:vAlign w:val="center"/>
            <w:hideMark/>
          </w:tcPr>
          <w:p w14:paraId="06EF1B7C"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0.0</w:t>
            </w:r>
          </w:p>
        </w:tc>
      </w:tr>
      <w:tr w:rsidR="000C2868" w:rsidRPr="000C638D" w14:paraId="3C25FE41"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370A4AAA" w14:textId="77777777" w:rsidR="000C2868" w:rsidRPr="000C638D" w:rsidRDefault="000C2868" w:rsidP="000C2868">
            <w:pPr>
              <w:jc w:val="right"/>
              <w:rPr>
                <w:rFonts w:asciiTheme="minorHAnsi" w:hAnsiTheme="minorHAnsi"/>
                <w:color w:val="000000"/>
                <w:sz w:val="18"/>
                <w:szCs w:val="18"/>
                <w:lang w:val="sq-AL"/>
              </w:rPr>
            </w:pPr>
            <w:r w:rsidRPr="000C638D">
              <w:rPr>
                <w:rFonts w:asciiTheme="minorHAnsi" w:hAnsiTheme="minorHAnsi"/>
                <w:color w:val="000000"/>
                <w:sz w:val="18"/>
                <w:szCs w:val="18"/>
                <w:lang w:val="sq-AL"/>
              </w:rPr>
              <w:t>Financim i huaj</w:t>
            </w:r>
          </w:p>
        </w:tc>
        <w:tc>
          <w:tcPr>
            <w:tcW w:w="0" w:type="auto"/>
            <w:tcBorders>
              <w:top w:val="nil"/>
              <w:left w:val="nil"/>
              <w:bottom w:val="single" w:sz="8" w:space="0" w:color="4BACC6"/>
              <w:right w:val="single" w:sz="8" w:space="0" w:color="4BACC6"/>
            </w:tcBorders>
            <w:shd w:val="clear" w:color="auto" w:fill="auto"/>
            <w:noWrap/>
            <w:vAlign w:val="center"/>
            <w:hideMark/>
          </w:tcPr>
          <w:p w14:paraId="20DF2AF6"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c>
          <w:tcPr>
            <w:tcW w:w="0" w:type="auto"/>
            <w:tcBorders>
              <w:top w:val="nil"/>
              <w:left w:val="nil"/>
              <w:bottom w:val="single" w:sz="8" w:space="0" w:color="4BACC6"/>
              <w:right w:val="single" w:sz="8" w:space="0" w:color="4BACC6"/>
            </w:tcBorders>
            <w:shd w:val="clear" w:color="auto" w:fill="auto"/>
            <w:noWrap/>
            <w:vAlign w:val="center"/>
            <w:hideMark/>
          </w:tcPr>
          <w:p w14:paraId="2C7FD29F"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550,000</w:t>
            </w:r>
          </w:p>
        </w:tc>
        <w:tc>
          <w:tcPr>
            <w:tcW w:w="0" w:type="auto"/>
            <w:tcBorders>
              <w:top w:val="nil"/>
              <w:left w:val="nil"/>
              <w:bottom w:val="single" w:sz="8" w:space="0" w:color="4BACC6"/>
              <w:right w:val="single" w:sz="8" w:space="0" w:color="4BACC6"/>
            </w:tcBorders>
            <w:shd w:val="clear" w:color="auto" w:fill="auto"/>
            <w:noWrap/>
            <w:vAlign w:val="center"/>
            <w:hideMark/>
          </w:tcPr>
          <w:p w14:paraId="3EBFDA87"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c>
          <w:tcPr>
            <w:tcW w:w="0" w:type="auto"/>
            <w:tcBorders>
              <w:top w:val="nil"/>
              <w:left w:val="nil"/>
              <w:bottom w:val="single" w:sz="8" w:space="0" w:color="4BACC6"/>
              <w:right w:val="single" w:sz="8" w:space="0" w:color="4BACC6"/>
            </w:tcBorders>
            <w:shd w:val="clear" w:color="auto" w:fill="auto"/>
            <w:noWrap/>
            <w:vAlign w:val="center"/>
            <w:hideMark/>
          </w:tcPr>
          <w:p w14:paraId="612F52CB"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91,261</w:t>
            </w:r>
          </w:p>
        </w:tc>
        <w:tc>
          <w:tcPr>
            <w:tcW w:w="0" w:type="auto"/>
            <w:tcBorders>
              <w:top w:val="nil"/>
              <w:left w:val="nil"/>
              <w:bottom w:val="single" w:sz="8" w:space="0" w:color="4BACC6"/>
              <w:right w:val="single" w:sz="8" w:space="0" w:color="4BACC6"/>
            </w:tcBorders>
            <w:shd w:val="clear" w:color="auto" w:fill="auto"/>
            <w:noWrap/>
            <w:vAlign w:val="center"/>
            <w:hideMark/>
          </w:tcPr>
          <w:p w14:paraId="6F882935"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c>
          <w:tcPr>
            <w:tcW w:w="0" w:type="auto"/>
            <w:tcBorders>
              <w:top w:val="nil"/>
              <w:left w:val="nil"/>
              <w:bottom w:val="single" w:sz="8" w:space="0" w:color="4BACC6"/>
              <w:right w:val="single" w:sz="8" w:space="0" w:color="4BACC6"/>
            </w:tcBorders>
            <w:shd w:val="clear" w:color="auto" w:fill="auto"/>
            <w:noWrap/>
            <w:vAlign w:val="center"/>
            <w:hideMark/>
          </w:tcPr>
          <w:p w14:paraId="55A1D2EF"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16.6</w:t>
            </w:r>
          </w:p>
        </w:tc>
      </w:tr>
      <w:tr w:rsidR="000C2868" w:rsidRPr="000C638D" w14:paraId="1F3249AB"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1897DEE1" w14:textId="77777777" w:rsidR="000C2868" w:rsidRPr="000C638D" w:rsidRDefault="000C2868" w:rsidP="000C2868">
            <w:pPr>
              <w:rPr>
                <w:rFonts w:asciiTheme="minorHAnsi" w:hAnsiTheme="minorHAnsi"/>
                <w:color w:val="000000"/>
                <w:sz w:val="18"/>
                <w:szCs w:val="18"/>
                <w:lang w:val="sq-AL"/>
              </w:rPr>
            </w:pPr>
            <w:r w:rsidRPr="000C638D">
              <w:rPr>
                <w:rFonts w:asciiTheme="minorHAnsi" w:hAnsiTheme="minorHAnsi"/>
                <w:color w:val="000000"/>
                <w:sz w:val="18"/>
                <w:szCs w:val="18"/>
                <w:lang w:val="sq-AL"/>
              </w:rPr>
              <w:t>Menaxhimi i Shpenzimeve Publike</w:t>
            </w:r>
          </w:p>
        </w:tc>
        <w:tc>
          <w:tcPr>
            <w:tcW w:w="0" w:type="auto"/>
            <w:tcBorders>
              <w:top w:val="nil"/>
              <w:left w:val="nil"/>
              <w:bottom w:val="single" w:sz="8" w:space="0" w:color="4BACC6"/>
              <w:right w:val="single" w:sz="8" w:space="0" w:color="4BACC6"/>
            </w:tcBorders>
            <w:shd w:val="clear" w:color="auto" w:fill="auto"/>
            <w:noWrap/>
            <w:vAlign w:val="center"/>
            <w:hideMark/>
          </w:tcPr>
          <w:p w14:paraId="154E1A5C"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420,410</w:t>
            </w:r>
          </w:p>
        </w:tc>
        <w:tc>
          <w:tcPr>
            <w:tcW w:w="0" w:type="auto"/>
            <w:tcBorders>
              <w:top w:val="nil"/>
              <w:left w:val="nil"/>
              <w:bottom w:val="single" w:sz="8" w:space="0" w:color="4BACC6"/>
              <w:right w:val="single" w:sz="8" w:space="0" w:color="4BACC6"/>
            </w:tcBorders>
            <w:shd w:val="clear" w:color="auto" w:fill="auto"/>
            <w:noWrap/>
            <w:vAlign w:val="center"/>
            <w:hideMark/>
          </w:tcPr>
          <w:p w14:paraId="7055ECDF"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w:t>
            </w:r>
          </w:p>
        </w:tc>
        <w:tc>
          <w:tcPr>
            <w:tcW w:w="0" w:type="auto"/>
            <w:tcBorders>
              <w:top w:val="nil"/>
              <w:left w:val="nil"/>
              <w:bottom w:val="single" w:sz="8" w:space="0" w:color="4BACC6"/>
              <w:right w:val="single" w:sz="8" w:space="0" w:color="4BACC6"/>
            </w:tcBorders>
            <w:shd w:val="clear" w:color="auto" w:fill="auto"/>
            <w:noWrap/>
            <w:vAlign w:val="center"/>
            <w:hideMark/>
          </w:tcPr>
          <w:p w14:paraId="2B6D22B8"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92,128</w:t>
            </w:r>
          </w:p>
        </w:tc>
        <w:tc>
          <w:tcPr>
            <w:tcW w:w="0" w:type="auto"/>
            <w:tcBorders>
              <w:top w:val="nil"/>
              <w:left w:val="nil"/>
              <w:bottom w:val="single" w:sz="8" w:space="0" w:color="4BACC6"/>
              <w:right w:val="single" w:sz="8" w:space="0" w:color="4BACC6"/>
            </w:tcBorders>
            <w:shd w:val="clear" w:color="auto" w:fill="auto"/>
            <w:noWrap/>
            <w:vAlign w:val="center"/>
            <w:hideMark/>
          </w:tcPr>
          <w:p w14:paraId="14D9C27D"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w:t>
            </w:r>
          </w:p>
        </w:tc>
        <w:tc>
          <w:tcPr>
            <w:tcW w:w="0" w:type="auto"/>
            <w:tcBorders>
              <w:top w:val="nil"/>
              <w:left w:val="nil"/>
              <w:bottom w:val="single" w:sz="8" w:space="0" w:color="4BACC6"/>
              <w:right w:val="single" w:sz="8" w:space="0" w:color="4BACC6"/>
            </w:tcBorders>
            <w:shd w:val="clear" w:color="auto" w:fill="auto"/>
            <w:noWrap/>
            <w:vAlign w:val="center"/>
            <w:hideMark/>
          </w:tcPr>
          <w:p w14:paraId="0107007E"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 xml:space="preserve">21.91 </w:t>
            </w:r>
          </w:p>
        </w:tc>
        <w:tc>
          <w:tcPr>
            <w:tcW w:w="0" w:type="auto"/>
            <w:tcBorders>
              <w:top w:val="nil"/>
              <w:left w:val="nil"/>
              <w:bottom w:val="single" w:sz="8" w:space="0" w:color="4BACC6"/>
              <w:right w:val="single" w:sz="8" w:space="0" w:color="4BACC6"/>
            </w:tcBorders>
            <w:shd w:val="clear" w:color="auto" w:fill="auto"/>
            <w:noWrap/>
            <w:vAlign w:val="center"/>
            <w:hideMark/>
          </w:tcPr>
          <w:p w14:paraId="04AA9567"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r>
      <w:tr w:rsidR="000C2868" w:rsidRPr="000C638D" w14:paraId="7AFFB760"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6740DB66" w14:textId="77777777" w:rsidR="000C2868" w:rsidRPr="000C638D" w:rsidRDefault="000C2868" w:rsidP="000C2868">
            <w:pPr>
              <w:rPr>
                <w:rFonts w:asciiTheme="minorHAnsi" w:hAnsiTheme="minorHAnsi"/>
                <w:color w:val="000000"/>
                <w:sz w:val="18"/>
                <w:szCs w:val="18"/>
                <w:lang w:val="sq-AL"/>
              </w:rPr>
            </w:pPr>
            <w:r w:rsidRPr="000C638D">
              <w:rPr>
                <w:rFonts w:asciiTheme="minorHAnsi" w:hAnsiTheme="minorHAnsi"/>
                <w:color w:val="000000"/>
                <w:sz w:val="18"/>
                <w:szCs w:val="18"/>
                <w:lang w:val="sq-AL"/>
              </w:rPr>
              <w:t>Ekzekutimi i Pagesave të Ndryshme</w:t>
            </w:r>
          </w:p>
        </w:tc>
        <w:tc>
          <w:tcPr>
            <w:tcW w:w="0" w:type="auto"/>
            <w:tcBorders>
              <w:top w:val="nil"/>
              <w:left w:val="nil"/>
              <w:bottom w:val="single" w:sz="8" w:space="0" w:color="4BACC6"/>
              <w:right w:val="single" w:sz="8" w:space="0" w:color="4BACC6"/>
            </w:tcBorders>
            <w:shd w:val="clear" w:color="auto" w:fill="auto"/>
            <w:noWrap/>
            <w:vAlign w:val="center"/>
            <w:hideMark/>
          </w:tcPr>
          <w:p w14:paraId="3E2DD466"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694,808</w:t>
            </w:r>
          </w:p>
        </w:tc>
        <w:tc>
          <w:tcPr>
            <w:tcW w:w="0" w:type="auto"/>
            <w:tcBorders>
              <w:top w:val="nil"/>
              <w:left w:val="nil"/>
              <w:bottom w:val="single" w:sz="8" w:space="0" w:color="4BACC6"/>
              <w:right w:val="single" w:sz="8" w:space="0" w:color="4BACC6"/>
            </w:tcBorders>
            <w:shd w:val="clear" w:color="auto" w:fill="auto"/>
            <w:noWrap/>
            <w:vAlign w:val="center"/>
            <w:hideMark/>
          </w:tcPr>
          <w:p w14:paraId="7F3A2445"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92,409</w:t>
            </w:r>
          </w:p>
        </w:tc>
        <w:tc>
          <w:tcPr>
            <w:tcW w:w="0" w:type="auto"/>
            <w:tcBorders>
              <w:top w:val="nil"/>
              <w:left w:val="nil"/>
              <w:bottom w:val="single" w:sz="8" w:space="0" w:color="4BACC6"/>
              <w:right w:val="single" w:sz="8" w:space="0" w:color="4BACC6"/>
            </w:tcBorders>
            <w:shd w:val="clear" w:color="auto" w:fill="auto"/>
            <w:noWrap/>
            <w:vAlign w:val="center"/>
            <w:hideMark/>
          </w:tcPr>
          <w:p w14:paraId="748E5563"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68,189</w:t>
            </w:r>
          </w:p>
        </w:tc>
        <w:tc>
          <w:tcPr>
            <w:tcW w:w="0" w:type="auto"/>
            <w:tcBorders>
              <w:top w:val="nil"/>
              <w:left w:val="nil"/>
              <w:bottom w:val="single" w:sz="8" w:space="0" w:color="4BACC6"/>
              <w:right w:val="single" w:sz="8" w:space="0" w:color="4BACC6"/>
            </w:tcBorders>
            <w:shd w:val="clear" w:color="auto" w:fill="auto"/>
            <w:noWrap/>
            <w:vAlign w:val="center"/>
            <w:hideMark/>
          </w:tcPr>
          <w:p w14:paraId="136EAD94"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w:t>
            </w:r>
          </w:p>
        </w:tc>
        <w:tc>
          <w:tcPr>
            <w:tcW w:w="0" w:type="auto"/>
            <w:tcBorders>
              <w:top w:val="nil"/>
              <w:left w:val="nil"/>
              <w:bottom w:val="single" w:sz="8" w:space="0" w:color="4BACC6"/>
              <w:right w:val="single" w:sz="8" w:space="0" w:color="4BACC6"/>
            </w:tcBorders>
            <w:shd w:val="clear" w:color="auto" w:fill="auto"/>
            <w:noWrap/>
            <w:vAlign w:val="center"/>
            <w:hideMark/>
          </w:tcPr>
          <w:p w14:paraId="1805CEED"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 xml:space="preserve">9.81 </w:t>
            </w:r>
          </w:p>
        </w:tc>
        <w:tc>
          <w:tcPr>
            <w:tcW w:w="0" w:type="auto"/>
            <w:tcBorders>
              <w:top w:val="nil"/>
              <w:left w:val="nil"/>
              <w:bottom w:val="single" w:sz="8" w:space="0" w:color="4BACC6"/>
              <w:right w:val="single" w:sz="8" w:space="0" w:color="4BACC6"/>
            </w:tcBorders>
            <w:shd w:val="clear" w:color="auto" w:fill="auto"/>
            <w:noWrap/>
            <w:vAlign w:val="center"/>
            <w:hideMark/>
          </w:tcPr>
          <w:p w14:paraId="31E00A81"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0.0</w:t>
            </w:r>
          </w:p>
        </w:tc>
      </w:tr>
      <w:tr w:rsidR="000C2868" w:rsidRPr="000C638D" w14:paraId="50F17DF6"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3F2AC6C6" w14:textId="77777777" w:rsidR="000C2868" w:rsidRPr="000C638D" w:rsidRDefault="000C2868" w:rsidP="000C2868">
            <w:pPr>
              <w:rPr>
                <w:rFonts w:asciiTheme="minorHAnsi" w:hAnsiTheme="minorHAnsi"/>
                <w:color w:val="000000"/>
                <w:sz w:val="18"/>
                <w:szCs w:val="18"/>
                <w:lang w:val="sq-AL"/>
              </w:rPr>
            </w:pPr>
            <w:r w:rsidRPr="000C638D">
              <w:rPr>
                <w:rFonts w:asciiTheme="minorHAnsi" w:hAnsiTheme="minorHAnsi"/>
                <w:color w:val="000000"/>
                <w:sz w:val="18"/>
                <w:szCs w:val="18"/>
                <w:lang w:val="sq-AL"/>
              </w:rPr>
              <w:t>Menaxhimi i të Ardhurave Tatimore</w:t>
            </w:r>
          </w:p>
        </w:tc>
        <w:tc>
          <w:tcPr>
            <w:tcW w:w="0" w:type="auto"/>
            <w:tcBorders>
              <w:top w:val="nil"/>
              <w:left w:val="nil"/>
              <w:bottom w:val="single" w:sz="8" w:space="0" w:color="4BACC6"/>
              <w:right w:val="single" w:sz="8" w:space="0" w:color="4BACC6"/>
            </w:tcBorders>
            <w:shd w:val="clear" w:color="auto" w:fill="auto"/>
            <w:noWrap/>
            <w:vAlign w:val="center"/>
            <w:hideMark/>
          </w:tcPr>
          <w:p w14:paraId="67187F28"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2,686,797</w:t>
            </w:r>
          </w:p>
        </w:tc>
        <w:tc>
          <w:tcPr>
            <w:tcW w:w="0" w:type="auto"/>
            <w:tcBorders>
              <w:top w:val="nil"/>
              <w:left w:val="nil"/>
              <w:bottom w:val="single" w:sz="8" w:space="0" w:color="4BACC6"/>
              <w:right w:val="single" w:sz="8" w:space="0" w:color="4BACC6"/>
            </w:tcBorders>
            <w:shd w:val="clear" w:color="auto" w:fill="auto"/>
            <w:noWrap/>
            <w:vAlign w:val="center"/>
            <w:hideMark/>
          </w:tcPr>
          <w:p w14:paraId="31D30A95"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395,080</w:t>
            </w:r>
          </w:p>
        </w:tc>
        <w:tc>
          <w:tcPr>
            <w:tcW w:w="0" w:type="auto"/>
            <w:tcBorders>
              <w:top w:val="nil"/>
              <w:left w:val="nil"/>
              <w:bottom w:val="single" w:sz="8" w:space="0" w:color="4BACC6"/>
              <w:right w:val="single" w:sz="8" w:space="0" w:color="4BACC6"/>
            </w:tcBorders>
            <w:shd w:val="clear" w:color="auto" w:fill="auto"/>
            <w:noWrap/>
            <w:vAlign w:val="center"/>
            <w:hideMark/>
          </w:tcPr>
          <w:p w14:paraId="0849C2EF"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841,676</w:t>
            </w:r>
          </w:p>
        </w:tc>
        <w:tc>
          <w:tcPr>
            <w:tcW w:w="0" w:type="auto"/>
            <w:tcBorders>
              <w:top w:val="nil"/>
              <w:left w:val="nil"/>
              <w:bottom w:val="single" w:sz="8" w:space="0" w:color="4BACC6"/>
              <w:right w:val="single" w:sz="8" w:space="0" w:color="4BACC6"/>
            </w:tcBorders>
            <w:shd w:val="clear" w:color="auto" w:fill="auto"/>
            <w:noWrap/>
            <w:vAlign w:val="center"/>
            <w:hideMark/>
          </w:tcPr>
          <w:p w14:paraId="10C80546"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36,697</w:t>
            </w:r>
          </w:p>
        </w:tc>
        <w:tc>
          <w:tcPr>
            <w:tcW w:w="0" w:type="auto"/>
            <w:tcBorders>
              <w:top w:val="nil"/>
              <w:left w:val="nil"/>
              <w:bottom w:val="single" w:sz="8" w:space="0" w:color="4BACC6"/>
              <w:right w:val="single" w:sz="8" w:space="0" w:color="4BACC6"/>
            </w:tcBorders>
            <w:shd w:val="clear" w:color="auto" w:fill="auto"/>
            <w:noWrap/>
            <w:vAlign w:val="center"/>
            <w:hideMark/>
          </w:tcPr>
          <w:p w14:paraId="647EF59E"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 xml:space="preserve">31.33 </w:t>
            </w:r>
          </w:p>
        </w:tc>
        <w:tc>
          <w:tcPr>
            <w:tcW w:w="0" w:type="auto"/>
            <w:tcBorders>
              <w:top w:val="nil"/>
              <w:left w:val="nil"/>
              <w:bottom w:val="single" w:sz="8" w:space="0" w:color="4BACC6"/>
              <w:right w:val="single" w:sz="8" w:space="0" w:color="4BACC6"/>
            </w:tcBorders>
            <w:shd w:val="clear" w:color="auto" w:fill="auto"/>
            <w:noWrap/>
            <w:vAlign w:val="center"/>
            <w:hideMark/>
          </w:tcPr>
          <w:p w14:paraId="75A18829"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9.3</w:t>
            </w:r>
          </w:p>
        </w:tc>
      </w:tr>
      <w:tr w:rsidR="000C2868" w:rsidRPr="000C638D" w14:paraId="55621A7B"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5B7A23F4" w14:textId="77777777" w:rsidR="000C2868" w:rsidRPr="000C638D" w:rsidRDefault="000C2868" w:rsidP="000C2868">
            <w:pPr>
              <w:rPr>
                <w:rFonts w:asciiTheme="minorHAnsi" w:hAnsiTheme="minorHAnsi"/>
                <w:color w:val="000000"/>
                <w:sz w:val="18"/>
                <w:szCs w:val="18"/>
                <w:lang w:val="sq-AL"/>
              </w:rPr>
            </w:pPr>
            <w:r w:rsidRPr="000C638D">
              <w:rPr>
                <w:rFonts w:asciiTheme="minorHAnsi" w:hAnsiTheme="minorHAnsi"/>
                <w:color w:val="000000"/>
                <w:sz w:val="18"/>
                <w:szCs w:val="18"/>
                <w:lang w:val="sq-AL"/>
              </w:rPr>
              <w:t>Menaxhimi i të Ardhurave Doganore</w:t>
            </w:r>
          </w:p>
        </w:tc>
        <w:tc>
          <w:tcPr>
            <w:tcW w:w="0" w:type="auto"/>
            <w:tcBorders>
              <w:top w:val="nil"/>
              <w:left w:val="nil"/>
              <w:bottom w:val="single" w:sz="8" w:space="0" w:color="4BACC6"/>
              <w:right w:val="single" w:sz="8" w:space="0" w:color="4BACC6"/>
            </w:tcBorders>
            <w:shd w:val="clear" w:color="auto" w:fill="auto"/>
            <w:noWrap/>
            <w:vAlign w:val="center"/>
            <w:hideMark/>
          </w:tcPr>
          <w:p w14:paraId="77C21C75"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3,864,610</w:t>
            </w:r>
          </w:p>
        </w:tc>
        <w:tc>
          <w:tcPr>
            <w:tcW w:w="0" w:type="auto"/>
            <w:tcBorders>
              <w:top w:val="nil"/>
              <w:left w:val="nil"/>
              <w:bottom w:val="single" w:sz="8" w:space="0" w:color="4BACC6"/>
              <w:right w:val="single" w:sz="8" w:space="0" w:color="4BACC6"/>
            </w:tcBorders>
            <w:shd w:val="clear" w:color="auto" w:fill="auto"/>
            <w:noWrap/>
            <w:vAlign w:val="center"/>
            <w:hideMark/>
          </w:tcPr>
          <w:p w14:paraId="6CCAA605"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219,220</w:t>
            </w:r>
          </w:p>
        </w:tc>
        <w:tc>
          <w:tcPr>
            <w:tcW w:w="0" w:type="auto"/>
            <w:tcBorders>
              <w:top w:val="nil"/>
              <w:left w:val="nil"/>
              <w:bottom w:val="single" w:sz="8" w:space="0" w:color="4BACC6"/>
              <w:right w:val="single" w:sz="8" w:space="0" w:color="4BACC6"/>
            </w:tcBorders>
            <w:shd w:val="clear" w:color="auto" w:fill="auto"/>
            <w:noWrap/>
            <w:vAlign w:val="center"/>
            <w:hideMark/>
          </w:tcPr>
          <w:p w14:paraId="354FEED9"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1,201,639</w:t>
            </w:r>
          </w:p>
        </w:tc>
        <w:tc>
          <w:tcPr>
            <w:tcW w:w="0" w:type="auto"/>
            <w:tcBorders>
              <w:top w:val="nil"/>
              <w:left w:val="nil"/>
              <w:bottom w:val="single" w:sz="8" w:space="0" w:color="4BACC6"/>
              <w:right w:val="single" w:sz="8" w:space="0" w:color="4BACC6"/>
            </w:tcBorders>
            <w:shd w:val="clear" w:color="auto" w:fill="auto"/>
            <w:noWrap/>
            <w:vAlign w:val="center"/>
            <w:hideMark/>
          </w:tcPr>
          <w:p w14:paraId="568ADD5D"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69</w:t>
            </w:r>
          </w:p>
        </w:tc>
        <w:tc>
          <w:tcPr>
            <w:tcW w:w="0" w:type="auto"/>
            <w:tcBorders>
              <w:top w:val="nil"/>
              <w:left w:val="nil"/>
              <w:bottom w:val="single" w:sz="8" w:space="0" w:color="4BACC6"/>
              <w:right w:val="single" w:sz="8" w:space="0" w:color="4BACC6"/>
            </w:tcBorders>
            <w:shd w:val="clear" w:color="auto" w:fill="auto"/>
            <w:noWrap/>
            <w:vAlign w:val="center"/>
            <w:hideMark/>
          </w:tcPr>
          <w:p w14:paraId="285B0D28"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 xml:space="preserve">31.09 </w:t>
            </w:r>
          </w:p>
        </w:tc>
        <w:tc>
          <w:tcPr>
            <w:tcW w:w="0" w:type="auto"/>
            <w:tcBorders>
              <w:top w:val="nil"/>
              <w:left w:val="nil"/>
              <w:bottom w:val="single" w:sz="8" w:space="0" w:color="4BACC6"/>
              <w:right w:val="single" w:sz="8" w:space="0" w:color="4BACC6"/>
            </w:tcBorders>
            <w:shd w:val="clear" w:color="auto" w:fill="auto"/>
            <w:noWrap/>
            <w:vAlign w:val="center"/>
            <w:hideMark/>
          </w:tcPr>
          <w:p w14:paraId="48147F3D"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0.03</w:t>
            </w:r>
          </w:p>
        </w:tc>
      </w:tr>
      <w:tr w:rsidR="000C2868" w:rsidRPr="000C638D" w14:paraId="24A84489"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2F9EB9ED" w14:textId="77777777" w:rsidR="000C2868" w:rsidRPr="000C638D" w:rsidRDefault="000C2868" w:rsidP="000C2868">
            <w:pPr>
              <w:jc w:val="right"/>
              <w:rPr>
                <w:rFonts w:asciiTheme="minorHAnsi" w:hAnsiTheme="minorHAnsi"/>
                <w:color w:val="000000"/>
                <w:sz w:val="18"/>
                <w:szCs w:val="18"/>
                <w:lang w:val="sq-AL"/>
              </w:rPr>
            </w:pPr>
            <w:r w:rsidRPr="000C638D">
              <w:rPr>
                <w:rFonts w:asciiTheme="minorHAnsi" w:hAnsiTheme="minorHAnsi"/>
                <w:color w:val="000000"/>
                <w:sz w:val="18"/>
                <w:szCs w:val="18"/>
                <w:lang w:val="sq-AL"/>
              </w:rPr>
              <w:t>Financim i huaj</w:t>
            </w:r>
          </w:p>
        </w:tc>
        <w:tc>
          <w:tcPr>
            <w:tcW w:w="0" w:type="auto"/>
            <w:tcBorders>
              <w:top w:val="nil"/>
              <w:left w:val="nil"/>
              <w:bottom w:val="single" w:sz="8" w:space="0" w:color="4BACC6"/>
              <w:right w:val="single" w:sz="8" w:space="0" w:color="4BACC6"/>
            </w:tcBorders>
            <w:shd w:val="clear" w:color="auto" w:fill="auto"/>
            <w:noWrap/>
            <w:vAlign w:val="center"/>
            <w:hideMark/>
          </w:tcPr>
          <w:p w14:paraId="774F7962"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c>
          <w:tcPr>
            <w:tcW w:w="0" w:type="auto"/>
            <w:tcBorders>
              <w:top w:val="nil"/>
              <w:left w:val="nil"/>
              <w:bottom w:val="single" w:sz="8" w:space="0" w:color="4BACC6"/>
              <w:right w:val="single" w:sz="8" w:space="0" w:color="4BACC6"/>
            </w:tcBorders>
            <w:shd w:val="clear" w:color="auto" w:fill="auto"/>
            <w:noWrap/>
            <w:vAlign w:val="center"/>
            <w:hideMark/>
          </w:tcPr>
          <w:p w14:paraId="3EF09EF6"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120,690</w:t>
            </w:r>
          </w:p>
        </w:tc>
        <w:tc>
          <w:tcPr>
            <w:tcW w:w="0" w:type="auto"/>
            <w:tcBorders>
              <w:top w:val="nil"/>
              <w:left w:val="nil"/>
              <w:bottom w:val="single" w:sz="8" w:space="0" w:color="4BACC6"/>
              <w:right w:val="single" w:sz="8" w:space="0" w:color="4BACC6"/>
            </w:tcBorders>
            <w:shd w:val="clear" w:color="auto" w:fill="auto"/>
            <w:noWrap/>
            <w:vAlign w:val="center"/>
            <w:hideMark/>
          </w:tcPr>
          <w:p w14:paraId="300F0EAC"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c>
          <w:tcPr>
            <w:tcW w:w="0" w:type="auto"/>
            <w:tcBorders>
              <w:top w:val="nil"/>
              <w:left w:val="nil"/>
              <w:bottom w:val="single" w:sz="8" w:space="0" w:color="4BACC6"/>
              <w:right w:val="single" w:sz="8" w:space="0" w:color="4BACC6"/>
            </w:tcBorders>
            <w:shd w:val="clear" w:color="auto" w:fill="auto"/>
            <w:noWrap/>
            <w:vAlign w:val="center"/>
            <w:hideMark/>
          </w:tcPr>
          <w:p w14:paraId="4CB2A504"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w:t>
            </w:r>
          </w:p>
        </w:tc>
        <w:tc>
          <w:tcPr>
            <w:tcW w:w="0" w:type="auto"/>
            <w:tcBorders>
              <w:top w:val="nil"/>
              <w:left w:val="nil"/>
              <w:bottom w:val="single" w:sz="8" w:space="0" w:color="4BACC6"/>
              <w:right w:val="single" w:sz="8" w:space="0" w:color="4BACC6"/>
            </w:tcBorders>
            <w:shd w:val="clear" w:color="auto" w:fill="auto"/>
            <w:noWrap/>
            <w:vAlign w:val="center"/>
            <w:hideMark/>
          </w:tcPr>
          <w:p w14:paraId="7C715DB2"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c>
          <w:tcPr>
            <w:tcW w:w="0" w:type="auto"/>
            <w:tcBorders>
              <w:top w:val="nil"/>
              <w:left w:val="nil"/>
              <w:bottom w:val="single" w:sz="8" w:space="0" w:color="4BACC6"/>
              <w:right w:val="single" w:sz="8" w:space="0" w:color="4BACC6"/>
            </w:tcBorders>
            <w:shd w:val="clear" w:color="auto" w:fill="auto"/>
            <w:noWrap/>
            <w:vAlign w:val="center"/>
            <w:hideMark/>
          </w:tcPr>
          <w:p w14:paraId="24246E4D"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0.0</w:t>
            </w:r>
          </w:p>
        </w:tc>
      </w:tr>
      <w:tr w:rsidR="000C2868" w:rsidRPr="000C638D" w14:paraId="69F6B186" w14:textId="77777777" w:rsidTr="000C2868">
        <w:trPr>
          <w:trHeight w:val="368"/>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6659F6F6" w14:textId="77777777" w:rsidR="000C2868" w:rsidRPr="000C638D" w:rsidRDefault="000C2868" w:rsidP="000C2868">
            <w:pPr>
              <w:rPr>
                <w:rFonts w:asciiTheme="minorHAnsi" w:hAnsiTheme="minorHAnsi"/>
                <w:color w:val="000000"/>
                <w:sz w:val="18"/>
                <w:szCs w:val="18"/>
                <w:lang w:val="sq-AL"/>
              </w:rPr>
            </w:pPr>
            <w:r w:rsidRPr="000C638D">
              <w:rPr>
                <w:rFonts w:asciiTheme="minorHAnsi" w:hAnsiTheme="minorHAnsi"/>
                <w:color w:val="000000"/>
                <w:sz w:val="18"/>
                <w:szCs w:val="18"/>
                <w:lang w:val="sq-AL"/>
              </w:rPr>
              <w:t>Lufta kundër Transaksioneve Financiare Jo-Ligjore</w:t>
            </w:r>
          </w:p>
        </w:tc>
        <w:tc>
          <w:tcPr>
            <w:tcW w:w="0" w:type="auto"/>
            <w:tcBorders>
              <w:top w:val="nil"/>
              <w:left w:val="nil"/>
              <w:bottom w:val="single" w:sz="8" w:space="0" w:color="4BACC6"/>
              <w:right w:val="single" w:sz="8" w:space="0" w:color="4BACC6"/>
            </w:tcBorders>
            <w:shd w:val="clear" w:color="auto" w:fill="auto"/>
            <w:noWrap/>
            <w:vAlign w:val="center"/>
            <w:hideMark/>
          </w:tcPr>
          <w:p w14:paraId="2464283D"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107,790</w:t>
            </w:r>
          </w:p>
        </w:tc>
        <w:tc>
          <w:tcPr>
            <w:tcW w:w="0" w:type="auto"/>
            <w:tcBorders>
              <w:top w:val="nil"/>
              <w:left w:val="nil"/>
              <w:bottom w:val="single" w:sz="8" w:space="0" w:color="4BACC6"/>
              <w:right w:val="single" w:sz="8" w:space="0" w:color="4BACC6"/>
            </w:tcBorders>
            <w:shd w:val="clear" w:color="auto" w:fill="auto"/>
            <w:noWrap/>
            <w:vAlign w:val="center"/>
            <w:hideMark/>
          </w:tcPr>
          <w:p w14:paraId="31688314"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55,000</w:t>
            </w:r>
          </w:p>
        </w:tc>
        <w:tc>
          <w:tcPr>
            <w:tcW w:w="0" w:type="auto"/>
            <w:tcBorders>
              <w:top w:val="nil"/>
              <w:left w:val="nil"/>
              <w:bottom w:val="single" w:sz="8" w:space="0" w:color="4BACC6"/>
              <w:right w:val="single" w:sz="8" w:space="0" w:color="4BACC6"/>
            </w:tcBorders>
            <w:shd w:val="clear" w:color="auto" w:fill="auto"/>
            <w:noWrap/>
            <w:vAlign w:val="center"/>
            <w:hideMark/>
          </w:tcPr>
          <w:p w14:paraId="117964B8"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23,467</w:t>
            </w:r>
          </w:p>
        </w:tc>
        <w:tc>
          <w:tcPr>
            <w:tcW w:w="0" w:type="auto"/>
            <w:tcBorders>
              <w:top w:val="nil"/>
              <w:left w:val="nil"/>
              <w:bottom w:val="single" w:sz="8" w:space="0" w:color="4BACC6"/>
              <w:right w:val="single" w:sz="8" w:space="0" w:color="4BACC6"/>
            </w:tcBorders>
            <w:shd w:val="clear" w:color="auto" w:fill="auto"/>
            <w:noWrap/>
            <w:vAlign w:val="center"/>
            <w:hideMark/>
          </w:tcPr>
          <w:p w14:paraId="7919A123"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w:t>
            </w:r>
          </w:p>
        </w:tc>
        <w:tc>
          <w:tcPr>
            <w:tcW w:w="0" w:type="auto"/>
            <w:tcBorders>
              <w:top w:val="nil"/>
              <w:left w:val="nil"/>
              <w:bottom w:val="single" w:sz="8" w:space="0" w:color="4BACC6"/>
              <w:right w:val="single" w:sz="8" w:space="0" w:color="4BACC6"/>
            </w:tcBorders>
            <w:shd w:val="clear" w:color="auto" w:fill="auto"/>
            <w:noWrap/>
            <w:vAlign w:val="center"/>
            <w:hideMark/>
          </w:tcPr>
          <w:p w14:paraId="6747A1B1"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 xml:space="preserve">21.77 </w:t>
            </w:r>
          </w:p>
        </w:tc>
        <w:tc>
          <w:tcPr>
            <w:tcW w:w="0" w:type="auto"/>
            <w:tcBorders>
              <w:top w:val="nil"/>
              <w:left w:val="nil"/>
              <w:bottom w:val="single" w:sz="8" w:space="0" w:color="4BACC6"/>
              <w:right w:val="single" w:sz="8" w:space="0" w:color="4BACC6"/>
            </w:tcBorders>
            <w:shd w:val="clear" w:color="auto" w:fill="auto"/>
            <w:noWrap/>
            <w:vAlign w:val="center"/>
            <w:hideMark/>
          </w:tcPr>
          <w:p w14:paraId="4212E562"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0.0</w:t>
            </w:r>
          </w:p>
        </w:tc>
      </w:tr>
      <w:tr w:rsidR="000C2868" w:rsidRPr="000C638D" w14:paraId="5AE5F570"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3805421D" w14:textId="77777777" w:rsidR="000C2868" w:rsidRPr="000C638D" w:rsidRDefault="000C2868" w:rsidP="000C2868">
            <w:pPr>
              <w:rPr>
                <w:rFonts w:asciiTheme="minorHAnsi" w:hAnsiTheme="minorHAnsi"/>
                <w:color w:val="000000"/>
                <w:sz w:val="18"/>
                <w:szCs w:val="18"/>
                <w:lang w:val="sq-AL"/>
              </w:rPr>
            </w:pPr>
            <w:r w:rsidRPr="000C638D">
              <w:rPr>
                <w:rFonts w:asciiTheme="minorHAnsi" w:hAnsiTheme="minorHAnsi"/>
                <w:color w:val="000000"/>
                <w:sz w:val="18"/>
                <w:szCs w:val="18"/>
                <w:lang w:val="sq-AL"/>
              </w:rPr>
              <w:t>Mbështetje për Zhvillim Ekonomik</w:t>
            </w:r>
          </w:p>
        </w:tc>
        <w:tc>
          <w:tcPr>
            <w:tcW w:w="0" w:type="auto"/>
            <w:tcBorders>
              <w:top w:val="nil"/>
              <w:left w:val="nil"/>
              <w:bottom w:val="single" w:sz="8" w:space="0" w:color="4BACC6"/>
              <w:right w:val="single" w:sz="8" w:space="0" w:color="4BACC6"/>
            </w:tcBorders>
            <w:shd w:val="clear" w:color="auto" w:fill="auto"/>
            <w:noWrap/>
            <w:vAlign w:val="center"/>
            <w:hideMark/>
          </w:tcPr>
          <w:p w14:paraId="3CC6239C"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320,880</w:t>
            </w:r>
          </w:p>
        </w:tc>
        <w:tc>
          <w:tcPr>
            <w:tcW w:w="0" w:type="auto"/>
            <w:tcBorders>
              <w:top w:val="nil"/>
              <w:left w:val="nil"/>
              <w:bottom w:val="single" w:sz="8" w:space="0" w:color="4BACC6"/>
              <w:right w:val="single" w:sz="8" w:space="0" w:color="4BACC6"/>
            </w:tcBorders>
            <w:shd w:val="clear" w:color="auto" w:fill="auto"/>
            <w:noWrap/>
            <w:vAlign w:val="center"/>
            <w:hideMark/>
          </w:tcPr>
          <w:p w14:paraId="1850DFAE"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62,000</w:t>
            </w:r>
          </w:p>
        </w:tc>
        <w:tc>
          <w:tcPr>
            <w:tcW w:w="0" w:type="auto"/>
            <w:tcBorders>
              <w:top w:val="nil"/>
              <w:left w:val="nil"/>
              <w:bottom w:val="single" w:sz="8" w:space="0" w:color="4BACC6"/>
              <w:right w:val="single" w:sz="8" w:space="0" w:color="4BACC6"/>
            </w:tcBorders>
            <w:shd w:val="clear" w:color="auto" w:fill="auto"/>
            <w:noWrap/>
            <w:vAlign w:val="center"/>
            <w:hideMark/>
          </w:tcPr>
          <w:p w14:paraId="71A1DF0A"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58,974</w:t>
            </w:r>
          </w:p>
        </w:tc>
        <w:tc>
          <w:tcPr>
            <w:tcW w:w="0" w:type="auto"/>
            <w:tcBorders>
              <w:top w:val="nil"/>
              <w:left w:val="nil"/>
              <w:bottom w:val="single" w:sz="8" w:space="0" w:color="4BACC6"/>
              <w:right w:val="single" w:sz="8" w:space="0" w:color="4BACC6"/>
            </w:tcBorders>
            <w:shd w:val="clear" w:color="auto" w:fill="auto"/>
            <w:noWrap/>
            <w:vAlign w:val="center"/>
            <w:hideMark/>
          </w:tcPr>
          <w:p w14:paraId="69F671C0"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119</w:t>
            </w:r>
          </w:p>
        </w:tc>
        <w:tc>
          <w:tcPr>
            <w:tcW w:w="0" w:type="auto"/>
            <w:tcBorders>
              <w:top w:val="nil"/>
              <w:left w:val="nil"/>
              <w:bottom w:val="single" w:sz="8" w:space="0" w:color="4BACC6"/>
              <w:right w:val="single" w:sz="8" w:space="0" w:color="4BACC6"/>
            </w:tcBorders>
            <w:shd w:val="clear" w:color="auto" w:fill="auto"/>
            <w:noWrap/>
            <w:vAlign w:val="center"/>
            <w:hideMark/>
          </w:tcPr>
          <w:p w14:paraId="2E76BAFA"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 xml:space="preserve">18.38 </w:t>
            </w:r>
          </w:p>
        </w:tc>
        <w:tc>
          <w:tcPr>
            <w:tcW w:w="0" w:type="auto"/>
            <w:tcBorders>
              <w:top w:val="nil"/>
              <w:left w:val="nil"/>
              <w:bottom w:val="single" w:sz="8" w:space="0" w:color="4BACC6"/>
              <w:right w:val="single" w:sz="8" w:space="0" w:color="4BACC6"/>
            </w:tcBorders>
            <w:shd w:val="clear" w:color="auto" w:fill="auto"/>
            <w:noWrap/>
            <w:vAlign w:val="center"/>
            <w:hideMark/>
          </w:tcPr>
          <w:p w14:paraId="1BEFD5B3"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0.2</w:t>
            </w:r>
          </w:p>
        </w:tc>
      </w:tr>
      <w:tr w:rsidR="000C2868" w:rsidRPr="000C638D" w14:paraId="53E0E50B"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4305B97B" w14:textId="77777777" w:rsidR="000C2868" w:rsidRPr="000C638D" w:rsidRDefault="000C2868" w:rsidP="000C2868">
            <w:pPr>
              <w:jc w:val="right"/>
              <w:rPr>
                <w:rFonts w:asciiTheme="minorHAnsi" w:hAnsiTheme="minorHAnsi"/>
                <w:color w:val="000000"/>
                <w:sz w:val="18"/>
                <w:szCs w:val="18"/>
                <w:lang w:val="sq-AL"/>
              </w:rPr>
            </w:pPr>
            <w:r w:rsidRPr="000C638D">
              <w:rPr>
                <w:rFonts w:asciiTheme="minorHAnsi" w:hAnsiTheme="minorHAnsi"/>
                <w:color w:val="000000"/>
                <w:sz w:val="18"/>
                <w:szCs w:val="18"/>
                <w:lang w:val="sq-AL"/>
              </w:rPr>
              <w:t>Financim i huaj</w:t>
            </w:r>
          </w:p>
        </w:tc>
        <w:tc>
          <w:tcPr>
            <w:tcW w:w="0" w:type="auto"/>
            <w:tcBorders>
              <w:top w:val="nil"/>
              <w:left w:val="nil"/>
              <w:bottom w:val="single" w:sz="8" w:space="0" w:color="4BACC6"/>
              <w:right w:val="single" w:sz="8" w:space="0" w:color="4BACC6"/>
            </w:tcBorders>
            <w:shd w:val="clear" w:color="auto" w:fill="auto"/>
            <w:noWrap/>
            <w:vAlign w:val="center"/>
            <w:hideMark/>
          </w:tcPr>
          <w:p w14:paraId="4DA97DD2"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c>
          <w:tcPr>
            <w:tcW w:w="0" w:type="auto"/>
            <w:tcBorders>
              <w:top w:val="nil"/>
              <w:left w:val="nil"/>
              <w:bottom w:val="single" w:sz="8" w:space="0" w:color="4BACC6"/>
              <w:right w:val="single" w:sz="8" w:space="0" w:color="4BACC6"/>
            </w:tcBorders>
            <w:shd w:val="clear" w:color="auto" w:fill="auto"/>
            <w:noWrap/>
            <w:vAlign w:val="center"/>
            <w:hideMark/>
          </w:tcPr>
          <w:p w14:paraId="7A4CCED5"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200,000</w:t>
            </w:r>
          </w:p>
        </w:tc>
        <w:tc>
          <w:tcPr>
            <w:tcW w:w="0" w:type="auto"/>
            <w:tcBorders>
              <w:top w:val="nil"/>
              <w:left w:val="nil"/>
              <w:bottom w:val="single" w:sz="8" w:space="0" w:color="4BACC6"/>
              <w:right w:val="single" w:sz="8" w:space="0" w:color="4BACC6"/>
            </w:tcBorders>
            <w:shd w:val="clear" w:color="auto" w:fill="auto"/>
            <w:noWrap/>
            <w:vAlign w:val="center"/>
            <w:hideMark/>
          </w:tcPr>
          <w:p w14:paraId="6FA7B0A5"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c>
          <w:tcPr>
            <w:tcW w:w="0" w:type="auto"/>
            <w:tcBorders>
              <w:top w:val="nil"/>
              <w:left w:val="nil"/>
              <w:bottom w:val="single" w:sz="8" w:space="0" w:color="4BACC6"/>
              <w:right w:val="single" w:sz="8" w:space="0" w:color="4BACC6"/>
            </w:tcBorders>
            <w:shd w:val="clear" w:color="auto" w:fill="auto"/>
            <w:noWrap/>
            <w:vAlign w:val="center"/>
            <w:hideMark/>
          </w:tcPr>
          <w:p w14:paraId="0F30A01B"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1,458</w:t>
            </w:r>
          </w:p>
        </w:tc>
        <w:tc>
          <w:tcPr>
            <w:tcW w:w="0" w:type="auto"/>
            <w:tcBorders>
              <w:top w:val="nil"/>
              <w:left w:val="nil"/>
              <w:bottom w:val="single" w:sz="8" w:space="0" w:color="4BACC6"/>
              <w:right w:val="single" w:sz="8" w:space="0" w:color="4BACC6"/>
            </w:tcBorders>
            <w:shd w:val="clear" w:color="auto" w:fill="auto"/>
            <w:noWrap/>
            <w:vAlign w:val="center"/>
            <w:hideMark/>
          </w:tcPr>
          <w:p w14:paraId="577AF084"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c>
          <w:tcPr>
            <w:tcW w:w="0" w:type="auto"/>
            <w:tcBorders>
              <w:top w:val="nil"/>
              <w:left w:val="nil"/>
              <w:bottom w:val="single" w:sz="8" w:space="0" w:color="4BACC6"/>
              <w:right w:val="single" w:sz="8" w:space="0" w:color="4BACC6"/>
            </w:tcBorders>
            <w:shd w:val="clear" w:color="auto" w:fill="auto"/>
            <w:noWrap/>
            <w:vAlign w:val="center"/>
            <w:hideMark/>
          </w:tcPr>
          <w:p w14:paraId="2269E773"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0.7</w:t>
            </w:r>
          </w:p>
        </w:tc>
      </w:tr>
      <w:tr w:rsidR="000C2868" w:rsidRPr="000C638D" w14:paraId="22DB652D" w14:textId="77777777" w:rsidTr="000C2868">
        <w:trPr>
          <w:trHeight w:val="368"/>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75BFAEA9" w14:textId="77777777" w:rsidR="000C2868" w:rsidRPr="000C638D" w:rsidRDefault="000C2868" w:rsidP="000C2868">
            <w:pPr>
              <w:rPr>
                <w:rFonts w:asciiTheme="minorHAnsi" w:hAnsiTheme="minorHAnsi"/>
                <w:color w:val="000000"/>
                <w:sz w:val="18"/>
                <w:szCs w:val="18"/>
                <w:lang w:val="sq-AL"/>
              </w:rPr>
            </w:pPr>
            <w:r w:rsidRPr="000C638D">
              <w:rPr>
                <w:rFonts w:asciiTheme="minorHAnsi" w:hAnsiTheme="minorHAnsi"/>
                <w:color w:val="000000"/>
                <w:sz w:val="18"/>
                <w:szCs w:val="18"/>
                <w:lang w:val="sq-AL"/>
              </w:rPr>
              <w:t>Mbështetje për Mbikq. e Tregut, Infrast. e Cilës. dhe Pron. Industr.</w:t>
            </w:r>
          </w:p>
        </w:tc>
        <w:tc>
          <w:tcPr>
            <w:tcW w:w="0" w:type="auto"/>
            <w:tcBorders>
              <w:top w:val="nil"/>
              <w:left w:val="nil"/>
              <w:bottom w:val="single" w:sz="8" w:space="0" w:color="4BACC6"/>
              <w:right w:val="single" w:sz="8" w:space="0" w:color="4BACC6"/>
            </w:tcBorders>
            <w:shd w:val="clear" w:color="auto" w:fill="auto"/>
            <w:noWrap/>
            <w:vAlign w:val="center"/>
            <w:hideMark/>
          </w:tcPr>
          <w:p w14:paraId="559C772A"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356,840</w:t>
            </w:r>
          </w:p>
        </w:tc>
        <w:tc>
          <w:tcPr>
            <w:tcW w:w="0" w:type="auto"/>
            <w:tcBorders>
              <w:top w:val="nil"/>
              <w:left w:val="nil"/>
              <w:bottom w:val="single" w:sz="8" w:space="0" w:color="4BACC6"/>
              <w:right w:val="single" w:sz="8" w:space="0" w:color="4BACC6"/>
            </w:tcBorders>
            <w:shd w:val="clear" w:color="auto" w:fill="auto"/>
            <w:noWrap/>
            <w:vAlign w:val="center"/>
            <w:hideMark/>
          </w:tcPr>
          <w:p w14:paraId="6E946424"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22,000</w:t>
            </w:r>
          </w:p>
        </w:tc>
        <w:tc>
          <w:tcPr>
            <w:tcW w:w="0" w:type="auto"/>
            <w:tcBorders>
              <w:top w:val="nil"/>
              <w:left w:val="nil"/>
              <w:bottom w:val="single" w:sz="8" w:space="0" w:color="4BACC6"/>
              <w:right w:val="single" w:sz="8" w:space="0" w:color="4BACC6"/>
            </w:tcBorders>
            <w:shd w:val="clear" w:color="auto" w:fill="auto"/>
            <w:noWrap/>
            <w:vAlign w:val="center"/>
            <w:hideMark/>
          </w:tcPr>
          <w:p w14:paraId="4DD2A9C5"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99,518</w:t>
            </w:r>
          </w:p>
        </w:tc>
        <w:tc>
          <w:tcPr>
            <w:tcW w:w="0" w:type="auto"/>
            <w:tcBorders>
              <w:top w:val="nil"/>
              <w:left w:val="nil"/>
              <w:bottom w:val="single" w:sz="8" w:space="0" w:color="4BACC6"/>
              <w:right w:val="single" w:sz="8" w:space="0" w:color="4BACC6"/>
            </w:tcBorders>
            <w:shd w:val="clear" w:color="auto" w:fill="auto"/>
            <w:noWrap/>
            <w:vAlign w:val="center"/>
            <w:hideMark/>
          </w:tcPr>
          <w:p w14:paraId="25C7CB9A"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w:t>
            </w:r>
          </w:p>
        </w:tc>
        <w:tc>
          <w:tcPr>
            <w:tcW w:w="0" w:type="auto"/>
            <w:tcBorders>
              <w:top w:val="nil"/>
              <w:left w:val="nil"/>
              <w:bottom w:val="single" w:sz="8" w:space="0" w:color="4BACC6"/>
              <w:right w:val="single" w:sz="8" w:space="0" w:color="4BACC6"/>
            </w:tcBorders>
            <w:shd w:val="clear" w:color="auto" w:fill="auto"/>
            <w:noWrap/>
            <w:vAlign w:val="center"/>
            <w:hideMark/>
          </w:tcPr>
          <w:p w14:paraId="7CDA8F09"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 xml:space="preserve">27.89 </w:t>
            </w:r>
          </w:p>
        </w:tc>
        <w:tc>
          <w:tcPr>
            <w:tcW w:w="0" w:type="auto"/>
            <w:tcBorders>
              <w:top w:val="nil"/>
              <w:left w:val="nil"/>
              <w:bottom w:val="single" w:sz="8" w:space="0" w:color="4BACC6"/>
              <w:right w:val="single" w:sz="8" w:space="0" w:color="4BACC6"/>
            </w:tcBorders>
            <w:shd w:val="clear" w:color="auto" w:fill="auto"/>
            <w:noWrap/>
            <w:vAlign w:val="center"/>
            <w:hideMark/>
          </w:tcPr>
          <w:p w14:paraId="67AE4008"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0.0</w:t>
            </w:r>
          </w:p>
        </w:tc>
      </w:tr>
      <w:tr w:rsidR="000C2868" w:rsidRPr="000C638D" w14:paraId="386AD2A3"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55C522E6" w14:textId="77777777" w:rsidR="000C2868" w:rsidRPr="000C638D" w:rsidRDefault="000C2868" w:rsidP="000C2868">
            <w:pPr>
              <w:rPr>
                <w:rFonts w:asciiTheme="minorHAnsi" w:hAnsiTheme="minorHAnsi"/>
                <w:color w:val="000000"/>
                <w:sz w:val="18"/>
                <w:szCs w:val="18"/>
                <w:lang w:val="sq-AL"/>
              </w:rPr>
            </w:pPr>
            <w:r w:rsidRPr="000C638D">
              <w:rPr>
                <w:rFonts w:asciiTheme="minorHAnsi" w:hAnsiTheme="minorHAnsi"/>
                <w:color w:val="000000"/>
                <w:sz w:val="18"/>
                <w:szCs w:val="18"/>
                <w:lang w:val="sq-AL"/>
              </w:rPr>
              <w:t>Inspektimi në Punë</w:t>
            </w:r>
          </w:p>
        </w:tc>
        <w:tc>
          <w:tcPr>
            <w:tcW w:w="0" w:type="auto"/>
            <w:tcBorders>
              <w:top w:val="nil"/>
              <w:left w:val="nil"/>
              <w:bottom w:val="single" w:sz="8" w:space="0" w:color="4BACC6"/>
              <w:right w:val="single" w:sz="8" w:space="0" w:color="4BACC6"/>
            </w:tcBorders>
            <w:shd w:val="clear" w:color="auto" w:fill="auto"/>
            <w:noWrap/>
            <w:vAlign w:val="center"/>
            <w:hideMark/>
          </w:tcPr>
          <w:p w14:paraId="06D8AA33"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187,970</w:t>
            </w:r>
          </w:p>
        </w:tc>
        <w:tc>
          <w:tcPr>
            <w:tcW w:w="0" w:type="auto"/>
            <w:tcBorders>
              <w:top w:val="nil"/>
              <w:left w:val="nil"/>
              <w:bottom w:val="single" w:sz="8" w:space="0" w:color="4BACC6"/>
              <w:right w:val="single" w:sz="8" w:space="0" w:color="4BACC6"/>
            </w:tcBorders>
            <w:shd w:val="clear" w:color="auto" w:fill="auto"/>
            <w:noWrap/>
            <w:vAlign w:val="center"/>
            <w:hideMark/>
          </w:tcPr>
          <w:p w14:paraId="4106156F"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5,000</w:t>
            </w:r>
          </w:p>
        </w:tc>
        <w:tc>
          <w:tcPr>
            <w:tcW w:w="0" w:type="auto"/>
            <w:tcBorders>
              <w:top w:val="nil"/>
              <w:left w:val="nil"/>
              <w:bottom w:val="single" w:sz="8" w:space="0" w:color="4BACC6"/>
              <w:right w:val="single" w:sz="8" w:space="0" w:color="4BACC6"/>
            </w:tcBorders>
            <w:shd w:val="clear" w:color="auto" w:fill="auto"/>
            <w:noWrap/>
            <w:vAlign w:val="center"/>
            <w:hideMark/>
          </w:tcPr>
          <w:p w14:paraId="217111ED"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52,790</w:t>
            </w:r>
          </w:p>
        </w:tc>
        <w:tc>
          <w:tcPr>
            <w:tcW w:w="0" w:type="auto"/>
            <w:tcBorders>
              <w:top w:val="nil"/>
              <w:left w:val="nil"/>
              <w:bottom w:val="single" w:sz="8" w:space="0" w:color="4BACC6"/>
              <w:right w:val="single" w:sz="8" w:space="0" w:color="4BACC6"/>
            </w:tcBorders>
            <w:shd w:val="clear" w:color="auto" w:fill="auto"/>
            <w:noWrap/>
            <w:vAlign w:val="center"/>
            <w:hideMark/>
          </w:tcPr>
          <w:p w14:paraId="09C97955"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w:t>
            </w:r>
          </w:p>
        </w:tc>
        <w:tc>
          <w:tcPr>
            <w:tcW w:w="0" w:type="auto"/>
            <w:tcBorders>
              <w:top w:val="nil"/>
              <w:left w:val="nil"/>
              <w:bottom w:val="single" w:sz="8" w:space="0" w:color="4BACC6"/>
              <w:right w:val="single" w:sz="8" w:space="0" w:color="4BACC6"/>
            </w:tcBorders>
            <w:shd w:val="clear" w:color="auto" w:fill="auto"/>
            <w:noWrap/>
            <w:vAlign w:val="center"/>
            <w:hideMark/>
          </w:tcPr>
          <w:p w14:paraId="11406941"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 xml:space="preserve">28.08 </w:t>
            </w:r>
          </w:p>
        </w:tc>
        <w:tc>
          <w:tcPr>
            <w:tcW w:w="0" w:type="auto"/>
            <w:tcBorders>
              <w:top w:val="nil"/>
              <w:left w:val="nil"/>
              <w:bottom w:val="single" w:sz="8" w:space="0" w:color="4BACC6"/>
              <w:right w:val="single" w:sz="8" w:space="0" w:color="4BACC6"/>
            </w:tcBorders>
            <w:shd w:val="clear" w:color="auto" w:fill="auto"/>
            <w:noWrap/>
            <w:vAlign w:val="center"/>
            <w:hideMark/>
          </w:tcPr>
          <w:p w14:paraId="6F129F01"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0.0</w:t>
            </w:r>
          </w:p>
        </w:tc>
      </w:tr>
      <w:tr w:rsidR="000C2868" w:rsidRPr="000C638D" w14:paraId="0CC7FF68"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751F98FE" w14:textId="77777777" w:rsidR="000C2868" w:rsidRPr="000C638D" w:rsidRDefault="000C2868" w:rsidP="000C2868">
            <w:pPr>
              <w:rPr>
                <w:rFonts w:asciiTheme="minorHAnsi" w:hAnsiTheme="minorHAnsi"/>
                <w:color w:val="000000"/>
                <w:sz w:val="18"/>
                <w:szCs w:val="18"/>
                <w:lang w:val="sq-AL"/>
              </w:rPr>
            </w:pPr>
            <w:r w:rsidRPr="000C638D">
              <w:rPr>
                <w:rFonts w:asciiTheme="minorHAnsi" w:hAnsiTheme="minorHAnsi"/>
                <w:color w:val="000000"/>
                <w:sz w:val="18"/>
                <w:szCs w:val="18"/>
                <w:lang w:val="sq-AL"/>
              </w:rPr>
              <w:t>Strehimi</w:t>
            </w:r>
          </w:p>
        </w:tc>
        <w:tc>
          <w:tcPr>
            <w:tcW w:w="0" w:type="auto"/>
            <w:tcBorders>
              <w:top w:val="nil"/>
              <w:left w:val="nil"/>
              <w:bottom w:val="single" w:sz="8" w:space="0" w:color="4BACC6"/>
              <w:right w:val="single" w:sz="8" w:space="0" w:color="4BACC6"/>
            </w:tcBorders>
            <w:shd w:val="clear" w:color="auto" w:fill="auto"/>
            <w:noWrap/>
            <w:vAlign w:val="center"/>
            <w:hideMark/>
          </w:tcPr>
          <w:p w14:paraId="583D4A0C"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1,140,000</w:t>
            </w:r>
          </w:p>
        </w:tc>
        <w:tc>
          <w:tcPr>
            <w:tcW w:w="0" w:type="auto"/>
            <w:tcBorders>
              <w:top w:val="nil"/>
              <w:left w:val="nil"/>
              <w:bottom w:val="single" w:sz="8" w:space="0" w:color="4BACC6"/>
              <w:right w:val="single" w:sz="8" w:space="0" w:color="4BACC6"/>
            </w:tcBorders>
            <w:shd w:val="clear" w:color="auto" w:fill="auto"/>
            <w:noWrap/>
            <w:vAlign w:val="center"/>
            <w:hideMark/>
          </w:tcPr>
          <w:p w14:paraId="424E9F47"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450,000</w:t>
            </w:r>
          </w:p>
        </w:tc>
        <w:tc>
          <w:tcPr>
            <w:tcW w:w="0" w:type="auto"/>
            <w:tcBorders>
              <w:top w:val="nil"/>
              <w:left w:val="nil"/>
              <w:bottom w:val="single" w:sz="8" w:space="0" w:color="4BACC6"/>
              <w:right w:val="single" w:sz="8" w:space="0" w:color="4BACC6"/>
            </w:tcBorders>
            <w:shd w:val="clear" w:color="auto" w:fill="auto"/>
            <w:noWrap/>
            <w:vAlign w:val="center"/>
            <w:hideMark/>
          </w:tcPr>
          <w:p w14:paraId="5D41365E"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619,519</w:t>
            </w:r>
          </w:p>
        </w:tc>
        <w:tc>
          <w:tcPr>
            <w:tcW w:w="0" w:type="auto"/>
            <w:tcBorders>
              <w:top w:val="nil"/>
              <w:left w:val="nil"/>
              <w:bottom w:val="single" w:sz="8" w:space="0" w:color="4BACC6"/>
              <w:right w:val="single" w:sz="8" w:space="0" w:color="4BACC6"/>
            </w:tcBorders>
            <w:shd w:val="clear" w:color="auto" w:fill="auto"/>
            <w:noWrap/>
            <w:vAlign w:val="center"/>
            <w:hideMark/>
          </w:tcPr>
          <w:p w14:paraId="29CF8A3E"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19,765</w:t>
            </w:r>
          </w:p>
        </w:tc>
        <w:tc>
          <w:tcPr>
            <w:tcW w:w="0" w:type="auto"/>
            <w:tcBorders>
              <w:top w:val="nil"/>
              <w:left w:val="nil"/>
              <w:bottom w:val="single" w:sz="8" w:space="0" w:color="4BACC6"/>
              <w:right w:val="single" w:sz="8" w:space="0" w:color="4BACC6"/>
            </w:tcBorders>
            <w:shd w:val="clear" w:color="auto" w:fill="auto"/>
            <w:noWrap/>
            <w:vAlign w:val="center"/>
            <w:hideMark/>
          </w:tcPr>
          <w:p w14:paraId="19F73B0D"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 xml:space="preserve">54.34 </w:t>
            </w:r>
          </w:p>
        </w:tc>
        <w:tc>
          <w:tcPr>
            <w:tcW w:w="0" w:type="auto"/>
            <w:tcBorders>
              <w:top w:val="nil"/>
              <w:left w:val="nil"/>
              <w:bottom w:val="single" w:sz="8" w:space="0" w:color="4BACC6"/>
              <w:right w:val="single" w:sz="8" w:space="0" w:color="4BACC6"/>
            </w:tcBorders>
            <w:shd w:val="clear" w:color="auto" w:fill="auto"/>
            <w:noWrap/>
            <w:vAlign w:val="center"/>
            <w:hideMark/>
          </w:tcPr>
          <w:p w14:paraId="3CA122FC"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4.4</w:t>
            </w:r>
          </w:p>
        </w:tc>
      </w:tr>
      <w:tr w:rsidR="000C2868" w:rsidRPr="000C638D" w14:paraId="5DC7EE0D"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6F9DF4CC" w14:textId="77777777" w:rsidR="000C2868" w:rsidRPr="000C638D" w:rsidRDefault="000C2868" w:rsidP="000C2868">
            <w:pPr>
              <w:jc w:val="right"/>
              <w:rPr>
                <w:rFonts w:asciiTheme="minorHAnsi" w:hAnsiTheme="minorHAnsi"/>
                <w:color w:val="000000"/>
                <w:sz w:val="18"/>
                <w:szCs w:val="18"/>
                <w:lang w:val="sq-AL"/>
              </w:rPr>
            </w:pPr>
            <w:r w:rsidRPr="000C638D">
              <w:rPr>
                <w:rFonts w:asciiTheme="minorHAnsi" w:hAnsiTheme="minorHAnsi"/>
                <w:color w:val="000000"/>
                <w:sz w:val="18"/>
                <w:szCs w:val="18"/>
                <w:lang w:val="sq-AL"/>
              </w:rPr>
              <w:t>Financim i huaj</w:t>
            </w:r>
          </w:p>
        </w:tc>
        <w:tc>
          <w:tcPr>
            <w:tcW w:w="0" w:type="auto"/>
            <w:tcBorders>
              <w:top w:val="nil"/>
              <w:left w:val="nil"/>
              <w:bottom w:val="single" w:sz="8" w:space="0" w:color="4BACC6"/>
              <w:right w:val="single" w:sz="8" w:space="0" w:color="4BACC6"/>
            </w:tcBorders>
            <w:shd w:val="clear" w:color="auto" w:fill="auto"/>
            <w:noWrap/>
            <w:vAlign w:val="center"/>
            <w:hideMark/>
          </w:tcPr>
          <w:p w14:paraId="19C522E8"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c>
          <w:tcPr>
            <w:tcW w:w="0" w:type="auto"/>
            <w:tcBorders>
              <w:top w:val="nil"/>
              <w:left w:val="nil"/>
              <w:bottom w:val="single" w:sz="8" w:space="0" w:color="4BACC6"/>
              <w:right w:val="single" w:sz="8" w:space="0" w:color="4BACC6"/>
            </w:tcBorders>
            <w:shd w:val="clear" w:color="auto" w:fill="auto"/>
            <w:noWrap/>
            <w:vAlign w:val="center"/>
            <w:hideMark/>
          </w:tcPr>
          <w:p w14:paraId="3AD8EE3B"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900,000</w:t>
            </w:r>
          </w:p>
        </w:tc>
        <w:tc>
          <w:tcPr>
            <w:tcW w:w="0" w:type="auto"/>
            <w:tcBorders>
              <w:top w:val="nil"/>
              <w:left w:val="nil"/>
              <w:bottom w:val="single" w:sz="8" w:space="0" w:color="4BACC6"/>
              <w:right w:val="single" w:sz="8" w:space="0" w:color="4BACC6"/>
            </w:tcBorders>
            <w:shd w:val="clear" w:color="auto" w:fill="auto"/>
            <w:noWrap/>
            <w:vAlign w:val="center"/>
            <w:hideMark/>
          </w:tcPr>
          <w:p w14:paraId="2F382002"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c>
          <w:tcPr>
            <w:tcW w:w="0" w:type="auto"/>
            <w:tcBorders>
              <w:top w:val="nil"/>
              <w:left w:val="nil"/>
              <w:bottom w:val="single" w:sz="8" w:space="0" w:color="4BACC6"/>
              <w:right w:val="single" w:sz="8" w:space="0" w:color="4BACC6"/>
            </w:tcBorders>
            <w:shd w:val="clear" w:color="auto" w:fill="auto"/>
            <w:noWrap/>
            <w:vAlign w:val="center"/>
            <w:hideMark/>
          </w:tcPr>
          <w:p w14:paraId="1730A6A6"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w:t>
            </w:r>
          </w:p>
        </w:tc>
        <w:tc>
          <w:tcPr>
            <w:tcW w:w="0" w:type="auto"/>
            <w:tcBorders>
              <w:top w:val="nil"/>
              <w:left w:val="nil"/>
              <w:bottom w:val="single" w:sz="8" w:space="0" w:color="4BACC6"/>
              <w:right w:val="single" w:sz="8" w:space="0" w:color="4BACC6"/>
            </w:tcBorders>
            <w:shd w:val="clear" w:color="auto" w:fill="auto"/>
            <w:noWrap/>
            <w:vAlign w:val="center"/>
            <w:hideMark/>
          </w:tcPr>
          <w:p w14:paraId="4075F171"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c>
          <w:tcPr>
            <w:tcW w:w="0" w:type="auto"/>
            <w:tcBorders>
              <w:top w:val="nil"/>
              <w:left w:val="nil"/>
              <w:bottom w:val="single" w:sz="8" w:space="0" w:color="4BACC6"/>
              <w:right w:val="single" w:sz="8" w:space="0" w:color="4BACC6"/>
            </w:tcBorders>
            <w:shd w:val="clear" w:color="auto" w:fill="auto"/>
            <w:noWrap/>
            <w:vAlign w:val="center"/>
            <w:hideMark/>
          </w:tcPr>
          <w:p w14:paraId="07BC4C4E"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0.0</w:t>
            </w:r>
          </w:p>
        </w:tc>
      </w:tr>
      <w:tr w:rsidR="000C2868" w:rsidRPr="000C638D" w14:paraId="43E68FCC"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5A045EE2" w14:textId="77777777" w:rsidR="000C2868" w:rsidRPr="000C638D" w:rsidRDefault="000C2868" w:rsidP="000C2868">
            <w:pPr>
              <w:rPr>
                <w:rFonts w:asciiTheme="minorHAnsi" w:hAnsiTheme="minorHAnsi"/>
                <w:color w:val="000000"/>
                <w:sz w:val="18"/>
                <w:szCs w:val="18"/>
                <w:lang w:val="sq-AL"/>
              </w:rPr>
            </w:pPr>
            <w:r w:rsidRPr="000C638D">
              <w:rPr>
                <w:rFonts w:asciiTheme="minorHAnsi" w:hAnsiTheme="minorHAnsi"/>
                <w:color w:val="000000"/>
                <w:sz w:val="18"/>
                <w:szCs w:val="18"/>
                <w:lang w:val="sq-AL"/>
              </w:rPr>
              <w:t>Arsimi i  Mesëm Profesional</w:t>
            </w:r>
          </w:p>
        </w:tc>
        <w:tc>
          <w:tcPr>
            <w:tcW w:w="0" w:type="auto"/>
            <w:tcBorders>
              <w:top w:val="nil"/>
              <w:left w:val="nil"/>
              <w:bottom w:val="single" w:sz="8" w:space="0" w:color="4BACC6"/>
              <w:right w:val="single" w:sz="8" w:space="0" w:color="4BACC6"/>
            </w:tcBorders>
            <w:shd w:val="clear" w:color="auto" w:fill="auto"/>
            <w:noWrap/>
            <w:vAlign w:val="center"/>
            <w:hideMark/>
          </w:tcPr>
          <w:p w14:paraId="74B8EF19"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2,472,330</w:t>
            </w:r>
          </w:p>
        </w:tc>
        <w:tc>
          <w:tcPr>
            <w:tcW w:w="0" w:type="auto"/>
            <w:tcBorders>
              <w:top w:val="nil"/>
              <w:left w:val="nil"/>
              <w:bottom w:val="single" w:sz="8" w:space="0" w:color="4BACC6"/>
              <w:right w:val="single" w:sz="8" w:space="0" w:color="4BACC6"/>
            </w:tcBorders>
            <w:shd w:val="clear" w:color="auto" w:fill="auto"/>
            <w:noWrap/>
            <w:vAlign w:val="center"/>
            <w:hideMark/>
          </w:tcPr>
          <w:p w14:paraId="75B97A9B"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358,469</w:t>
            </w:r>
          </w:p>
        </w:tc>
        <w:tc>
          <w:tcPr>
            <w:tcW w:w="0" w:type="auto"/>
            <w:tcBorders>
              <w:top w:val="nil"/>
              <w:left w:val="nil"/>
              <w:bottom w:val="single" w:sz="8" w:space="0" w:color="4BACC6"/>
              <w:right w:val="single" w:sz="8" w:space="0" w:color="4BACC6"/>
            </w:tcBorders>
            <w:shd w:val="clear" w:color="auto" w:fill="auto"/>
            <w:noWrap/>
            <w:vAlign w:val="center"/>
            <w:hideMark/>
          </w:tcPr>
          <w:p w14:paraId="67A17522"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625,005</w:t>
            </w:r>
          </w:p>
        </w:tc>
        <w:tc>
          <w:tcPr>
            <w:tcW w:w="0" w:type="auto"/>
            <w:tcBorders>
              <w:top w:val="nil"/>
              <w:left w:val="nil"/>
              <w:bottom w:val="single" w:sz="8" w:space="0" w:color="4BACC6"/>
              <w:right w:val="single" w:sz="8" w:space="0" w:color="4BACC6"/>
            </w:tcBorders>
            <w:shd w:val="clear" w:color="auto" w:fill="auto"/>
            <w:noWrap/>
            <w:vAlign w:val="center"/>
            <w:hideMark/>
          </w:tcPr>
          <w:p w14:paraId="381777B0"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114</w:t>
            </w:r>
          </w:p>
        </w:tc>
        <w:tc>
          <w:tcPr>
            <w:tcW w:w="0" w:type="auto"/>
            <w:tcBorders>
              <w:top w:val="nil"/>
              <w:left w:val="nil"/>
              <w:bottom w:val="single" w:sz="8" w:space="0" w:color="4BACC6"/>
              <w:right w:val="single" w:sz="8" w:space="0" w:color="4BACC6"/>
            </w:tcBorders>
            <w:shd w:val="clear" w:color="auto" w:fill="auto"/>
            <w:noWrap/>
            <w:vAlign w:val="center"/>
            <w:hideMark/>
          </w:tcPr>
          <w:p w14:paraId="775768B6"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 xml:space="preserve">25.28 </w:t>
            </w:r>
          </w:p>
        </w:tc>
        <w:tc>
          <w:tcPr>
            <w:tcW w:w="0" w:type="auto"/>
            <w:tcBorders>
              <w:top w:val="nil"/>
              <w:left w:val="nil"/>
              <w:bottom w:val="single" w:sz="8" w:space="0" w:color="4BACC6"/>
              <w:right w:val="single" w:sz="8" w:space="0" w:color="4BACC6"/>
            </w:tcBorders>
            <w:shd w:val="clear" w:color="auto" w:fill="auto"/>
            <w:noWrap/>
            <w:vAlign w:val="center"/>
            <w:hideMark/>
          </w:tcPr>
          <w:p w14:paraId="6F58FCC9"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0.0</w:t>
            </w:r>
          </w:p>
        </w:tc>
      </w:tr>
      <w:tr w:rsidR="000C2868" w:rsidRPr="000C638D" w14:paraId="26A4AE31"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7F276AC9" w14:textId="77777777" w:rsidR="000C2868" w:rsidRPr="000C638D" w:rsidRDefault="000C2868" w:rsidP="000C2868">
            <w:pPr>
              <w:jc w:val="right"/>
              <w:rPr>
                <w:rFonts w:asciiTheme="minorHAnsi" w:hAnsiTheme="minorHAnsi"/>
                <w:color w:val="000000"/>
                <w:sz w:val="18"/>
                <w:szCs w:val="18"/>
                <w:lang w:val="sq-AL"/>
              </w:rPr>
            </w:pPr>
            <w:r w:rsidRPr="000C638D">
              <w:rPr>
                <w:rFonts w:asciiTheme="minorHAnsi" w:hAnsiTheme="minorHAnsi"/>
                <w:color w:val="000000"/>
                <w:sz w:val="18"/>
                <w:szCs w:val="18"/>
                <w:lang w:val="sq-AL"/>
              </w:rPr>
              <w:t>Financim i huaj</w:t>
            </w:r>
          </w:p>
        </w:tc>
        <w:tc>
          <w:tcPr>
            <w:tcW w:w="0" w:type="auto"/>
            <w:tcBorders>
              <w:top w:val="nil"/>
              <w:left w:val="nil"/>
              <w:bottom w:val="single" w:sz="8" w:space="0" w:color="4BACC6"/>
              <w:right w:val="single" w:sz="8" w:space="0" w:color="4BACC6"/>
            </w:tcBorders>
            <w:shd w:val="clear" w:color="auto" w:fill="auto"/>
            <w:noWrap/>
            <w:vAlign w:val="center"/>
            <w:hideMark/>
          </w:tcPr>
          <w:p w14:paraId="26388D85"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c>
          <w:tcPr>
            <w:tcW w:w="0" w:type="auto"/>
            <w:tcBorders>
              <w:top w:val="nil"/>
              <w:left w:val="nil"/>
              <w:bottom w:val="single" w:sz="8" w:space="0" w:color="4BACC6"/>
              <w:right w:val="single" w:sz="8" w:space="0" w:color="4BACC6"/>
            </w:tcBorders>
            <w:shd w:val="clear" w:color="auto" w:fill="auto"/>
            <w:noWrap/>
            <w:vAlign w:val="center"/>
            <w:hideMark/>
          </w:tcPr>
          <w:p w14:paraId="6299DB64"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567,310</w:t>
            </w:r>
          </w:p>
        </w:tc>
        <w:tc>
          <w:tcPr>
            <w:tcW w:w="0" w:type="auto"/>
            <w:tcBorders>
              <w:top w:val="nil"/>
              <w:left w:val="nil"/>
              <w:bottom w:val="single" w:sz="8" w:space="0" w:color="4BACC6"/>
              <w:right w:val="single" w:sz="8" w:space="0" w:color="4BACC6"/>
            </w:tcBorders>
            <w:shd w:val="clear" w:color="auto" w:fill="auto"/>
            <w:noWrap/>
            <w:vAlign w:val="center"/>
            <w:hideMark/>
          </w:tcPr>
          <w:p w14:paraId="43826E62"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c>
          <w:tcPr>
            <w:tcW w:w="0" w:type="auto"/>
            <w:tcBorders>
              <w:top w:val="nil"/>
              <w:left w:val="nil"/>
              <w:bottom w:val="single" w:sz="8" w:space="0" w:color="4BACC6"/>
              <w:right w:val="single" w:sz="8" w:space="0" w:color="4BACC6"/>
            </w:tcBorders>
            <w:shd w:val="clear" w:color="auto" w:fill="auto"/>
            <w:noWrap/>
            <w:vAlign w:val="center"/>
            <w:hideMark/>
          </w:tcPr>
          <w:p w14:paraId="7DD18462"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501</w:t>
            </w:r>
          </w:p>
        </w:tc>
        <w:tc>
          <w:tcPr>
            <w:tcW w:w="0" w:type="auto"/>
            <w:tcBorders>
              <w:top w:val="nil"/>
              <w:left w:val="nil"/>
              <w:bottom w:val="single" w:sz="8" w:space="0" w:color="4BACC6"/>
              <w:right w:val="single" w:sz="8" w:space="0" w:color="4BACC6"/>
            </w:tcBorders>
            <w:shd w:val="clear" w:color="auto" w:fill="auto"/>
            <w:noWrap/>
            <w:vAlign w:val="center"/>
            <w:hideMark/>
          </w:tcPr>
          <w:p w14:paraId="69D09B2F"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c>
          <w:tcPr>
            <w:tcW w:w="0" w:type="auto"/>
            <w:tcBorders>
              <w:top w:val="nil"/>
              <w:left w:val="nil"/>
              <w:bottom w:val="single" w:sz="8" w:space="0" w:color="4BACC6"/>
              <w:right w:val="single" w:sz="8" w:space="0" w:color="4BACC6"/>
            </w:tcBorders>
            <w:shd w:val="clear" w:color="auto" w:fill="auto"/>
            <w:noWrap/>
            <w:vAlign w:val="center"/>
            <w:hideMark/>
          </w:tcPr>
          <w:p w14:paraId="02DE5662"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0.1</w:t>
            </w:r>
          </w:p>
        </w:tc>
      </w:tr>
      <w:tr w:rsidR="000C2868" w:rsidRPr="000C638D" w14:paraId="50D4780A"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16BB5750" w14:textId="77777777" w:rsidR="000C2868" w:rsidRPr="000C638D" w:rsidRDefault="000C2868" w:rsidP="000C2868">
            <w:pPr>
              <w:rPr>
                <w:rFonts w:asciiTheme="minorHAnsi" w:hAnsiTheme="minorHAnsi"/>
                <w:color w:val="000000"/>
                <w:sz w:val="18"/>
                <w:szCs w:val="18"/>
                <w:lang w:val="sq-AL"/>
              </w:rPr>
            </w:pPr>
            <w:r w:rsidRPr="000C638D">
              <w:rPr>
                <w:rFonts w:asciiTheme="minorHAnsi" w:hAnsiTheme="minorHAnsi"/>
                <w:color w:val="000000"/>
                <w:sz w:val="18"/>
                <w:szCs w:val="18"/>
                <w:lang w:val="sq-AL"/>
              </w:rPr>
              <w:t>Sigurimi Shoqëror</w:t>
            </w:r>
          </w:p>
        </w:tc>
        <w:tc>
          <w:tcPr>
            <w:tcW w:w="0" w:type="auto"/>
            <w:tcBorders>
              <w:top w:val="nil"/>
              <w:left w:val="nil"/>
              <w:bottom w:val="single" w:sz="8" w:space="0" w:color="4BACC6"/>
              <w:right w:val="single" w:sz="8" w:space="0" w:color="4BACC6"/>
            </w:tcBorders>
            <w:shd w:val="clear" w:color="auto" w:fill="auto"/>
            <w:noWrap/>
            <w:vAlign w:val="center"/>
            <w:hideMark/>
          </w:tcPr>
          <w:p w14:paraId="2C114373"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49,905,085</w:t>
            </w:r>
          </w:p>
        </w:tc>
        <w:tc>
          <w:tcPr>
            <w:tcW w:w="0" w:type="auto"/>
            <w:tcBorders>
              <w:top w:val="nil"/>
              <w:left w:val="nil"/>
              <w:bottom w:val="single" w:sz="8" w:space="0" w:color="4BACC6"/>
              <w:right w:val="single" w:sz="8" w:space="0" w:color="4BACC6"/>
            </w:tcBorders>
            <w:shd w:val="clear" w:color="auto" w:fill="auto"/>
            <w:noWrap/>
            <w:vAlign w:val="center"/>
            <w:hideMark/>
          </w:tcPr>
          <w:p w14:paraId="2D554CC6"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c>
          <w:tcPr>
            <w:tcW w:w="0" w:type="auto"/>
            <w:tcBorders>
              <w:top w:val="nil"/>
              <w:left w:val="nil"/>
              <w:bottom w:val="single" w:sz="8" w:space="0" w:color="4BACC6"/>
              <w:right w:val="single" w:sz="8" w:space="0" w:color="4BACC6"/>
            </w:tcBorders>
            <w:shd w:val="clear" w:color="auto" w:fill="auto"/>
            <w:noWrap/>
            <w:vAlign w:val="center"/>
            <w:hideMark/>
          </w:tcPr>
          <w:p w14:paraId="3C6F1209"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16,326,289</w:t>
            </w:r>
          </w:p>
        </w:tc>
        <w:tc>
          <w:tcPr>
            <w:tcW w:w="0" w:type="auto"/>
            <w:tcBorders>
              <w:top w:val="nil"/>
              <w:left w:val="nil"/>
              <w:bottom w:val="single" w:sz="8" w:space="0" w:color="4BACC6"/>
              <w:right w:val="single" w:sz="8" w:space="0" w:color="4BACC6"/>
            </w:tcBorders>
            <w:shd w:val="clear" w:color="auto" w:fill="auto"/>
            <w:noWrap/>
            <w:vAlign w:val="center"/>
            <w:hideMark/>
          </w:tcPr>
          <w:p w14:paraId="0C13AF66"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c>
          <w:tcPr>
            <w:tcW w:w="0" w:type="auto"/>
            <w:tcBorders>
              <w:top w:val="nil"/>
              <w:left w:val="nil"/>
              <w:bottom w:val="single" w:sz="8" w:space="0" w:color="4BACC6"/>
              <w:right w:val="single" w:sz="8" w:space="0" w:color="4BACC6"/>
            </w:tcBorders>
            <w:shd w:val="clear" w:color="auto" w:fill="auto"/>
            <w:noWrap/>
            <w:vAlign w:val="center"/>
            <w:hideMark/>
          </w:tcPr>
          <w:p w14:paraId="6A3CA482"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 xml:space="preserve">32.71 </w:t>
            </w:r>
          </w:p>
        </w:tc>
        <w:tc>
          <w:tcPr>
            <w:tcW w:w="0" w:type="auto"/>
            <w:tcBorders>
              <w:top w:val="nil"/>
              <w:left w:val="nil"/>
              <w:bottom w:val="single" w:sz="8" w:space="0" w:color="4BACC6"/>
              <w:right w:val="single" w:sz="8" w:space="0" w:color="4BACC6"/>
            </w:tcBorders>
            <w:shd w:val="clear" w:color="auto" w:fill="auto"/>
            <w:noWrap/>
            <w:vAlign w:val="center"/>
            <w:hideMark/>
          </w:tcPr>
          <w:p w14:paraId="338001DE"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w:t>
            </w:r>
          </w:p>
        </w:tc>
      </w:tr>
      <w:tr w:rsidR="000C2868" w:rsidRPr="000C638D" w14:paraId="39710931"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020E0209" w14:textId="77777777" w:rsidR="000C2868" w:rsidRPr="000C638D" w:rsidRDefault="000C2868" w:rsidP="000C2868">
            <w:pPr>
              <w:rPr>
                <w:rFonts w:asciiTheme="minorHAnsi" w:hAnsiTheme="minorHAnsi"/>
                <w:color w:val="000000"/>
                <w:sz w:val="18"/>
                <w:szCs w:val="18"/>
                <w:lang w:val="sq-AL"/>
              </w:rPr>
            </w:pPr>
            <w:r w:rsidRPr="000C638D">
              <w:rPr>
                <w:rFonts w:asciiTheme="minorHAnsi" w:hAnsiTheme="minorHAnsi"/>
                <w:color w:val="000000"/>
                <w:sz w:val="18"/>
                <w:szCs w:val="18"/>
                <w:lang w:val="sq-AL"/>
              </w:rPr>
              <w:t>Tregu i Punës</w:t>
            </w:r>
          </w:p>
        </w:tc>
        <w:tc>
          <w:tcPr>
            <w:tcW w:w="0" w:type="auto"/>
            <w:tcBorders>
              <w:top w:val="nil"/>
              <w:left w:val="nil"/>
              <w:bottom w:val="single" w:sz="8" w:space="0" w:color="4BACC6"/>
              <w:right w:val="single" w:sz="8" w:space="0" w:color="4BACC6"/>
            </w:tcBorders>
            <w:shd w:val="clear" w:color="auto" w:fill="auto"/>
            <w:noWrap/>
            <w:vAlign w:val="center"/>
            <w:hideMark/>
          </w:tcPr>
          <w:p w14:paraId="6E70C40C"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2,304,006</w:t>
            </w:r>
          </w:p>
        </w:tc>
        <w:tc>
          <w:tcPr>
            <w:tcW w:w="0" w:type="auto"/>
            <w:tcBorders>
              <w:top w:val="nil"/>
              <w:left w:val="nil"/>
              <w:bottom w:val="single" w:sz="8" w:space="0" w:color="4BACC6"/>
              <w:right w:val="single" w:sz="8" w:space="0" w:color="4BACC6"/>
            </w:tcBorders>
            <w:shd w:val="clear" w:color="auto" w:fill="auto"/>
            <w:noWrap/>
            <w:vAlign w:val="center"/>
            <w:hideMark/>
          </w:tcPr>
          <w:p w14:paraId="771DE3B7"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131,000</w:t>
            </w:r>
          </w:p>
        </w:tc>
        <w:tc>
          <w:tcPr>
            <w:tcW w:w="0" w:type="auto"/>
            <w:tcBorders>
              <w:top w:val="nil"/>
              <w:left w:val="nil"/>
              <w:bottom w:val="single" w:sz="8" w:space="0" w:color="4BACC6"/>
              <w:right w:val="single" w:sz="8" w:space="0" w:color="4BACC6"/>
            </w:tcBorders>
            <w:shd w:val="clear" w:color="auto" w:fill="auto"/>
            <w:noWrap/>
            <w:vAlign w:val="center"/>
            <w:hideMark/>
          </w:tcPr>
          <w:p w14:paraId="50B5CEDA"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684,245</w:t>
            </w:r>
          </w:p>
        </w:tc>
        <w:tc>
          <w:tcPr>
            <w:tcW w:w="0" w:type="auto"/>
            <w:tcBorders>
              <w:top w:val="nil"/>
              <w:left w:val="nil"/>
              <w:bottom w:val="single" w:sz="8" w:space="0" w:color="4BACC6"/>
              <w:right w:val="single" w:sz="8" w:space="0" w:color="4BACC6"/>
            </w:tcBorders>
            <w:shd w:val="clear" w:color="auto" w:fill="auto"/>
            <w:noWrap/>
            <w:vAlign w:val="center"/>
            <w:hideMark/>
          </w:tcPr>
          <w:p w14:paraId="69CD6645"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36,022</w:t>
            </w:r>
          </w:p>
        </w:tc>
        <w:tc>
          <w:tcPr>
            <w:tcW w:w="0" w:type="auto"/>
            <w:tcBorders>
              <w:top w:val="nil"/>
              <w:left w:val="nil"/>
              <w:bottom w:val="single" w:sz="8" w:space="0" w:color="4BACC6"/>
              <w:right w:val="single" w:sz="8" w:space="0" w:color="4BACC6"/>
            </w:tcBorders>
            <w:shd w:val="clear" w:color="auto" w:fill="auto"/>
            <w:noWrap/>
            <w:vAlign w:val="center"/>
            <w:hideMark/>
          </w:tcPr>
          <w:p w14:paraId="07D9668C"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 xml:space="preserve">29.70 </w:t>
            </w:r>
          </w:p>
        </w:tc>
        <w:tc>
          <w:tcPr>
            <w:tcW w:w="0" w:type="auto"/>
            <w:tcBorders>
              <w:top w:val="nil"/>
              <w:left w:val="nil"/>
              <w:bottom w:val="single" w:sz="8" w:space="0" w:color="4BACC6"/>
              <w:right w:val="single" w:sz="8" w:space="0" w:color="4BACC6"/>
            </w:tcBorders>
            <w:shd w:val="clear" w:color="auto" w:fill="auto"/>
            <w:noWrap/>
            <w:vAlign w:val="center"/>
            <w:hideMark/>
          </w:tcPr>
          <w:p w14:paraId="3A3FB78A" w14:textId="77777777" w:rsidR="000C2868" w:rsidRPr="000C638D" w:rsidRDefault="000C2868" w:rsidP="000C2868">
            <w:pPr>
              <w:jc w:val="center"/>
              <w:rPr>
                <w:rFonts w:asciiTheme="minorHAnsi" w:hAnsiTheme="minorHAnsi"/>
                <w:color w:val="000000"/>
                <w:sz w:val="18"/>
                <w:szCs w:val="18"/>
                <w:lang w:val="sq-AL"/>
              </w:rPr>
            </w:pPr>
            <w:r w:rsidRPr="000C638D">
              <w:rPr>
                <w:rFonts w:asciiTheme="minorHAnsi" w:hAnsiTheme="minorHAnsi"/>
                <w:color w:val="000000"/>
                <w:sz w:val="18"/>
                <w:szCs w:val="18"/>
                <w:lang w:val="sq-AL"/>
              </w:rPr>
              <w:t>27.5</w:t>
            </w:r>
          </w:p>
        </w:tc>
      </w:tr>
      <w:tr w:rsidR="000C2868" w:rsidRPr="000C638D" w14:paraId="04E7DCBA" w14:textId="77777777" w:rsidTr="000C2868">
        <w:trPr>
          <w:trHeight w:val="234"/>
        </w:trPr>
        <w:tc>
          <w:tcPr>
            <w:tcW w:w="0" w:type="auto"/>
            <w:tcBorders>
              <w:top w:val="nil"/>
              <w:left w:val="single" w:sz="8" w:space="0" w:color="4BACC6"/>
              <w:bottom w:val="single" w:sz="8" w:space="0" w:color="4BACC6"/>
              <w:right w:val="single" w:sz="8" w:space="0" w:color="4BACC6"/>
            </w:tcBorders>
            <w:shd w:val="clear" w:color="auto" w:fill="auto"/>
            <w:vAlign w:val="center"/>
            <w:hideMark/>
          </w:tcPr>
          <w:p w14:paraId="407A7165" w14:textId="77777777" w:rsidR="000C2868" w:rsidRPr="000C638D" w:rsidRDefault="000C2868" w:rsidP="000C2868">
            <w:pPr>
              <w:jc w:val="center"/>
              <w:rPr>
                <w:rFonts w:asciiTheme="minorHAnsi" w:hAnsiTheme="minorHAnsi"/>
                <w:b/>
                <w:bCs/>
                <w:color w:val="000000"/>
                <w:sz w:val="18"/>
                <w:szCs w:val="18"/>
                <w:lang w:val="sq-AL"/>
              </w:rPr>
            </w:pPr>
            <w:r w:rsidRPr="000C638D">
              <w:rPr>
                <w:rFonts w:asciiTheme="minorHAnsi" w:hAnsiTheme="minorHAnsi"/>
                <w:b/>
                <w:bCs/>
                <w:color w:val="000000"/>
                <w:sz w:val="18"/>
                <w:szCs w:val="18"/>
                <w:lang w:val="sq-AL"/>
              </w:rPr>
              <w:t>Totali</w:t>
            </w:r>
          </w:p>
        </w:tc>
        <w:tc>
          <w:tcPr>
            <w:tcW w:w="0" w:type="auto"/>
            <w:tcBorders>
              <w:top w:val="nil"/>
              <w:left w:val="nil"/>
              <w:bottom w:val="single" w:sz="8" w:space="0" w:color="4BACC6"/>
              <w:right w:val="single" w:sz="8" w:space="0" w:color="4BACC6"/>
            </w:tcBorders>
            <w:shd w:val="clear" w:color="auto" w:fill="auto"/>
            <w:noWrap/>
            <w:vAlign w:val="center"/>
            <w:hideMark/>
          </w:tcPr>
          <w:p w14:paraId="345D0C4E" w14:textId="77777777" w:rsidR="000C2868" w:rsidRPr="000C638D" w:rsidRDefault="000C2868" w:rsidP="000C2868">
            <w:pPr>
              <w:jc w:val="center"/>
              <w:rPr>
                <w:rFonts w:asciiTheme="minorHAnsi" w:hAnsiTheme="minorHAnsi"/>
                <w:b/>
                <w:bCs/>
                <w:color w:val="000000"/>
                <w:sz w:val="18"/>
                <w:szCs w:val="18"/>
                <w:lang w:val="sq-AL"/>
              </w:rPr>
            </w:pPr>
            <w:r w:rsidRPr="000C638D">
              <w:rPr>
                <w:rFonts w:asciiTheme="minorHAnsi" w:hAnsiTheme="minorHAnsi"/>
                <w:b/>
                <w:bCs/>
                <w:color w:val="000000"/>
                <w:sz w:val="18"/>
                <w:szCs w:val="18"/>
                <w:lang w:val="sq-AL"/>
              </w:rPr>
              <w:t>65,062,376</w:t>
            </w:r>
          </w:p>
        </w:tc>
        <w:tc>
          <w:tcPr>
            <w:tcW w:w="0" w:type="auto"/>
            <w:tcBorders>
              <w:top w:val="nil"/>
              <w:left w:val="nil"/>
              <w:bottom w:val="single" w:sz="8" w:space="0" w:color="4BACC6"/>
              <w:right w:val="single" w:sz="8" w:space="0" w:color="4BACC6"/>
            </w:tcBorders>
            <w:shd w:val="clear" w:color="auto" w:fill="auto"/>
            <w:noWrap/>
            <w:vAlign w:val="center"/>
            <w:hideMark/>
          </w:tcPr>
          <w:p w14:paraId="70ADD34A" w14:textId="77777777" w:rsidR="000C2868" w:rsidRPr="000C638D" w:rsidRDefault="000C2868" w:rsidP="000C2868">
            <w:pPr>
              <w:jc w:val="center"/>
              <w:rPr>
                <w:rFonts w:asciiTheme="minorHAnsi" w:hAnsiTheme="minorHAnsi"/>
                <w:b/>
                <w:bCs/>
                <w:color w:val="000000"/>
                <w:sz w:val="18"/>
                <w:szCs w:val="18"/>
                <w:lang w:val="sq-AL"/>
              </w:rPr>
            </w:pPr>
            <w:r w:rsidRPr="000C638D">
              <w:rPr>
                <w:rFonts w:asciiTheme="minorHAnsi" w:hAnsiTheme="minorHAnsi"/>
                <w:b/>
                <w:bCs/>
                <w:color w:val="000000"/>
                <w:sz w:val="18"/>
                <w:szCs w:val="18"/>
                <w:lang w:val="sq-AL"/>
              </w:rPr>
              <w:t>4,343,178</w:t>
            </w:r>
          </w:p>
        </w:tc>
        <w:tc>
          <w:tcPr>
            <w:tcW w:w="0" w:type="auto"/>
            <w:tcBorders>
              <w:top w:val="nil"/>
              <w:left w:val="nil"/>
              <w:bottom w:val="single" w:sz="8" w:space="0" w:color="4BACC6"/>
              <w:right w:val="single" w:sz="8" w:space="0" w:color="4BACC6"/>
            </w:tcBorders>
            <w:shd w:val="clear" w:color="auto" w:fill="auto"/>
            <w:noWrap/>
            <w:vAlign w:val="center"/>
            <w:hideMark/>
          </w:tcPr>
          <w:p w14:paraId="578FBE9C" w14:textId="77777777" w:rsidR="000C2868" w:rsidRPr="000C638D" w:rsidRDefault="000C2868" w:rsidP="000C2868">
            <w:pPr>
              <w:jc w:val="center"/>
              <w:rPr>
                <w:rFonts w:asciiTheme="minorHAnsi" w:hAnsiTheme="minorHAnsi"/>
                <w:b/>
                <w:bCs/>
                <w:color w:val="000000"/>
                <w:sz w:val="18"/>
                <w:szCs w:val="18"/>
                <w:lang w:val="sq-AL"/>
              </w:rPr>
            </w:pPr>
            <w:r w:rsidRPr="000C638D">
              <w:rPr>
                <w:rFonts w:asciiTheme="minorHAnsi" w:hAnsiTheme="minorHAnsi"/>
                <w:b/>
                <w:bCs/>
                <w:color w:val="000000"/>
                <w:sz w:val="18"/>
                <w:szCs w:val="18"/>
                <w:lang w:val="sq-AL"/>
              </w:rPr>
              <w:t>20,905,229</w:t>
            </w:r>
          </w:p>
        </w:tc>
        <w:tc>
          <w:tcPr>
            <w:tcW w:w="0" w:type="auto"/>
            <w:tcBorders>
              <w:top w:val="nil"/>
              <w:left w:val="nil"/>
              <w:bottom w:val="single" w:sz="8" w:space="0" w:color="4BACC6"/>
              <w:right w:val="single" w:sz="8" w:space="0" w:color="4BACC6"/>
            </w:tcBorders>
            <w:shd w:val="clear" w:color="auto" w:fill="auto"/>
            <w:noWrap/>
            <w:vAlign w:val="center"/>
            <w:hideMark/>
          </w:tcPr>
          <w:p w14:paraId="409042E9" w14:textId="77777777" w:rsidR="000C2868" w:rsidRPr="000C638D" w:rsidRDefault="000C2868" w:rsidP="000C2868">
            <w:pPr>
              <w:jc w:val="center"/>
              <w:rPr>
                <w:rFonts w:asciiTheme="minorHAnsi" w:hAnsiTheme="minorHAnsi"/>
                <w:b/>
                <w:bCs/>
                <w:color w:val="000000"/>
                <w:sz w:val="18"/>
                <w:szCs w:val="18"/>
                <w:lang w:val="sq-AL"/>
              </w:rPr>
            </w:pPr>
            <w:r w:rsidRPr="000C638D">
              <w:rPr>
                <w:rFonts w:asciiTheme="minorHAnsi" w:hAnsiTheme="minorHAnsi"/>
                <w:b/>
                <w:bCs/>
                <w:color w:val="000000"/>
                <w:sz w:val="18"/>
                <w:szCs w:val="18"/>
                <w:lang w:val="sq-AL"/>
              </w:rPr>
              <w:t>186,006</w:t>
            </w:r>
          </w:p>
        </w:tc>
        <w:tc>
          <w:tcPr>
            <w:tcW w:w="0" w:type="auto"/>
            <w:tcBorders>
              <w:top w:val="nil"/>
              <w:left w:val="nil"/>
              <w:bottom w:val="single" w:sz="8" w:space="0" w:color="4BACC6"/>
              <w:right w:val="single" w:sz="8" w:space="0" w:color="4BACC6"/>
            </w:tcBorders>
            <w:shd w:val="clear" w:color="auto" w:fill="auto"/>
            <w:noWrap/>
            <w:vAlign w:val="center"/>
            <w:hideMark/>
          </w:tcPr>
          <w:p w14:paraId="7963AF1F" w14:textId="77777777" w:rsidR="000C2868" w:rsidRPr="000C638D" w:rsidRDefault="000C2868" w:rsidP="000C2868">
            <w:pPr>
              <w:jc w:val="center"/>
              <w:rPr>
                <w:rFonts w:asciiTheme="minorHAnsi" w:hAnsiTheme="minorHAnsi"/>
                <w:b/>
                <w:bCs/>
                <w:color w:val="000000"/>
                <w:sz w:val="18"/>
                <w:szCs w:val="18"/>
                <w:lang w:val="sq-AL"/>
              </w:rPr>
            </w:pPr>
            <w:r w:rsidRPr="000C638D">
              <w:rPr>
                <w:rFonts w:asciiTheme="minorHAnsi" w:hAnsiTheme="minorHAnsi"/>
                <w:b/>
                <w:bCs/>
                <w:color w:val="000000"/>
                <w:sz w:val="18"/>
                <w:szCs w:val="18"/>
                <w:lang w:val="sq-AL"/>
              </w:rPr>
              <w:t xml:space="preserve">32.13 </w:t>
            </w:r>
          </w:p>
        </w:tc>
        <w:tc>
          <w:tcPr>
            <w:tcW w:w="0" w:type="auto"/>
            <w:tcBorders>
              <w:top w:val="nil"/>
              <w:left w:val="nil"/>
              <w:bottom w:val="single" w:sz="8" w:space="0" w:color="4BACC6"/>
              <w:right w:val="single" w:sz="8" w:space="0" w:color="4BACC6"/>
            </w:tcBorders>
            <w:shd w:val="clear" w:color="auto" w:fill="auto"/>
            <w:noWrap/>
            <w:vAlign w:val="center"/>
            <w:hideMark/>
          </w:tcPr>
          <w:p w14:paraId="0042273C" w14:textId="77777777" w:rsidR="000C2868" w:rsidRPr="000C638D" w:rsidRDefault="000C2868" w:rsidP="000C2868">
            <w:pPr>
              <w:jc w:val="center"/>
              <w:rPr>
                <w:rFonts w:asciiTheme="minorHAnsi" w:hAnsiTheme="minorHAnsi"/>
                <w:b/>
                <w:bCs/>
                <w:color w:val="000000"/>
                <w:sz w:val="18"/>
                <w:szCs w:val="18"/>
                <w:lang w:val="sq-AL"/>
              </w:rPr>
            </w:pPr>
            <w:r w:rsidRPr="000C638D">
              <w:rPr>
                <w:rFonts w:asciiTheme="minorHAnsi" w:hAnsiTheme="minorHAnsi"/>
                <w:b/>
                <w:bCs/>
                <w:color w:val="000000"/>
                <w:sz w:val="18"/>
                <w:szCs w:val="18"/>
                <w:lang w:val="sq-AL"/>
              </w:rPr>
              <w:t>4.3</w:t>
            </w:r>
          </w:p>
        </w:tc>
      </w:tr>
    </w:tbl>
    <w:p w14:paraId="4E0B7A54" w14:textId="77777777" w:rsidR="000C2868" w:rsidRPr="003E1083" w:rsidRDefault="000C2868" w:rsidP="000C2868">
      <w:pPr>
        <w:jc w:val="center"/>
        <w:rPr>
          <w:rFonts w:asciiTheme="minorHAnsi" w:eastAsia="MS Mincho" w:hAnsiTheme="minorHAnsi"/>
          <w:i/>
          <w:lang w:val="sq-AL"/>
        </w:rPr>
      </w:pPr>
    </w:p>
    <w:p w14:paraId="2960B78D" w14:textId="77777777" w:rsidR="000C2868" w:rsidRPr="003E1083" w:rsidRDefault="000C2868" w:rsidP="000C2868">
      <w:pPr>
        <w:jc w:val="both"/>
        <w:rPr>
          <w:rFonts w:asciiTheme="minorHAnsi" w:hAnsiTheme="minorHAnsi"/>
          <w:lang w:val="sq-AL"/>
        </w:rPr>
      </w:pPr>
      <w:r w:rsidRPr="003E1083">
        <w:rPr>
          <w:rFonts w:asciiTheme="minorHAnsi" w:hAnsiTheme="minorHAnsi"/>
          <w:lang w:val="sq-AL"/>
        </w:rPr>
        <w:t>Sipas të dhënave të 4</w:t>
      </w:r>
      <w:r>
        <w:rPr>
          <w:rFonts w:asciiTheme="minorHAnsi" w:hAnsiTheme="minorHAnsi"/>
          <w:lang w:val="sq-AL"/>
        </w:rPr>
        <w:t>M I të</w:t>
      </w:r>
      <w:r w:rsidRPr="003E1083">
        <w:rPr>
          <w:rFonts w:asciiTheme="minorHAnsi" w:hAnsiTheme="minorHAnsi"/>
          <w:lang w:val="sq-AL"/>
        </w:rPr>
        <w:t xml:space="preserve"> nxjerr</w:t>
      </w:r>
      <w:r>
        <w:rPr>
          <w:rFonts w:asciiTheme="minorHAnsi" w:hAnsiTheme="minorHAnsi"/>
          <w:lang w:val="sq-AL"/>
        </w:rPr>
        <w:t>ë</w:t>
      </w:r>
      <w:r w:rsidRPr="003E1083">
        <w:rPr>
          <w:rFonts w:asciiTheme="minorHAnsi" w:hAnsiTheme="minorHAnsi"/>
          <w:lang w:val="sq-AL"/>
        </w:rPr>
        <w:t xml:space="preserve"> nga Sistemi Financiar dhe Informatik i Qeverisjes, realizimi faktik i shpenzimeve korente paraqitet në mesataren e periudhës.</w:t>
      </w:r>
    </w:p>
    <w:p w14:paraId="7E6E7768" w14:textId="77777777" w:rsidR="000C2868" w:rsidRPr="000C638D" w:rsidRDefault="000C2868" w:rsidP="000C2868">
      <w:pPr>
        <w:jc w:val="both"/>
        <w:rPr>
          <w:rFonts w:asciiTheme="minorHAnsi" w:hAnsiTheme="minorHAnsi"/>
          <w:sz w:val="12"/>
          <w:lang w:val="sq-AL"/>
        </w:rPr>
      </w:pPr>
    </w:p>
    <w:p w14:paraId="6EE7D327" w14:textId="77777777" w:rsidR="000C2868" w:rsidRPr="003E1083" w:rsidRDefault="000C2868" w:rsidP="000C2868">
      <w:pPr>
        <w:jc w:val="both"/>
        <w:rPr>
          <w:rFonts w:asciiTheme="minorHAnsi" w:hAnsiTheme="minorHAnsi"/>
          <w:lang w:val="sq-AL"/>
        </w:rPr>
      </w:pPr>
      <w:r w:rsidRPr="003E1083">
        <w:rPr>
          <w:rFonts w:asciiTheme="minorHAnsi" w:hAnsiTheme="minorHAnsi"/>
          <w:lang w:val="sq-AL"/>
        </w:rPr>
        <w:lastRenderedPageBreak/>
        <w:t>Sa i përket programit “</w:t>
      </w:r>
      <w:r w:rsidRPr="003E1083">
        <w:rPr>
          <w:rFonts w:asciiTheme="minorHAnsi" w:hAnsiTheme="minorHAnsi"/>
          <w:b/>
          <w:lang w:val="sq-AL"/>
        </w:rPr>
        <w:t>Menaxhimi i të Ardhurave Tatimore</w:t>
      </w:r>
      <w:r w:rsidRPr="003E1083">
        <w:rPr>
          <w:rFonts w:asciiTheme="minorHAnsi" w:hAnsiTheme="minorHAnsi"/>
          <w:lang w:val="sq-AL"/>
        </w:rPr>
        <w:t xml:space="preserve">”, objektivi i këtij programi është </w:t>
      </w:r>
      <w:r w:rsidRPr="003E1083">
        <w:rPr>
          <w:rFonts w:asciiTheme="minorHAnsi" w:hAnsiTheme="minorHAnsi"/>
          <w:i/>
          <w:lang w:val="sq-AL"/>
        </w:rPr>
        <w:t>“Progresi organizativ i Administratës Tatimore dhe zhvillimi i kapaciteteve njerëzore, aplikimi i metodave dhe sistemeve të reja; modernizimi, ofrimi i shërbimeve cilësore dhe reduktimi i barrës administrative në pagesën e detyrimeve tatimore dhe kontributeve të sigurimeve shoqërore si rrjedhojë e rritjes së ndërgjegjësimit publik duke ndihmuar në zhvillimin e kulturës për përmbushje vullnetare më të lartë; Implementimi efikas i legjislacionit tatimor dhe sigurimeve shoqërore; hetimi i rasteve të mashtrimit tatimor; zbatimi i strategjisë së përmbushjes së menaxhimit të riskut; përmirësimi i mëtejshëm i kontrollit tatimor dhe gjurmimi i mashtrimeve tatimore; mbledhja efikase dhe efektive e borxhit”</w:t>
      </w:r>
      <w:r w:rsidRPr="003E1083">
        <w:rPr>
          <w:rFonts w:asciiTheme="minorHAnsi" w:hAnsiTheme="minorHAnsi"/>
          <w:lang w:val="sq-AL"/>
        </w:rPr>
        <w:t xml:space="preserve">. Gjatë </w:t>
      </w:r>
      <w:r w:rsidRPr="000C2868">
        <w:rPr>
          <w:rFonts w:asciiTheme="minorHAnsi" w:hAnsiTheme="minorHAnsi"/>
          <w:lang w:val="sq-AL"/>
        </w:rPr>
        <w:t>4M I</w:t>
      </w:r>
      <w:r w:rsidRPr="003E1083">
        <w:rPr>
          <w:rFonts w:asciiTheme="minorHAnsi" w:hAnsiTheme="minorHAnsi"/>
          <w:lang w:val="sq-AL"/>
        </w:rPr>
        <w:t xml:space="preserve"> 2023, shpenzimet korente në këtë program janë realizuar në vlerën e 841 milionë lekë, ose në masën 31.3% të buxhetit. Në veçanti, për arritjen e këtij objektivi, për </w:t>
      </w:r>
      <w:r w:rsidRPr="00476D4D">
        <w:rPr>
          <w:rFonts w:asciiTheme="minorHAnsi" w:hAnsiTheme="minorHAnsi"/>
          <w:lang w:val="sq-AL"/>
        </w:rPr>
        <w:t xml:space="preserve">4M I  </w:t>
      </w:r>
      <w:r w:rsidRPr="003E1083">
        <w:rPr>
          <w:rFonts w:asciiTheme="minorHAnsi" w:hAnsiTheme="minorHAnsi"/>
          <w:lang w:val="sq-AL"/>
        </w:rPr>
        <w:t>2023, janë realizuar produktet:</w:t>
      </w:r>
      <w:r>
        <w:rPr>
          <w:rFonts w:asciiTheme="minorHAnsi" w:hAnsiTheme="minorHAnsi"/>
          <w:lang w:val="sq-AL"/>
        </w:rPr>
        <w:t xml:space="preserve"> </w:t>
      </w:r>
    </w:p>
    <w:p w14:paraId="4E9C8178"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Tatimpagues të asistuar, në masën 672 milionë lekë nga rreth 2,3 miliard lekë.</w:t>
      </w:r>
    </w:p>
    <w:p w14:paraId="651FADA3"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90 vendime gjyqësore të ekzekutuara, në vlerën 169.3 milion lekë.</w:t>
      </w:r>
    </w:p>
    <w:p w14:paraId="0B552647" w14:textId="77777777" w:rsidR="000C2868" w:rsidRPr="00EA4B27" w:rsidRDefault="000C2868" w:rsidP="000C2868">
      <w:pPr>
        <w:jc w:val="both"/>
        <w:rPr>
          <w:rFonts w:asciiTheme="minorHAnsi" w:hAnsiTheme="minorHAnsi"/>
          <w:sz w:val="12"/>
          <w:lang w:val="sq-AL"/>
        </w:rPr>
      </w:pPr>
    </w:p>
    <w:p w14:paraId="5CAA2006" w14:textId="77777777" w:rsidR="000C2868" w:rsidRPr="003E1083" w:rsidRDefault="000C2868" w:rsidP="000C2868">
      <w:pPr>
        <w:jc w:val="both"/>
        <w:rPr>
          <w:rFonts w:asciiTheme="minorHAnsi" w:hAnsiTheme="minorHAnsi"/>
          <w:lang w:val="sq-AL"/>
        </w:rPr>
      </w:pPr>
      <w:r w:rsidRPr="003E1083">
        <w:rPr>
          <w:rFonts w:asciiTheme="minorHAnsi" w:hAnsiTheme="minorHAnsi"/>
          <w:lang w:val="sq-AL"/>
        </w:rPr>
        <w:t>Sa i përket programit “</w:t>
      </w:r>
      <w:r w:rsidRPr="003E1083">
        <w:rPr>
          <w:rFonts w:asciiTheme="minorHAnsi" w:hAnsiTheme="minorHAnsi"/>
          <w:b/>
          <w:lang w:val="sq-AL"/>
        </w:rPr>
        <w:t>Menaxhimi i të Ardhurave Doganore</w:t>
      </w:r>
      <w:r w:rsidRPr="003E1083">
        <w:rPr>
          <w:rFonts w:asciiTheme="minorHAnsi" w:hAnsiTheme="minorHAnsi"/>
          <w:lang w:val="sq-AL"/>
        </w:rPr>
        <w:t xml:space="preserve">” i cili ka si objektivi kryesor krijimin e lehtësirave për operatorët ekonomikë nëpërmjet lehtësimit dhe përshpejtimit të procedurave doganore, shpenzimet korente për </w:t>
      </w:r>
      <w:r w:rsidRPr="00476D4D">
        <w:rPr>
          <w:rFonts w:asciiTheme="minorHAnsi" w:hAnsiTheme="minorHAnsi"/>
          <w:lang w:val="sq-AL"/>
        </w:rPr>
        <w:t xml:space="preserve">4M I  </w:t>
      </w:r>
      <w:r w:rsidRPr="003E1083">
        <w:rPr>
          <w:rFonts w:asciiTheme="minorHAnsi" w:hAnsiTheme="minorHAnsi"/>
          <w:lang w:val="sq-AL"/>
        </w:rPr>
        <w:t xml:space="preserve">2023 në këtë program janë realizuar në vlerën 1.2 miliard lekë ose 31.1% e buxhetit. Për arritjen e këtij objektivi, janë realizuar: </w:t>
      </w:r>
    </w:p>
    <w:p w14:paraId="059B62CC"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 xml:space="preserve">Deklarata doganore të procesuara në masën 199 614, me një kosto faktike prej 535 milionë lekë. </w:t>
      </w:r>
    </w:p>
    <w:p w14:paraId="3529CCB4"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9 vendime Gjyqësore të Ekzekutuara me një kosto faktike prej 91 milion lekë.</w:t>
      </w:r>
    </w:p>
    <w:p w14:paraId="1F9EEFC2" w14:textId="77777777" w:rsidR="000C2868" w:rsidRPr="00EA4B27" w:rsidRDefault="000C2868" w:rsidP="000C2868">
      <w:pPr>
        <w:jc w:val="both"/>
        <w:rPr>
          <w:rFonts w:asciiTheme="minorHAnsi" w:hAnsiTheme="minorHAnsi"/>
          <w:sz w:val="12"/>
          <w:lang w:val="sq-AL"/>
        </w:rPr>
      </w:pPr>
    </w:p>
    <w:p w14:paraId="2F609B34" w14:textId="77777777" w:rsidR="000C2868" w:rsidRPr="003E1083" w:rsidRDefault="000C2868" w:rsidP="000C2868">
      <w:pPr>
        <w:jc w:val="both"/>
        <w:rPr>
          <w:rFonts w:asciiTheme="minorHAnsi" w:hAnsiTheme="minorHAnsi"/>
          <w:lang w:val="sq-AL"/>
        </w:rPr>
      </w:pPr>
      <w:r w:rsidRPr="003E1083">
        <w:rPr>
          <w:rFonts w:asciiTheme="minorHAnsi" w:hAnsiTheme="minorHAnsi"/>
          <w:lang w:val="sq-AL"/>
        </w:rPr>
        <w:t>Lidhur me garantimin e sigurisë dhe mbrojtjes kombëtarë nga: kontrabanda, trafiqet paligjshme, mallrat e ndaluara e falsifikuara, evazioni fiskal etj. janë kryer:</w:t>
      </w:r>
    </w:p>
    <w:p w14:paraId="282ED66F"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832 çështje hetimore, me një kosto prej 2.4 milionë lekë,</w:t>
      </w:r>
    </w:p>
    <w:p w14:paraId="27E5312C"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1,380 inspektime në vlerën 44.8 milion leke lekë, nga të cilat strukturat e antikontrabandës</w:t>
      </w:r>
    </w:p>
    <w:p w14:paraId="1E9C3E73"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753 inspektime doganore dhe nga antitrafiku 627.</w:t>
      </w:r>
    </w:p>
    <w:p w14:paraId="6B1496F8"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Shërbime skanimi, në vlerën 527.9 milionë lekë, i cili është efektiv në pesë pika doganore.</w:t>
      </w:r>
    </w:p>
    <w:p w14:paraId="0FF09617" w14:textId="77777777" w:rsidR="000C2868" w:rsidRPr="00EA4B27" w:rsidRDefault="000C2868" w:rsidP="000C2868">
      <w:pPr>
        <w:ind w:left="720"/>
        <w:contextualSpacing/>
        <w:jc w:val="both"/>
        <w:rPr>
          <w:rFonts w:asciiTheme="minorHAnsi" w:hAnsiTheme="minorHAnsi"/>
          <w:i/>
          <w:sz w:val="12"/>
          <w:lang w:val="sq-AL"/>
        </w:rPr>
      </w:pPr>
    </w:p>
    <w:p w14:paraId="1BBABCB6" w14:textId="77777777" w:rsidR="000C2868" w:rsidRPr="003E1083" w:rsidRDefault="000C2868" w:rsidP="000C2868">
      <w:pPr>
        <w:jc w:val="both"/>
        <w:rPr>
          <w:rFonts w:asciiTheme="minorHAnsi" w:hAnsiTheme="minorHAnsi"/>
          <w:lang w:val="sq-AL"/>
        </w:rPr>
      </w:pPr>
      <w:r w:rsidRPr="003E1083">
        <w:rPr>
          <w:rFonts w:asciiTheme="minorHAnsi" w:hAnsiTheme="minorHAnsi"/>
          <w:lang w:val="sq-AL"/>
        </w:rPr>
        <w:t>Në programin “</w:t>
      </w:r>
      <w:r w:rsidRPr="003E1083">
        <w:rPr>
          <w:rFonts w:asciiTheme="minorHAnsi" w:hAnsiTheme="minorHAnsi"/>
          <w:b/>
          <w:lang w:val="sq-AL"/>
        </w:rPr>
        <w:t>Tregu i Punës</w:t>
      </w:r>
      <w:r w:rsidRPr="003E1083">
        <w:rPr>
          <w:rFonts w:asciiTheme="minorHAnsi" w:hAnsiTheme="minorHAnsi"/>
          <w:lang w:val="sq-AL"/>
        </w:rPr>
        <w:t xml:space="preserve">” i cili ka si objektiv nxitjen e mundësive për punë të denjë dhe rritjen e punësueshmërisë së forcave të punës nëpërmjet politikave të frytshme të tregut të punës si dhe nëpërmjet përputhjes së kërkesës me ofertën për punë nga shërbimet e punësimit, për </w:t>
      </w:r>
      <w:r w:rsidRPr="003819CD">
        <w:rPr>
          <w:rFonts w:asciiTheme="minorHAnsi" w:hAnsiTheme="minorHAnsi"/>
          <w:lang w:val="sq-AL"/>
        </w:rPr>
        <w:t xml:space="preserve">4M I  </w:t>
      </w:r>
      <w:r w:rsidRPr="003E1083">
        <w:rPr>
          <w:rFonts w:asciiTheme="minorHAnsi" w:hAnsiTheme="minorHAnsi"/>
          <w:lang w:val="sq-AL"/>
        </w:rPr>
        <w:t>2023, për arritjen e këtij objektivi janë realizuar produktet me të dhënat si më poshtë:</w:t>
      </w:r>
    </w:p>
    <w:p w14:paraId="65E6491D"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Janë realizuar 9 122 ndërmjetësime edhe punësime për punëkërkues të papunë me një kosto faktike prej 96 milion lekë.</w:t>
      </w:r>
    </w:p>
    <w:p w14:paraId="4E8FC3D0"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Punëkërkues të papunë të trajtuar me pagesë papunësie, janë  trajtuar 2 990 persona me një kosto faktike prej 255.3 milion lekë.</w:t>
      </w:r>
    </w:p>
    <w:p w14:paraId="7C57DA13"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Punëkërkues të papunë pjesëmarrës në formimit profesional kanë marrë pjesë 3 380 pjesëmarrës, me një kosto faktike prej 99.7 milion lekë.</w:t>
      </w:r>
    </w:p>
    <w:p w14:paraId="51561119"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Leje pune për të huajt, evidenca statistikore, financiare, procedura prokurimi etj me një kosto faktike prej 25 milion lekë.</w:t>
      </w:r>
    </w:p>
    <w:p w14:paraId="6DDAD235" w14:textId="77777777" w:rsidR="000C2868" w:rsidRPr="003E1083" w:rsidRDefault="000C2868" w:rsidP="000C2868">
      <w:pPr>
        <w:spacing w:before="240"/>
        <w:jc w:val="both"/>
        <w:rPr>
          <w:rFonts w:asciiTheme="minorHAnsi" w:hAnsiTheme="minorHAnsi"/>
          <w:lang w:val="sq-AL"/>
        </w:rPr>
      </w:pPr>
      <w:r w:rsidRPr="003E1083">
        <w:rPr>
          <w:rFonts w:asciiTheme="minorHAnsi" w:hAnsiTheme="minorHAnsi"/>
          <w:lang w:val="sq-AL"/>
        </w:rPr>
        <w:t>Programi “</w:t>
      </w:r>
      <w:r w:rsidRPr="003E1083">
        <w:rPr>
          <w:rFonts w:asciiTheme="minorHAnsi" w:hAnsiTheme="minorHAnsi"/>
          <w:b/>
          <w:lang w:val="sq-AL"/>
        </w:rPr>
        <w:t>Strehimi</w:t>
      </w:r>
      <w:r w:rsidRPr="003E1083">
        <w:rPr>
          <w:rFonts w:asciiTheme="minorHAnsi" w:hAnsiTheme="minorHAnsi"/>
          <w:lang w:val="sq-AL"/>
        </w:rPr>
        <w:t xml:space="preserve">” ka si objektiv të sigurojë strehim të përshtatshëm e të përballueshëm për individë e familje që nuk përballojnë dot kostot e tregut të banesave. Sa i takon realizimit të </w:t>
      </w:r>
      <w:r w:rsidRPr="003819CD">
        <w:rPr>
          <w:rFonts w:asciiTheme="minorHAnsi" w:hAnsiTheme="minorHAnsi"/>
          <w:lang w:val="sq-AL"/>
        </w:rPr>
        <w:t xml:space="preserve">4M I  </w:t>
      </w:r>
      <w:r w:rsidRPr="003E1083">
        <w:rPr>
          <w:rFonts w:asciiTheme="minorHAnsi" w:hAnsiTheme="minorHAnsi"/>
          <w:lang w:val="sq-AL"/>
        </w:rPr>
        <w:t>2023 mund të rendisim sa më poshtë:</w:t>
      </w:r>
    </w:p>
    <w:p w14:paraId="7EBF2B31"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 xml:space="preserve">Subvencionimi i interesave për kreditë ekzistuese, është realizuar në vlerën 98.9 milion lekë dhe kanë përfituar 5 218 familje.  </w:t>
      </w:r>
    </w:p>
    <w:p w14:paraId="06E90565"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Subvencionimi i interesave të kredive të reja me vlerën 13.7mln lekë, përfitues 109 familje.</w:t>
      </w:r>
    </w:p>
    <w:p w14:paraId="34809A48"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 xml:space="preserve">Subvencionimi i qirasë për 8 500 familje e prekura nga tërmeti i datës 26.11.2019, me një vlerë prej 472,500 mijë lekë. </w:t>
      </w:r>
    </w:p>
    <w:p w14:paraId="44AB8489" w14:textId="77777777" w:rsidR="000C2868" w:rsidRPr="00BE3785" w:rsidRDefault="000C2868" w:rsidP="000C2868">
      <w:pPr>
        <w:numPr>
          <w:ilvl w:val="0"/>
          <w:numId w:val="6"/>
        </w:numPr>
        <w:spacing w:after="120"/>
        <w:ind w:left="360"/>
        <w:contextualSpacing/>
        <w:jc w:val="both"/>
        <w:rPr>
          <w:rFonts w:asciiTheme="minorHAnsi" w:hAnsiTheme="minorHAnsi"/>
          <w:i/>
          <w:lang w:val="sq-AL"/>
        </w:rPr>
      </w:pPr>
      <w:r w:rsidRPr="00BE3785">
        <w:rPr>
          <w:rFonts w:asciiTheme="minorHAnsi" w:hAnsiTheme="minorHAnsi"/>
          <w:i/>
          <w:lang w:val="sq-AL"/>
        </w:rPr>
        <w:t>Subvencionim qiraje në tregun e lirë sipas Ligjit nr.22/2018, për rreth 485 familje në 13 bashki pa të ardhura apo me të ardhura shumë të ulta me një vlerë prej 28.6 milion lekë.</w:t>
      </w:r>
    </w:p>
    <w:p w14:paraId="03086772" w14:textId="77777777" w:rsidR="000C2868" w:rsidRPr="003E1083" w:rsidRDefault="000C2868" w:rsidP="000C2868">
      <w:pPr>
        <w:spacing w:before="120"/>
        <w:jc w:val="both"/>
        <w:rPr>
          <w:rFonts w:asciiTheme="minorHAnsi" w:hAnsiTheme="minorHAnsi"/>
          <w:b/>
          <w:noProof/>
          <w:color w:val="0070C0"/>
          <w:lang w:val="sq-AL"/>
        </w:rPr>
      </w:pPr>
      <w:r w:rsidRPr="003E1083">
        <w:rPr>
          <w:rFonts w:asciiTheme="minorHAnsi" w:hAnsiTheme="minorHAnsi"/>
          <w:b/>
          <w:noProof/>
          <w:color w:val="0070C0"/>
          <w:lang w:val="sq-AL"/>
        </w:rPr>
        <w:lastRenderedPageBreak/>
        <w:t>MBROJTJA</w:t>
      </w:r>
    </w:p>
    <w:p w14:paraId="74753490" w14:textId="77777777" w:rsidR="000C2868" w:rsidRPr="003E1083" w:rsidRDefault="000C2868" w:rsidP="000C2868">
      <w:pPr>
        <w:jc w:val="both"/>
        <w:rPr>
          <w:rFonts w:asciiTheme="minorHAnsi" w:eastAsia="MS Mincho" w:hAnsiTheme="minorHAnsi"/>
          <w:color w:val="000000"/>
          <w:lang w:val="sq-AL"/>
        </w:rPr>
      </w:pPr>
      <w:r w:rsidRPr="003E1083">
        <w:rPr>
          <w:rFonts w:asciiTheme="minorHAnsi" w:hAnsiTheme="minorHAnsi"/>
          <w:lang w:val="sq-AL"/>
        </w:rPr>
        <w:t>Shpenzimet e planifikuara dhe ato faktike si dhe realizimi në përqindje për 4 mujorin e parë 2023 për Ministrinë e Mbrojtjes, paraqiten si më poshtë</w:t>
      </w:r>
      <w:r w:rsidRPr="003E1083">
        <w:rPr>
          <w:rFonts w:asciiTheme="minorHAnsi" w:eastAsia="MS Mincho" w:hAnsiTheme="minorHAnsi"/>
          <w:color w:val="000000"/>
          <w:lang w:val="sq-AL"/>
        </w:rPr>
        <w:t>:</w:t>
      </w:r>
    </w:p>
    <w:p w14:paraId="4F6E6256" w14:textId="77777777" w:rsidR="000C2868" w:rsidRPr="00A0431A" w:rsidRDefault="000C2868" w:rsidP="000C2868">
      <w:pPr>
        <w:jc w:val="both"/>
        <w:rPr>
          <w:rFonts w:asciiTheme="minorHAnsi" w:eastAsia="MS Mincho" w:hAnsiTheme="minorHAnsi"/>
          <w:color w:val="000000"/>
          <w:sz w:val="12"/>
          <w:lang w:val="sq-AL"/>
        </w:rPr>
      </w:pPr>
    </w:p>
    <w:p w14:paraId="58BF6EE8" w14:textId="0B05155D" w:rsidR="000C2868" w:rsidRPr="00A0431A" w:rsidRDefault="000C2868" w:rsidP="000C2868">
      <w:pPr>
        <w:jc w:val="both"/>
        <w:rPr>
          <w:rFonts w:asciiTheme="minorHAnsi" w:eastAsia="MS Mincho" w:hAnsiTheme="minorHAnsi"/>
          <w:i/>
          <w:color w:val="000000"/>
          <w:sz w:val="18"/>
          <w:lang w:val="sq-AL"/>
        </w:rPr>
      </w:pPr>
      <w:bookmarkStart w:id="224" w:name="_Toc107496782"/>
      <w:r w:rsidRPr="00A0431A">
        <w:rPr>
          <w:rFonts w:asciiTheme="minorHAnsi" w:hAnsiTheme="minorHAnsi"/>
          <w:i/>
          <w:noProof/>
          <w:sz w:val="22"/>
          <w:lang w:val="sq-AL"/>
        </w:rPr>
        <w:t xml:space="preserve">Tabela </w:t>
      </w:r>
      <w:r w:rsidRPr="00A0431A">
        <w:rPr>
          <w:rFonts w:asciiTheme="minorHAnsi" w:hAnsiTheme="minorHAnsi"/>
          <w:i/>
          <w:noProof/>
          <w:sz w:val="22"/>
          <w:lang w:val="sq-AL"/>
        </w:rPr>
        <w:fldChar w:fldCharType="begin"/>
      </w:r>
      <w:r w:rsidRPr="00A0431A">
        <w:rPr>
          <w:rFonts w:asciiTheme="minorHAnsi" w:hAnsiTheme="minorHAnsi"/>
          <w:i/>
          <w:noProof/>
          <w:sz w:val="22"/>
          <w:lang w:val="sq-AL"/>
        </w:rPr>
        <w:instrText xml:space="preserve"> SEQ Tabela \* ARABIC </w:instrText>
      </w:r>
      <w:r w:rsidRPr="00A0431A">
        <w:rPr>
          <w:rFonts w:asciiTheme="minorHAnsi" w:hAnsiTheme="minorHAnsi"/>
          <w:i/>
          <w:noProof/>
          <w:sz w:val="22"/>
          <w:lang w:val="sq-AL"/>
        </w:rPr>
        <w:fldChar w:fldCharType="separate"/>
      </w:r>
      <w:r w:rsidR="00C153A9">
        <w:rPr>
          <w:rFonts w:asciiTheme="minorHAnsi" w:hAnsiTheme="minorHAnsi"/>
          <w:i/>
          <w:noProof/>
          <w:sz w:val="22"/>
          <w:lang w:val="sq-AL"/>
        </w:rPr>
        <w:t>45</w:t>
      </w:r>
      <w:r w:rsidRPr="00A0431A">
        <w:rPr>
          <w:rFonts w:asciiTheme="minorHAnsi" w:hAnsiTheme="minorHAnsi"/>
          <w:i/>
          <w:noProof/>
          <w:sz w:val="22"/>
          <w:lang w:val="sq-AL"/>
        </w:rPr>
        <w:fldChar w:fldCharType="end"/>
      </w:r>
      <w:r w:rsidRPr="00A0431A">
        <w:rPr>
          <w:rFonts w:asciiTheme="minorHAnsi" w:hAnsiTheme="minorHAnsi"/>
          <w:i/>
          <w:noProof/>
          <w:sz w:val="22"/>
          <w:lang w:val="sq-AL"/>
        </w:rPr>
        <w:t xml:space="preserve">: </w:t>
      </w:r>
      <w:r>
        <w:rPr>
          <w:rFonts w:ascii="Calibri" w:hAnsi="Calibri"/>
          <w:i/>
          <w:noProof/>
          <w:sz w:val="22"/>
          <w:lang w:val="sq-AL"/>
        </w:rPr>
        <w:t>Performanca e shpenzimeve për 4M I</w:t>
      </w:r>
      <w:r>
        <w:rPr>
          <w:rFonts w:asciiTheme="minorHAnsi" w:hAnsiTheme="minorHAnsi"/>
          <w:i/>
          <w:noProof/>
          <w:sz w:val="22"/>
          <w:lang w:val="sq-AL"/>
        </w:rPr>
        <w:t xml:space="preserve">, për </w:t>
      </w:r>
      <w:r w:rsidRPr="00A0431A">
        <w:rPr>
          <w:rFonts w:asciiTheme="minorHAnsi" w:hAnsiTheme="minorHAnsi"/>
          <w:i/>
          <w:noProof/>
          <w:sz w:val="22"/>
          <w:lang w:val="sq-AL"/>
        </w:rPr>
        <w:t>Mbrojtj</w:t>
      </w:r>
      <w:bookmarkEnd w:id="224"/>
      <w:r>
        <w:rPr>
          <w:rFonts w:asciiTheme="minorHAnsi" w:hAnsiTheme="minorHAnsi"/>
          <w:i/>
          <w:noProof/>
          <w:sz w:val="22"/>
          <w:lang w:val="sq-AL"/>
        </w:rPr>
        <w:t>en</w:t>
      </w:r>
      <w:r w:rsidRPr="00A0431A">
        <w:rPr>
          <w:rFonts w:asciiTheme="minorHAnsi" w:eastAsia="MS Mincho" w:hAnsiTheme="minorHAnsi"/>
          <w:i/>
          <w:color w:val="000000"/>
          <w:sz w:val="22"/>
          <w:lang w:val="sq-AL"/>
        </w:rPr>
        <w:t xml:space="preserve"> </w:t>
      </w:r>
    </w:p>
    <w:p w14:paraId="430EA92D" w14:textId="77777777" w:rsidR="000C2868" w:rsidRPr="003E1083" w:rsidRDefault="000C2868" w:rsidP="000C2868">
      <w:pPr>
        <w:ind w:left="2880" w:firstLine="720"/>
        <w:jc w:val="center"/>
        <w:rPr>
          <w:rFonts w:asciiTheme="minorHAnsi" w:eastAsia="MS Mincho" w:hAnsiTheme="minorHAnsi"/>
          <w:i/>
          <w:color w:val="000000"/>
          <w:sz w:val="20"/>
          <w:lang w:val="sq-AL"/>
        </w:rPr>
      </w:pPr>
      <w:r w:rsidRPr="003E1083">
        <w:rPr>
          <w:rFonts w:asciiTheme="minorHAnsi" w:eastAsia="MS Mincho" w:hAnsiTheme="minorHAnsi"/>
          <w:i/>
          <w:color w:val="000000"/>
          <w:sz w:val="20"/>
          <w:lang w:val="sq-AL"/>
        </w:rPr>
        <w:t xml:space="preserve">                                                                                 Në mijë lekë</w:t>
      </w:r>
    </w:p>
    <w:tbl>
      <w:tblPr>
        <w:tblW w:w="0" w:type="auto"/>
        <w:jc w:val="center"/>
        <w:tblLook w:val="04A0" w:firstRow="1" w:lastRow="0" w:firstColumn="1" w:lastColumn="0" w:noHBand="0" w:noVBand="1"/>
      </w:tblPr>
      <w:tblGrid>
        <w:gridCol w:w="3186"/>
        <w:gridCol w:w="1039"/>
        <w:gridCol w:w="1039"/>
        <w:gridCol w:w="948"/>
        <w:gridCol w:w="952"/>
        <w:gridCol w:w="888"/>
        <w:gridCol w:w="961"/>
      </w:tblGrid>
      <w:tr w:rsidR="000C2868" w:rsidRPr="003E1083" w14:paraId="2AF34A6A" w14:textId="77777777" w:rsidTr="000C2868">
        <w:trPr>
          <w:trHeight w:val="495"/>
          <w:jc w:val="center"/>
        </w:trPr>
        <w:tc>
          <w:tcPr>
            <w:tcW w:w="0" w:type="auto"/>
            <w:vMerge w:val="restart"/>
            <w:tcBorders>
              <w:top w:val="single" w:sz="8" w:space="0" w:color="4BACC6"/>
              <w:left w:val="single" w:sz="8" w:space="0" w:color="4BACC6"/>
              <w:bottom w:val="single" w:sz="8" w:space="0" w:color="4BACC6"/>
              <w:right w:val="single" w:sz="8" w:space="0" w:color="4BACC6"/>
            </w:tcBorders>
            <w:shd w:val="clear" w:color="000000" w:fill="4BACC6"/>
            <w:vAlign w:val="center"/>
            <w:hideMark/>
          </w:tcPr>
          <w:p w14:paraId="247CF698" w14:textId="77777777" w:rsidR="000C2868" w:rsidRPr="003E1083" w:rsidRDefault="000C2868" w:rsidP="000C2868">
            <w:pPr>
              <w:jc w:val="center"/>
              <w:rPr>
                <w:rFonts w:asciiTheme="minorHAnsi" w:hAnsiTheme="minorHAnsi"/>
                <w:b/>
                <w:bCs/>
                <w:sz w:val="18"/>
                <w:szCs w:val="20"/>
                <w:lang w:val="sq-AL"/>
              </w:rPr>
            </w:pPr>
            <w:r w:rsidRPr="003E1083">
              <w:rPr>
                <w:rFonts w:asciiTheme="minorHAnsi" w:hAnsiTheme="minorHAnsi"/>
                <w:b/>
                <w:bCs/>
                <w:sz w:val="18"/>
                <w:szCs w:val="20"/>
                <w:lang w:val="sq-AL"/>
              </w:rPr>
              <w:t>Emërtimi i Programit</w:t>
            </w:r>
          </w:p>
        </w:tc>
        <w:tc>
          <w:tcPr>
            <w:tcW w:w="0" w:type="auto"/>
            <w:gridSpan w:val="2"/>
            <w:tcBorders>
              <w:top w:val="single" w:sz="8" w:space="0" w:color="4BACC6"/>
              <w:left w:val="nil"/>
              <w:bottom w:val="single" w:sz="8" w:space="0" w:color="4BACC6"/>
              <w:right w:val="single" w:sz="8" w:space="0" w:color="4BACC6"/>
            </w:tcBorders>
            <w:shd w:val="clear" w:color="000000" w:fill="4BACC6"/>
            <w:vAlign w:val="center"/>
            <w:hideMark/>
          </w:tcPr>
          <w:p w14:paraId="690CF77D" w14:textId="77777777" w:rsidR="000C2868" w:rsidRPr="003E1083" w:rsidRDefault="000C2868" w:rsidP="000C2868">
            <w:pPr>
              <w:jc w:val="center"/>
              <w:rPr>
                <w:rFonts w:asciiTheme="minorHAnsi" w:hAnsiTheme="minorHAnsi"/>
                <w:b/>
                <w:bCs/>
                <w:sz w:val="18"/>
                <w:szCs w:val="20"/>
                <w:lang w:val="sq-AL"/>
              </w:rPr>
            </w:pPr>
            <w:r w:rsidRPr="003E1083">
              <w:rPr>
                <w:rFonts w:asciiTheme="minorHAnsi" w:hAnsiTheme="minorHAnsi"/>
                <w:b/>
                <w:bCs/>
                <w:sz w:val="18"/>
                <w:szCs w:val="20"/>
                <w:lang w:val="sq-AL"/>
              </w:rPr>
              <w:t>Plani 2023</w:t>
            </w:r>
          </w:p>
        </w:tc>
        <w:tc>
          <w:tcPr>
            <w:tcW w:w="0" w:type="auto"/>
            <w:gridSpan w:val="2"/>
            <w:tcBorders>
              <w:top w:val="single" w:sz="8" w:space="0" w:color="4BACC6"/>
              <w:left w:val="nil"/>
              <w:bottom w:val="single" w:sz="8" w:space="0" w:color="4BACC6"/>
              <w:right w:val="single" w:sz="8" w:space="0" w:color="4BACC6"/>
            </w:tcBorders>
            <w:shd w:val="clear" w:color="000000" w:fill="4BACC6"/>
            <w:vAlign w:val="center"/>
            <w:hideMark/>
          </w:tcPr>
          <w:p w14:paraId="317F612F" w14:textId="77777777" w:rsidR="000C2868" w:rsidRPr="003E1083" w:rsidRDefault="000C2868" w:rsidP="000C2868">
            <w:pPr>
              <w:jc w:val="center"/>
              <w:rPr>
                <w:rFonts w:asciiTheme="minorHAnsi" w:hAnsiTheme="minorHAnsi"/>
                <w:b/>
                <w:bCs/>
                <w:sz w:val="18"/>
                <w:szCs w:val="20"/>
                <w:lang w:val="sq-AL"/>
              </w:rPr>
            </w:pPr>
            <w:r w:rsidRPr="003E1083">
              <w:rPr>
                <w:rFonts w:asciiTheme="minorHAnsi" w:hAnsiTheme="minorHAnsi"/>
                <w:b/>
                <w:bCs/>
                <w:sz w:val="18"/>
                <w:szCs w:val="20"/>
                <w:lang w:val="sq-AL"/>
              </w:rPr>
              <w:t xml:space="preserve">Fakti 4M </w:t>
            </w:r>
          </w:p>
        </w:tc>
        <w:tc>
          <w:tcPr>
            <w:tcW w:w="0" w:type="auto"/>
            <w:gridSpan w:val="2"/>
            <w:tcBorders>
              <w:top w:val="single" w:sz="8" w:space="0" w:color="4BACC6"/>
              <w:left w:val="nil"/>
              <w:bottom w:val="single" w:sz="8" w:space="0" w:color="4BACC6"/>
              <w:right w:val="single" w:sz="8" w:space="0" w:color="4BACC6"/>
            </w:tcBorders>
            <w:shd w:val="clear" w:color="000000" w:fill="4BACC6"/>
            <w:vAlign w:val="center"/>
            <w:hideMark/>
          </w:tcPr>
          <w:p w14:paraId="7EC01BB1" w14:textId="77777777" w:rsidR="000C2868" w:rsidRPr="003E1083" w:rsidRDefault="000C2868" w:rsidP="000C2868">
            <w:pPr>
              <w:jc w:val="center"/>
              <w:rPr>
                <w:rFonts w:asciiTheme="minorHAnsi" w:hAnsiTheme="minorHAnsi"/>
                <w:b/>
                <w:bCs/>
                <w:sz w:val="18"/>
                <w:szCs w:val="20"/>
                <w:lang w:val="sq-AL"/>
              </w:rPr>
            </w:pPr>
            <w:r w:rsidRPr="003E1083">
              <w:rPr>
                <w:rFonts w:asciiTheme="minorHAnsi" w:hAnsiTheme="minorHAnsi"/>
                <w:b/>
                <w:bCs/>
                <w:sz w:val="18"/>
                <w:szCs w:val="20"/>
                <w:lang w:val="sq-AL"/>
              </w:rPr>
              <w:t>Përqindja  e realizimit</w:t>
            </w:r>
          </w:p>
        </w:tc>
      </w:tr>
      <w:tr w:rsidR="000C2868" w:rsidRPr="003E1083" w14:paraId="4F6C3579" w14:textId="77777777" w:rsidTr="000C2868">
        <w:trPr>
          <w:trHeight w:val="315"/>
          <w:jc w:val="center"/>
        </w:trPr>
        <w:tc>
          <w:tcPr>
            <w:tcW w:w="0" w:type="auto"/>
            <w:vMerge/>
            <w:tcBorders>
              <w:top w:val="single" w:sz="8" w:space="0" w:color="4BACC6"/>
              <w:left w:val="single" w:sz="8" w:space="0" w:color="4BACC6"/>
              <w:bottom w:val="single" w:sz="8" w:space="0" w:color="4BACC6"/>
              <w:right w:val="single" w:sz="8" w:space="0" w:color="4BACC6"/>
            </w:tcBorders>
            <w:vAlign w:val="center"/>
            <w:hideMark/>
          </w:tcPr>
          <w:p w14:paraId="527A9AC0" w14:textId="77777777" w:rsidR="000C2868" w:rsidRPr="003E1083" w:rsidRDefault="000C2868" w:rsidP="000C2868">
            <w:pPr>
              <w:rPr>
                <w:rFonts w:asciiTheme="minorHAnsi" w:hAnsiTheme="minorHAnsi"/>
                <w:b/>
                <w:bCs/>
                <w:color w:val="000000"/>
                <w:sz w:val="18"/>
                <w:szCs w:val="20"/>
                <w:lang w:val="sq-AL"/>
              </w:rPr>
            </w:pPr>
          </w:p>
        </w:tc>
        <w:tc>
          <w:tcPr>
            <w:tcW w:w="0" w:type="auto"/>
            <w:tcBorders>
              <w:top w:val="nil"/>
              <w:left w:val="nil"/>
              <w:bottom w:val="single" w:sz="8" w:space="0" w:color="4BACC6"/>
              <w:right w:val="single" w:sz="8" w:space="0" w:color="4BACC6"/>
            </w:tcBorders>
            <w:shd w:val="clear" w:color="auto" w:fill="auto"/>
            <w:vAlign w:val="center"/>
            <w:hideMark/>
          </w:tcPr>
          <w:p w14:paraId="448F9436" w14:textId="77777777" w:rsidR="000C2868" w:rsidRPr="003E1083" w:rsidRDefault="000C2868" w:rsidP="000C2868">
            <w:pPr>
              <w:jc w:val="center"/>
              <w:rPr>
                <w:rFonts w:asciiTheme="minorHAnsi" w:hAnsiTheme="minorHAnsi"/>
                <w:b/>
                <w:bCs/>
                <w:color w:val="000000"/>
                <w:sz w:val="18"/>
                <w:szCs w:val="20"/>
                <w:lang w:val="sq-AL"/>
              </w:rPr>
            </w:pPr>
            <w:r w:rsidRPr="003E1083">
              <w:rPr>
                <w:rFonts w:asciiTheme="minorHAnsi" w:hAnsiTheme="minorHAnsi"/>
                <w:b/>
                <w:bCs/>
                <w:color w:val="000000"/>
                <w:sz w:val="18"/>
                <w:szCs w:val="20"/>
                <w:lang w:val="sq-AL"/>
              </w:rPr>
              <w:t>Korrente</w:t>
            </w:r>
          </w:p>
        </w:tc>
        <w:tc>
          <w:tcPr>
            <w:tcW w:w="0" w:type="auto"/>
            <w:tcBorders>
              <w:top w:val="nil"/>
              <w:left w:val="nil"/>
              <w:bottom w:val="single" w:sz="8" w:space="0" w:color="4BACC6"/>
              <w:right w:val="single" w:sz="8" w:space="0" w:color="4BACC6"/>
            </w:tcBorders>
            <w:shd w:val="clear" w:color="auto" w:fill="auto"/>
            <w:vAlign w:val="center"/>
            <w:hideMark/>
          </w:tcPr>
          <w:p w14:paraId="5335BB00" w14:textId="77777777" w:rsidR="000C2868" w:rsidRPr="003E1083" w:rsidRDefault="000C2868" w:rsidP="000C2868">
            <w:pPr>
              <w:jc w:val="center"/>
              <w:rPr>
                <w:rFonts w:asciiTheme="minorHAnsi" w:hAnsiTheme="minorHAnsi"/>
                <w:b/>
                <w:bCs/>
                <w:color w:val="000000"/>
                <w:sz w:val="18"/>
                <w:szCs w:val="20"/>
                <w:lang w:val="sq-AL"/>
              </w:rPr>
            </w:pPr>
            <w:r w:rsidRPr="003E1083">
              <w:rPr>
                <w:rFonts w:asciiTheme="minorHAnsi" w:hAnsiTheme="minorHAnsi"/>
                <w:b/>
                <w:bCs/>
                <w:color w:val="000000"/>
                <w:sz w:val="18"/>
                <w:szCs w:val="20"/>
                <w:lang w:val="sq-AL"/>
              </w:rPr>
              <w:t>Investime</w:t>
            </w:r>
          </w:p>
        </w:tc>
        <w:tc>
          <w:tcPr>
            <w:tcW w:w="0" w:type="auto"/>
            <w:tcBorders>
              <w:top w:val="nil"/>
              <w:left w:val="nil"/>
              <w:bottom w:val="single" w:sz="8" w:space="0" w:color="4BACC6"/>
              <w:right w:val="single" w:sz="8" w:space="0" w:color="4BACC6"/>
            </w:tcBorders>
            <w:shd w:val="clear" w:color="auto" w:fill="auto"/>
            <w:vAlign w:val="center"/>
            <w:hideMark/>
          </w:tcPr>
          <w:p w14:paraId="4F53D19B" w14:textId="77777777" w:rsidR="000C2868" w:rsidRPr="003E1083" w:rsidRDefault="000C2868" w:rsidP="000C2868">
            <w:pPr>
              <w:jc w:val="center"/>
              <w:rPr>
                <w:rFonts w:asciiTheme="minorHAnsi" w:hAnsiTheme="minorHAnsi"/>
                <w:b/>
                <w:bCs/>
                <w:color w:val="000000"/>
                <w:sz w:val="18"/>
                <w:szCs w:val="20"/>
                <w:lang w:val="sq-AL"/>
              </w:rPr>
            </w:pPr>
            <w:r w:rsidRPr="003E1083">
              <w:rPr>
                <w:rFonts w:asciiTheme="minorHAnsi" w:hAnsiTheme="minorHAnsi"/>
                <w:b/>
                <w:bCs/>
                <w:color w:val="000000"/>
                <w:sz w:val="18"/>
                <w:szCs w:val="20"/>
                <w:lang w:val="sq-AL"/>
              </w:rPr>
              <w:t>Korrente</w:t>
            </w:r>
          </w:p>
        </w:tc>
        <w:tc>
          <w:tcPr>
            <w:tcW w:w="0" w:type="auto"/>
            <w:tcBorders>
              <w:top w:val="nil"/>
              <w:left w:val="nil"/>
              <w:bottom w:val="single" w:sz="8" w:space="0" w:color="4BACC6"/>
              <w:right w:val="single" w:sz="8" w:space="0" w:color="4BACC6"/>
            </w:tcBorders>
            <w:shd w:val="clear" w:color="auto" w:fill="auto"/>
            <w:vAlign w:val="center"/>
            <w:hideMark/>
          </w:tcPr>
          <w:p w14:paraId="5D9D02A5" w14:textId="77777777" w:rsidR="000C2868" w:rsidRPr="003E1083" w:rsidRDefault="000C2868" w:rsidP="000C2868">
            <w:pPr>
              <w:jc w:val="center"/>
              <w:rPr>
                <w:rFonts w:asciiTheme="minorHAnsi" w:hAnsiTheme="minorHAnsi"/>
                <w:b/>
                <w:bCs/>
                <w:color w:val="000000"/>
                <w:sz w:val="18"/>
                <w:szCs w:val="20"/>
                <w:lang w:val="sq-AL"/>
              </w:rPr>
            </w:pPr>
            <w:r w:rsidRPr="003E1083">
              <w:rPr>
                <w:rFonts w:asciiTheme="minorHAnsi" w:hAnsiTheme="minorHAnsi"/>
                <w:b/>
                <w:bCs/>
                <w:color w:val="000000"/>
                <w:sz w:val="18"/>
                <w:szCs w:val="20"/>
                <w:lang w:val="sq-AL"/>
              </w:rPr>
              <w:t>Investime</w:t>
            </w:r>
          </w:p>
        </w:tc>
        <w:tc>
          <w:tcPr>
            <w:tcW w:w="0" w:type="auto"/>
            <w:tcBorders>
              <w:top w:val="nil"/>
              <w:left w:val="nil"/>
              <w:bottom w:val="single" w:sz="8" w:space="0" w:color="4BACC6"/>
              <w:right w:val="single" w:sz="8" w:space="0" w:color="4BACC6"/>
            </w:tcBorders>
            <w:shd w:val="clear" w:color="auto" w:fill="auto"/>
            <w:vAlign w:val="center"/>
            <w:hideMark/>
          </w:tcPr>
          <w:p w14:paraId="6B7B5DE3" w14:textId="77777777" w:rsidR="000C2868" w:rsidRPr="003E1083" w:rsidRDefault="000C2868" w:rsidP="000C2868">
            <w:pPr>
              <w:jc w:val="center"/>
              <w:rPr>
                <w:rFonts w:asciiTheme="minorHAnsi" w:hAnsiTheme="minorHAnsi"/>
                <w:b/>
                <w:bCs/>
                <w:color w:val="000000"/>
                <w:sz w:val="18"/>
                <w:szCs w:val="20"/>
                <w:lang w:val="sq-AL"/>
              </w:rPr>
            </w:pPr>
            <w:r w:rsidRPr="003E1083">
              <w:rPr>
                <w:rFonts w:asciiTheme="minorHAnsi" w:hAnsiTheme="minorHAnsi"/>
                <w:b/>
                <w:bCs/>
                <w:color w:val="000000"/>
                <w:sz w:val="18"/>
                <w:szCs w:val="20"/>
                <w:lang w:val="sq-AL"/>
              </w:rPr>
              <w:t>Korrente</w:t>
            </w:r>
          </w:p>
        </w:tc>
        <w:tc>
          <w:tcPr>
            <w:tcW w:w="0" w:type="auto"/>
            <w:tcBorders>
              <w:top w:val="nil"/>
              <w:left w:val="nil"/>
              <w:bottom w:val="single" w:sz="8" w:space="0" w:color="4BACC6"/>
              <w:right w:val="single" w:sz="8" w:space="0" w:color="4BACC6"/>
            </w:tcBorders>
            <w:shd w:val="clear" w:color="auto" w:fill="auto"/>
            <w:vAlign w:val="center"/>
            <w:hideMark/>
          </w:tcPr>
          <w:p w14:paraId="76CDC785" w14:textId="77777777" w:rsidR="000C2868" w:rsidRPr="003E1083" w:rsidRDefault="000C2868" w:rsidP="000C2868">
            <w:pPr>
              <w:jc w:val="center"/>
              <w:rPr>
                <w:rFonts w:asciiTheme="minorHAnsi" w:hAnsiTheme="minorHAnsi"/>
                <w:b/>
                <w:bCs/>
                <w:color w:val="000000"/>
                <w:sz w:val="18"/>
                <w:szCs w:val="20"/>
                <w:lang w:val="sq-AL"/>
              </w:rPr>
            </w:pPr>
            <w:r w:rsidRPr="003E1083">
              <w:rPr>
                <w:rFonts w:asciiTheme="minorHAnsi" w:hAnsiTheme="minorHAnsi"/>
                <w:b/>
                <w:bCs/>
                <w:color w:val="000000"/>
                <w:sz w:val="18"/>
                <w:szCs w:val="20"/>
                <w:lang w:val="sq-AL"/>
              </w:rPr>
              <w:t>Investime</w:t>
            </w:r>
          </w:p>
        </w:tc>
      </w:tr>
      <w:tr w:rsidR="000C2868" w:rsidRPr="003E1083" w14:paraId="73575CE8" w14:textId="77777777" w:rsidTr="000C2868">
        <w:trPr>
          <w:trHeight w:val="315"/>
          <w:jc w:val="center"/>
        </w:trPr>
        <w:tc>
          <w:tcPr>
            <w:tcW w:w="0" w:type="auto"/>
            <w:tcBorders>
              <w:top w:val="nil"/>
              <w:left w:val="single" w:sz="8" w:space="0" w:color="4BACC6"/>
              <w:bottom w:val="single" w:sz="8" w:space="0" w:color="4BACC6"/>
              <w:right w:val="single" w:sz="8" w:space="0" w:color="4BACC6"/>
            </w:tcBorders>
            <w:shd w:val="clear" w:color="000000" w:fill="FFFFFF"/>
            <w:noWrap/>
            <w:vAlign w:val="center"/>
            <w:hideMark/>
          </w:tcPr>
          <w:p w14:paraId="054C3C0D" w14:textId="77777777" w:rsidR="000C2868" w:rsidRPr="003E1083" w:rsidRDefault="000C2868" w:rsidP="000C2868">
            <w:pPr>
              <w:rPr>
                <w:rFonts w:asciiTheme="minorHAnsi" w:hAnsiTheme="minorHAnsi"/>
                <w:color w:val="000000"/>
                <w:sz w:val="18"/>
                <w:szCs w:val="20"/>
                <w:lang w:val="sq-AL"/>
              </w:rPr>
            </w:pPr>
            <w:r w:rsidRPr="003E1083">
              <w:rPr>
                <w:rFonts w:asciiTheme="minorHAnsi" w:hAnsiTheme="minorHAnsi"/>
                <w:color w:val="000000"/>
                <w:sz w:val="18"/>
                <w:szCs w:val="20"/>
                <w:lang w:val="sq-AL"/>
              </w:rPr>
              <w:t>Planifikimi, Menaxhimi dhe Administrimi</w:t>
            </w:r>
          </w:p>
        </w:tc>
        <w:tc>
          <w:tcPr>
            <w:tcW w:w="0" w:type="auto"/>
            <w:tcBorders>
              <w:top w:val="nil"/>
              <w:left w:val="nil"/>
              <w:bottom w:val="single" w:sz="8" w:space="0" w:color="4BACC6"/>
              <w:right w:val="single" w:sz="8" w:space="0" w:color="4BACC6"/>
            </w:tcBorders>
            <w:shd w:val="clear" w:color="auto" w:fill="auto"/>
            <w:noWrap/>
            <w:vAlign w:val="center"/>
            <w:hideMark/>
          </w:tcPr>
          <w:p w14:paraId="58A87113"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1,404,124</w:t>
            </w:r>
          </w:p>
        </w:tc>
        <w:tc>
          <w:tcPr>
            <w:tcW w:w="0" w:type="auto"/>
            <w:tcBorders>
              <w:top w:val="nil"/>
              <w:left w:val="nil"/>
              <w:bottom w:val="single" w:sz="8" w:space="0" w:color="4BACC6"/>
              <w:right w:val="single" w:sz="8" w:space="0" w:color="4BACC6"/>
            </w:tcBorders>
            <w:shd w:val="clear" w:color="auto" w:fill="auto"/>
            <w:noWrap/>
            <w:vAlign w:val="center"/>
            <w:hideMark/>
          </w:tcPr>
          <w:p w14:paraId="5106C223"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200,000</w:t>
            </w:r>
          </w:p>
        </w:tc>
        <w:tc>
          <w:tcPr>
            <w:tcW w:w="0" w:type="auto"/>
            <w:tcBorders>
              <w:top w:val="nil"/>
              <w:left w:val="nil"/>
              <w:bottom w:val="single" w:sz="8" w:space="0" w:color="4BACC6"/>
              <w:right w:val="single" w:sz="8" w:space="0" w:color="4BACC6"/>
            </w:tcBorders>
            <w:shd w:val="clear" w:color="auto" w:fill="auto"/>
            <w:noWrap/>
            <w:vAlign w:val="center"/>
            <w:hideMark/>
          </w:tcPr>
          <w:p w14:paraId="0B52A98F"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282,469</w:t>
            </w:r>
          </w:p>
        </w:tc>
        <w:tc>
          <w:tcPr>
            <w:tcW w:w="0" w:type="auto"/>
            <w:tcBorders>
              <w:top w:val="nil"/>
              <w:left w:val="nil"/>
              <w:bottom w:val="single" w:sz="8" w:space="0" w:color="4BACC6"/>
              <w:right w:val="single" w:sz="8" w:space="0" w:color="4BACC6"/>
            </w:tcBorders>
            <w:shd w:val="clear" w:color="auto" w:fill="auto"/>
            <w:noWrap/>
            <w:vAlign w:val="center"/>
            <w:hideMark/>
          </w:tcPr>
          <w:p w14:paraId="7D3F9B8D"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17,095</w:t>
            </w:r>
          </w:p>
        </w:tc>
        <w:tc>
          <w:tcPr>
            <w:tcW w:w="0" w:type="auto"/>
            <w:tcBorders>
              <w:top w:val="nil"/>
              <w:left w:val="nil"/>
              <w:bottom w:val="single" w:sz="8" w:space="0" w:color="4BACC6"/>
              <w:right w:val="single" w:sz="8" w:space="0" w:color="4BACC6"/>
            </w:tcBorders>
            <w:shd w:val="clear" w:color="auto" w:fill="auto"/>
            <w:vAlign w:val="center"/>
            <w:hideMark/>
          </w:tcPr>
          <w:p w14:paraId="0C3F70CE"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20.12%</w:t>
            </w:r>
          </w:p>
        </w:tc>
        <w:tc>
          <w:tcPr>
            <w:tcW w:w="0" w:type="auto"/>
            <w:tcBorders>
              <w:top w:val="nil"/>
              <w:left w:val="nil"/>
              <w:bottom w:val="single" w:sz="8" w:space="0" w:color="4BACC6"/>
              <w:right w:val="single" w:sz="8" w:space="0" w:color="4BACC6"/>
            </w:tcBorders>
            <w:shd w:val="clear" w:color="auto" w:fill="auto"/>
            <w:vAlign w:val="center"/>
            <w:hideMark/>
          </w:tcPr>
          <w:p w14:paraId="78D7369F"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8.55%</w:t>
            </w:r>
          </w:p>
        </w:tc>
      </w:tr>
      <w:tr w:rsidR="000C2868" w:rsidRPr="003E1083" w14:paraId="63B2F87B" w14:textId="77777777" w:rsidTr="000C2868">
        <w:trPr>
          <w:trHeight w:val="315"/>
          <w:jc w:val="center"/>
        </w:trPr>
        <w:tc>
          <w:tcPr>
            <w:tcW w:w="0" w:type="auto"/>
            <w:tcBorders>
              <w:top w:val="nil"/>
              <w:left w:val="single" w:sz="8" w:space="0" w:color="4BACC6"/>
              <w:bottom w:val="single" w:sz="8" w:space="0" w:color="4BACC6"/>
              <w:right w:val="single" w:sz="8" w:space="0" w:color="4BACC6"/>
            </w:tcBorders>
            <w:shd w:val="clear" w:color="000000" w:fill="FFFFFF"/>
            <w:noWrap/>
            <w:vAlign w:val="center"/>
            <w:hideMark/>
          </w:tcPr>
          <w:p w14:paraId="799426E4" w14:textId="77777777" w:rsidR="000C2868" w:rsidRPr="003E1083" w:rsidRDefault="000C2868" w:rsidP="000C2868">
            <w:pPr>
              <w:rPr>
                <w:rFonts w:asciiTheme="minorHAnsi" w:hAnsiTheme="minorHAnsi"/>
                <w:color w:val="000000"/>
                <w:sz w:val="18"/>
                <w:szCs w:val="20"/>
                <w:lang w:val="sq-AL"/>
              </w:rPr>
            </w:pPr>
            <w:r w:rsidRPr="003E1083">
              <w:rPr>
                <w:rFonts w:asciiTheme="minorHAnsi" w:hAnsiTheme="minorHAnsi"/>
                <w:color w:val="000000"/>
                <w:sz w:val="18"/>
                <w:szCs w:val="20"/>
                <w:lang w:val="sq-AL"/>
              </w:rPr>
              <w:t>Forcat e Luftimit</w:t>
            </w:r>
          </w:p>
        </w:tc>
        <w:tc>
          <w:tcPr>
            <w:tcW w:w="0" w:type="auto"/>
            <w:tcBorders>
              <w:top w:val="nil"/>
              <w:left w:val="nil"/>
              <w:bottom w:val="single" w:sz="8" w:space="0" w:color="4BACC6"/>
              <w:right w:val="single" w:sz="8" w:space="0" w:color="4BACC6"/>
            </w:tcBorders>
            <w:shd w:val="clear" w:color="auto" w:fill="auto"/>
            <w:noWrap/>
            <w:vAlign w:val="center"/>
            <w:hideMark/>
          </w:tcPr>
          <w:p w14:paraId="43A4E759"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5,937,204</w:t>
            </w:r>
          </w:p>
        </w:tc>
        <w:tc>
          <w:tcPr>
            <w:tcW w:w="0" w:type="auto"/>
            <w:tcBorders>
              <w:top w:val="nil"/>
              <w:left w:val="nil"/>
              <w:bottom w:val="single" w:sz="8" w:space="0" w:color="4BACC6"/>
              <w:right w:val="single" w:sz="8" w:space="0" w:color="4BACC6"/>
            </w:tcBorders>
            <w:shd w:val="clear" w:color="auto" w:fill="auto"/>
            <w:noWrap/>
            <w:vAlign w:val="center"/>
            <w:hideMark/>
          </w:tcPr>
          <w:p w14:paraId="284C182D"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7,991,435</w:t>
            </w:r>
          </w:p>
        </w:tc>
        <w:tc>
          <w:tcPr>
            <w:tcW w:w="0" w:type="auto"/>
            <w:tcBorders>
              <w:top w:val="nil"/>
              <w:left w:val="nil"/>
              <w:bottom w:val="single" w:sz="8" w:space="0" w:color="4BACC6"/>
              <w:right w:val="single" w:sz="8" w:space="0" w:color="4BACC6"/>
            </w:tcBorders>
            <w:shd w:val="clear" w:color="auto" w:fill="auto"/>
            <w:noWrap/>
            <w:vAlign w:val="center"/>
            <w:hideMark/>
          </w:tcPr>
          <w:p w14:paraId="0A483DD5"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1,630,861</w:t>
            </w:r>
          </w:p>
        </w:tc>
        <w:tc>
          <w:tcPr>
            <w:tcW w:w="0" w:type="auto"/>
            <w:tcBorders>
              <w:top w:val="nil"/>
              <w:left w:val="nil"/>
              <w:bottom w:val="single" w:sz="8" w:space="0" w:color="4BACC6"/>
              <w:right w:val="single" w:sz="8" w:space="0" w:color="4BACC6"/>
            </w:tcBorders>
            <w:shd w:val="clear" w:color="auto" w:fill="auto"/>
            <w:noWrap/>
            <w:vAlign w:val="center"/>
            <w:hideMark/>
          </w:tcPr>
          <w:p w14:paraId="1078D2CC"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859,173</w:t>
            </w:r>
          </w:p>
        </w:tc>
        <w:tc>
          <w:tcPr>
            <w:tcW w:w="0" w:type="auto"/>
            <w:tcBorders>
              <w:top w:val="nil"/>
              <w:left w:val="nil"/>
              <w:bottom w:val="single" w:sz="8" w:space="0" w:color="4BACC6"/>
              <w:right w:val="single" w:sz="8" w:space="0" w:color="4BACC6"/>
            </w:tcBorders>
            <w:shd w:val="clear" w:color="auto" w:fill="auto"/>
            <w:vAlign w:val="center"/>
            <w:hideMark/>
          </w:tcPr>
          <w:p w14:paraId="063B9B5A"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27.47%</w:t>
            </w:r>
          </w:p>
        </w:tc>
        <w:tc>
          <w:tcPr>
            <w:tcW w:w="0" w:type="auto"/>
            <w:tcBorders>
              <w:top w:val="nil"/>
              <w:left w:val="nil"/>
              <w:bottom w:val="single" w:sz="8" w:space="0" w:color="4BACC6"/>
              <w:right w:val="single" w:sz="8" w:space="0" w:color="4BACC6"/>
            </w:tcBorders>
            <w:shd w:val="clear" w:color="auto" w:fill="auto"/>
            <w:vAlign w:val="center"/>
            <w:hideMark/>
          </w:tcPr>
          <w:p w14:paraId="37C38ADC"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10.75%</w:t>
            </w:r>
          </w:p>
        </w:tc>
      </w:tr>
      <w:tr w:rsidR="000C2868" w:rsidRPr="003E1083" w14:paraId="0082C7BC" w14:textId="77777777" w:rsidTr="000C2868">
        <w:trPr>
          <w:trHeight w:val="315"/>
          <w:jc w:val="center"/>
        </w:trPr>
        <w:tc>
          <w:tcPr>
            <w:tcW w:w="0" w:type="auto"/>
            <w:tcBorders>
              <w:top w:val="nil"/>
              <w:left w:val="single" w:sz="8" w:space="0" w:color="4BACC6"/>
              <w:bottom w:val="single" w:sz="8" w:space="0" w:color="4BACC6"/>
              <w:right w:val="single" w:sz="8" w:space="0" w:color="4BACC6"/>
            </w:tcBorders>
            <w:shd w:val="clear" w:color="000000" w:fill="FFFFFF"/>
            <w:noWrap/>
            <w:vAlign w:val="center"/>
            <w:hideMark/>
          </w:tcPr>
          <w:p w14:paraId="63F3695D" w14:textId="77777777" w:rsidR="000C2868" w:rsidRPr="003E1083" w:rsidRDefault="000C2868" w:rsidP="000C2868">
            <w:pPr>
              <w:jc w:val="right"/>
              <w:rPr>
                <w:rFonts w:asciiTheme="minorHAnsi" w:hAnsiTheme="minorHAnsi"/>
                <w:i/>
                <w:iCs/>
                <w:color w:val="000000"/>
                <w:sz w:val="18"/>
                <w:szCs w:val="20"/>
                <w:lang w:val="sq-AL"/>
              </w:rPr>
            </w:pPr>
            <w:r w:rsidRPr="003E1083">
              <w:rPr>
                <w:rFonts w:asciiTheme="minorHAnsi" w:hAnsiTheme="minorHAnsi"/>
                <w:i/>
                <w:iCs/>
                <w:color w:val="000000"/>
                <w:sz w:val="18"/>
                <w:szCs w:val="20"/>
                <w:lang w:val="sq-AL"/>
              </w:rPr>
              <w:t>Financim i huaj</w:t>
            </w:r>
          </w:p>
        </w:tc>
        <w:tc>
          <w:tcPr>
            <w:tcW w:w="0" w:type="auto"/>
            <w:tcBorders>
              <w:top w:val="nil"/>
              <w:left w:val="nil"/>
              <w:bottom w:val="single" w:sz="8" w:space="0" w:color="4BACC6"/>
              <w:right w:val="single" w:sz="8" w:space="0" w:color="4BACC6"/>
            </w:tcBorders>
            <w:shd w:val="clear" w:color="auto" w:fill="auto"/>
            <w:noWrap/>
            <w:vAlign w:val="center"/>
            <w:hideMark/>
          </w:tcPr>
          <w:p w14:paraId="0C1DF718" w14:textId="77777777" w:rsidR="000C2868" w:rsidRPr="003E1083" w:rsidRDefault="000C2868" w:rsidP="000C2868">
            <w:pPr>
              <w:jc w:val="center"/>
              <w:rPr>
                <w:rFonts w:asciiTheme="minorHAnsi" w:hAnsiTheme="minorHAnsi"/>
                <w:i/>
                <w:iCs/>
                <w:color w:val="000000"/>
                <w:sz w:val="18"/>
                <w:szCs w:val="20"/>
                <w:lang w:val="sq-AL"/>
              </w:rPr>
            </w:pPr>
            <w:r w:rsidRPr="003E1083">
              <w:rPr>
                <w:rFonts w:asciiTheme="minorHAnsi" w:hAnsiTheme="minorHAnsi"/>
                <w:i/>
                <w:iCs/>
                <w:color w:val="000000"/>
                <w:sz w:val="18"/>
                <w:szCs w:val="20"/>
                <w:lang w:val="sq-AL"/>
              </w:rPr>
              <w:t> </w:t>
            </w:r>
          </w:p>
        </w:tc>
        <w:tc>
          <w:tcPr>
            <w:tcW w:w="0" w:type="auto"/>
            <w:tcBorders>
              <w:top w:val="nil"/>
              <w:left w:val="nil"/>
              <w:bottom w:val="single" w:sz="8" w:space="0" w:color="4BACC6"/>
              <w:right w:val="single" w:sz="8" w:space="0" w:color="4BACC6"/>
            </w:tcBorders>
            <w:shd w:val="clear" w:color="auto" w:fill="auto"/>
            <w:noWrap/>
            <w:vAlign w:val="center"/>
            <w:hideMark/>
          </w:tcPr>
          <w:p w14:paraId="749D132E" w14:textId="77777777" w:rsidR="000C2868" w:rsidRPr="003E1083" w:rsidRDefault="000C2868" w:rsidP="000C2868">
            <w:pPr>
              <w:jc w:val="center"/>
              <w:rPr>
                <w:rFonts w:asciiTheme="minorHAnsi" w:hAnsiTheme="minorHAnsi"/>
                <w:i/>
                <w:iCs/>
                <w:color w:val="000000"/>
                <w:sz w:val="18"/>
                <w:szCs w:val="20"/>
                <w:lang w:val="sq-AL"/>
              </w:rPr>
            </w:pPr>
            <w:r w:rsidRPr="003E1083">
              <w:rPr>
                <w:rFonts w:asciiTheme="minorHAnsi" w:hAnsiTheme="minorHAnsi"/>
                <w:i/>
                <w:iCs/>
                <w:color w:val="000000"/>
                <w:sz w:val="18"/>
                <w:szCs w:val="20"/>
                <w:lang w:val="sq-AL"/>
              </w:rPr>
              <w:t>4,100,000</w:t>
            </w:r>
          </w:p>
        </w:tc>
        <w:tc>
          <w:tcPr>
            <w:tcW w:w="0" w:type="auto"/>
            <w:tcBorders>
              <w:top w:val="nil"/>
              <w:left w:val="nil"/>
              <w:bottom w:val="single" w:sz="8" w:space="0" w:color="4BACC6"/>
              <w:right w:val="single" w:sz="8" w:space="0" w:color="4BACC6"/>
            </w:tcBorders>
            <w:shd w:val="clear" w:color="auto" w:fill="auto"/>
            <w:noWrap/>
            <w:vAlign w:val="center"/>
            <w:hideMark/>
          </w:tcPr>
          <w:p w14:paraId="48F5C625" w14:textId="77777777" w:rsidR="000C2868" w:rsidRPr="003E1083" w:rsidRDefault="000C2868" w:rsidP="000C2868">
            <w:pPr>
              <w:jc w:val="center"/>
              <w:rPr>
                <w:rFonts w:asciiTheme="minorHAnsi" w:hAnsiTheme="minorHAnsi"/>
                <w:i/>
                <w:iCs/>
                <w:color w:val="000000"/>
                <w:sz w:val="18"/>
                <w:szCs w:val="20"/>
                <w:lang w:val="sq-AL"/>
              </w:rPr>
            </w:pPr>
            <w:r w:rsidRPr="003E1083">
              <w:rPr>
                <w:rFonts w:asciiTheme="minorHAnsi" w:hAnsiTheme="minorHAnsi"/>
                <w:i/>
                <w:iCs/>
                <w:color w:val="000000"/>
                <w:sz w:val="18"/>
                <w:szCs w:val="20"/>
                <w:lang w:val="sq-AL"/>
              </w:rPr>
              <w:t> </w:t>
            </w:r>
          </w:p>
        </w:tc>
        <w:tc>
          <w:tcPr>
            <w:tcW w:w="0" w:type="auto"/>
            <w:tcBorders>
              <w:top w:val="nil"/>
              <w:left w:val="nil"/>
              <w:bottom w:val="single" w:sz="8" w:space="0" w:color="4BACC6"/>
              <w:right w:val="single" w:sz="8" w:space="0" w:color="4BACC6"/>
            </w:tcBorders>
            <w:shd w:val="clear" w:color="auto" w:fill="auto"/>
            <w:noWrap/>
            <w:vAlign w:val="center"/>
            <w:hideMark/>
          </w:tcPr>
          <w:p w14:paraId="17BF4BCA" w14:textId="77777777" w:rsidR="000C2868" w:rsidRPr="003E1083" w:rsidRDefault="000C2868" w:rsidP="000C2868">
            <w:pPr>
              <w:jc w:val="center"/>
              <w:rPr>
                <w:rFonts w:asciiTheme="minorHAnsi" w:hAnsiTheme="minorHAnsi"/>
                <w:i/>
                <w:iCs/>
                <w:color w:val="000000"/>
                <w:sz w:val="18"/>
                <w:szCs w:val="20"/>
                <w:lang w:val="sq-AL"/>
              </w:rPr>
            </w:pPr>
            <w:r w:rsidRPr="003E1083">
              <w:rPr>
                <w:rFonts w:asciiTheme="minorHAnsi" w:hAnsiTheme="minorHAnsi"/>
                <w:i/>
                <w:iCs/>
                <w:color w:val="000000"/>
                <w:sz w:val="18"/>
                <w:szCs w:val="20"/>
                <w:lang w:val="sq-AL"/>
              </w:rPr>
              <w:t>0</w:t>
            </w:r>
          </w:p>
        </w:tc>
        <w:tc>
          <w:tcPr>
            <w:tcW w:w="0" w:type="auto"/>
            <w:tcBorders>
              <w:top w:val="nil"/>
              <w:left w:val="nil"/>
              <w:bottom w:val="single" w:sz="8" w:space="0" w:color="4BACC6"/>
              <w:right w:val="single" w:sz="8" w:space="0" w:color="4BACC6"/>
            </w:tcBorders>
            <w:shd w:val="clear" w:color="auto" w:fill="auto"/>
            <w:vAlign w:val="center"/>
            <w:hideMark/>
          </w:tcPr>
          <w:p w14:paraId="20CB4FC3" w14:textId="77777777" w:rsidR="000C2868" w:rsidRPr="003E1083" w:rsidRDefault="000C2868" w:rsidP="000C2868">
            <w:pPr>
              <w:jc w:val="center"/>
              <w:rPr>
                <w:rFonts w:asciiTheme="minorHAnsi" w:hAnsiTheme="minorHAnsi"/>
                <w:i/>
                <w:iCs/>
                <w:color w:val="000000"/>
                <w:sz w:val="18"/>
                <w:szCs w:val="20"/>
                <w:lang w:val="sq-AL"/>
              </w:rPr>
            </w:pPr>
            <w:r w:rsidRPr="003E1083">
              <w:rPr>
                <w:rFonts w:asciiTheme="minorHAnsi" w:hAnsiTheme="minorHAnsi"/>
                <w:i/>
                <w:iCs/>
                <w:color w:val="000000"/>
                <w:sz w:val="18"/>
                <w:szCs w:val="20"/>
                <w:lang w:val="sq-AL"/>
              </w:rPr>
              <w:t> </w:t>
            </w:r>
          </w:p>
        </w:tc>
        <w:tc>
          <w:tcPr>
            <w:tcW w:w="0" w:type="auto"/>
            <w:tcBorders>
              <w:top w:val="nil"/>
              <w:left w:val="nil"/>
              <w:bottom w:val="single" w:sz="8" w:space="0" w:color="4BACC6"/>
              <w:right w:val="single" w:sz="8" w:space="0" w:color="4BACC6"/>
            </w:tcBorders>
            <w:shd w:val="clear" w:color="auto" w:fill="auto"/>
            <w:vAlign w:val="center"/>
            <w:hideMark/>
          </w:tcPr>
          <w:p w14:paraId="32BFBB57" w14:textId="77777777" w:rsidR="000C2868" w:rsidRPr="003E1083" w:rsidRDefault="000C2868" w:rsidP="000C2868">
            <w:pPr>
              <w:jc w:val="center"/>
              <w:rPr>
                <w:rFonts w:asciiTheme="minorHAnsi" w:hAnsiTheme="minorHAnsi"/>
                <w:i/>
                <w:iCs/>
                <w:color w:val="000000"/>
                <w:sz w:val="18"/>
                <w:szCs w:val="20"/>
                <w:lang w:val="sq-AL"/>
              </w:rPr>
            </w:pPr>
            <w:r w:rsidRPr="003E1083">
              <w:rPr>
                <w:rFonts w:asciiTheme="minorHAnsi" w:hAnsiTheme="minorHAnsi"/>
                <w:i/>
                <w:iCs/>
                <w:color w:val="000000"/>
                <w:sz w:val="18"/>
                <w:szCs w:val="20"/>
                <w:lang w:val="sq-AL"/>
              </w:rPr>
              <w:t>0.00%</w:t>
            </w:r>
          </w:p>
        </w:tc>
      </w:tr>
      <w:tr w:rsidR="000C2868" w:rsidRPr="003E1083" w14:paraId="1019D068" w14:textId="77777777" w:rsidTr="000C2868">
        <w:trPr>
          <w:trHeight w:val="315"/>
          <w:jc w:val="center"/>
        </w:trPr>
        <w:tc>
          <w:tcPr>
            <w:tcW w:w="0" w:type="auto"/>
            <w:tcBorders>
              <w:top w:val="nil"/>
              <w:left w:val="single" w:sz="8" w:space="0" w:color="4BACC6"/>
              <w:bottom w:val="single" w:sz="8" w:space="0" w:color="4BACC6"/>
              <w:right w:val="single" w:sz="8" w:space="0" w:color="4BACC6"/>
            </w:tcBorders>
            <w:shd w:val="clear" w:color="000000" w:fill="FFFFFF"/>
            <w:noWrap/>
            <w:vAlign w:val="center"/>
            <w:hideMark/>
          </w:tcPr>
          <w:p w14:paraId="34352395" w14:textId="77777777" w:rsidR="000C2868" w:rsidRPr="003E1083" w:rsidRDefault="000C2868" w:rsidP="000C2868">
            <w:pPr>
              <w:rPr>
                <w:rFonts w:asciiTheme="minorHAnsi" w:hAnsiTheme="minorHAnsi"/>
                <w:color w:val="000000"/>
                <w:sz w:val="18"/>
                <w:szCs w:val="20"/>
                <w:lang w:val="sq-AL"/>
              </w:rPr>
            </w:pPr>
            <w:r w:rsidRPr="003E1083">
              <w:rPr>
                <w:rFonts w:asciiTheme="minorHAnsi" w:hAnsiTheme="minorHAnsi"/>
                <w:color w:val="000000"/>
                <w:sz w:val="18"/>
                <w:szCs w:val="20"/>
                <w:lang w:val="sq-AL"/>
              </w:rPr>
              <w:t>Arsimi Ushtarak</w:t>
            </w:r>
          </w:p>
        </w:tc>
        <w:tc>
          <w:tcPr>
            <w:tcW w:w="0" w:type="auto"/>
            <w:tcBorders>
              <w:top w:val="nil"/>
              <w:left w:val="nil"/>
              <w:bottom w:val="single" w:sz="8" w:space="0" w:color="4BACC6"/>
              <w:right w:val="single" w:sz="8" w:space="0" w:color="4BACC6"/>
            </w:tcBorders>
            <w:shd w:val="clear" w:color="auto" w:fill="auto"/>
            <w:noWrap/>
            <w:vAlign w:val="center"/>
            <w:hideMark/>
          </w:tcPr>
          <w:p w14:paraId="75A2CC04"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863,812</w:t>
            </w:r>
          </w:p>
        </w:tc>
        <w:tc>
          <w:tcPr>
            <w:tcW w:w="0" w:type="auto"/>
            <w:tcBorders>
              <w:top w:val="nil"/>
              <w:left w:val="nil"/>
              <w:bottom w:val="single" w:sz="8" w:space="0" w:color="4BACC6"/>
              <w:right w:val="single" w:sz="8" w:space="0" w:color="4BACC6"/>
            </w:tcBorders>
            <w:shd w:val="clear" w:color="auto" w:fill="auto"/>
            <w:noWrap/>
            <w:vAlign w:val="center"/>
            <w:hideMark/>
          </w:tcPr>
          <w:p w14:paraId="0179A656"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733,065</w:t>
            </w:r>
          </w:p>
        </w:tc>
        <w:tc>
          <w:tcPr>
            <w:tcW w:w="0" w:type="auto"/>
            <w:tcBorders>
              <w:top w:val="nil"/>
              <w:left w:val="nil"/>
              <w:bottom w:val="single" w:sz="8" w:space="0" w:color="4BACC6"/>
              <w:right w:val="single" w:sz="8" w:space="0" w:color="4BACC6"/>
            </w:tcBorders>
            <w:shd w:val="clear" w:color="auto" w:fill="auto"/>
            <w:noWrap/>
            <w:vAlign w:val="center"/>
            <w:hideMark/>
          </w:tcPr>
          <w:p w14:paraId="32EEEA44"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228,613</w:t>
            </w:r>
          </w:p>
        </w:tc>
        <w:tc>
          <w:tcPr>
            <w:tcW w:w="0" w:type="auto"/>
            <w:tcBorders>
              <w:top w:val="nil"/>
              <w:left w:val="nil"/>
              <w:bottom w:val="single" w:sz="8" w:space="0" w:color="4BACC6"/>
              <w:right w:val="single" w:sz="8" w:space="0" w:color="4BACC6"/>
            </w:tcBorders>
            <w:shd w:val="clear" w:color="auto" w:fill="auto"/>
            <w:noWrap/>
            <w:vAlign w:val="center"/>
            <w:hideMark/>
          </w:tcPr>
          <w:p w14:paraId="129DEEF3"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0</w:t>
            </w:r>
          </w:p>
        </w:tc>
        <w:tc>
          <w:tcPr>
            <w:tcW w:w="0" w:type="auto"/>
            <w:tcBorders>
              <w:top w:val="nil"/>
              <w:left w:val="nil"/>
              <w:bottom w:val="single" w:sz="8" w:space="0" w:color="4BACC6"/>
              <w:right w:val="single" w:sz="8" w:space="0" w:color="4BACC6"/>
            </w:tcBorders>
            <w:shd w:val="clear" w:color="auto" w:fill="auto"/>
            <w:vAlign w:val="center"/>
            <w:hideMark/>
          </w:tcPr>
          <w:p w14:paraId="4FE4A0C1"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26.47%</w:t>
            </w:r>
          </w:p>
        </w:tc>
        <w:tc>
          <w:tcPr>
            <w:tcW w:w="0" w:type="auto"/>
            <w:tcBorders>
              <w:top w:val="nil"/>
              <w:left w:val="nil"/>
              <w:bottom w:val="single" w:sz="8" w:space="0" w:color="4BACC6"/>
              <w:right w:val="single" w:sz="8" w:space="0" w:color="4BACC6"/>
            </w:tcBorders>
            <w:shd w:val="clear" w:color="auto" w:fill="auto"/>
            <w:vAlign w:val="center"/>
            <w:hideMark/>
          </w:tcPr>
          <w:p w14:paraId="10F7DE5A"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0.00%</w:t>
            </w:r>
          </w:p>
        </w:tc>
      </w:tr>
      <w:tr w:rsidR="000C2868" w:rsidRPr="003E1083" w14:paraId="56F31811" w14:textId="77777777" w:rsidTr="000C2868">
        <w:trPr>
          <w:trHeight w:val="315"/>
          <w:jc w:val="center"/>
        </w:trPr>
        <w:tc>
          <w:tcPr>
            <w:tcW w:w="0" w:type="auto"/>
            <w:tcBorders>
              <w:top w:val="nil"/>
              <w:left w:val="single" w:sz="8" w:space="0" w:color="4BACC6"/>
              <w:bottom w:val="single" w:sz="8" w:space="0" w:color="4BACC6"/>
              <w:right w:val="single" w:sz="8" w:space="0" w:color="4BACC6"/>
            </w:tcBorders>
            <w:shd w:val="clear" w:color="000000" w:fill="FFFFFF"/>
            <w:noWrap/>
            <w:vAlign w:val="center"/>
            <w:hideMark/>
          </w:tcPr>
          <w:p w14:paraId="495CD19D" w14:textId="77777777" w:rsidR="000C2868" w:rsidRPr="003E1083" w:rsidRDefault="000C2868" w:rsidP="000C2868">
            <w:pPr>
              <w:rPr>
                <w:rFonts w:asciiTheme="minorHAnsi" w:hAnsiTheme="minorHAnsi"/>
                <w:color w:val="000000"/>
                <w:sz w:val="18"/>
                <w:szCs w:val="20"/>
                <w:lang w:val="sq-AL"/>
              </w:rPr>
            </w:pPr>
            <w:r w:rsidRPr="003E1083">
              <w:rPr>
                <w:rFonts w:asciiTheme="minorHAnsi" w:hAnsiTheme="minorHAnsi"/>
                <w:color w:val="000000"/>
                <w:sz w:val="18"/>
                <w:szCs w:val="20"/>
                <w:lang w:val="sq-AL"/>
              </w:rPr>
              <w:t>Mbështetja e Luftimit</w:t>
            </w:r>
          </w:p>
        </w:tc>
        <w:tc>
          <w:tcPr>
            <w:tcW w:w="0" w:type="auto"/>
            <w:tcBorders>
              <w:top w:val="nil"/>
              <w:left w:val="nil"/>
              <w:bottom w:val="single" w:sz="8" w:space="0" w:color="4BACC6"/>
              <w:right w:val="single" w:sz="8" w:space="0" w:color="4BACC6"/>
            </w:tcBorders>
            <w:shd w:val="clear" w:color="auto" w:fill="auto"/>
            <w:noWrap/>
            <w:vAlign w:val="center"/>
            <w:hideMark/>
          </w:tcPr>
          <w:p w14:paraId="08E257D8"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6,441,279</w:t>
            </w:r>
          </w:p>
        </w:tc>
        <w:tc>
          <w:tcPr>
            <w:tcW w:w="0" w:type="auto"/>
            <w:tcBorders>
              <w:top w:val="nil"/>
              <w:left w:val="nil"/>
              <w:bottom w:val="single" w:sz="8" w:space="0" w:color="4BACC6"/>
              <w:right w:val="single" w:sz="8" w:space="0" w:color="4BACC6"/>
            </w:tcBorders>
            <w:shd w:val="clear" w:color="auto" w:fill="auto"/>
            <w:noWrap/>
            <w:vAlign w:val="center"/>
            <w:hideMark/>
          </w:tcPr>
          <w:p w14:paraId="6E50AAD8"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1,222,500</w:t>
            </w:r>
          </w:p>
        </w:tc>
        <w:tc>
          <w:tcPr>
            <w:tcW w:w="0" w:type="auto"/>
            <w:tcBorders>
              <w:top w:val="nil"/>
              <w:left w:val="nil"/>
              <w:bottom w:val="single" w:sz="8" w:space="0" w:color="4BACC6"/>
              <w:right w:val="single" w:sz="8" w:space="0" w:color="4BACC6"/>
            </w:tcBorders>
            <w:shd w:val="clear" w:color="auto" w:fill="auto"/>
            <w:noWrap/>
            <w:vAlign w:val="center"/>
            <w:hideMark/>
          </w:tcPr>
          <w:p w14:paraId="27B71535"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1,405,448</w:t>
            </w:r>
          </w:p>
        </w:tc>
        <w:tc>
          <w:tcPr>
            <w:tcW w:w="0" w:type="auto"/>
            <w:tcBorders>
              <w:top w:val="nil"/>
              <w:left w:val="nil"/>
              <w:bottom w:val="single" w:sz="8" w:space="0" w:color="4BACC6"/>
              <w:right w:val="single" w:sz="8" w:space="0" w:color="4BACC6"/>
            </w:tcBorders>
            <w:shd w:val="clear" w:color="auto" w:fill="auto"/>
            <w:noWrap/>
            <w:vAlign w:val="center"/>
            <w:hideMark/>
          </w:tcPr>
          <w:p w14:paraId="35B56C18"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62,607</w:t>
            </w:r>
          </w:p>
        </w:tc>
        <w:tc>
          <w:tcPr>
            <w:tcW w:w="0" w:type="auto"/>
            <w:tcBorders>
              <w:top w:val="nil"/>
              <w:left w:val="nil"/>
              <w:bottom w:val="single" w:sz="8" w:space="0" w:color="4BACC6"/>
              <w:right w:val="single" w:sz="8" w:space="0" w:color="4BACC6"/>
            </w:tcBorders>
            <w:shd w:val="clear" w:color="auto" w:fill="auto"/>
            <w:vAlign w:val="center"/>
            <w:hideMark/>
          </w:tcPr>
          <w:p w14:paraId="0C00A665"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21.82%</w:t>
            </w:r>
          </w:p>
        </w:tc>
        <w:tc>
          <w:tcPr>
            <w:tcW w:w="0" w:type="auto"/>
            <w:tcBorders>
              <w:top w:val="nil"/>
              <w:left w:val="nil"/>
              <w:bottom w:val="single" w:sz="8" w:space="0" w:color="4BACC6"/>
              <w:right w:val="single" w:sz="8" w:space="0" w:color="4BACC6"/>
            </w:tcBorders>
            <w:shd w:val="clear" w:color="auto" w:fill="auto"/>
            <w:vAlign w:val="center"/>
            <w:hideMark/>
          </w:tcPr>
          <w:p w14:paraId="0FFC23B9"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5.12%</w:t>
            </w:r>
          </w:p>
        </w:tc>
      </w:tr>
      <w:tr w:rsidR="000C2868" w:rsidRPr="003E1083" w14:paraId="1BA7BAD2" w14:textId="77777777" w:rsidTr="000C2868">
        <w:trPr>
          <w:trHeight w:val="315"/>
          <w:jc w:val="center"/>
        </w:trPr>
        <w:tc>
          <w:tcPr>
            <w:tcW w:w="0" w:type="auto"/>
            <w:tcBorders>
              <w:top w:val="nil"/>
              <w:left w:val="single" w:sz="8" w:space="0" w:color="4BACC6"/>
              <w:bottom w:val="single" w:sz="8" w:space="0" w:color="4BACC6"/>
              <w:right w:val="single" w:sz="8" w:space="0" w:color="4BACC6"/>
            </w:tcBorders>
            <w:shd w:val="clear" w:color="000000" w:fill="FFFFFF"/>
            <w:noWrap/>
            <w:vAlign w:val="center"/>
            <w:hideMark/>
          </w:tcPr>
          <w:p w14:paraId="46EF364B" w14:textId="77777777" w:rsidR="000C2868" w:rsidRPr="003E1083" w:rsidRDefault="000C2868" w:rsidP="000C2868">
            <w:pPr>
              <w:rPr>
                <w:rFonts w:asciiTheme="minorHAnsi" w:hAnsiTheme="minorHAnsi"/>
                <w:color w:val="000000"/>
                <w:sz w:val="18"/>
                <w:szCs w:val="20"/>
                <w:lang w:val="sq-AL"/>
              </w:rPr>
            </w:pPr>
            <w:r w:rsidRPr="003E1083">
              <w:rPr>
                <w:rFonts w:asciiTheme="minorHAnsi" w:hAnsiTheme="minorHAnsi"/>
                <w:color w:val="000000"/>
                <w:sz w:val="18"/>
                <w:szCs w:val="20"/>
                <w:lang w:val="sq-AL"/>
              </w:rPr>
              <w:t>Mbështetje për Shëndetësinë</w:t>
            </w:r>
          </w:p>
        </w:tc>
        <w:tc>
          <w:tcPr>
            <w:tcW w:w="0" w:type="auto"/>
            <w:tcBorders>
              <w:top w:val="nil"/>
              <w:left w:val="nil"/>
              <w:bottom w:val="single" w:sz="8" w:space="0" w:color="4BACC6"/>
              <w:right w:val="single" w:sz="8" w:space="0" w:color="4BACC6"/>
            </w:tcBorders>
            <w:shd w:val="clear" w:color="auto" w:fill="auto"/>
            <w:noWrap/>
            <w:vAlign w:val="center"/>
            <w:hideMark/>
          </w:tcPr>
          <w:p w14:paraId="6202A739"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1,228,336</w:t>
            </w:r>
          </w:p>
        </w:tc>
        <w:tc>
          <w:tcPr>
            <w:tcW w:w="0" w:type="auto"/>
            <w:tcBorders>
              <w:top w:val="nil"/>
              <w:left w:val="nil"/>
              <w:bottom w:val="single" w:sz="8" w:space="0" w:color="4BACC6"/>
              <w:right w:val="single" w:sz="8" w:space="0" w:color="4BACC6"/>
            </w:tcBorders>
            <w:shd w:val="clear" w:color="auto" w:fill="auto"/>
            <w:noWrap/>
            <w:vAlign w:val="center"/>
            <w:hideMark/>
          </w:tcPr>
          <w:p w14:paraId="1AD61698"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380,700</w:t>
            </w:r>
          </w:p>
        </w:tc>
        <w:tc>
          <w:tcPr>
            <w:tcW w:w="0" w:type="auto"/>
            <w:tcBorders>
              <w:top w:val="nil"/>
              <w:left w:val="nil"/>
              <w:bottom w:val="single" w:sz="8" w:space="0" w:color="4BACC6"/>
              <w:right w:val="single" w:sz="8" w:space="0" w:color="4BACC6"/>
            </w:tcBorders>
            <w:shd w:val="clear" w:color="auto" w:fill="auto"/>
            <w:noWrap/>
            <w:vAlign w:val="center"/>
            <w:hideMark/>
          </w:tcPr>
          <w:p w14:paraId="222D7360"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281,030</w:t>
            </w:r>
          </w:p>
        </w:tc>
        <w:tc>
          <w:tcPr>
            <w:tcW w:w="0" w:type="auto"/>
            <w:tcBorders>
              <w:top w:val="nil"/>
              <w:left w:val="nil"/>
              <w:bottom w:val="single" w:sz="8" w:space="0" w:color="4BACC6"/>
              <w:right w:val="single" w:sz="8" w:space="0" w:color="4BACC6"/>
            </w:tcBorders>
            <w:shd w:val="clear" w:color="auto" w:fill="auto"/>
            <w:noWrap/>
            <w:vAlign w:val="center"/>
            <w:hideMark/>
          </w:tcPr>
          <w:p w14:paraId="44AFFF85"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47,413</w:t>
            </w:r>
          </w:p>
        </w:tc>
        <w:tc>
          <w:tcPr>
            <w:tcW w:w="0" w:type="auto"/>
            <w:tcBorders>
              <w:top w:val="nil"/>
              <w:left w:val="nil"/>
              <w:bottom w:val="single" w:sz="8" w:space="0" w:color="4BACC6"/>
              <w:right w:val="single" w:sz="8" w:space="0" w:color="4BACC6"/>
            </w:tcBorders>
            <w:shd w:val="clear" w:color="auto" w:fill="auto"/>
            <w:vAlign w:val="center"/>
            <w:hideMark/>
          </w:tcPr>
          <w:p w14:paraId="2EEA5C65"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22.88%</w:t>
            </w:r>
          </w:p>
        </w:tc>
        <w:tc>
          <w:tcPr>
            <w:tcW w:w="0" w:type="auto"/>
            <w:tcBorders>
              <w:top w:val="nil"/>
              <w:left w:val="nil"/>
              <w:bottom w:val="single" w:sz="8" w:space="0" w:color="4BACC6"/>
              <w:right w:val="single" w:sz="8" w:space="0" w:color="4BACC6"/>
            </w:tcBorders>
            <w:shd w:val="clear" w:color="auto" w:fill="auto"/>
            <w:vAlign w:val="center"/>
            <w:hideMark/>
          </w:tcPr>
          <w:p w14:paraId="6FE768AD"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12.45%</w:t>
            </w:r>
          </w:p>
        </w:tc>
      </w:tr>
      <w:tr w:rsidR="000C2868" w:rsidRPr="003E1083" w14:paraId="2BBCB809" w14:textId="77777777" w:rsidTr="000C2868">
        <w:trPr>
          <w:trHeight w:val="315"/>
          <w:jc w:val="center"/>
        </w:trPr>
        <w:tc>
          <w:tcPr>
            <w:tcW w:w="0" w:type="auto"/>
            <w:tcBorders>
              <w:top w:val="nil"/>
              <w:left w:val="single" w:sz="8" w:space="0" w:color="4BACC6"/>
              <w:bottom w:val="single" w:sz="8" w:space="0" w:color="4BACC6"/>
              <w:right w:val="single" w:sz="8" w:space="0" w:color="4BACC6"/>
            </w:tcBorders>
            <w:shd w:val="clear" w:color="000000" w:fill="FFFFFF"/>
            <w:noWrap/>
            <w:vAlign w:val="center"/>
            <w:hideMark/>
          </w:tcPr>
          <w:p w14:paraId="0CB6DB71" w14:textId="77777777" w:rsidR="000C2868" w:rsidRPr="003E1083" w:rsidRDefault="000C2868" w:rsidP="000C2868">
            <w:pPr>
              <w:rPr>
                <w:rFonts w:asciiTheme="minorHAnsi" w:hAnsiTheme="minorHAnsi"/>
                <w:color w:val="000000"/>
                <w:sz w:val="18"/>
                <w:szCs w:val="20"/>
                <w:lang w:val="sq-AL"/>
              </w:rPr>
            </w:pPr>
            <w:r w:rsidRPr="003E1083">
              <w:rPr>
                <w:rFonts w:asciiTheme="minorHAnsi" w:hAnsiTheme="minorHAnsi"/>
                <w:color w:val="000000"/>
                <w:sz w:val="18"/>
                <w:szCs w:val="20"/>
                <w:lang w:val="sq-AL"/>
              </w:rPr>
              <w:t>Emergjencat Civile</w:t>
            </w:r>
          </w:p>
        </w:tc>
        <w:tc>
          <w:tcPr>
            <w:tcW w:w="0" w:type="auto"/>
            <w:tcBorders>
              <w:top w:val="nil"/>
              <w:left w:val="nil"/>
              <w:bottom w:val="single" w:sz="8" w:space="0" w:color="4BACC6"/>
              <w:right w:val="single" w:sz="8" w:space="0" w:color="4BACC6"/>
            </w:tcBorders>
            <w:shd w:val="clear" w:color="auto" w:fill="auto"/>
            <w:noWrap/>
            <w:vAlign w:val="center"/>
            <w:hideMark/>
          </w:tcPr>
          <w:p w14:paraId="5E0D26A9"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1,301,504</w:t>
            </w:r>
          </w:p>
        </w:tc>
        <w:tc>
          <w:tcPr>
            <w:tcW w:w="0" w:type="auto"/>
            <w:tcBorders>
              <w:top w:val="nil"/>
              <w:left w:val="nil"/>
              <w:bottom w:val="single" w:sz="8" w:space="0" w:color="4BACC6"/>
              <w:right w:val="single" w:sz="8" w:space="0" w:color="4BACC6"/>
            </w:tcBorders>
            <w:shd w:val="clear" w:color="auto" w:fill="auto"/>
            <w:noWrap/>
            <w:vAlign w:val="center"/>
            <w:hideMark/>
          </w:tcPr>
          <w:p w14:paraId="39910C78"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1,359,300</w:t>
            </w:r>
          </w:p>
        </w:tc>
        <w:tc>
          <w:tcPr>
            <w:tcW w:w="0" w:type="auto"/>
            <w:tcBorders>
              <w:top w:val="nil"/>
              <w:left w:val="nil"/>
              <w:bottom w:val="single" w:sz="8" w:space="0" w:color="4BACC6"/>
              <w:right w:val="single" w:sz="8" w:space="0" w:color="4BACC6"/>
            </w:tcBorders>
            <w:shd w:val="clear" w:color="auto" w:fill="auto"/>
            <w:noWrap/>
            <w:vAlign w:val="center"/>
            <w:hideMark/>
          </w:tcPr>
          <w:p w14:paraId="0C9820BA"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173,549</w:t>
            </w:r>
          </w:p>
        </w:tc>
        <w:tc>
          <w:tcPr>
            <w:tcW w:w="0" w:type="auto"/>
            <w:tcBorders>
              <w:top w:val="nil"/>
              <w:left w:val="nil"/>
              <w:bottom w:val="single" w:sz="8" w:space="0" w:color="4BACC6"/>
              <w:right w:val="single" w:sz="8" w:space="0" w:color="4BACC6"/>
            </w:tcBorders>
            <w:shd w:val="clear" w:color="auto" w:fill="auto"/>
            <w:noWrap/>
            <w:vAlign w:val="center"/>
            <w:hideMark/>
          </w:tcPr>
          <w:p w14:paraId="432C3DD6"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25,654</w:t>
            </w:r>
          </w:p>
        </w:tc>
        <w:tc>
          <w:tcPr>
            <w:tcW w:w="0" w:type="auto"/>
            <w:tcBorders>
              <w:top w:val="nil"/>
              <w:left w:val="nil"/>
              <w:bottom w:val="single" w:sz="8" w:space="0" w:color="4BACC6"/>
              <w:right w:val="single" w:sz="8" w:space="0" w:color="4BACC6"/>
            </w:tcBorders>
            <w:shd w:val="clear" w:color="auto" w:fill="auto"/>
            <w:vAlign w:val="center"/>
            <w:hideMark/>
          </w:tcPr>
          <w:p w14:paraId="134D1269"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13.33%</w:t>
            </w:r>
          </w:p>
        </w:tc>
        <w:tc>
          <w:tcPr>
            <w:tcW w:w="0" w:type="auto"/>
            <w:tcBorders>
              <w:top w:val="nil"/>
              <w:left w:val="nil"/>
              <w:bottom w:val="single" w:sz="8" w:space="0" w:color="4BACC6"/>
              <w:right w:val="single" w:sz="8" w:space="0" w:color="4BACC6"/>
            </w:tcBorders>
            <w:shd w:val="clear" w:color="auto" w:fill="auto"/>
            <w:vAlign w:val="center"/>
            <w:hideMark/>
          </w:tcPr>
          <w:p w14:paraId="0EC80D8E"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1.89%</w:t>
            </w:r>
          </w:p>
        </w:tc>
      </w:tr>
      <w:tr w:rsidR="000C2868" w:rsidRPr="003E1083" w14:paraId="329FAC42" w14:textId="77777777" w:rsidTr="000C2868">
        <w:trPr>
          <w:trHeight w:val="315"/>
          <w:jc w:val="center"/>
        </w:trPr>
        <w:tc>
          <w:tcPr>
            <w:tcW w:w="0" w:type="auto"/>
            <w:tcBorders>
              <w:top w:val="nil"/>
              <w:left w:val="single" w:sz="8" w:space="0" w:color="4BACC6"/>
              <w:bottom w:val="single" w:sz="8" w:space="0" w:color="4BACC6"/>
              <w:right w:val="single" w:sz="8" w:space="0" w:color="4BACC6"/>
            </w:tcBorders>
            <w:shd w:val="clear" w:color="000000" w:fill="FFFFFF"/>
            <w:noWrap/>
            <w:vAlign w:val="center"/>
            <w:hideMark/>
          </w:tcPr>
          <w:p w14:paraId="01ECF4A2" w14:textId="77777777" w:rsidR="000C2868" w:rsidRPr="003E1083" w:rsidRDefault="000C2868" w:rsidP="000C2868">
            <w:pPr>
              <w:jc w:val="right"/>
              <w:rPr>
                <w:rFonts w:asciiTheme="minorHAnsi" w:hAnsiTheme="minorHAnsi"/>
                <w:i/>
                <w:iCs/>
                <w:color w:val="000000"/>
                <w:sz w:val="18"/>
                <w:szCs w:val="20"/>
                <w:lang w:val="sq-AL"/>
              </w:rPr>
            </w:pPr>
            <w:r w:rsidRPr="003E1083">
              <w:rPr>
                <w:rFonts w:asciiTheme="minorHAnsi" w:hAnsiTheme="minorHAnsi"/>
                <w:i/>
                <w:iCs/>
                <w:color w:val="000000"/>
                <w:sz w:val="18"/>
                <w:szCs w:val="20"/>
                <w:lang w:val="sq-AL"/>
              </w:rPr>
              <w:t>Financim i huaj</w:t>
            </w:r>
          </w:p>
        </w:tc>
        <w:tc>
          <w:tcPr>
            <w:tcW w:w="0" w:type="auto"/>
            <w:tcBorders>
              <w:top w:val="nil"/>
              <w:left w:val="nil"/>
              <w:bottom w:val="single" w:sz="8" w:space="0" w:color="4BACC6"/>
              <w:right w:val="single" w:sz="8" w:space="0" w:color="4BACC6"/>
            </w:tcBorders>
            <w:shd w:val="clear" w:color="auto" w:fill="auto"/>
            <w:noWrap/>
            <w:vAlign w:val="center"/>
            <w:hideMark/>
          </w:tcPr>
          <w:p w14:paraId="7A71A9A3" w14:textId="77777777" w:rsidR="000C2868" w:rsidRPr="003E1083" w:rsidRDefault="000C2868" w:rsidP="000C2868">
            <w:pPr>
              <w:jc w:val="center"/>
              <w:rPr>
                <w:rFonts w:asciiTheme="minorHAnsi" w:hAnsiTheme="minorHAnsi"/>
                <w:i/>
                <w:iCs/>
                <w:color w:val="000000"/>
                <w:sz w:val="18"/>
                <w:szCs w:val="20"/>
                <w:lang w:val="sq-AL"/>
              </w:rPr>
            </w:pPr>
            <w:r w:rsidRPr="003E1083">
              <w:rPr>
                <w:rFonts w:asciiTheme="minorHAnsi" w:hAnsiTheme="minorHAnsi"/>
                <w:i/>
                <w:iCs/>
                <w:color w:val="000000"/>
                <w:sz w:val="18"/>
                <w:szCs w:val="20"/>
                <w:lang w:val="sq-AL"/>
              </w:rPr>
              <w:t> </w:t>
            </w:r>
          </w:p>
        </w:tc>
        <w:tc>
          <w:tcPr>
            <w:tcW w:w="0" w:type="auto"/>
            <w:tcBorders>
              <w:top w:val="nil"/>
              <w:left w:val="nil"/>
              <w:bottom w:val="single" w:sz="8" w:space="0" w:color="4BACC6"/>
              <w:right w:val="single" w:sz="8" w:space="0" w:color="4BACC6"/>
            </w:tcBorders>
            <w:shd w:val="clear" w:color="auto" w:fill="auto"/>
            <w:noWrap/>
            <w:vAlign w:val="center"/>
            <w:hideMark/>
          </w:tcPr>
          <w:p w14:paraId="7585DAA9" w14:textId="77777777" w:rsidR="000C2868" w:rsidRPr="003E1083" w:rsidRDefault="000C2868" w:rsidP="000C2868">
            <w:pPr>
              <w:jc w:val="center"/>
              <w:rPr>
                <w:rFonts w:asciiTheme="minorHAnsi" w:hAnsiTheme="minorHAnsi"/>
                <w:i/>
                <w:iCs/>
                <w:color w:val="000000"/>
                <w:sz w:val="18"/>
                <w:szCs w:val="20"/>
                <w:lang w:val="sq-AL"/>
              </w:rPr>
            </w:pPr>
            <w:r w:rsidRPr="003E1083">
              <w:rPr>
                <w:rFonts w:asciiTheme="minorHAnsi" w:hAnsiTheme="minorHAnsi"/>
                <w:i/>
                <w:iCs/>
                <w:color w:val="000000"/>
                <w:sz w:val="18"/>
                <w:szCs w:val="20"/>
                <w:lang w:val="sq-AL"/>
              </w:rPr>
              <w:t>1,900,000</w:t>
            </w:r>
          </w:p>
        </w:tc>
        <w:tc>
          <w:tcPr>
            <w:tcW w:w="0" w:type="auto"/>
            <w:tcBorders>
              <w:top w:val="nil"/>
              <w:left w:val="nil"/>
              <w:bottom w:val="single" w:sz="8" w:space="0" w:color="4BACC6"/>
              <w:right w:val="single" w:sz="8" w:space="0" w:color="4BACC6"/>
            </w:tcBorders>
            <w:shd w:val="clear" w:color="auto" w:fill="auto"/>
            <w:noWrap/>
            <w:vAlign w:val="center"/>
            <w:hideMark/>
          </w:tcPr>
          <w:p w14:paraId="2B226D52" w14:textId="77777777" w:rsidR="000C2868" w:rsidRPr="003E1083" w:rsidRDefault="000C2868" w:rsidP="000C2868">
            <w:pPr>
              <w:jc w:val="center"/>
              <w:rPr>
                <w:rFonts w:asciiTheme="minorHAnsi" w:hAnsiTheme="minorHAnsi"/>
                <w:i/>
                <w:iCs/>
                <w:color w:val="000000"/>
                <w:sz w:val="18"/>
                <w:szCs w:val="20"/>
                <w:lang w:val="sq-AL"/>
              </w:rPr>
            </w:pPr>
            <w:r w:rsidRPr="003E1083">
              <w:rPr>
                <w:rFonts w:asciiTheme="minorHAnsi" w:hAnsiTheme="minorHAnsi"/>
                <w:i/>
                <w:iCs/>
                <w:color w:val="000000"/>
                <w:sz w:val="18"/>
                <w:szCs w:val="20"/>
                <w:lang w:val="sq-AL"/>
              </w:rPr>
              <w:t> </w:t>
            </w:r>
          </w:p>
        </w:tc>
        <w:tc>
          <w:tcPr>
            <w:tcW w:w="0" w:type="auto"/>
            <w:tcBorders>
              <w:top w:val="nil"/>
              <w:left w:val="nil"/>
              <w:bottom w:val="single" w:sz="8" w:space="0" w:color="4BACC6"/>
              <w:right w:val="single" w:sz="8" w:space="0" w:color="4BACC6"/>
            </w:tcBorders>
            <w:shd w:val="clear" w:color="auto" w:fill="auto"/>
            <w:noWrap/>
            <w:vAlign w:val="center"/>
            <w:hideMark/>
          </w:tcPr>
          <w:p w14:paraId="62C8BA3B" w14:textId="77777777" w:rsidR="000C2868" w:rsidRPr="003E1083" w:rsidRDefault="000C2868" w:rsidP="000C2868">
            <w:pPr>
              <w:jc w:val="center"/>
              <w:rPr>
                <w:rFonts w:asciiTheme="minorHAnsi" w:hAnsiTheme="minorHAnsi"/>
                <w:i/>
                <w:iCs/>
                <w:color w:val="000000"/>
                <w:sz w:val="18"/>
                <w:szCs w:val="20"/>
                <w:lang w:val="sq-AL"/>
              </w:rPr>
            </w:pPr>
            <w:r w:rsidRPr="003E1083">
              <w:rPr>
                <w:rFonts w:asciiTheme="minorHAnsi" w:hAnsiTheme="minorHAnsi"/>
                <w:i/>
                <w:iCs/>
                <w:color w:val="000000"/>
                <w:sz w:val="18"/>
                <w:szCs w:val="20"/>
                <w:lang w:val="sq-AL"/>
              </w:rPr>
              <w:t>0</w:t>
            </w:r>
          </w:p>
        </w:tc>
        <w:tc>
          <w:tcPr>
            <w:tcW w:w="0" w:type="auto"/>
            <w:tcBorders>
              <w:top w:val="nil"/>
              <w:left w:val="nil"/>
              <w:bottom w:val="single" w:sz="8" w:space="0" w:color="4BACC6"/>
              <w:right w:val="single" w:sz="8" w:space="0" w:color="4BACC6"/>
            </w:tcBorders>
            <w:shd w:val="clear" w:color="auto" w:fill="auto"/>
            <w:vAlign w:val="center"/>
            <w:hideMark/>
          </w:tcPr>
          <w:p w14:paraId="499D424C" w14:textId="77777777" w:rsidR="000C2868" w:rsidRPr="003E1083" w:rsidRDefault="000C2868" w:rsidP="000C2868">
            <w:pPr>
              <w:jc w:val="center"/>
              <w:rPr>
                <w:rFonts w:asciiTheme="minorHAnsi" w:hAnsiTheme="minorHAnsi"/>
                <w:i/>
                <w:iCs/>
                <w:color w:val="000000"/>
                <w:sz w:val="18"/>
                <w:szCs w:val="20"/>
                <w:lang w:val="sq-AL"/>
              </w:rPr>
            </w:pPr>
            <w:r w:rsidRPr="003E1083">
              <w:rPr>
                <w:rFonts w:asciiTheme="minorHAnsi" w:hAnsiTheme="minorHAnsi"/>
                <w:i/>
                <w:iCs/>
                <w:color w:val="000000"/>
                <w:sz w:val="18"/>
                <w:szCs w:val="20"/>
                <w:lang w:val="sq-AL"/>
              </w:rPr>
              <w:t> </w:t>
            </w:r>
          </w:p>
        </w:tc>
        <w:tc>
          <w:tcPr>
            <w:tcW w:w="0" w:type="auto"/>
            <w:tcBorders>
              <w:top w:val="nil"/>
              <w:left w:val="nil"/>
              <w:bottom w:val="single" w:sz="8" w:space="0" w:color="4BACC6"/>
              <w:right w:val="single" w:sz="8" w:space="0" w:color="4BACC6"/>
            </w:tcBorders>
            <w:shd w:val="clear" w:color="auto" w:fill="auto"/>
            <w:vAlign w:val="center"/>
            <w:hideMark/>
          </w:tcPr>
          <w:p w14:paraId="310547C9" w14:textId="77777777" w:rsidR="000C2868" w:rsidRPr="003E1083" w:rsidRDefault="000C2868" w:rsidP="000C2868">
            <w:pPr>
              <w:jc w:val="center"/>
              <w:rPr>
                <w:rFonts w:asciiTheme="minorHAnsi" w:hAnsiTheme="minorHAnsi"/>
                <w:i/>
                <w:iCs/>
                <w:color w:val="000000"/>
                <w:sz w:val="18"/>
                <w:szCs w:val="20"/>
                <w:lang w:val="sq-AL"/>
              </w:rPr>
            </w:pPr>
            <w:r w:rsidRPr="003E1083">
              <w:rPr>
                <w:rFonts w:asciiTheme="minorHAnsi" w:hAnsiTheme="minorHAnsi"/>
                <w:i/>
                <w:iCs/>
                <w:color w:val="000000"/>
                <w:sz w:val="18"/>
                <w:szCs w:val="20"/>
                <w:lang w:val="sq-AL"/>
              </w:rPr>
              <w:t>0.00%</w:t>
            </w:r>
          </w:p>
        </w:tc>
      </w:tr>
      <w:tr w:rsidR="000C2868" w:rsidRPr="003E1083" w14:paraId="52F98F35" w14:textId="77777777" w:rsidTr="000C2868">
        <w:trPr>
          <w:trHeight w:val="330"/>
          <w:jc w:val="center"/>
        </w:trPr>
        <w:tc>
          <w:tcPr>
            <w:tcW w:w="0" w:type="auto"/>
            <w:tcBorders>
              <w:top w:val="nil"/>
              <w:left w:val="single" w:sz="8" w:space="0" w:color="4BACC6"/>
              <w:bottom w:val="single" w:sz="8" w:space="0" w:color="4BACC6"/>
              <w:right w:val="single" w:sz="8" w:space="0" w:color="4BACC6"/>
            </w:tcBorders>
            <w:shd w:val="clear" w:color="000000" w:fill="FFFFFF"/>
            <w:noWrap/>
            <w:vAlign w:val="center"/>
            <w:hideMark/>
          </w:tcPr>
          <w:p w14:paraId="32A02955" w14:textId="77777777" w:rsidR="000C2868" w:rsidRPr="003E1083" w:rsidRDefault="000C2868" w:rsidP="000C2868">
            <w:pPr>
              <w:rPr>
                <w:rFonts w:asciiTheme="minorHAnsi" w:hAnsiTheme="minorHAnsi"/>
                <w:color w:val="000000"/>
                <w:sz w:val="18"/>
                <w:szCs w:val="20"/>
                <w:lang w:val="sq-AL"/>
              </w:rPr>
            </w:pPr>
            <w:r w:rsidRPr="003E1083">
              <w:rPr>
                <w:rFonts w:asciiTheme="minorHAnsi" w:hAnsiTheme="minorHAnsi"/>
                <w:color w:val="000000"/>
                <w:sz w:val="18"/>
                <w:szCs w:val="20"/>
                <w:lang w:val="sq-AL"/>
              </w:rPr>
              <w:t>Sigurimet Shoqerore per ushtaraket</w:t>
            </w:r>
          </w:p>
        </w:tc>
        <w:tc>
          <w:tcPr>
            <w:tcW w:w="0" w:type="auto"/>
            <w:tcBorders>
              <w:top w:val="nil"/>
              <w:left w:val="nil"/>
              <w:bottom w:val="single" w:sz="8" w:space="0" w:color="4BACC6"/>
              <w:right w:val="single" w:sz="8" w:space="0" w:color="4BACC6"/>
            </w:tcBorders>
            <w:shd w:val="clear" w:color="auto" w:fill="auto"/>
            <w:noWrap/>
            <w:vAlign w:val="center"/>
            <w:hideMark/>
          </w:tcPr>
          <w:p w14:paraId="455E750D"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5,200,000</w:t>
            </w:r>
          </w:p>
        </w:tc>
        <w:tc>
          <w:tcPr>
            <w:tcW w:w="0" w:type="auto"/>
            <w:tcBorders>
              <w:top w:val="nil"/>
              <w:left w:val="nil"/>
              <w:bottom w:val="single" w:sz="8" w:space="0" w:color="4BACC6"/>
              <w:right w:val="single" w:sz="8" w:space="0" w:color="4BACC6"/>
            </w:tcBorders>
            <w:shd w:val="clear" w:color="auto" w:fill="auto"/>
            <w:noWrap/>
            <w:vAlign w:val="center"/>
            <w:hideMark/>
          </w:tcPr>
          <w:p w14:paraId="53BD3F06"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0</w:t>
            </w:r>
          </w:p>
        </w:tc>
        <w:tc>
          <w:tcPr>
            <w:tcW w:w="0" w:type="auto"/>
            <w:tcBorders>
              <w:top w:val="nil"/>
              <w:left w:val="nil"/>
              <w:bottom w:val="single" w:sz="8" w:space="0" w:color="4BACC6"/>
              <w:right w:val="single" w:sz="8" w:space="0" w:color="4BACC6"/>
            </w:tcBorders>
            <w:shd w:val="clear" w:color="auto" w:fill="auto"/>
            <w:noWrap/>
            <w:vAlign w:val="center"/>
            <w:hideMark/>
          </w:tcPr>
          <w:p w14:paraId="1E27B813"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2,000,000</w:t>
            </w:r>
          </w:p>
        </w:tc>
        <w:tc>
          <w:tcPr>
            <w:tcW w:w="0" w:type="auto"/>
            <w:tcBorders>
              <w:top w:val="nil"/>
              <w:left w:val="nil"/>
              <w:bottom w:val="single" w:sz="8" w:space="0" w:color="4BACC6"/>
              <w:right w:val="single" w:sz="8" w:space="0" w:color="4BACC6"/>
            </w:tcBorders>
            <w:shd w:val="clear" w:color="auto" w:fill="auto"/>
            <w:noWrap/>
            <w:vAlign w:val="center"/>
            <w:hideMark/>
          </w:tcPr>
          <w:p w14:paraId="74CD8425"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0</w:t>
            </w:r>
          </w:p>
        </w:tc>
        <w:tc>
          <w:tcPr>
            <w:tcW w:w="0" w:type="auto"/>
            <w:tcBorders>
              <w:top w:val="nil"/>
              <w:left w:val="nil"/>
              <w:bottom w:val="single" w:sz="8" w:space="0" w:color="4BACC6"/>
              <w:right w:val="single" w:sz="8" w:space="0" w:color="4BACC6"/>
            </w:tcBorders>
            <w:shd w:val="clear" w:color="auto" w:fill="auto"/>
            <w:vAlign w:val="center"/>
            <w:hideMark/>
          </w:tcPr>
          <w:p w14:paraId="0B537814" w14:textId="77777777" w:rsidR="000C2868" w:rsidRPr="003E1083" w:rsidRDefault="000C2868" w:rsidP="000C2868">
            <w:pPr>
              <w:jc w:val="center"/>
              <w:rPr>
                <w:rFonts w:asciiTheme="minorHAnsi" w:hAnsiTheme="minorHAnsi"/>
                <w:color w:val="000000"/>
                <w:sz w:val="18"/>
                <w:szCs w:val="20"/>
                <w:lang w:val="sq-AL"/>
              </w:rPr>
            </w:pPr>
            <w:r w:rsidRPr="003E1083">
              <w:rPr>
                <w:rFonts w:asciiTheme="minorHAnsi" w:hAnsiTheme="minorHAnsi"/>
                <w:color w:val="000000"/>
                <w:sz w:val="18"/>
                <w:szCs w:val="20"/>
                <w:lang w:val="sq-AL"/>
              </w:rPr>
              <w:t>38.46%</w:t>
            </w:r>
          </w:p>
        </w:tc>
        <w:tc>
          <w:tcPr>
            <w:tcW w:w="0" w:type="auto"/>
            <w:tcBorders>
              <w:top w:val="nil"/>
              <w:left w:val="nil"/>
              <w:bottom w:val="single" w:sz="8" w:space="0" w:color="4BACC6"/>
              <w:right w:val="single" w:sz="8" w:space="0" w:color="4BACC6"/>
            </w:tcBorders>
            <w:shd w:val="clear" w:color="auto" w:fill="auto"/>
            <w:vAlign w:val="center"/>
            <w:hideMark/>
          </w:tcPr>
          <w:p w14:paraId="1C325BD4" w14:textId="77777777" w:rsidR="000C2868" w:rsidRPr="003E1083" w:rsidRDefault="000C2868" w:rsidP="000C2868">
            <w:pPr>
              <w:jc w:val="center"/>
              <w:rPr>
                <w:rFonts w:asciiTheme="minorHAnsi" w:hAnsiTheme="minorHAnsi"/>
                <w:color w:val="000000"/>
                <w:sz w:val="18"/>
                <w:szCs w:val="20"/>
                <w:lang w:val="sq-AL"/>
              </w:rPr>
            </w:pPr>
          </w:p>
        </w:tc>
      </w:tr>
      <w:tr w:rsidR="000C2868" w:rsidRPr="003E1083" w14:paraId="3FC029BC" w14:textId="77777777" w:rsidTr="000C2868">
        <w:trPr>
          <w:trHeight w:val="315"/>
          <w:jc w:val="center"/>
        </w:trPr>
        <w:tc>
          <w:tcPr>
            <w:tcW w:w="0" w:type="auto"/>
            <w:tcBorders>
              <w:top w:val="nil"/>
              <w:left w:val="single" w:sz="8" w:space="0" w:color="4BACC6"/>
              <w:bottom w:val="single" w:sz="8" w:space="0" w:color="4BACC6"/>
              <w:right w:val="single" w:sz="8" w:space="0" w:color="4BACC6"/>
            </w:tcBorders>
            <w:shd w:val="clear" w:color="000000" w:fill="FFFFFF"/>
            <w:vAlign w:val="center"/>
            <w:hideMark/>
          </w:tcPr>
          <w:p w14:paraId="4AF7D120" w14:textId="77777777" w:rsidR="000C2868" w:rsidRPr="003E1083" w:rsidRDefault="000C2868" w:rsidP="000C2868">
            <w:pPr>
              <w:jc w:val="center"/>
              <w:rPr>
                <w:rFonts w:asciiTheme="minorHAnsi" w:hAnsiTheme="minorHAnsi"/>
                <w:b/>
                <w:bCs/>
                <w:color w:val="000000"/>
                <w:sz w:val="18"/>
                <w:szCs w:val="20"/>
                <w:lang w:val="sq-AL"/>
              </w:rPr>
            </w:pPr>
            <w:r w:rsidRPr="003E1083">
              <w:rPr>
                <w:rFonts w:asciiTheme="minorHAnsi" w:hAnsiTheme="minorHAnsi"/>
                <w:b/>
                <w:bCs/>
                <w:color w:val="000000"/>
                <w:sz w:val="18"/>
                <w:szCs w:val="20"/>
                <w:lang w:val="sq-AL"/>
              </w:rPr>
              <w:t xml:space="preserve">Totali </w:t>
            </w:r>
          </w:p>
        </w:tc>
        <w:tc>
          <w:tcPr>
            <w:tcW w:w="0" w:type="auto"/>
            <w:tcBorders>
              <w:top w:val="nil"/>
              <w:left w:val="nil"/>
              <w:bottom w:val="single" w:sz="8" w:space="0" w:color="4BACC6"/>
              <w:right w:val="single" w:sz="8" w:space="0" w:color="4BACC6"/>
            </w:tcBorders>
            <w:shd w:val="clear" w:color="auto" w:fill="auto"/>
            <w:vAlign w:val="center"/>
            <w:hideMark/>
          </w:tcPr>
          <w:p w14:paraId="201E8F8B" w14:textId="77777777" w:rsidR="000C2868" w:rsidRPr="003E1083" w:rsidRDefault="000C2868" w:rsidP="000C2868">
            <w:pPr>
              <w:jc w:val="center"/>
              <w:rPr>
                <w:rFonts w:asciiTheme="minorHAnsi" w:hAnsiTheme="minorHAnsi"/>
                <w:b/>
                <w:bCs/>
                <w:color w:val="000000"/>
                <w:sz w:val="18"/>
                <w:szCs w:val="20"/>
                <w:lang w:val="sq-AL"/>
              </w:rPr>
            </w:pPr>
            <w:r w:rsidRPr="003E1083">
              <w:rPr>
                <w:rFonts w:asciiTheme="minorHAnsi" w:hAnsiTheme="minorHAnsi"/>
                <w:b/>
                <w:bCs/>
                <w:color w:val="000000"/>
                <w:sz w:val="18"/>
                <w:szCs w:val="20"/>
                <w:lang w:val="sq-AL"/>
              </w:rPr>
              <w:t>22,376,259</w:t>
            </w:r>
          </w:p>
        </w:tc>
        <w:tc>
          <w:tcPr>
            <w:tcW w:w="0" w:type="auto"/>
            <w:tcBorders>
              <w:top w:val="nil"/>
              <w:left w:val="nil"/>
              <w:bottom w:val="single" w:sz="8" w:space="0" w:color="4BACC6"/>
              <w:right w:val="single" w:sz="8" w:space="0" w:color="4BACC6"/>
            </w:tcBorders>
            <w:shd w:val="clear" w:color="auto" w:fill="auto"/>
            <w:vAlign w:val="center"/>
            <w:hideMark/>
          </w:tcPr>
          <w:p w14:paraId="4F7595F2" w14:textId="77777777" w:rsidR="000C2868" w:rsidRPr="003E1083" w:rsidRDefault="000C2868" w:rsidP="000C2868">
            <w:pPr>
              <w:jc w:val="center"/>
              <w:rPr>
                <w:rFonts w:asciiTheme="minorHAnsi" w:hAnsiTheme="minorHAnsi"/>
                <w:b/>
                <w:bCs/>
                <w:color w:val="000000"/>
                <w:sz w:val="18"/>
                <w:szCs w:val="20"/>
                <w:lang w:val="sq-AL"/>
              </w:rPr>
            </w:pPr>
            <w:r w:rsidRPr="003E1083">
              <w:rPr>
                <w:rFonts w:asciiTheme="minorHAnsi" w:hAnsiTheme="minorHAnsi"/>
                <w:b/>
                <w:bCs/>
                <w:color w:val="000000"/>
                <w:sz w:val="18"/>
                <w:szCs w:val="20"/>
                <w:lang w:val="sq-AL"/>
              </w:rPr>
              <w:t>17,887,000</w:t>
            </w:r>
          </w:p>
        </w:tc>
        <w:tc>
          <w:tcPr>
            <w:tcW w:w="0" w:type="auto"/>
            <w:tcBorders>
              <w:top w:val="nil"/>
              <w:left w:val="nil"/>
              <w:bottom w:val="single" w:sz="8" w:space="0" w:color="4BACC6"/>
              <w:right w:val="single" w:sz="8" w:space="0" w:color="4BACC6"/>
            </w:tcBorders>
            <w:shd w:val="clear" w:color="auto" w:fill="auto"/>
            <w:vAlign w:val="center"/>
            <w:hideMark/>
          </w:tcPr>
          <w:p w14:paraId="6D064592" w14:textId="77777777" w:rsidR="000C2868" w:rsidRPr="003E1083" w:rsidRDefault="000C2868" w:rsidP="000C2868">
            <w:pPr>
              <w:jc w:val="center"/>
              <w:rPr>
                <w:rFonts w:asciiTheme="minorHAnsi" w:hAnsiTheme="minorHAnsi"/>
                <w:b/>
                <w:bCs/>
                <w:color w:val="000000"/>
                <w:sz w:val="18"/>
                <w:szCs w:val="20"/>
                <w:lang w:val="sq-AL"/>
              </w:rPr>
            </w:pPr>
            <w:r w:rsidRPr="003E1083">
              <w:rPr>
                <w:rFonts w:asciiTheme="minorHAnsi" w:hAnsiTheme="minorHAnsi"/>
                <w:b/>
                <w:bCs/>
                <w:color w:val="000000"/>
                <w:sz w:val="18"/>
                <w:szCs w:val="20"/>
                <w:lang w:val="sq-AL"/>
              </w:rPr>
              <w:t>6,001,970</w:t>
            </w:r>
          </w:p>
        </w:tc>
        <w:tc>
          <w:tcPr>
            <w:tcW w:w="0" w:type="auto"/>
            <w:tcBorders>
              <w:top w:val="nil"/>
              <w:left w:val="nil"/>
              <w:bottom w:val="single" w:sz="8" w:space="0" w:color="4BACC6"/>
              <w:right w:val="single" w:sz="8" w:space="0" w:color="4BACC6"/>
            </w:tcBorders>
            <w:shd w:val="clear" w:color="auto" w:fill="auto"/>
            <w:vAlign w:val="center"/>
            <w:hideMark/>
          </w:tcPr>
          <w:p w14:paraId="24A7D805" w14:textId="77777777" w:rsidR="000C2868" w:rsidRPr="003E1083" w:rsidRDefault="000C2868" w:rsidP="000C2868">
            <w:pPr>
              <w:jc w:val="center"/>
              <w:rPr>
                <w:rFonts w:asciiTheme="minorHAnsi" w:hAnsiTheme="minorHAnsi"/>
                <w:b/>
                <w:bCs/>
                <w:color w:val="000000"/>
                <w:sz w:val="18"/>
                <w:szCs w:val="20"/>
                <w:lang w:val="sq-AL"/>
              </w:rPr>
            </w:pPr>
            <w:r w:rsidRPr="003E1083">
              <w:rPr>
                <w:rFonts w:asciiTheme="minorHAnsi" w:hAnsiTheme="minorHAnsi"/>
                <w:b/>
                <w:bCs/>
                <w:color w:val="000000"/>
                <w:sz w:val="18"/>
                <w:szCs w:val="20"/>
                <w:lang w:val="sq-AL"/>
              </w:rPr>
              <w:t>1,011,941</w:t>
            </w:r>
          </w:p>
        </w:tc>
        <w:tc>
          <w:tcPr>
            <w:tcW w:w="0" w:type="auto"/>
            <w:tcBorders>
              <w:top w:val="nil"/>
              <w:left w:val="nil"/>
              <w:bottom w:val="single" w:sz="8" w:space="0" w:color="4BACC6"/>
              <w:right w:val="single" w:sz="8" w:space="0" w:color="4BACC6"/>
            </w:tcBorders>
            <w:shd w:val="clear" w:color="auto" w:fill="auto"/>
            <w:vAlign w:val="center"/>
            <w:hideMark/>
          </w:tcPr>
          <w:p w14:paraId="5616F389" w14:textId="77777777" w:rsidR="000C2868" w:rsidRPr="003E1083" w:rsidRDefault="000C2868" w:rsidP="000C2868">
            <w:pPr>
              <w:jc w:val="center"/>
              <w:rPr>
                <w:rFonts w:asciiTheme="minorHAnsi" w:hAnsiTheme="minorHAnsi"/>
                <w:b/>
                <w:bCs/>
                <w:color w:val="000000"/>
                <w:sz w:val="18"/>
                <w:szCs w:val="20"/>
                <w:lang w:val="sq-AL"/>
              </w:rPr>
            </w:pPr>
            <w:r w:rsidRPr="003E1083">
              <w:rPr>
                <w:rFonts w:asciiTheme="minorHAnsi" w:hAnsiTheme="minorHAnsi"/>
                <w:b/>
                <w:bCs/>
                <w:color w:val="000000"/>
                <w:sz w:val="18"/>
                <w:szCs w:val="20"/>
                <w:lang w:val="sq-AL"/>
              </w:rPr>
              <w:t>24.20%</w:t>
            </w:r>
          </w:p>
        </w:tc>
        <w:tc>
          <w:tcPr>
            <w:tcW w:w="0" w:type="auto"/>
            <w:tcBorders>
              <w:top w:val="nil"/>
              <w:left w:val="nil"/>
              <w:bottom w:val="single" w:sz="8" w:space="0" w:color="4BACC6"/>
              <w:right w:val="single" w:sz="8" w:space="0" w:color="4BACC6"/>
            </w:tcBorders>
            <w:shd w:val="clear" w:color="auto" w:fill="auto"/>
            <w:vAlign w:val="center"/>
            <w:hideMark/>
          </w:tcPr>
          <w:p w14:paraId="49899FB1" w14:textId="77777777" w:rsidR="000C2868" w:rsidRPr="003E1083" w:rsidRDefault="000C2868" w:rsidP="000C2868">
            <w:pPr>
              <w:jc w:val="center"/>
              <w:rPr>
                <w:rFonts w:asciiTheme="minorHAnsi" w:hAnsiTheme="minorHAnsi"/>
                <w:b/>
                <w:bCs/>
                <w:color w:val="000000"/>
                <w:sz w:val="18"/>
                <w:szCs w:val="20"/>
                <w:lang w:val="sq-AL"/>
              </w:rPr>
            </w:pPr>
            <w:r w:rsidRPr="003E1083">
              <w:rPr>
                <w:rFonts w:asciiTheme="minorHAnsi" w:hAnsiTheme="minorHAnsi"/>
                <w:b/>
                <w:bCs/>
                <w:color w:val="000000"/>
                <w:sz w:val="18"/>
                <w:szCs w:val="20"/>
                <w:lang w:val="sq-AL"/>
              </w:rPr>
              <w:t>1.60%</w:t>
            </w:r>
          </w:p>
        </w:tc>
      </w:tr>
    </w:tbl>
    <w:p w14:paraId="4A0DE25E" w14:textId="77777777" w:rsidR="000C2868" w:rsidRPr="00A0431A" w:rsidRDefault="000C2868" w:rsidP="000C2868">
      <w:pPr>
        <w:autoSpaceDE w:val="0"/>
        <w:autoSpaceDN w:val="0"/>
        <w:adjustRightInd w:val="0"/>
        <w:jc w:val="both"/>
        <w:rPr>
          <w:rFonts w:asciiTheme="minorHAnsi" w:hAnsiTheme="minorHAnsi" w:cs="Calibri"/>
          <w:sz w:val="16"/>
          <w:lang w:val="sq-AL"/>
        </w:rPr>
      </w:pPr>
    </w:p>
    <w:p w14:paraId="11B21E85" w14:textId="77777777" w:rsidR="000C2868" w:rsidRPr="003E1083" w:rsidRDefault="000C2868" w:rsidP="000C2868">
      <w:pPr>
        <w:jc w:val="both"/>
        <w:rPr>
          <w:rFonts w:asciiTheme="minorHAnsi" w:hAnsiTheme="minorHAnsi" w:cs="Calibri"/>
          <w:lang w:val="sq-AL"/>
        </w:rPr>
      </w:pPr>
      <w:r w:rsidRPr="003E1083">
        <w:rPr>
          <w:rFonts w:asciiTheme="minorHAnsi" w:hAnsiTheme="minorHAnsi" w:cs="Calibri"/>
          <w:lang w:val="sq-AL"/>
        </w:rPr>
        <w:t>Ministria e Mbrojtjes ka synuar që nëpërmjet zhvillimit të politikave të nevojshme në fushën e personelit, promovimit në karrierë, trajtimit të ushtarakut, rritjes së transparencës, llogaridhënies, si dhe eliminimin e korrupsionit në Forcat e Armatosura, të arrijë realizimin e disa prej treguesve kryesorë të përformancës, ku renditen:</w:t>
      </w:r>
    </w:p>
    <w:p w14:paraId="79499D25" w14:textId="77777777" w:rsidR="000C2868" w:rsidRPr="003E1083" w:rsidRDefault="000C2868" w:rsidP="00056DE5">
      <w:pPr>
        <w:pStyle w:val="ListParagraph"/>
        <w:numPr>
          <w:ilvl w:val="0"/>
          <w:numId w:val="66"/>
        </w:numPr>
        <w:shd w:val="clear" w:color="auto" w:fill="FFFFFF" w:themeFill="background1"/>
        <w:ind w:left="630"/>
        <w:jc w:val="both"/>
        <w:rPr>
          <w:rFonts w:asciiTheme="minorHAnsi" w:hAnsiTheme="minorHAnsi" w:cs="Calibri Light"/>
          <w:bCs/>
          <w:i/>
          <w:sz w:val="22"/>
          <w:szCs w:val="22"/>
          <w:lang w:val="sq-AL" w:eastAsia="en-GB"/>
        </w:rPr>
      </w:pPr>
      <w:r w:rsidRPr="003E1083">
        <w:rPr>
          <w:rFonts w:asciiTheme="minorHAnsi" w:hAnsiTheme="minorHAnsi" w:cs="Calibri Light"/>
          <w:bCs/>
          <w:i/>
          <w:sz w:val="22"/>
          <w:szCs w:val="22"/>
          <w:lang w:val="sq-AL" w:eastAsia="en-GB"/>
        </w:rPr>
        <w:t>Lartësimi i figurës dhe integritetit të ushtarakut</w:t>
      </w:r>
    </w:p>
    <w:p w14:paraId="181E8390" w14:textId="77777777" w:rsidR="000C2868" w:rsidRPr="003E1083" w:rsidRDefault="000C2868" w:rsidP="00056DE5">
      <w:pPr>
        <w:pStyle w:val="ListParagraph"/>
        <w:numPr>
          <w:ilvl w:val="0"/>
          <w:numId w:val="66"/>
        </w:numPr>
        <w:shd w:val="clear" w:color="auto" w:fill="FFFFFF" w:themeFill="background1"/>
        <w:ind w:left="630"/>
        <w:jc w:val="both"/>
        <w:rPr>
          <w:rFonts w:asciiTheme="minorHAnsi" w:hAnsiTheme="minorHAnsi" w:cs="Calibri Light"/>
          <w:bCs/>
          <w:i/>
          <w:sz w:val="22"/>
          <w:szCs w:val="22"/>
          <w:lang w:val="sq-AL" w:eastAsia="en-GB"/>
        </w:rPr>
      </w:pPr>
      <w:r w:rsidRPr="003E1083">
        <w:rPr>
          <w:rFonts w:asciiTheme="minorHAnsi" w:hAnsiTheme="minorHAnsi" w:cs="Calibri Light"/>
          <w:bCs/>
          <w:i/>
          <w:sz w:val="22"/>
          <w:szCs w:val="22"/>
          <w:lang w:val="sq-AL" w:eastAsia="en-GB"/>
        </w:rPr>
        <w:t>Implementimi në mënyrë cilësore i detyrimeve që rrjedhin nga pjesëmarrja dhe anëtarësia në organizma të niveleve të larta ndërkombëtare si: NATO, EAPC, RACVIAC, Karta e Atlantikut, etj; i realizuar nëpërmjet nënshkrimit të marrëveshjeve ndërkombëtare në kuadër të partneritetit mes vendeve, rritjes së sigurisë në rajon e më gjerë.</w:t>
      </w:r>
    </w:p>
    <w:p w14:paraId="65A9ED2C" w14:textId="77777777" w:rsidR="000C2868" w:rsidRPr="003E1083" w:rsidRDefault="000C2868" w:rsidP="00056DE5">
      <w:pPr>
        <w:pStyle w:val="ListParagraph"/>
        <w:numPr>
          <w:ilvl w:val="0"/>
          <w:numId w:val="66"/>
        </w:numPr>
        <w:shd w:val="clear" w:color="auto" w:fill="FFFFFF" w:themeFill="background1"/>
        <w:ind w:left="630"/>
        <w:jc w:val="both"/>
        <w:rPr>
          <w:rFonts w:asciiTheme="minorHAnsi" w:hAnsiTheme="minorHAnsi" w:cs="Calibri Light"/>
          <w:bCs/>
          <w:i/>
          <w:sz w:val="22"/>
          <w:szCs w:val="22"/>
          <w:lang w:val="sq-AL" w:eastAsia="en-GB"/>
        </w:rPr>
      </w:pPr>
      <w:r w:rsidRPr="003E1083">
        <w:rPr>
          <w:rFonts w:asciiTheme="minorHAnsi" w:hAnsiTheme="minorHAnsi" w:cs="Calibri Light"/>
          <w:bCs/>
          <w:i/>
          <w:sz w:val="22"/>
          <w:szCs w:val="22"/>
          <w:lang w:val="sq-AL" w:eastAsia="en-GB"/>
        </w:rPr>
        <w:t>Modernizimi me armatim të lehtë dhe municione për Forcat e Armatosura, sistemet e mbështetjes për zjarr apo vendosja e kamerave Infra të Kuqe stacionare të integruara me sistemin SIVHD.</w:t>
      </w:r>
    </w:p>
    <w:p w14:paraId="42FCA439" w14:textId="77777777" w:rsidR="000C2868" w:rsidRPr="00EA4B27" w:rsidRDefault="000C2868" w:rsidP="000C2868">
      <w:pPr>
        <w:rPr>
          <w:rFonts w:asciiTheme="minorHAnsi" w:hAnsiTheme="minorHAnsi" w:cs="Calibri"/>
          <w:sz w:val="12"/>
          <w:lang w:val="sq-AL"/>
        </w:rPr>
      </w:pPr>
    </w:p>
    <w:p w14:paraId="7135067B" w14:textId="77777777" w:rsidR="000C2868" w:rsidRPr="003E1083" w:rsidRDefault="000C2868" w:rsidP="000C2868">
      <w:pPr>
        <w:rPr>
          <w:rFonts w:asciiTheme="minorHAnsi" w:hAnsiTheme="minorHAnsi" w:cs="Calibri"/>
          <w:lang w:val="sq-AL"/>
        </w:rPr>
      </w:pPr>
      <w:r w:rsidRPr="003E1083">
        <w:rPr>
          <w:rFonts w:asciiTheme="minorHAnsi" w:hAnsiTheme="minorHAnsi" w:cs="Calibri"/>
          <w:lang w:val="sq-AL"/>
        </w:rPr>
        <w:t>Projektet prioritare në aspektin e ndërveprueshmërisë me strukturat e NATO-s, si dhe në kuadër të rritjes së sigurisë kombëtare, janë:</w:t>
      </w:r>
    </w:p>
    <w:p w14:paraId="1A468C7B" w14:textId="77777777" w:rsidR="000C2868" w:rsidRPr="003E1083" w:rsidRDefault="000C2868" w:rsidP="00056DE5">
      <w:pPr>
        <w:pStyle w:val="ListParagraph"/>
        <w:numPr>
          <w:ilvl w:val="0"/>
          <w:numId w:val="66"/>
        </w:numPr>
        <w:shd w:val="clear" w:color="auto" w:fill="FFFFFF" w:themeFill="background1"/>
        <w:ind w:left="630"/>
        <w:jc w:val="both"/>
        <w:rPr>
          <w:rFonts w:asciiTheme="minorHAnsi" w:hAnsiTheme="minorHAnsi" w:cs="Calibri Light"/>
          <w:bCs/>
          <w:i/>
          <w:sz w:val="22"/>
          <w:szCs w:val="22"/>
          <w:lang w:val="sq-AL" w:eastAsia="en-GB"/>
        </w:rPr>
      </w:pPr>
      <w:r w:rsidRPr="003E1083">
        <w:rPr>
          <w:rFonts w:asciiTheme="minorHAnsi" w:hAnsiTheme="minorHAnsi" w:cs="Calibri Light"/>
          <w:bCs/>
          <w:i/>
          <w:sz w:val="22"/>
          <w:szCs w:val="22"/>
          <w:lang w:val="sq-AL" w:eastAsia="en-GB"/>
        </w:rPr>
        <w:t>Sistemet e Integruara të vëzhgimit të hapësirës ajrore e detare.</w:t>
      </w:r>
    </w:p>
    <w:p w14:paraId="1F87FE76" w14:textId="77777777" w:rsidR="000C2868" w:rsidRPr="003E1083" w:rsidRDefault="000C2868" w:rsidP="00056DE5">
      <w:pPr>
        <w:pStyle w:val="ListParagraph"/>
        <w:numPr>
          <w:ilvl w:val="0"/>
          <w:numId w:val="66"/>
        </w:numPr>
        <w:shd w:val="clear" w:color="auto" w:fill="FFFFFF" w:themeFill="background1"/>
        <w:ind w:left="630"/>
        <w:jc w:val="both"/>
        <w:rPr>
          <w:rFonts w:asciiTheme="minorHAnsi" w:hAnsiTheme="minorHAnsi" w:cs="Calibri Light"/>
          <w:bCs/>
          <w:i/>
          <w:sz w:val="22"/>
          <w:szCs w:val="22"/>
          <w:lang w:val="sq-AL" w:eastAsia="en-GB"/>
        </w:rPr>
      </w:pPr>
      <w:r w:rsidRPr="003E1083">
        <w:rPr>
          <w:rFonts w:asciiTheme="minorHAnsi" w:hAnsiTheme="minorHAnsi" w:cs="Calibri Light"/>
          <w:bCs/>
          <w:i/>
          <w:sz w:val="22"/>
          <w:szCs w:val="22"/>
          <w:lang w:val="sq-AL" w:eastAsia="en-GB"/>
        </w:rPr>
        <w:t>Kompletimi i Forcave të Armatosura me pajisje individuale të luftimit, në funksion të certifikimit të Batalionit të dytë të këmbësorisë si një komponent i gatshëm i NATO Response Force.</w:t>
      </w:r>
    </w:p>
    <w:p w14:paraId="3F39BC0D" w14:textId="77777777" w:rsidR="000C2868" w:rsidRPr="003E1083" w:rsidRDefault="000C2868" w:rsidP="00056DE5">
      <w:pPr>
        <w:pStyle w:val="ListParagraph"/>
        <w:numPr>
          <w:ilvl w:val="0"/>
          <w:numId w:val="66"/>
        </w:numPr>
        <w:shd w:val="clear" w:color="auto" w:fill="FFFFFF" w:themeFill="background1"/>
        <w:ind w:left="630"/>
        <w:jc w:val="both"/>
        <w:rPr>
          <w:rFonts w:asciiTheme="minorHAnsi" w:hAnsiTheme="minorHAnsi" w:cs="Calibri Light"/>
          <w:bCs/>
          <w:i/>
          <w:sz w:val="22"/>
          <w:szCs w:val="22"/>
          <w:lang w:val="sq-AL" w:eastAsia="en-GB"/>
        </w:rPr>
      </w:pPr>
      <w:r w:rsidRPr="003E1083">
        <w:rPr>
          <w:rFonts w:asciiTheme="minorHAnsi" w:hAnsiTheme="minorHAnsi" w:cs="Calibri Light"/>
          <w:bCs/>
          <w:i/>
          <w:sz w:val="22"/>
          <w:szCs w:val="22"/>
          <w:lang w:val="sq-AL" w:eastAsia="en-GB"/>
        </w:rPr>
        <w:t xml:space="preserve">Shpenzimet operacionale u përdoren me efikasitet për kryerjen e misionit të Forcave të Armatosura si në rang kombëtar ashtu dhe në kuadër të misioneve paqeruajtëse, duke rritur prezencën e Forcave të Armatosura në Detin Egje, Afganistan, KFOR, etj. </w:t>
      </w:r>
    </w:p>
    <w:p w14:paraId="24F007A1" w14:textId="77777777" w:rsidR="000C2868" w:rsidRPr="00A0431A" w:rsidRDefault="000C2868" w:rsidP="000C2868">
      <w:pPr>
        <w:autoSpaceDE w:val="0"/>
        <w:autoSpaceDN w:val="0"/>
        <w:adjustRightInd w:val="0"/>
        <w:jc w:val="both"/>
        <w:rPr>
          <w:rFonts w:asciiTheme="minorHAnsi" w:hAnsiTheme="minorHAnsi" w:cs="Calibri"/>
          <w:sz w:val="12"/>
          <w:lang w:val="sq-AL"/>
        </w:rPr>
      </w:pPr>
    </w:p>
    <w:p w14:paraId="27617B37" w14:textId="77777777" w:rsidR="000C2868" w:rsidRPr="006A738C" w:rsidRDefault="000C2868" w:rsidP="000C2868">
      <w:pPr>
        <w:autoSpaceDE w:val="0"/>
        <w:autoSpaceDN w:val="0"/>
        <w:adjustRightInd w:val="0"/>
        <w:jc w:val="both"/>
        <w:rPr>
          <w:rFonts w:asciiTheme="minorHAnsi" w:hAnsiTheme="minorHAnsi" w:cs="Calibri"/>
          <w:lang w:val="sq-AL"/>
        </w:rPr>
      </w:pPr>
      <w:r w:rsidRPr="003E1083">
        <w:rPr>
          <w:rFonts w:asciiTheme="minorHAnsi" w:hAnsiTheme="minorHAnsi" w:cs="Calibri"/>
          <w:lang w:val="sq-AL"/>
        </w:rPr>
        <w:t xml:space="preserve">Programi </w:t>
      </w:r>
      <w:r w:rsidRPr="003E1083">
        <w:rPr>
          <w:rFonts w:asciiTheme="minorHAnsi" w:hAnsiTheme="minorHAnsi" w:cs="Calibri"/>
          <w:b/>
          <w:lang w:val="sq-AL"/>
        </w:rPr>
        <w:t>“Forca e Luftimit”</w:t>
      </w:r>
      <w:r>
        <w:rPr>
          <w:rFonts w:asciiTheme="minorHAnsi" w:hAnsiTheme="minorHAnsi" w:cs="Calibri"/>
          <w:lang w:val="sq-AL"/>
        </w:rPr>
        <w:t>, për 4M I</w:t>
      </w:r>
      <w:r w:rsidRPr="003E1083">
        <w:rPr>
          <w:rFonts w:asciiTheme="minorHAnsi" w:hAnsiTheme="minorHAnsi" w:cs="Calibri"/>
          <w:lang w:val="sq-AL"/>
        </w:rPr>
        <w:t xml:space="preserve"> 2023 në shpenzimet koren</w:t>
      </w:r>
      <w:r>
        <w:rPr>
          <w:rFonts w:asciiTheme="minorHAnsi" w:hAnsiTheme="minorHAnsi" w:cs="Calibri"/>
          <w:lang w:val="sq-AL"/>
        </w:rPr>
        <w:t>te ka realizuar fondet në masën</w:t>
      </w:r>
      <w:r w:rsidRPr="003E1083">
        <w:rPr>
          <w:rFonts w:asciiTheme="minorHAnsi" w:hAnsiTheme="minorHAnsi" w:cs="Calibri"/>
          <w:lang w:val="sq-AL"/>
        </w:rPr>
        <w:t xml:space="preserve"> 27.5% kundrejt fondeve vjetore të planifikuara.</w:t>
      </w:r>
      <w:r>
        <w:rPr>
          <w:rFonts w:asciiTheme="minorHAnsi" w:hAnsiTheme="minorHAnsi" w:cs="Calibri"/>
          <w:lang w:val="sq-AL"/>
        </w:rPr>
        <w:t xml:space="preserve"> </w:t>
      </w:r>
      <w:r w:rsidRPr="006A738C">
        <w:rPr>
          <w:rFonts w:asciiTheme="minorHAnsi" w:hAnsiTheme="minorHAnsi" w:cs="Calibri"/>
          <w:lang w:val="sq-AL"/>
        </w:rPr>
        <w:t xml:space="preserve">Objektivat </w:t>
      </w:r>
      <w:r>
        <w:rPr>
          <w:rFonts w:asciiTheme="minorHAnsi" w:hAnsiTheme="minorHAnsi" w:cs="Calibri"/>
          <w:lang w:val="sq-AL"/>
        </w:rPr>
        <w:t xml:space="preserve">e këtij programi për vitin 2023 </w:t>
      </w:r>
      <w:r w:rsidRPr="006A738C">
        <w:rPr>
          <w:rFonts w:asciiTheme="minorHAnsi" w:hAnsiTheme="minorHAnsi" w:cs="Calibri"/>
          <w:lang w:val="sq-AL"/>
        </w:rPr>
        <w:t>janë:</w:t>
      </w:r>
    </w:p>
    <w:p w14:paraId="61C0AAA5" w14:textId="77777777" w:rsidR="000C2868" w:rsidRPr="006A738C" w:rsidRDefault="000C2868" w:rsidP="00056DE5">
      <w:pPr>
        <w:pStyle w:val="ListParagraph"/>
        <w:numPr>
          <w:ilvl w:val="0"/>
          <w:numId w:val="70"/>
        </w:numPr>
        <w:jc w:val="both"/>
        <w:rPr>
          <w:rFonts w:asciiTheme="minorHAnsi" w:hAnsiTheme="minorHAnsi" w:cs="Calibri"/>
          <w:lang w:val="sq-AL"/>
        </w:rPr>
      </w:pPr>
      <w:r w:rsidRPr="006A738C">
        <w:rPr>
          <w:rFonts w:asciiTheme="minorHAnsi" w:hAnsiTheme="minorHAnsi" w:cs="Calibri"/>
          <w:lang w:val="sq-AL"/>
        </w:rPr>
        <w:t>Mbajtja në gatishmëri dhe përmirësimi i kapaciteteve Operacionale të Forcës Tokësore</w:t>
      </w:r>
    </w:p>
    <w:p w14:paraId="375F6897" w14:textId="77777777" w:rsidR="000C2868" w:rsidRPr="006A738C" w:rsidRDefault="000C2868" w:rsidP="00056DE5">
      <w:pPr>
        <w:pStyle w:val="ListParagraph"/>
        <w:numPr>
          <w:ilvl w:val="0"/>
          <w:numId w:val="70"/>
        </w:numPr>
        <w:jc w:val="both"/>
        <w:rPr>
          <w:rFonts w:asciiTheme="minorHAnsi" w:hAnsiTheme="minorHAnsi" w:cs="Calibri"/>
          <w:lang w:val="sq-AL"/>
        </w:rPr>
      </w:pPr>
      <w:r w:rsidRPr="006A738C">
        <w:rPr>
          <w:rFonts w:asciiTheme="minorHAnsi" w:hAnsiTheme="minorHAnsi" w:cs="Calibri"/>
          <w:lang w:val="sq-AL"/>
        </w:rPr>
        <w:t>Mbajtja në gatishmëri dhe përmirësimi i kapaciteteve Operacionale të Forcës Detare</w:t>
      </w:r>
    </w:p>
    <w:p w14:paraId="623C2ADE" w14:textId="77777777" w:rsidR="000C2868" w:rsidRPr="006A738C" w:rsidRDefault="000C2868" w:rsidP="00056DE5">
      <w:pPr>
        <w:pStyle w:val="ListParagraph"/>
        <w:numPr>
          <w:ilvl w:val="0"/>
          <w:numId w:val="70"/>
        </w:numPr>
        <w:jc w:val="both"/>
        <w:rPr>
          <w:rFonts w:asciiTheme="minorHAnsi" w:hAnsiTheme="minorHAnsi" w:cs="Calibri"/>
          <w:lang w:val="sq-AL"/>
        </w:rPr>
      </w:pPr>
      <w:r w:rsidRPr="006A738C">
        <w:rPr>
          <w:rFonts w:asciiTheme="minorHAnsi" w:hAnsiTheme="minorHAnsi" w:cs="Calibri"/>
          <w:lang w:val="sq-AL"/>
        </w:rPr>
        <w:t>Mbajtja në gatishmëri dhe përmirësimi i kapaciteteve Operacionale të Forcës Ajrore</w:t>
      </w:r>
    </w:p>
    <w:p w14:paraId="39456176" w14:textId="77777777" w:rsidR="000C2868" w:rsidRPr="00EA4B27" w:rsidRDefault="000C2868" w:rsidP="000C2868">
      <w:pPr>
        <w:jc w:val="both"/>
        <w:rPr>
          <w:rFonts w:asciiTheme="minorHAnsi" w:hAnsiTheme="minorHAnsi" w:cs="Calibri"/>
          <w:sz w:val="12"/>
          <w:lang w:val="sq-AL"/>
        </w:rPr>
      </w:pPr>
    </w:p>
    <w:p w14:paraId="35B8CB67" w14:textId="77777777" w:rsidR="000C2868" w:rsidRPr="006A738C" w:rsidRDefault="000C2868" w:rsidP="000C2868">
      <w:pPr>
        <w:jc w:val="both"/>
        <w:rPr>
          <w:rFonts w:asciiTheme="minorHAnsi" w:hAnsiTheme="minorHAnsi" w:cs="Calibri"/>
          <w:lang w:val="sq-AL"/>
        </w:rPr>
      </w:pPr>
      <w:r w:rsidRPr="006A738C">
        <w:rPr>
          <w:rFonts w:asciiTheme="minorHAnsi" w:hAnsiTheme="minorHAnsi" w:cs="Calibri"/>
          <w:lang w:val="sq-AL"/>
        </w:rPr>
        <w:t>Treguesit e performancës për këto objektiva</w:t>
      </w:r>
      <w:r>
        <w:rPr>
          <w:rFonts w:asciiTheme="minorHAnsi" w:hAnsiTheme="minorHAnsi" w:cs="Calibri"/>
          <w:lang w:val="sq-AL"/>
        </w:rPr>
        <w:t>, realizuar në masën 100 % për përiudhën, janë</w:t>
      </w:r>
      <w:r w:rsidRPr="006A738C">
        <w:rPr>
          <w:rFonts w:asciiTheme="minorHAnsi" w:hAnsiTheme="minorHAnsi" w:cs="Calibri"/>
          <w:lang w:val="sq-AL"/>
        </w:rPr>
        <w:t>:</w:t>
      </w:r>
    </w:p>
    <w:p w14:paraId="0D5FF89A" w14:textId="77777777" w:rsidR="000C2868" w:rsidRPr="00555916" w:rsidRDefault="000C2868" w:rsidP="00056DE5">
      <w:pPr>
        <w:pStyle w:val="ListParagraph"/>
        <w:numPr>
          <w:ilvl w:val="0"/>
          <w:numId w:val="69"/>
        </w:numPr>
        <w:jc w:val="both"/>
        <w:rPr>
          <w:rFonts w:asciiTheme="minorHAnsi" w:hAnsiTheme="minorHAnsi" w:cs="Calibri"/>
          <w:i/>
          <w:sz w:val="22"/>
          <w:lang w:val="sq-AL"/>
        </w:rPr>
      </w:pPr>
      <w:r w:rsidRPr="00555916">
        <w:rPr>
          <w:rFonts w:asciiTheme="minorHAnsi" w:hAnsiTheme="minorHAnsi" w:cs="Calibri"/>
          <w:i/>
          <w:sz w:val="22"/>
          <w:lang w:val="sq-AL"/>
        </w:rPr>
        <w:t>Përgatitja e trupave për misione paqeruajtëse.</w:t>
      </w:r>
    </w:p>
    <w:p w14:paraId="35D0D8AE" w14:textId="77777777" w:rsidR="000C2868" w:rsidRPr="007B1AD4" w:rsidRDefault="000C2868" w:rsidP="00056DE5">
      <w:pPr>
        <w:pStyle w:val="ListParagraph"/>
        <w:numPr>
          <w:ilvl w:val="0"/>
          <w:numId w:val="69"/>
        </w:numPr>
        <w:jc w:val="both"/>
        <w:rPr>
          <w:rFonts w:asciiTheme="minorHAnsi" w:hAnsiTheme="minorHAnsi" w:cs="Calibri"/>
          <w:i/>
          <w:sz w:val="22"/>
          <w:lang w:val="sq-AL"/>
        </w:rPr>
      </w:pPr>
      <w:r w:rsidRPr="007B1AD4">
        <w:rPr>
          <w:rFonts w:asciiTheme="minorHAnsi" w:hAnsiTheme="minorHAnsi" w:cs="Calibri"/>
          <w:i/>
          <w:sz w:val="22"/>
          <w:lang w:val="sq-AL"/>
        </w:rPr>
        <w:t>Aftësia dislokuese e trupave për përmbushjen e misionit në një kohë rekord.</w:t>
      </w:r>
    </w:p>
    <w:p w14:paraId="28154F8C" w14:textId="77777777" w:rsidR="000C2868" w:rsidRPr="007B1AD4" w:rsidRDefault="000C2868" w:rsidP="00056DE5">
      <w:pPr>
        <w:pStyle w:val="ListParagraph"/>
        <w:numPr>
          <w:ilvl w:val="0"/>
          <w:numId w:val="69"/>
        </w:numPr>
        <w:jc w:val="both"/>
        <w:rPr>
          <w:rFonts w:asciiTheme="minorHAnsi" w:hAnsiTheme="minorHAnsi" w:cs="Calibri"/>
          <w:i/>
          <w:sz w:val="22"/>
          <w:lang w:val="sq-AL"/>
        </w:rPr>
      </w:pPr>
      <w:r w:rsidRPr="007B1AD4">
        <w:rPr>
          <w:rFonts w:asciiTheme="minorHAnsi" w:hAnsiTheme="minorHAnsi" w:cs="Calibri"/>
          <w:i/>
          <w:sz w:val="22"/>
          <w:lang w:val="sq-AL"/>
        </w:rPr>
        <w:t>Ndërveprueshmëria e trupave për përmbushjen e misioneve në det.</w:t>
      </w:r>
    </w:p>
    <w:p w14:paraId="54997A83" w14:textId="77777777" w:rsidR="000C2868" w:rsidRPr="007B1AD4" w:rsidRDefault="000C2868" w:rsidP="00056DE5">
      <w:pPr>
        <w:pStyle w:val="ListParagraph"/>
        <w:numPr>
          <w:ilvl w:val="0"/>
          <w:numId w:val="69"/>
        </w:numPr>
        <w:jc w:val="both"/>
        <w:rPr>
          <w:rFonts w:asciiTheme="minorHAnsi" w:hAnsiTheme="minorHAnsi" w:cs="Calibri"/>
          <w:i/>
          <w:sz w:val="10"/>
          <w:lang w:val="sq-AL" w:eastAsia="sq-AL"/>
        </w:rPr>
      </w:pPr>
      <w:r w:rsidRPr="007B1AD4">
        <w:rPr>
          <w:rFonts w:asciiTheme="minorHAnsi" w:hAnsiTheme="minorHAnsi" w:cs="Calibri"/>
          <w:i/>
          <w:sz w:val="22"/>
          <w:lang w:val="sq-AL"/>
        </w:rPr>
        <w:t>Kontrolli i hapësirës ajrore të Republikës së Shqipërisë.</w:t>
      </w:r>
    </w:p>
    <w:p w14:paraId="08B372AA" w14:textId="74132F94" w:rsidR="000C2868" w:rsidRPr="006A738C" w:rsidRDefault="000C2868" w:rsidP="000C2868">
      <w:pPr>
        <w:jc w:val="both"/>
        <w:rPr>
          <w:rFonts w:asciiTheme="minorHAnsi" w:hAnsiTheme="minorHAnsi" w:cs="Calibri"/>
          <w:bCs/>
          <w:iCs/>
          <w:lang w:val="sq-AL"/>
        </w:rPr>
      </w:pPr>
      <w:r w:rsidRPr="003E1083">
        <w:rPr>
          <w:rFonts w:asciiTheme="minorHAnsi" w:hAnsiTheme="minorHAnsi" w:cs="Calibri"/>
          <w:lang w:val="sq-AL" w:eastAsia="sq-AL"/>
        </w:rPr>
        <w:lastRenderedPageBreak/>
        <w:t>Programi</w:t>
      </w:r>
      <w:r w:rsidRPr="003E1083">
        <w:rPr>
          <w:rFonts w:asciiTheme="minorHAnsi" w:hAnsiTheme="minorHAnsi" w:cs="Calibri"/>
          <w:b/>
          <w:lang w:val="sq-AL" w:eastAsia="sq-AL"/>
        </w:rPr>
        <w:t xml:space="preserve"> “Mbështetja e Luftimit”</w:t>
      </w:r>
      <w:r>
        <w:rPr>
          <w:rFonts w:asciiTheme="minorHAnsi" w:hAnsiTheme="minorHAnsi" w:cs="Calibri"/>
          <w:b/>
          <w:lang w:val="sq-AL" w:eastAsia="sq-AL"/>
        </w:rPr>
        <w:t>,</w:t>
      </w:r>
      <w:r w:rsidRPr="003E1083">
        <w:rPr>
          <w:rFonts w:asciiTheme="minorHAnsi" w:hAnsiTheme="minorHAnsi" w:cs="Calibri"/>
          <w:lang w:val="sq-AL" w:eastAsia="sq-AL"/>
        </w:rPr>
        <w:t xml:space="preserve"> </w:t>
      </w:r>
      <w:r>
        <w:rPr>
          <w:rFonts w:asciiTheme="minorHAnsi" w:hAnsiTheme="minorHAnsi" w:cs="Calibri"/>
          <w:bCs/>
          <w:iCs/>
          <w:lang w:val="sq-AL"/>
        </w:rPr>
        <w:t xml:space="preserve">për 4M I </w:t>
      </w:r>
      <w:r w:rsidRPr="003E1083">
        <w:rPr>
          <w:rFonts w:asciiTheme="minorHAnsi" w:hAnsiTheme="minorHAnsi" w:cs="Calibri"/>
          <w:bCs/>
          <w:iCs/>
          <w:lang w:val="sq-AL"/>
        </w:rPr>
        <w:t xml:space="preserve">2023 </w:t>
      </w:r>
      <w:r>
        <w:rPr>
          <w:rFonts w:asciiTheme="minorHAnsi" w:hAnsiTheme="minorHAnsi" w:cs="Calibri"/>
          <w:lang w:val="sq-AL" w:eastAsia="sq-AL"/>
        </w:rPr>
        <w:t xml:space="preserve">ka realizuar fondet </w:t>
      </w:r>
      <w:r w:rsidRPr="003E1083">
        <w:rPr>
          <w:rFonts w:asciiTheme="minorHAnsi" w:hAnsiTheme="minorHAnsi" w:cs="Calibri"/>
          <w:bCs/>
          <w:iCs/>
          <w:lang w:val="sq-AL"/>
        </w:rPr>
        <w:t>për grupin e shpenzimeve korrente në masën 22%.</w:t>
      </w:r>
      <w:r w:rsidRPr="006A738C">
        <w:t xml:space="preserve"> </w:t>
      </w:r>
      <w:r w:rsidRPr="006A738C">
        <w:rPr>
          <w:rFonts w:asciiTheme="minorHAnsi" w:hAnsiTheme="minorHAnsi" w:cs="Calibri"/>
          <w:bCs/>
          <w:iCs/>
          <w:lang w:val="sq-AL"/>
        </w:rPr>
        <w:t xml:space="preserve">Për këtë program janë parashikuar objektiva specifike </w:t>
      </w:r>
      <w:r w:rsidR="00EA4B27">
        <w:rPr>
          <w:rFonts w:asciiTheme="minorHAnsi" w:hAnsiTheme="minorHAnsi" w:cs="Calibri"/>
          <w:bCs/>
          <w:iCs/>
          <w:lang w:val="sq-AL"/>
        </w:rPr>
        <w:t xml:space="preserve">të tilla </w:t>
      </w:r>
      <w:r w:rsidRPr="006A738C">
        <w:rPr>
          <w:rFonts w:asciiTheme="minorHAnsi" w:hAnsiTheme="minorHAnsi" w:cs="Calibri"/>
          <w:bCs/>
          <w:iCs/>
          <w:lang w:val="sq-AL"/>
        </w:rPr>
        <w:t>si:</w:t>
      </w:r>
      <w:r>
        <w:rPr>
          <w:rFonts w:asciiTheme="minorHAnsi" w:hAnsiTheme="minorHAnsi" w:cs="Calibri"/>
          <w:bCs/>
          <w:iCs/>
          <w:lang w:val="sq-AL"/>
        </w:rPr>
        <w:t xml:space="preserve"> </w:t>
      </w:r>
    </w:p>
    <w:p w14:paraId="00910BE5" w14:textId="77777777" w:rsidR="000C2868" w:rsidRPr="00E66651" w:rsidRDefault="000C2868" w:rsidP="00056DE5">
      <w:pPr>
        <w:pStyle w:val="ListParagraph"/>
        <w:numPr>
          <w:ilvl w:val="0"/>
          <w:numId w:val="70"/>
        </w:numPr>
        <w:jc w:val="both"/>
        <w:rPr>
          <w:rFonts w:asciiTheme="minorHAnsi" w:hAnsiTheme="minorHAnsi" w:cs="Calibri"/>
          <w:bCs/>
          <w:iCs/>
          <w:lang w:val="sq-AL"/>
        </w:rPr>
      </w:pPr>
      <w:r w:rsidRPr="00E66651">
        <w:rPr>
          <w:rFonts w:asciiTheme="minorHAnsi" w:hAnsiTheme="minorHAnsi" w:cs="Calibri"/>
          <w:bCs/>
          <w:iCs/>
          <w:lang w:val="sq-AL"/>
        </w:rPr>
        <w:t xml:space="preserve">Sigurimi i logjistikes së  nevojshme si dhe mbështetja në operacione humanitare dhe misione ndërkombëtare.Treguesit e performancës për këtë objektiv janë: </w:t>
      </w:r>
    </w:p>
    <w:p w14:paraId="57820A2F" w14:textId="77777777" w:rsidR="000C2868" w:rsidRPr="007B1AD4" w:rsidRDefault="000C2868" w:rsidP="00056DE5">
      <w:pPr>
        <w:pStyle w:val="ListParagraph"/>
        <w:numPr>
          <w:ilvl w:val="0"/>
          <w:numId w:val="69"/>
        </w:numPr>
        <w:jc w:val="both"/>
        <w:rPr>
          <w:rFonts w:asciiTheme="minorHAnsi" w:hAnsiTheme="minorHAnsi" w:cs="Calibri"/>
          <w:bCs/>
          <w:i/>
          <w:iCs/>
          <w:sz w:val="22"/>
          <w:lang w:val="sq-AL"/>
        </w:rPr>
      </w:pPr>
      <w:r w:rsidRPr="007B1AD4">
        <w:rPr>
          <w:rFonts w:asciiTheme="minorHAnsi" w:hAnsiTheme="minorHAnsi" w:cs="Calibri"/>
          <w:bCs/>
          <w:i/>
          <w:iCs/>
          <w:sz w:val="22"/>
          <w:lang w:val="sq-AL"/>
        </w:rPr>
        <w:t>Përqindja e furnizimit në kohë dhe mbështetja logjistike e Forcave të Armatosura.</w:t>
      </w:r>
    </w:p>
    <w:p w14:paraId="32CD9D8B" w14:textId="77777777" w:rsidR="000C2868" w:rsidRPr="007B1AD4" w:rsidRDefault="000C2868" w:rsidP="00056DE5">
      <w:pPr>
        <w:pStyle w:val="ListParagraph"/>
        <w:numPr>
          <w:ilvl w:val="0"/>
          <w:numId w:val="69"/>
        </w:numPr>
        <w:jc w:val="both"/>
        <w:rPr>
          <w:rFonts w:asciiTheme="minorHAnsi" w:hAnsiTheme="minorHAnsi" w:cs="Calibri"/>
          <w:bCs/>
          <w:i/>
          <w:iCs/>
          <w:sz w:val="22"/>
          <w:lang w:val="sq-AL"/>
        </w:rPr>
      </w:pPr>
      <w:r w:rsidRPr="007B1AD4">
        <w:rPr>
          <w:rFonts w:asciiTheme="minorHAnsi" w:hAnsiTheme="minorHAnsi" w:cs="Calibri"/>
          <w:bCs/>
          <w:i/>
          <w:iCs/>
          <w:sz w:val="22"/>
          <w:lang w:val="sq-AL"/>
        </w:rPr>
        <w:t>Menaxhimi në kohë dhe profesional i operacioneve të EC dhe CIMIC.</w:t>
      </w:r>
    </w:p>
    <w:p w14:paraId="1521B517" w14:textId="77777777" w:rsidR="000C2868" w:rsidRPr="00E66651" w:rsidRDefault="000C2868" w:rsidP="00056DE5">
      <w:pPr>
        <w:pStyle w:val="ListParagraph"/>
        <w:numPr>
          <w:ilvl w:val="0"/>
          <w:numId w:val="69"/>
        </w:numPr>
        <w:jc w:val="both"/>
        <w:rPr>
          <w:rFonts w:asciiTheme="minorHAnsi" w:hAnsiTheme="minorHAnsi" w:cs="Calibri"/>
          <w:bCs/>
          <w:i/>
          <w:iCs/>
          <w:sz w:val="22"/>
          <w:lang w:val="sq-AL"/>
        </w:rPr>
      </w:pPr>
      <w:r w:rsidRPr="007B1AD4">
        <w:rPr>
          <w:rFonts w:asciiTheme="minorHAnsi" w:hAnsiTheme="minorHAnsi" w:cs="Calibri"/>
          <w:bCs/>
          <w:i/>
          <w:iCs/>
          <w:sz w:val="22"/>
          <w:lang w:val="sq-AL"/>
        </w:rPr>
        <w:t>Dokumente të procesuara dhe arkivuara sipas legjislacionit ne fuqi.</w:t>
      </w:r>
    </w:p>
    <w:p w14:paraId="492CF3CB" w14:textId="77777777" w:rsidR="000C2868" w:rsidRPr="006A738C" w:rsidRDefault="000C2868" w:rsidP="00056DE5">
      <w:pPr>
        <w:pStyle w:val="ListParagraph"/>
        <w:numPr>
          <w:ilvl w:val="0"/>
          <w:numId w:val="70"/>
        </w:numPr>
        <w:jc w:val="both"/>
        <w:rPr>
          <w:rFonts w:asciiTheme="minorHAnsi" w:hAnsiTheme="minorHAnsi" w:cs="Calibri"/>
          <w:bCs/>
          <w:iCs/>
          <w:lang w:val="sq-AL"/>
        </w:rPr>
      </w:pPr>
      <w:r w:rsidRPr="006A738C">
        <w:rPr>
          <w:rFonts w:asciiTheme="minorHAnsi" w:hAnsiTheme="minorHAnsi" w:cs="Calibri"/>
          <w:bCs/>
          <w:iCs/>
          <w:lang w:val="sq-AL"/>
        </w:rPr>
        <w:t>Sigurimi i inteligjencës strategjike të nevojshme dhe s</w:t>
      </w:r>
      <w:r>
        <w:rPr>
          <w:rFonts w:asciiTheme="minorHAnsi" w:hAnsiTheme="minorHAnsi" w:cs="Calibri"/>
          <w:bCs/>
          <w:iCs/>
          <w:lang w:val="sq-AL"/>
        </w:rPr>
        <w:t xml:space="preserve">ipas standardeve të NATO-s  për </w:t>
      </w:r>
      <w:r w:rsidRPr="006A738C">
        <w:rPr>
          <w:rFonts w:asciiTheme="minorHAnsi" w:hAnsiTheme="minorHAnsi" w:cs="Calibri"/>
          <w:bCs/>
          <w:iCs/>
          <w:lang w:val="sq-AL"/>
        </w:rPr>
        <w:t>siguri dhe stabilitet .Treguesit e performancës për këtë objektiv</w:t>
      </w:r>
      <w:r>
        <w:rPr>
          <w:rFonts w:asciiTheme="minorHAnsi" w:hAnsiTheme="minorHAnsi" w:cs="Calibri"/>
          <w:bCs/>
          <w:iCs/>
          <w:lang w:val="sq-AL"/>
        </w:rPr>
        <w:t>,</w:t>
      </w:r>
      <w:r w:rsidRPr="006A738C">
        <w:rPr>
          <w:rFonts w:asciiTheme="minorHAnsi" w:hAnsiTheme="minorHAnsi" w:cs="Calibri"/>
          <w:bCs/>
          <w:iCs/>
          <w:lang w:val="sq-AL"/>
        </w:rPr>
        <w:t xml:space="preserve"> </w:t>
      </w:r>
      <w:r>
        <w:rPr>
          <w:rFonts w:asciiTheme="minorHAnsi" w:hAnsiTheme="minorHAnsi" w:cs="Calibri"/>
          <w:bCs/>
          <w:iCs/>
          <w:lang w:val="sq-AL"/>
        </w:rPr>
        <w:t>janë</w:t>
      </w:r>
      <w:r w:rsidRPr="006A738C">
        <w:rPr>
          <w:rFonts w:asciiTheme="minorHAnsi" w:hAnsiTheme="minorHAnsi" w:cs="Calibri"/>
          <w:bCs/>
          <w:iCs/>
          <w:lang w:val="sq-AL"/>
        </w:rPr>
        <w:t>:</w:t>
      </w:r>
    </w:p>
    <w:p w14:paraId="5C9194AD" w14:textId="77777777" w:rsidR="000C2868" w:rsidRPr="007B1AD4" w:rsidRDefault="000C2868" w:rsidP="00056DE5">
      <w:pPr>
        <w:pStyle w:val="ListParagraph"/>
        <w:numPr>
          <w:ilvl w:val="0"/>
          <w:numId w:val="69"/>
        </w:numPr>
        <w:jc w:val="both"/>
        <w:rPr>
          <w:rFonts w:asciiTheme="minorHAnsi" w:hAnsiTheme="minorHAnsi" w:cs="Calibri"/>
          <w:bCs/>
          <w:i/>
          <w:iCs/>
          <w:sz w:val="22"/>
          <w:lang w:val="sq-AL"/>
        </w:rPr>
      </w:pPr>
      <w:r w:rsidRPr="007B1AD4">
        <w:rPr>
          <w:rFonts w:asciiTheme="minorHAnsi" w:hAnsiTheme="minorHAnsi" w:cs="Calibri"/>
          <w:bCs/>
          <w:i/>
          <w:iCs/>
          <w:sz w:val="22"/>
          <w:lang w:val="sq-AL"/>
        </w:rPr>
        <w:t xml:space="preserve">Përqindja e arritjes së përmbushjes së objektivave të kapaciteteve në fushën e inteligjencës    </w:t>
      </w:r>
    </w:p>
    <w:p w14:paraId="58019A32" w14:textId="77777777" w:rsidR="000C2868" w:rsidRPr="007B1AD4" w:rsidRDefault="000C2868" w:rsidP="000C2868">
      <w:pPr>
        <w:pStyle w:val="ListParagraph"/>
        <w:ind w:left="90"/>
        <w:jc w:val="both"/>
        <w:rPr>
          <w:rFonts w:asciiTheme="minorHAnsi" w:hAnsiTheme="minorHAnsi" w:cs="Calibri"/>
          <w:bCs/>
          <w:i/>
          <w:iCs/>
          <w:sz w:val="22"/>
          <w:lang w:val="sq-AL"/>
        </w:rPr>
      </w:pPr>
      <w:r w:rsidRPr="007B1AD4">
        <w:rPr>
          <w:rFonts w:asciiTheme="minorHAnsi" w:hAnsiTheme="minorHAnsi" w:cs="Calibri"/>
          <w:bCs/>
          <w:i/>
          <w:iCs/>
          <w:sz w:val="22"/>
          <w:lang w:val="sq-AL"/>
        </w:rPr>
        <w:t xml:space="preserve">            </w:t>
      </w:r>
      <w:r>
        <w:rPr>
          <w:rFonts w:asciiTheme="minorHAnsi" w:hAnsiTheme="minorHAnsi" w:cs="Calibri"/>
          <w:bCs/>
          <w:i/>
          <w:iCs/>
          <w:sz w:val="22"/>
          <w:lang w:val="sq-AL"/>
        </w:rPr>
        <w:t xml:space="preserve"> </w:t>
      </w:r>
      <w:r w:rsidRPr="007B1AD4">
        <w:rPr>
          <w:rFonts w:asciiTheme="minorHAnsi" w:hAnsiTheme="minorHAnsi" w:cs="Calibri"/>
          <w:bCs/>
          <w:i/>
          <w:iCs/>
          <w:sz w:val="22"/>
          <w:lang w:val="sq-AL"/>
        </w:rPr>
        <w:t>ushtarake dhe të NATO-s.</w:t>
      </w:r>
    </w:p>
    <w:p w14:paraId="508558D7" w14:textId="77777777" w:rsidR="000C2868" w:rsidRPr="00E66651" w:rsidRDefault="000C2868" w:rsidP="00056DE5">
      <w:pPr>
        <w:pStyle w:val="ListParagraph"/>
        <w:numPr>
          <w:ilvl w:val="0"/>
          <w:numId w:val="69"/>
        </w:numPr>
        <w:jc w:val="both"/>
        <w:rPr>
          <w:rFonts w:asciiTheme="minorHAnsi" w:hAnsiTheme="minorHAnsi" w:cs="Calibri"/>
          <w:bCs/>
          <w:i/>
          <w:iCs/>
          <w:sz w:val="22"/>
          <w:lang w:val="sq-AL"/>
        </w:rPr>
      </w:pPr>
      <w:r w:rsidRPr="007B1AD4">
        <w:rPr>
          <w:rFonts w:asciiTheme="minorHAnsi" w:hAnsiTheme="minorHAnsi" w:cs="Calibri"/>
          <w:bCs/>
          <w:i/>
          <w:iCs/>
          <w:sz w:val="22"/>
          <w:lang w:val="sq-AL"/>
        </w:rPr>
        <w:t>Përqindja e arritjes së kapaciteteve te nevojshme operacionale.</w:t>
      </w:r>
    </w:p>
    <w:p w14:paraId="26AE006E" w14:textId="77777777" w:rsidR="000C2868" w:rsidRPr="006A738C" w:rsidRDefault="000C2868" w:rsidP="00056DE5">
      <w:pPr>
        <w:pStyle w:val="ListParagraph"/>
        <w:numPr>
          <w:ilvl w:val="0"/>
          <w:numId w:val="70"/>
        </w:numPr>
        <w:jc w:val="both"/>
        <w:rPr>
          <w:rFonts w:asciiTheme="minorHAnsi" w:hAnsiTheme="minorHAnsi" w:cs="Calibri"/>
          <w:bCs/>
          <w:iCs/>
          <w:lang w:val="sq-AL"/>
        </w:rPr>
      </w:pPr>
      <w:r w:rsidRPr="006A738C">
        <w:rPr>
          <w:rFonts w:asciiTheme="minorHAnsi" w:hAnsiTheme="minorHAnsi" w:cs="Calibri"/>
          <w:bCs/>
          <w:iCs/>
          <w:lang w:val="sq-AL"/>
        </w:rPr>
        <w:t>Sigurimi dhe mbështesja e sistemeve të teknologjisë  brenda standardeve  të NATO-s. Treguesit e performancës për këtë objektiv</w:t>
      </w:r>
      <w:r>
        <w:rPr>
          <w:rFonts w:asciiTheme="minorHAnsi" w:hAnsiTheme="minorHAnsi" w:cs="Calibri"/>
          <w:bCs/>
          <w:iCs/>
          <w:lang w:val="sq-AL"/>
        </w:rPr>
        <w:t>, janë</w:t>
      </w:r>
      <w:r w:rsidRPr="006A738C">
        <w:rPr>
          <w:rFonts w:asciiTheme="minorHAnsi" w:hAnsiTheme="minorHAnsi" w:cs="Calibri"/>
          <w:bCs/>
          <w:iCs/>
          <w:lang w:val="sq-AL"/>
        </w:rPr>
        <w:t xml:space="preserve">: </w:t>
      </w:r>
    </w:p>
    <w:p w14:paraId="7C534B02" w14:textId="77777777" w:rsidR="000C2868" w:rsidRPr="007B1AD4" w:rsidRDefault="000C2868" w:rsidP="00056DE5">
      <w:pPr>
        <w:pStyle w:val="ListParagraph"/>
        <w:numPr>
          <w:ilvl w:val="0"/>
          <w:numId w:val="69"/>
        </w:numPr>
        <w:jc w:val="both"/>
        <w:rPr>
          <w:rFonts w:asciiTheme="minorHAnsi" w:hAnsiTheme="minorHAnsi" w:cs="Calibri"/>
          <w:bCs/>
          <w:i/>
          <w:iCs/>
          <w:sz w:val="22"/>
          <w:lang w:val="sq-AL"/>
        </w:rPr>
      </w:pPr>
      <w:r w:rsidRPr="007B1AD4">
        <w:rPr>
          <w:rFonts w:asciiTheme="minorHAnsi" w:hAnsiTheme="minorHAnsi" w:cs="Calibri"/>
          <w:bCs/>
          <w:i/>
          <w:iCs/>
          <w:sz w:val="22"/>
          <w:lang w:val="sq-AL"/>
        </w:rPr>
        <w:t xml:space="preserve">Kapacitete operacionale per ASNI </w:t>
      </w:r>
    </w:p>
    <w:p w14:paraId="22717DC5" w14:textId="77777777" w:rsidR="000C2868" w:rsidRPr="007B1AD4" w:rsidRDefault="000C2868" w:rsidP="00056DE5">
      <w:pPr>
        <w:pStyle w:val="ListParagraph"/>
        <w:numPr>
          <w:ilvl w:val="0"/>
          <w:numId w:val="69"/>
        </w:numPr>
        <w:jc w:val="both"/>
        <w:rPr>
          <w:rFonts w:asciiTheme="minorHAnsi" w:hAnsiTheme="minorHAnsi" w:cs="Calibri"/>
          <w:bCs/>
          <w:i/>
          <w:iCs/>
          <w:sz w:val="22"/>
          <w:lang w:val="sq-AL"/>
        </w:rPr>
      </w:pPr>
      <w:r w:rsidRPr="007B1AD4">
        <w:rPr>
          <w:rFonts w:asciiTheme="minorHAnsi" w:hAnsiTheme="minorHAnsi" w:cs="Calibri"/>
          <w:bCs/>
          <w:i/>
          <w:iCs/>
          <w:sz w:val="22"/>
          <w:lang w:val="sq-AL"/>
        </w:rPr>
        <w:t>Ruajtja e nivelit oreracional për Repartin nr. 6630</w:t>
      </w:r>
    </w:p>
    <w:p w14:paraId="76F2B3B9" w14:textId="77777777" w:rsidR="000C2868" w:rsidRPr="00EA4B27" w:rsidRDefault="000C2868" w:rsidP="000C2868">
      <w:pPr>
        <w:jc w:val="both"/>
        <w:rPr>
          <w:rFonts w:asciiTheme="minorHAnsi" w:hAnsiTheme="minorHAnsi" w:cs="Calibri"/>
          <w:bCs/>
          <w:iCs/>
          <w:sz w:val="12"/>
          <w:lang w:val="sq-AL"/>
        </w:rPr>
      </w:pPr>
    </w:p>
    <w:p w14:paraId="57E5B325" w14:textId="77777777" w:rsidR="000C2868" w:rsidRPr="00F82D01" w:rsidRDefault="000C2868" w:rsidP="000C2868">
      <w:pPr>
        <w:jc w:val="both"/>
        <w:rPr>
          <w:rFonts w:asciiTheme="minorHAnsi" w:hAnsiTheme="minorHAnsi" w:cs="Calibri"/>
          <w:bCs/>
          <w:iCs/>
          <w:lang w:val="sq-AL"/>
        </w:rPr>
      </w:pPr>
      <w:r w:rsidRPr="003E1083">
        <w:rPr>
          <w:rFonts w:asciiTheme="minorHAnsi" w:hAnsiTheme="minorHAnsi" w:cs="Calibri"/>
          <w:lang w:val="sq-AL" w:eastAsia="sq-AL"/>
        </w:rPr>
        <w:t>Programi “</w:t>
      </w:r>
      <w:r w:rsidRPr="003E1083">
        <w:rPr>
          <w:rFonts w:asciiTheme="minorHAnsi" w:hAnsiTheme="minorHAnsi" w:cs="Calibri"/>
          <w:b/>
          <w:lang w:val="sq-AL"/>
        </w:rPr>
        <w:t>Arsimi Ushtarak</w:t>
      </w:r>
      <w:r w:rsidRPr="003E1083">
        <w:rPr>
          <w:rFonts w:asciiTheme="minorHAnsi" w:hAnsiTheme="minorHAnsi" w:cs="Calibri"/>
          <w:lang w:val="sq-AL"/>
        </w:rPr>
        <w:t>”</w:t>
      </w:r>
      <w:r w:rsidRPr="003E1083">
        <w:rPr>
          <w:rFonts w:asciiTheme="minorHAnsi" w:hAnsiTheme="minorHAnsi" w:cs="Calibri"/>
          <w:lang w:val="sq-AL" w:eastAsia="sq-AL"/>
        </w:rPr>
        <w:t xml:space="preserve"> </w:t>
      </w:r>
      <w:r>
        <w:rPr>
          <w:rFonts w:asciiTheme="minorHAnsi" w:hAnsiTheme="minorHAnsi" w:cs="Calibri"/>
          <w:lang w:val="sq-AL"/>
        </w:rPr>
        <w:t>ka si objektiv</w:t>
      </w:r>
      <w:r w:rsidRPr="003E1083">
        <w:rPr>
          <w:rFonts w:asciiTheme="minorHAnsi" w:hAnsiTheme="minorHAnsi" w:cs="Calibri"/>
          <w:bCs/>
          <w:lang w:val="sq-AL"/>
        </w:rPr>
        <w:t xml:space="preserve"> </w:t>
      </w:r>
      <w:r w:rsidRPr="00F82D01">
        <w:rPr>
          <w:rFonts w:asciiTheme="minorHAnsi" w:hAnsiTheme="minorHAnsi" w:cs="Calibri"/>
          <w:bCs/>
          <w:i/>
          <w:lang w:val="sq-AL"/>
        </w:rPr>
        <w:t>“Rritjen e kapaciteteve të burimeve njerëzore dhe transformimi i sistemit të edukimit ushtarak e civil nëpërmjet programeve të integruara dhe gjithëpërfshirëse në përputhje me standardet e NATO”</w:t>
      </w:r>
      <w:r w:rsidRPr="003E1083">
        <w:rPr>
          <w:rFonts w:asciiTheme="minorHAnsi" w:hAnsiTheme="minorHAnsi" w:cs="Calibri"/>
          <w:bCs/>
          <w:lang w:val="sq-AL"/>
        </w:rPr>
        <w:t xml:space="preserve">. </w:t>
      </w:r>
      <w:r w:rsidRPr="003E1083">
        <w:rPr>
          <w:rFonts w:asciiTheme="minorHAnsi" w:hAnsiTheme="minorHAnsi" w:cs="Calibri"/>
          <w:bCs/>
          <w:iCs/>
          <w:lang w:val="sq-AL"/>
        </w:rPr>
        <w:t>Realizimi i fondeve buxhetore për 4</w:t>
      </w:r>
      <w:r>
        <w:rPr>
          <w:rFonts w:asciiTheme="minorHAnsi" w:hAnsiTheme="minorHAnsi" w:cs="Calibri"/>
          <w:bCs/>
          <w:iCs/>
          <w:lang w:val="sq-AL"/>
        </w:rPr>
        <w:t xml:space="preserve">M I </w:t>
      </w:r>
      <w:r w:rsidRPr="003E1083">
        <w:rPr>
          <w:rFonts w:asciiTheme="minorHAnsi" w:hAnsiTheme="minorHAnsi" w:cs="Calibri"/>
          <w:bCs/>
          <w:iCs/>
          <w:lang w:val="sq-AL"/>
        </w:rPr>
        <w:t>2023 në këtë program buxhetor për grupin e shpenzimeve korente rezulton në masën 26.5%.</w:t>
      </w:r>
      <w:r w:rsidRPr="00F82D01">
        <w:t xml:space="preserve"> </w:t>
      </w:r>
      <w:r w:rsidRPr="00F82D01">
        <w:rPr>
          <w:rFonts w:asciiTheme="minorHAnsi" w:hAnsiTheme="minorHAnsi" w:cs="Calibri"/>
          <w:bCs/>
          <w:iCs/>
          <w:lang w:val="sq-AL"/>
        </w:rPr>
        <w:t>Treguesit e performancës për këtë objektiv</w:t>
      </w:r>
      <w:r>
        <w:rPr>
          <w:rFonts w:asciiTheme="minorHAnsi" w:hAnsiTheme="minorHAnsi" w:cs="Calibri"/>
          <w:bCs/>
          <w:iCs/>
          <w:lang w:val="sq-AL"/>
        </w:rPr>
        <w:t>, janë</w:t>
      </w:r>
      <w:r w:rsidRPr="00F82D01">
        <w:rPr>
          <w:rFonts w:asciiTheme="minorHAnsi" w:hAnsiTheme="minorHAnsi" w:cs="Calibri"/>
          <w:bCs/>
          <w:iCs/>
          <w:lang w:val="sq-AL"/>
        </w:rPr>
        <w:t xml:space="preserve">: </w:t>
      </w:r>
    </w:p>
    <w:p w14:paraId="221684DC" w14:textId="77777777" w:rsidR="000C2868" w:rsidRPr="00CE7864" w:rsidRDefault="000C2868" w:rsidP="00056DE5">
      <w:pPr>
        <w:pStyle w:val="ListParagraph"/>
        <w:numPr>
          <w:ilvl w:val="0"/>
          <w:numId w:val="69"/>
        </w:numPr>
        <w:jc w:val="both"/>
        <w:rPr>
          <w:rFonts w:asciiTheme="minorHAnsi" w:hAnsiTheme="minorHAnsi" w:cs="Calibri"/>
          <w:bCs/>
          <w:i/>
          <w:iCs/>
          <w:sz w:val="22"/>
          <w:lang w:val="sq-AL"/>
        </w:rPr>
      </w:pPr>
      <w:r w:rsidRPr="00CE7864">
        <w:rPr>
          <w:rFonts w:asciiTheme="minorHAnsi" w:hAnsiTheme="minorHAnsi" w:cs="Calibri"/>
          <w:bCs/>
          <w:i/>
          <w:iCs/>
          <w:sz w:val="22"/>
          <w:lang w:val="sq-AL"/>
        </w:rPr>
        <w:t>Numër ushtarakësh të rinj të trajnuar dhe pranuar kundrejt numrit të aplikimeve</w:t>
      </w:r>
    </w:p>
    <w:p w14:paraId="54F3AD69" w14:textId="77777777" w:rsidR="000C2868" w:rsidRPr="00CE7864" w:rsidRDefault="000C2868" w:rsidP="00056DE5">
      <w:pPr>
        <w:pStyle w:val="ListParagraph"/>
        <w:numPr>
          <w:ilvl w:val="0"/>
          <w:numId w:val="69"/>
        </w:numPr>
        <w:jc w:val="both"/>
        <w:rPr>
          <w:rFonts w:asciiTheme="minorHAnsi" w:hAnsiTheme="minorHAnsi" w:cs="Calibri"/>
          <w:bCs/>
          <w:i/>
          <w:iCs/>
          <w:sz w:val="22"/>
          <w:lang w:val="sq-AL"/>
        </w:rPr>
      </w:pPr>
      <w:r w:rsidRPr="00CE7864">
        <w:rPr>
          <w:rFonts w:asciiTheme="minorHAnsi" w:hAnsiTheme="minorHAnsi" w:cs="Calibri"/>
          <w:bCs/>
          <w:i/>
          <w:iCs/>
          <w:sz w:val="22"/>
          <w:lang w:val="sq-AL"/>
        </w:rPr>
        <w:t>Numër personeli që përfundojnë trajnimet dhe kalojnë testet.</w:t>
      </w:r>
    </w:p>
    <w:p w14:paraId="2350658B" w14:textId="77777777" w:rsidR="000C2868" w:rsidRPr="00CE7864" w:rsidRDefault="000C2868" w:rsidP="00056DE5">
      <w:pPr>
        <w:pStyle w:val="ListParagraph"/>
        <w:numPr>
          <w:ilvl w:val="0"/>
          <w:numId w:val="69"/>
        </w:numPr>
        <w:jc w:val="both"/>
        <w:rPr>
          <w:rFonts w:asciiTheme="minorHAnsi" w:hAnsiTheme="minorHAnsi" w:cs="Calibri"/>
          <w:bCs/>
          <w:i/>
          <w:iCs/>
          <w:sz w:val="22"/>
          <w:lang w:val="sq-AL"/>
        </w:rPr>
      </w:pPr>
      <w:r w:rsidRPr="00CE7864">
        <w:rPr>
          <w:rFonts w:asciiTheme="minorHAnsi" w:hAnsiTheme="minorHAnsi" w:cs="Calibri"/>
          <w:bCs/>
          <w:i/>
          <w:iCs/>
          <w:sz w:val="22"/>
          <w:lang w:val="sq-AL"/>
        </w:rPr>
        <w:t>Numër manualesh të botuara kundrejt planifikimit.</w:t>
      </w:r>
    </w:p>
    <w:p w14:paraId="5E545B83" w14:textId="77777777" w:rsidR="000C2868" w:rsidRPr="00CE7864" w:rsidRDefault="000C2868" w:rsidP="00056DE5">
      <w:pPr>
        <w:pStyle w:val="ListParagraph"/>
        <w:numPr>
          <w:ilvl w:val="0"/>
          <w:numId w:val="69"/>
        </w:numPr>
        <w:jc w:val="both"/>
        <w:rPr>
          <w:rFonts w:asciiTheme="minorHAnsi" w:hAnsiTheme="minorHAnsi" w:cs="Calibri"/>
          <w:bCs/>
          <w:i/>
          <w:iCs/>
          <w:sz w:val="22"/>
          <w:lang w:val="sq-AL"/>
        </w:rPr>
      </w:pPr>
      <w:r w:rsidRPr="00CE7864">
        <w:rPr>
          <w:rFonts w:asciiTheme="minorHAnsi" w:hAnsiTheme="minorHAnsi" w:cs="Calibri"/>
          <w:bCs/>
          <w:i/>
          <w:iCs/>
          <w:sz w:val="22"/>
          <w:lang w:val="sq-AL"/>
        </w:rPr>
        <w:t>Numër kërkimesh shkencore të publikuara kundrejt planifikimit.</w:t>
      </w:r>
    </w:p>
    <w:p w14:paraId="65479E82" w14:textId="77777777" w:rsidR="000C2868" w:rsidRPr="00CE7864" w:rsidRDefault="000C2868" w:rsidP="00056DE5">
      <w:pPr>
        <w:pStyle w:val="ListParagraph"/>
        <w:numPr>
          <w:ilvl w:val="0"/>
          <w:numId w:val="69"/>
        </w:numPr>
        <w:jc w:val="both"/>
        <w:rPr>
          <w:rFonts w:asciiTheme="minorHAnsi" w:hAnsiTheme="minorHAnsi" w:cs="Calibri"/>
          <w:bCs/>
          <w:i/>
          <w:iCs/>
          <w:sz w:val="22"/>
          <w:lang w:val="sq-AL"/>
        </w:rPr>
      </w:pPr>
      <w:r w:rsidRPr="00CE7864">
        <w:rPr>
          <w:rFonts w:asciiTheme="minorHAnsi" w:hAnsiTheme="minorHAnsi" w:cs="Calibri"/>
          <w:bCs/>
          <w:i/>
          <w:iCs/>
          <w:sz w:val="22"/>
          <w:lang w:val="sq-AL"/>
        </w:rPr>
        <w:t>Numër studimesh të zhvilluara për standardizimin e FA-ve.</w:t>
      </w:r>
    </w:p>
    <w:p w14:paraId="0798CCFA" w14:textId="77777777" w:rsidR="000C2868" w:rsidRPr="00CE7864" w:rsidRDefault="000C2868" w:rsidP="00056DE5">
      <w:pPr>
        <w:pStyle w:val="ListParagraph"/>
        <w:numPr>
          <w:ilvl w:val="0"/>
          <w:numId w:val="69"/>
        </w:numPr>
        <w:jc w:val="both"/>
        <w:rPr>
          <w:rFonts w:asciiTheme="minorHAnsi" w:hAnsiTheme="minorHAnsi" w:cs="Calibri"/>
          <w:bCs/>
          <w:i/>
          <w:iCs/>
          <w:sz w:val="22"/>
          <w:lang w:val="sq-AL"/>
        </w:rPr>
      </w:pPr>
      <w:r w:rsidRPr="00CE7864">
        <w:rPr>
          <w:rFonts w:asciiTheme="minorHAnsi" w:hAnsiTheme="minorHAnsi" w:cs="Calibri"/>
          <w:bCs/>
          <w:i/>
          <w:iCs/>
          <w:sz w:val="22"/>
          <w:lang w:val="sq-AL"/>
        </w:rPr>
        <w:t>Numër personeli ushtarakë të gjinisë femra të pranuara në FA.</w:t>
      </w:r>
    </w:p>
    <w:p w14:paraId="0BFC4DF1" w14:textId="77777777" w:rsidR="000C2868" w:rsidRPr="00CE7864" w:rsidRDefault="000C2868" w:rsidP="00056DE5">
      <w:pPr>
        <w:pStyle w:val="ListParagraph"/>
        <w:numPr>
          <w:ilvl w:val="0"/>
          <w:numId w:val="69"/>
        </w:numPr>
        <w:jc w:val="both"/>
        <w:rPr>
          <w:rFonts w:asciiTheme="minorHAnsi" w:hAnsiTheme="minorHAnsi"/>
          <w:i/>
          <w:sz w:val="22"/>
          <w:lang w:val="sq-AL"/>
        </w:rPr>
      </w:pPr>
      <w:r w:rsidRPr="00CE7864">
        <w:rPr>
          <w:rFonts w:asciiTheme="minorHAnsi" w:hAnsiTheme="minorHAnsi" w:cs="Calibri"/>
          <w:bCs/>
          <w:i/>
          <w:iCs/>
          <w:sz w:val="22"/>
          <w:lang w:val="sq-AL"/>
        </w:rPr>
        <w:t>Numër personeli i trajnuar/stërvitur.</w:t>
      </w:r>
    </w:p>
    <w:p w14:paraId="6946D616" w14:textId="77777777" w:rsidR="000C2868" w:rsidRPr="00A0431A" w:rsidRDefault="000C2868" w:rsidP="000C2868">
      <w:pPr>
        <w:jc w:val="both"/>
        <w:rPr>
          <w:rFonts w:asciiTheme="minorHAnsi" w:hAnsiTheme="minorHAnsi" w:cs="Calibri"/>
          <w:color w:val="201F1E"/>
          <w:sz w:val="12"/>
          <w:bdr w:val="none" w:sz="0" w:space="0" w:color="auto" w:frame="1"/>
          <w:lang w:val="sq-AL"/>
        </w:rPr>
      </w:pPr>
    </w:p>
    <w:p w14:paraId="5D900B64" w14:textId="77777777" w:rsidR="000C2868" w:rsidRPr="00F82D01" w:rsidRDefault="000C2868" w:rsidP="000C2868">
      <w:pPr>
        <w:shd w:val="clear" w:color="auto" w:fill="FFFFFF"/>
        <w:jc w:val="both"/>
        <w:rPr>
          <w:rFonts w:asciiTheme="minorHAnsi" w:hAnsiTheme="minorHAnsi" w:cs="Calibri"/>
          <w:bCs/>
          <w:bdr w:val="none" w:sz="0" w:space="0" w:color="auto" w:frame="1"/>
          <w:lang w:val="sq-AL"/>
        </w:rPr>
      </w:pPr>
      <w:r w:rsidRPr="003E1083">
        <w:rPr>
          <w:rFonts w:asciiTheme="minorHAnsi" w:hAnsiTheme="minorHAnsi" w:cs="Calibri"/>
          <w:bCs/>
          <w:iCs/>
          <w:lang w:val="sq-AL"/>
        </w:rPr>
        <w:t>Programi “</w:t>
      </w:r>
      <w:r w:rsidRPr="003E1083">
        <w:rPr>
          <w:rFonts w:asciiTheme="minorHAnsi" w:hAnsiTheme="minorHAnsi" w:cs="Calibri"/>
          <w:b/>
          <w:bCs/>
          <w:iCs/>
          <w:lang w:val="sq-AL"/>
        </w:rPr>
        <w:t>Mbështetje për Shëndetësinë</w:t>
      </w:r>
      <w:r w:rsidRPr="003E1083">
        <w:rPr>
          <w:rFonts w:asciiTheme="minorHAnsi" w:hAnsiTheme="minorHAnsi" w:cs="Calibri"/>
          <w:bCs/>
          <w:iCs/>
          <w:lang w:val="sq-AL"/>
        </w:rPr>
        <w:t xml:space="preserve">” ka për qëllim </w:t>
      </w:r>
      <w:r w:rsidRPr="00F82D01">
        <w:rPr>
          <w:rFonts w:asciiTheme="minorHAnsi" w:hAnsiTheme="minorHAnsi" w:cs="Calibri"/>
          <w:bCs/>
          <w:i/>
          <w:iCs/>
          <w:lang w:val="sq-AL"/>
        </w:rPr>
        <w:t>“Ofrimin e një</w:t>
      </w:r>
      <w:r w:rsidRPr="00F82D01">
        <w:rPr>
          <w:rFonts w:asciiTheme="minorHAnsi" w:hAnsiTheme="minorHAnsi" w:cs="Calibri"/>
          <w:i/>
          <w:bdr w:val="none" w:sz="0" w:space="0" w:color="auto" w:frame="1"/>
          <w:lang w:val="sq-AL"/>
        </w:rPr>
        <w:t xml:space="preserve"> shërbimi sa më të specializuar mjekësor dhe spitalor në nivel universitar në trajtim në rang kombëtar të politraumave”</w:t>
      </w:r>
      <w:r w:rsidRPr="003E1083">
        <w:rPr>
          <w:rFonts w:asciiTheme="minorHAnsi" w:hAnsiTheme="minorHAnsi" w:cs="Calibri"/>
          <w:bdr w:val="none" w:sz="0" w:space="0" w:color="auto" w:frame="1"/>
          <w:lang w:val="sq-AL"/>
        </w:rPr>
        <w:t xml:space="preserve">. </w:t>
      </w:r>
      <w:r w:rsidRPr="003E1083">
        <w:rPr>
          <w:rFonts w:asciiTheme="minorHAnsi" w:hAnsiTheme="minorHAnsi" w:cs="Calibri"/>
          <w:bCs/>
          <w:bdr w:val="none" w:sz="0" w:space="0" w:color="auto" w:frame="1"/>
          <w:lang w:val="sq-AL"/>
        </w:rPr>
        <w:t xml:space="preserve">Realizimi i buxhetit për shpenzimet korrente të programit </w:t>
      </w:r>
      <w:r>
        <w:rPr>
          <w:rFonts w:asciiTheme="minorHAnsi" w:hAnsiTheme="minorHAnsi" w:cs="Calibri"/>
          <w:bCs/>
          <w:bdr w:val="none" w:sz="0" w:space="0" w:color="auto" w:frame="1"/>
          <w:lang w:val="sq-AL"/>
        </w:rPr>
        <w:t xml:space="preserve">për 4M I </w:t>
      </w:r>
      <w:r w:rsidRPr="003E1083">
        <w:rPr>
          <w:rFonts w:asciiTheme="minorHAnsi" w:hAnsiTheme="minorHAnsi" w:cs="Calibri"/>
          <w:bCs/>
          <w:bdr w:val="none" w:sz="0" w:space="0" w:color="auto" w:frame="1"/>
          <w:lang w:val="sq-AL"/>
        </w:rPr>
        <w:t>kundrejt buxhetit të akorduar për vitin 2023 është në nivelin 23%.</w:t>
      </w:r>
      <w:r w:rsidRPr="00F82D01">
        <w:t xml:space="preserve"> </w:t>
      </w:r>
      <w:r w:rsidRPr="00F82D01">
        <w:rPr>
          <w:rFonts w:asciiTheme="minorHAnsi" w:hAnsiTheme="minorHAnsi" w:cs="Calibri"/>
          <w:bCs/>
          <w:bdr w:val="none" w:sz="0" w:space="0" w:color="auto" w:frame="1"/>
          <w:lang w:val="sq-AL"/>
        </w:rPr>
        <w:t>Treguesi</w:t>
      </w:r>
      <w:r>
        <w:rPr>
          <w:rFonts w:asciiTheme="minorHAnsi" w:hAnsiTheme="minorHAnsi" w:cs="Calibri"/>
          <w:bCs/>
          <w:bdr w:val="none" w:sz="0" w:space="0" w:color="auto" w:frame="1"/>
          <w:lang w:val="sq-AL"/>
        </w:rPr>
        <w:t>t e</w:t>
      </w:r>
      <w:r w:rsidRPr="00F82D01">
        <w:rPr>
          <w:rFonts w:asciiTheme="minorHAnsi" w:hAnsiTheme="minorHAnsi" w:cs="Calibri"/>
          <w:bCs/>
          <w:bdr w:val="none" w:sz="0" w:space="0" w:color="auto" w:frame="1"/>
          <w:lang w:val="sq-AL"/>
        </w:rPr>
        <w:t xml:space="preserve"> performancës për këtë </w:t>
      </w:r>
      <w:r>
        <w:rPr>
          <w:rFonts w:asciiTheme="minorHAnsi" w:hAnsiTheme="minorHAnsi" w:cs="Calibri"/>
          <w:bCs/>
          <w:bdr w:val="none" w:sz="0" w:space="0" w:color="auto" w:frame="1"/>
          <w:lang w:val="sq-AL"/>
        </w:rPr>
        <w:t>qëllim, janë</w:t>
      </w:r>
      <w:r w:rsidRPr="00F82D01">
        <w:rPr>
          <w:rFonts w:asciiTheme="minorHAnsi" w:hAnsiTheme="minorHAnsi" w:cs="Calibri"/>
          <w:bCs/>
          <w:bdr w:val="none" w:sz="0" w:space="0" w:color="auto" w:frame="1"/>
          <w:lang w:val="sq-AL"/>
        </w:rPr>
        <w:t>:</w:t>
      </w:r>
    </w:p>
    <w:p w14:paraId="7A11EFC3" w14:textId="77777777" w:rsidR="000C2868" w:rsidRPr="00CE7864" w:rsidRDefault="000C2868" w:rsidP="00056DE5">
      <w:pPr>
        <w:pStyle w:val="ListParagraph"/>
        <w:numPr>
          <w:ilvl w:val="0"/>
          <w:numId w:val="69"/>
        </w:numPr>
        <w:jc w:val="both"/>
        <w:rPr>
          <w:rFonts w:asciiTheme="minorHAnsi" w:hAnsiTheme="minorHAnsi" w:cs="Calibri"/>
          <w:bCs/>
          <w:i/>
          <w:iCs/>
          <w:sz w:val="22"/>
          <w:lang w:val="sq-AL"/>
        </w:rPr>
      </w:pPr>
      <w:r w:rsidRPr="00CE7864">
        <w:rPr>
          <w:rFonts w:asciiTheme="minorHAnsi" w:hAnsiTheme="minorHAnsi" w:cs="Calibri"/>
          <w:bCs/>
          <w:i/>
          <w:iCs/>
          <w:sz w:val="22"/>
          <w:lang w:val="sq-AL"/>
        </w:rPr>
        <w:t xml:space="preserve">Numri i Urgjencave të shërbimit të Kirurgjisë dhe Terapisë </w:t>
      </w:r>
    </w:p>
    <w:p w14:paraId="1D281662" w14:textId="77777777" w:rsidR="000C2868" w:rsidRPr="00CE7864" w:rsidRDefault="000C2868" w:rsidP="00056DE5">
      <w:pPr>
        <w:pStyle w:val="ListParagraph"/>
        <w:numPr>
          <w:ilvl w:val="0"/>
          <w:numId w:val="69"/>
        </w:numPr>
        <w:jc w:val="both"/>
        <w:rPr>
          <w:rFonts w:asciiTheme="minorHAnsi" w:hAnsiTheme="minorHAnsi" w:cs="Calibri"/>
          <w:bCs/>
          <w:i/>
          <w:iCs/>
          <w:sz w:val="22"/>
          <w:lang w:val="sq-AL"/>
        </w:rPr>
      </w:pPr>
      <w:r w:rsidRPr="00CE7864">
        <w:rPr>
          <w:rFonts w:asciiTheme="minorHAnsi" w:hAnsiTheme="minorHAnsi" w:cs="Calibri"/>
          <w:bCs/>
          <w:i/>
          <w:iCs/>
          <w:sz w:val="22"/>
          <w:lang w:val="sq-AL"/>
        </w:rPr>
        <w:t xml:space="preserve">Numri i Pacienteve të shtruar, të planifikuar dhe urgjente në SUT </w:t>
      </w:r>
    </w:p>
    <w:p w14:paraId="25EF81E6" w14:textId="77777777" w:rsidR="000C2868" w:rsidRPr="00CE7864" w:rsidRDefault="000C2868" w:rsidP="00056DE5">
      <w:pPr>
        <w:pStyle w:val="ListParagraph"/>
        <w:numPr>
          <w:ilvl w:val="0"/>
          <w:numId w:val="69"/>
        </w:numPr>
        <w:jc w:val="both"/>
        <w:rPr>
          <w:rFonts w:asciiTheme="minorHAnsi" w:hAnsiTheme="minorHAnsi" w:cs="Calibri"/>
          <w:bCs/>
          <w:i/>
          <w:iCs/>
          <w:sz w:val="22"/>
          <w:lang w:val="sq-AL"/>
        </w:rPr>
      </w:pPr>
      <w:r w:rsidRPr="00CE7864">
        <w:rPr>
          <w:rFonts w:asciiTheme="minorHAnsi" w:hAnsiTheme="minorHAnsi" w:cs="Calibri"/>
          <w:bCs/>
          <w:i/>
          <w:iCs/>
          <w:sz w:val="22"/>
          <w:lang w:val="sq-AL"/>
        </w:rPr>
        <w:t>Numri i Operacioneve të sallës operatore të urgjencës</w:t>
      </w:r>
    </w:p>
    <w:p w14:paraId="7057154A" w14:textId="77777777" w:rsidR="000C2868" w:rsidRPr="00CE7864" w:rsidRDefault="000C2868" w:rsidP="00056DE5">
      <w:pPr>
        <w:pStyle w:val="ListParagraph"/>
        <w:numPr>
          <w:ilvl w:val="0"/>
          <w:numId w:val="69"/>
        </w:numPr>
        <w:jc w:val="both"/>
        <w:rPr>
          <w:rFonts w:asciiTheme="minorHAnsi" w:hAnsiTheme="minorHAnsi" w:cs="Calibri"/>
          <w:bCs/>
          <w:i/>
          <w:iCs/>
          <w:sz w:val="22"/>
          <w:lang w:val="sq-AL"/>
        </w:rPr>
      </w:pPr>
      <w:r w:rsidRPr="00CE7864">
        <w:rPr>
          <w:rFonts w:asciiTheme="minorHAnsi" w:hAnsiTheme="minorHAnsi" w:cs="Calibri"/>
          <w:bCs/>
          <w:i/>
          <w:iCs/>
          <w:sz w:val="22"/>
          <w:lang w:val="sq-AL"/>
        </w:rPr>
        <w:t>Përqindja e vdekshmërisë.</w:t>
      </w:r>
    </w:p>
    <w:p w14:paraId="57D8B5B0" w14:textId="77777777" w:rsidR="000C2868" w:rsidRPr="00A0431A" w:rsidRDefault="000C2868" w:rsidP="000C2868">
      <w:pPr>
        <w:shd w:val="clear" w:color="auto" w:fill="FFFFFF"/>
        <w:jc w:val="both"/>
        <w:rPr>
          <w:rFonts w:asciiTheme="minorHAnsi" w:hAnsiTheme="minorHAnsi" w:cs="Calibri"/>
          <w:sz w:val="12"/>
          <w:lang w:val="sq-AL"/>
        </w:rPr>
      </w:pPr>
    </w:p>
    <w:p w14:paraId="2FBEF9E1" w14:textId="77777777" w:rsidR="000C2868" w:rsidRPr="00AA20B2" w:rsidRDefault="000C2868" w:rsidP="000C2868">
      <w:pPr>
        <w:shd w:val="clear" w:color="auto" w:fill="FFFFFF"/>
        <w:jc w:val="both"/>
        <w:rPr>
          <w:rFonts w:asciiTheme="minorHAnsi" w:hAnsiTheme="minorHAnsi" w:cstheme="minorHAnsi"/>
          <w:bCs/>
          <w:color w:val="000000"/>
          <w:bdr w:val="none" w:sz="0" w:space="0" w:color="auto" w:frame="1"/>
          <w:lang w:val="sq-AL"/>
        </w:rPr>
      </w:pPr>
      <w:r>
        <w:rPr>
          <w:rFonts w:asciiTheme="minorHAnsi" w:hAnsiTheme="minorHAnsi" w:cs="Calibri"/>
          <w:lang w:val="sq-AL"/>
        </w:rPr>
        <w:t>Realizimi i fondeve buxhetore të akorduara në programin</w:t>
      </w:r>
      <w:r w:rsidRPr="003E1083">
        <w:rPr>
          <w:rFonts w:asciiTheme="minorHAnsi" w:hAnsiTheme="minorHAnsi" w:cs="Calibri"/>
          <w:lang w:val="sq-AL"/>
        </w:rPr>
        <w:t xml:space="preserve"> “</w:t>
      </w:r>
      <w:r w:rsidRPr="003E1083">
        <w:rPr>
          <w:rFonts w:asciiTheme="minorHAnsi" w:hAnsiTheme="minorHAnsi" w:cs="Calibri"/>
          <w:b/>
          <w:lang w:val="sq-AL"/>
        </w:rPr>
        <w:t>Emergjencat Civile</w:t>
      </w:r>
      <w:r w:rsidRPr="003E1083">
        <w:rPr>
          <w:rFonts w:asciiTheme="minorHAnsi" w:hAnsiTheme="minorHAnsi" w:cs="Calibri"/>
          <w:lang w:val="sq-AL"/>
        </w:rPr>
        <w:t xml:space="preserve">” </w:t>
      </w:r>
      <w:r>
        <w:rPr>
          <w:rFonts w:asciiTheme="minorHAnsi" w:hAnsiTheme="minorHAnsi"/>
          <w:noProof/>
          <w:lang w:val="sq-AL"/>
        </w:rPr>
        <w:t>për 4M I</w:t>
      </w:r>
      <w:r w:rsidRPr="003E1083">
        <w:rPr>
          <w:rFonts w:asciiTheme="minorHAnsi" w:hAnsiTheme="minorHAnsi"/>
          <w:noProof/>
          <w:lang w:val="sq-AL"/>
        </w:rPr>
        <w:t xml:space="preserve"> 2023 </w:t>
      </w:r>
      <w:r>
        <w:rPr>
          <w:rFonts w:asciiTheme="minorHAnsi" w:hAnsiTheme="minorHAnsi"/>
          <w:noProof/>
          <w:lang w:val="sq-AL"/>
        </w:rPr>
        <w:t>për</w:t>
      </w:r>
      <w:r w:rsidRPr="003E1083">
        <w:rPr>
          <w:rFonts w:asciiTheme="minorHAnsi" w:hAnsiTheme="minorHAnsi"/>
          <w:noProof/>
          <w:lang w:val="sq-AL"/>
        </w:rPr>
        <w:t xml:space="preserve"> grupin e shpenzimeve</w:t>
      </w:r>
      <w:r>
        <w:rPr>
          <w:rFonts w:asciiTheme="minorHAnsi" w:hAnsiTheme="minorHAnsi"/>
          <w:noProof/>
          <w:lang w:val="sq-AL"/>
        </w:rPr>
        <w:t xml:space="preserve"> korente rezulton në masën 13.3</w:t>
      </w:r>
      <w:r w:rsidRPr="003E1083">
        <w:rPr>
          <w:rFonts w:asciiTheme="minorHAnsi" w:hAnsiTheme="minorHAnsi"/>
          <w:noProof/>
          <w:lang w:val="sq-AL"/>
        </w:rPr>
        <w:t>%.</w:t>
      </w:r>
      <w:r>
        <w:rPr>
          <w:rFonts w:asciiTheme="minorHAnsi" w:hAnsiTheme="minorHAnsi"/>
          <w:noProof/>
          <w:lang w:val="sq-AL"/>
        </w:rPr>
        <w:t xml:space="preserve"> Qëllimi i këtij programi realizohet përmes arritjes së këtyre objektivave</w:t>
      </w:r>
      <w:r w:rsidRPr="00BF005F">
        <w:rPr>
          <w:rFonts w:asciiTheme="minorHAnsi" w:hAnsiTheme="minorHAnsi" w:cstheme="minorHAnsi"/>
          <w:lang w:val="sq-AL"/>
        </w:rPr>
        <w:t>:</w:t>
      </w:r>
    </w:p>
    <w:p w14:paraId="4C84F784" w14:textId="77777777" w:rsidR="000C2868" w:rsidRPr="009638F4" w:rsidRDefault="000C2868" w:rsidP="000C2868">
      <w:pPr>
        <w:contextualSpacing/>
        <w:jc w:val="both"/>
        <w:rPr>
          <w:rFonts w:asciiTheme="minorHAnsi" w:eastAsiaTheme="minorHAnsi" w:hAnsiTheme="minorHAnsi"/>
          <w:sz w:val="8"/>
          <w:szCs w:val="8"/>
          <w:lang w:val="sq-AL"/>
        </w:rPr>
      </w:pPr>
    </w:p>
    <w:p w14:paraId="2418676F" w14:textId="77777777" w:rsidR="000C2868" w:rsidRPr="00BF005F" w:rsidRDefault="000C2868" w:rsidP="00056DE5">
      <w:pPr>
        <w:pStyle w:val="ListParagraph"/>
        <w:numPr>
          <w:ilvl w:val="0"/>
          <w:numId w:val="70"/>
        </w:numPr>
        <w:jc w:val="both"/>
        <w:rPr>
          <w:rFonts w:asciiTheme="minorHAnsi" w:eastAsiaTheme="minorHAnsi" w:hAnsiTheme="minorHAnsi"/>
          <w:lang w:val="sq-AL"/>
        </w:rPr>
      </w:pPr>
      <w:r>
        <w:rPr>
          <w:rFonts w:asciiTheme="minorHAnsi" w:eastAsiaTheme="minorHAnsi" w:hAnsiTheme="minorHAnsi"/>
          <w:lang w:val="sq-AL"/>
        </w:rPr>
        <w:t>Zvogëlimi i</w:t>
      </w:r>
      <w:r w:rsidRPr="00BF005F">
        <w:rPr>
          <w:rFonts w:asciiTheme="minorHAnsi" w:eastAsiaTheme="minorHAnsi" w:hAnsiTheme="minorHAnsi"/>
          <w:lang w:val="sq-AL"/>
        </w:rPr>
        <w:t xml:space="preserve"> humbjeve në jetë njerëzish, pasurisë, trashëgimisë kulturore dhe në mjedis. Tregues performance: </w:t>
      </w:r>
      <w:r w:rsidRPr="00BF005F">
        <w:rPr>
          <w:rFonts w:asciiTheme="minorHAnsi" w:eastAsiaTheme="minorHAnsi" w:hAnsiTheme="minorHAnsi"/>
          <w:lang w:val="sq-AL"/>
        </w:rPr>
        <w:tab/>
      </w:r>
    </w:p>
    <w:p w14:paraId="5744D70D" w14:textId="77777777" w:rsidR="000C2868" w:rsidRPr="00CE7864" w:rsidRDefault="000C2868" w:rsidP="00056DE5">
      <w:pPr>
        <w:pStyle w:val="ListParagraph"/>
        <w:numPr>
          <w:ilvl w:val="0"/>
          <w:numId w:val="69"/>
        </w:numPr>
        <w:jc w:val="both"/>
        <w:rPr>
          <w:rFonts w:asciiTheme="minorHAnsi" w:hAnsiTheme="minorHAnsi" w:cstheme="minorHAnsi"/>
          <w:i/>
          <w:color w:val="000000"/>
          <w:sz w:val="22"/>
          <w:lang w:val="sq-AL"/>
        </w:rPr>
      </w:pPr>
      <w:r w:rsidRPr="00CE7864">
        <w:rPr>
          <w:rFonts w:asciiTheme="minorHAnsi" w:hAnsiTheme="minorHAnsi" w:cstheme="minorHAnsi"/>
          <w:i/>
          <w:color w:val="000000"/>
          <w:sz w:val="22"/>
          <w:lang w:val="sq-AL"/>
        </w:rPr>
        <w:t>Jetë të shpëtuara</w:t>
      </w:r>
    </w:p>
    <w:p w14:paraId="06FB03BD" w14:textId="77777777" w:rsidR="000C2868" w:rsidRPr="00CE7864" w:rsidRDefault="000C2868" w:rsidP="00056DE5">
      <w:pPr>
        <w:pStyle w:val="ListParagraph"/>
        <w:numPr>
          <w:ilvl w:val="0"/>
          <w:numId w:val="69"/>
        </w:numPr>
        <w:jc w:val="both"/>
        <w:rPr>
          <w:rFonts w:asciiTheme="minorHAnsi" w:hAnsiTheme="minorHAnsi" w:cstheme="minorHAnsi"/>
          <w:i/>
          <w:color w:val="000000"/>
          <w:sz w:val="22"/>
          <w:lang w:val="sq-AL"/>
        </w:rPr>
      </w:pPr>
      <w:r w:rsidRPr="00CE7864">
        <w:rPr>
          <w:rFonts w:asciiTheme="minorHAnsi" w:hAnsiTheme="minorHAnsi" w:cstheme="minorHAnsi"/>
          <w:i/>
          <w:color w:val="000000"/>
          <w:sz w:val="22"/>
          <w:lang w:val="sq-AL"/>
        </w:rPr>
        <w:t>Familje të dëmshpërblyera</w:t>
      </w:r>
    </w:p>
    <w:p w14:paraId="66CB205B" w14:textId="77777777" w:rsidR="000C2868" w:rsidRPr="00CE7864" w:rsidRDefault="000C2868" w:rsidP="00056DE5">
      <w:pPr>
        <w:pStyle w:val="ListParagraph"/>
        <w:numPr>
          <w:ilvl w:val="0"/>
          <w:numId w:val="69"/>
        </w:numPr>
        <w:jc w:val="both"/>
        <w:rPr>
          <w:rFonts w:asciiTheme="minorHAnsi" w:hAnsiTheme="minorHAnsi" w:cstheme="minorHAnsi"/>
          <w:i/>
          <w:color w:val="000000"/>
          <w:sz w:val="22"/>
          <w:lang w:val="sq-AL"/>
        </w:rPr>
      </w:pPr>
      <w:r w:rsidRPr="00CE7864">
        <w:rPr>
          <w:rFonts w:asciiTheme="minorHAnsi" w:hAnsiTheme="minorHAnsi" w:cstheme="minorHAnsi"/>
          <w:i/>
          <w:color w:val="000000"/>
          <w:sz w:val="22"/>
          <w:lang w:val="sq-AL"/>
        </w:rPr>
        <w:t>Infrastrukturë e përmirësuar dhe rehabilituar</w:t>
      </w:r>
    </w:p>
    <w:p w14:paraId="19A533D4" w14:textId="77777777" w:rsidR="000C2868" w:rsidRPr="00BF005F" w:rsidRDefault="000C2868" w:rsidP="00056DE5">
      <w:pPr>
        <w:pStyle w:val="ListParagraph"/>
        <w:numPr>
          <w:ilvl w:val="0"/>
          <w:numId w:val="70"/>
        </w:numPr>
        <w:jc w:val="both"/>
        <w:rPr>
          <w:rFonts w:asciiTheme="minorHAnsi" w:hAnsiTheme="minorHAnsi" w:cstheme="minorHAnsi"/>
          <w:lang w:val="sq-AL"/>
        </w:rPr>
      </w:pPr>
      <w:r w:rsidRPr="00BF005F">
        <w:rPr>
          <w:rFonts w:asciiTheme="minorHAnsi" w:eastAsiaTheme="minorHAnsi" w:hAnsiTheme="minorHAnsi"/>
          <w:lang w:val="sq-AL"/>
        </w:rPr>
        <w:t>Rritja e stokut ne mallra ushqimore e industriale dhe krijimi i kushteve optimale për miradministrimin e mallrave të konsideruara si rezervë shtetërore. Tregues performance:</w:t>
      </w:r>
      <w:r w:rsidRPr="00BF005F">
        <w:rPr>
          <w:rFonts w:asciiTheme="minorHAnsi" w:hAnsiTheme="minorHAnsi" w:cstheme="minorHAnsi"/>
          <w:lang w:val="sq-AL"/>
        </w:rPr>
        <w:tab/>
      </w:r>
    </w:p>
    <w:p w14:paraId="71C20DA6" w14:textId="77777777" w:rsidR="000C2868" w:rsidRPr="00CE7864" w:rsidRDefault="000C2868" w:rsidP="00056DE5">
      <w:pPr>
        <w:pStyle w:val="ListParagraph"/>
        <w:numPr>
          <w:ilvl w:val="0"/>
          <w:numId w:val="69"/>
        </w:numPr>
        <w:jc w:val="both"/>
        <w:rPr>
          <w:rFonts w:asciiTheme="minorHAnsi" w:hAnsiTheme="minorHAnsi" w:cstheme="minorHAnsi"/>
          <w:i/>
          <w:color w:val="000000"/>
          <w:sz w:val="22"/>
          <w:lang w:val="sq-AL"/>
        </w:rPr>
      </w:pPr>
      <w:r w:rsidRPr="00CE7864">
        <w:rPr>
          <w:rFonts w:asciiTheme="minorHAnsi" w:hAnsiTheme="minorHAnsi" w:cstheme="minorHAnsi"/>
          <w:i/>
          <w:color w:val="000000"/>
          <w:sz w:val="22"/>
          <w:lang w:val="sq-AL"/>
        </w:rPr>
        <w:t xml:space="preserve">Rritja e stokut të mallrave rezervë shteti, të cilat do të përdoren për t’i ardhur në ndihmë 4 </w:t>
      </w:r>
    </w:p>
    <w:p w14:paraId="3C929E01" w14:textId="77777777" w:rsidR="000C2868" w:rsidRPr="00CE7864" w:rsidRDefault="000C2868" w:rsidP="000C2868">
      <w:pPr>
        <w:pStyle w:val="ListParagraph"/>
        <w:ind w:left="90"/>
        <w:jc w:val="both"/>
        <w:rPr>
          <w:rFonts w:asciiTheme="minorHAnsi" w:hAnsiTheme="minorHAnsi" w:cstheme="minorHAnsi"/>
          <w:i/>
          <w:color w:val="000000"/>
          <w:sz w:val="22"/>
          <w:lang w:val="sq-AL"/>
        </w:rPr>
      </w:pPr>
      <w:r w:rsidRPr="00CE7864">
        <w:rPr>
          <w:rFonts w:asciiTheme="minorHAnsi" w:hAnsiTheme="minorHAnsi" w:cstheme="minorHAnsi"/>
          <w:i/>
          <w:color w:val="000000"/>
          <w:sz w:val="22"/>
          <w:lang w:val="sq-AL"/>
        </w:rPr>
        <w:t xml:space="preserve">           000 familjeve të prekur nga fatkeqësitë natyrore me mallra rezervë  shtetërore për një     </w:t>
      </w:r>
    </w:p>
    <w:p w14:paraId="5FC45A36" w14:textId="77777777" w:rsidR="000C2868" w:rsidRPr="00CE7864" w:rsidRDefault="000C2868" w:rsidP="000C2868">
      <w:pPr>
        <w:jc w:val="both"/>
        <w:rPr>
          <w:rFonts w:asciiTheme="minorHAnsi" w:hAnsiTheme="minorHAnsi" w:cstheme="minorHAnsi"/>
          <w:i/>
          <w:color w:val="000000"/>
          <w:sz w:val="22"/>
          <w:lang w:val="sq-AL"/>
        </w:rPr>
      </w:pPr>
      <w:r w:rsidRPr="00CE7864">
        <w:rPr>
          <w:rFonts w:asciiTheme="minorHAnsi" w:hAnsiTheme="minorHAnsi" w:cstheme="minorHAnsi"/>
          <w:i/>
          <w:color w:val="000000"/>
          <w:sz w:val="22"/>
          <w:lang w:val="sq-AL"/>
        </w:rPr>
        <w:t xml:space="preserve">             periudhë 1 mujore.</w:t>
      </w:r>
    </w:p>
    <w:p w14:paraId="2CAAF21E" w14:textId="77777777" w:rsidR="000C2868" w:rsidRPr="003E1083" w:rsidRDefault="000C2868" w:rsidP="000C2868">
      <w:pPr>
        <w:spacing w:before="120"/>
        <w:jc w:val="both"/>
        <w:rPr>
          <w:rFonts w:asciiTheme="minorHAnsi" w:hAnsiTheme="minorHAnsi"/>
          <w:b/>
          <w:noProof/>
          <w:color w:val="0070C0"/>
          <w:lang w:val="sq-AL"/>
        </w:rPr>
      </w:pPr>
      <w:r w:rsidRPr="003E1083">
        <w:rPr>
          <w:rFonts w:asciiTheme="minorHAnsi" w:hAnsiTheme="minorHAnsi"/>
          <w:b/>
          <w:noProof/>
          <w:color w:val="0070C0"/>
          <w:lang w:val="sq-AL"/>
        </w:rPr>
        <w:lastRenderedPageBreak/>
        <w:t>RENDI DHE SIGURIA PUBLIKE</w:t>
      </w:r>
    </w:p>
    <w:p w14:paraId="35172AC3" w14:textId="77777777" w:rsidR="000C2868" w:rsidRPr="003E1083" w:rsidRDefault="000C2868" w:rsidP="000C2868">
      <w:pPr>
        <w:jc w:val="both"/>
        <w:rPr>
          <w:rFonts w:asciiTheme="minorHAnsi" w:hAnsiTheme="minorHAnsi"/>
          <w:color w:val="000000"/>
          <w:lang w:val="sq-AL"/>
        </w:rPr>
      </w:pPr>
      <w:r w:rsidRPr="003E1083">
        <w:rPr>
          <w:rFonts w:asciiTheme="minorHAnsi" w:hAnsiTheme="minorHAnsi"/>
          <w:color w:val="000000"/>
          <w:lang w:val="sq-AL"/>
        </w:rPr>
        <w:t>Performanca e treguesve buxhetorë për  5 programet e Ministrisë së Brendshme paraqitet si mëposhtë:</w:t>
      </w:r>
      <w:r w:rsidRPr="003E1083">
        <w:rPr>
          <w:rFonts w:asciiTheme="minorHAnsi" w:hAnsiTheme="minorHAnsi"/>
          <w:color w:val="000000"/>
          <w:lang w:val="sq-AL"/>
        </w:rPr>
        <w:tab/>
      </w:r>
    </w:p>
    <w:p w14:paraId="54D047B7" w14:textId="30CD5A76" w:rsidR="000C2868" w:rsidRPr="00A0431A" w:rsidRDefault="000C2868" w:rsidP="000C2868">
      <w:pPr>
        <w:spacing w:before="120"/>
        <w:rPr>
          <w:rFonts w:asciiTheme="minorHAnsi" w:hAnsiTheme="minorHAnsi"/>
          <w:b/>
          <w:i/>
          <w:iCs/>
          <w:color w:val="4F81BD"/>
          <w:sz w:val="22"/>
          <w:lang w:val="sq-AL"/>
        </w:rPr>
      </w:pPr>
      <w:bookmarkStart w:id="225" w:name="_Toc107496783"/>
      <w:r w:rsidRPr="00A0431A">
        <w:rPr>
          <w:rFonts w:asciiTheme="minorHAnsi" w:hAnsiTheme="minorHAnsi"/>
          <w:i/>
          <w:noProof/>
          <w:sz w:val="22"/>
          <w:lang w:val="sq-AL"/>
        </w:rPr>
        <w:t xml:space="preserve">Tabela </w:t>
      </w:r>
      <w:r w:rsidRPr="00A0431A">
        <w:rPr>
          <w:rFonts w:asciiTheme="minorHAnsi" w:hAnsiTheme="minorHAnsi"/>
          <w:i/>
          <w:noProof/>
          <w:sz w:val="22"/>
          <w:lang w:val="sq-AL"/>
        </w:rPr>
        <w:fldChar w:fldCharType="begin"/>
      </w:r>
      <w:r w:rsidRPr="00A0431A">
        <w:rPr>
          <w:rFonts w:asciiTheme="minorHAnsi" w:hAnsiTheme="minorHAnsi"/>
          <w:i/>
          <w:noProof/>
          <w:sz w:val="22"/>
          <w:lang w:val="sq-AL"/>
        </w:rPr>
        <w:instrText xml:space="preserve"> SEQ Tabela \* ARABIC </w:instrText>
      </w:r>
      <w:r w:rsidRPr="00A0431A">
        <w:rPr>
          <w:rFonts w:asciiTheme="minorHAnsi" w:hAnsiTheme="minorHAnsi"/>
          <w:i/>
          <w:noProof/>
          <w:sz w:val="22"/>
          <w:lang w:val="sq-AL"/>
        </w:rPr>
        <w:fldChar w:fldCharType="separate"/>
      </w:r>
      <w:r w:rsidR="00C153A9">
        <w:rPr>
          <w:rFonts w:asciiTheme="minorHAnsi" w:hAnsiTheme="minorHAnsi"/>
          <w:i/>
          <w:noProof/>
          <w:sz w:val="22"/>
          <w:lang w:val="sq-AL"/>
        </w:rPr>
        <w:t>46</w:t>
      </w:r>
      <w:r w:rsidRPr="00A0431A">
        <w:rPr>
          <w:rFonts w:asciiTheme="minorHAnsi" w:hAnsiTheme="minorHAnsi"/>
          <w:i/>
          <w:noProof/>
          <w:sz w:val="22"/>
          <w:lang w:val="sq-AL"/>
        </w:rPr>
        <w:fldChar w:fldCharType="end"/>
      </w:r>
      <w:r w:rsidRPr="00A0431A">
        <w:rPr>
          <w:rFonts w:asciiTheme="minorHAnsi" w:hAnsiTheme="minorHAnsi"/>
          <w:i/>
          <w:noProof/>
          <w:sz w:val="22"/>
          <w:lang w:val="sq-AL"/>
        </w:rPr>
        <w:t xml:space="preserve">:  </w:t>
      </w:r>
      <w:r>
        <w:rPr>
          <w:rFonts w:ascii="Calibri" w:hAnsi="Calibri"/>
          <w:i/>
          <w:noProof/>
          <w:sz w:val="22"/>
          <w:lang w:val="sq-AL"/>
        </w:rPr>
        <w:t>Performanca e shpenzimeve për 4M I</w:t>
      </w:r>
      <w:r>
        <w:rPr>
          <w:rFonts w:asciiTheme="minorHAnsi" w:hAnsiTheme="minorHAnsi"/>
          <w:i/>
          <w:noProof/>
          <w:sz w:val="22"/>
          <w:lang w:val="sq-AL"/>
        </w:rPr>
        <w:t xml:space="preserve">, për </w:t>
      </w:r>
      <w:r w:rsidRPr="00A0431A">
        <w:rPr>
          <w:rFonts w:asciiTheme="minorHAnsi" w:hAnsiTheme="minorHAnsi"/>
          <w:i/>
          <w:noProof/>
          <w:sz w:val="22"/>
          <w:lang w:val="sq-AL"/>
        </w:rPr>
        <w:t>Rendi</w:t>
      </w:r>
      <w:r>
        <w:rPr>
          <w:rFonts w:asciiTheme="minorHAnsi" w:hAnsiTheme="minorHAnsi"/>
          <w:i/>
          <w:noProof/>
          <w:sz w:val="22"/>
          <w:lang w:val="sq-AL"/>
        </w:rPr>
        <w:t>n</w:t>
      </w:r>
      <w:r w:rsidRPr="00A0431A">
        <w:rPr>
          <w:rFonts w:asciiTheme="minorHAnsi" w:hAnsiTheme="minorHAnsi"/>
          <w:i/>
          <w:noProof/>
          <w:sz w:val="22"/>
          <w:lang w:val="sq-AL"/>
        </w:rPr>
        <w:t xml:space="preserve"> dhe Siguri</w:t>
      </w:r>
      <w:r>
        <w:rPr>
          <w:rFonts w:asciiTheme="minorHAnsi" w:hAnsiTheme="minorHAnsi"/>
          <w:i/>
          <w:noProof/>
          <w:sz w:val="22"/>
          <w:lang w:val="sq-AL"/>
        </w:rPr>
        <w:t>në</w:t>
      </w:r>
      <w:r w:rsidRPr="00A0431A">
        <w:rPr>
          <w:rFonts w:asciiTheme="minorHAnsi" w:hAnsiTheme="minorHAnsi"/>
          <w:i/>
          <w:noProof/>
          <w:sz w:val="22"/>
          <w:lang w:val="sq-AL"/>
        </w:rPr>
        <w:t xml:space="preserve"> Publike</w:t>
      </w:r>
      <w:bookmarkEnd w:id="225"/>
      <w:r w:rsidRPr="00A0431A">
        <w:rPr>
          <w:rFonts w:asciiTheme="minorHAnsi" w:hAnsiTheme="minorHAnsi"/>
          <w:i/>
          <w:noProof/>
          <w:sz w:val="22"/>
          <w:lang w:val="sq-AL"/>
        </w:rPr>
        <w:tab/>
      </w:r>
      <w:r w:rsidRPr="00A0431A">
        <w:rPr>
          <w:rFonts w:asciiTheme="minorHAnsi" w:hAnsiTheme="minorHAnsi"/>
          <w:b/>
          <w:bCs/>
          <w:color w:val="000000"/>
          <w:sz w:val="22"/>
          <w:lang w:val="sq-AL"/>
        </w:rPr>
        <w:tab/>
      </w:r>
      <w:r w:rsidRPr="00A0431A">
        <w:rPr>
          <w:rFonts w:asciiTheme="minorHAnsi" w:hAnsiTheme="minorHAnsi"/>
          <w:b/>
          <w:bCs/>
          <w:color w:val="000000"/>
          <w:sz w:val="22"/>
          <w:lang w:val="sq-AL"/>
        </w:rPr>
        <w:tab/>
      </w:r>
    </w:p>
    <w:p w14:paraId="555C1F41" w14:textId="77777777" w:rsidR="000C2868" w:rsidRPr="003E1083" w:rsidRDefault="000C2868" w:rsidP="000C2868">
      <w:pPr>
        <w:jc w:val="right"/>
        <w:rPr>
          <w:rFonts w:asciiTheme="minorHAnsi" w:hAnsiTheme="minorHAnsi"/>
          <w:color w:val="000000"/>
          <w:sz w:val="20"/>
          <w:lang w:val="sq-AL"/>
        </w:rPr>
      </w:pPr>
      <w:r w:rsidRPr="003E1083">
        <w:rPr>
          <w:rFonts w:asciiTheme="minorHAnsi" w:hAnsiTheme="minorHAnsi"/>
          <w:bCs/>
          <w:i/>
          <w:iCs/>
          <w:sz w:val="20"/>
          <w:lang w:val="sq-AL"/>
        </w:rPr>
        <w:t>Në mijë lekë</w:t>
      </w:r>
    </w:p>
    <w:tbl>
      <w:tblPr>
        <w:tblW w:w="0" w:type="auto"/>
        <w:jc w:val="center"/>
        <w:tblLook w:val="04A0" w:firstRow="1" w:lastRow="0" w:firstColumn="1" w:lastColumn="0" w:noHBand="0" w:noVBand="1"/>
      </w:tblPr>
      <w:tblGrid>
        <w:gridCol w:w="436"/>
        <w:gridCol w:w="3047"/>
        <w:gridCol w:w="1039"/>
        <w:gridCol w:w="952"/>
        <w:gridCol w:w="948"/>
        <w:gridCol w:w="952"/>
        <w:gridCol w:w="1011"/>
        <w:gridCol w:w="1170"/>
      </w:tblGrid>
      <w:tr w:rsidR="000C2868" w:rsidRPr="003E1083" w14:paraId="7120A9A2" w14:textId="77777777" w:rsidTr="000C2868">
        <w:trPr>
          <w:trHeight w:val="330"/>
          <w:jc w:val="center"/>
        </w:trPr>
        <w:tc>
          <w:tcPr>
            <w:tcW w:w="0" w:type="auto"/>
            <w:vMerge w:val="restart"/>
            <w:tcBorders>
              <w:top w:val="single" w:sz="8" w:space="0" w:color="548DD4"/>
              <w:left w:val="single" w:sz="8" w:space="0" w:color="548DD4"/>
              <w:bottom w:val="single" w:sz="8" w:space="0" w:color="548DD4"/>
              <w:right w:val="single" w:sz="8" w:space="0" w:color="548DD4"/>
            </w:tcBorders>
            <w:shd w:val="clear" w:color="000000" w:fill="4BACC6"/>
            <w:vAlign w:val="center"/>
            <w:hideMark/>
          </w:tcPr>
          <w:p w14:paraId="4A27F068" w14:textId="77777777" w:rsidR="000C2868" w:rsidRPr="003E1083" w:rsidRDefault="000C2868" w:rsidP="000C2868">
            <w:pPr>
              <w:jc w:val="center"/>
              <w:rPr>
                <w:rFonts w:asciiTheme="minorHAnsi" w:hAnsiTheme="minorHAnsi"/>
                <w:b/>
                <w:bCs/>
                <w:sz w:val="18"/>
                <w:szCs w:val="18"/>
                <w:lang w:val="sq-AL"/>
              </w:rPr>
            </w:pPr>
            <w:r w:rsidRPr="003E1083">
              <w:rPr>
                <w:rFonts w:asciiTheme="minorHAnsi" w:hAnsiTheme="minorHAnsi"/>
                <w:b/>
                <w:bCs/>
                <w:sz w:val="18"/>
                <w:szCs w:val="18"/>
                <w:lang w:val="sq-AL"/>
              </w:rPr>
              <w:t>NR</w:t>
            </w:r>
          </w:p>
        </w:tc>
        <w:tc>
          <w:tcPr>
            <w:tcW w:w="0" w:type="auto"/>
            <w:vMerge w:val="restart"/>
            <w:tcBorders>
              <w:top w:val="single" w:sz="8" w:space="0" w:color="548DD4"/>
              <w:left w:val="single" w:sz="8" w:space="0" w:color="548DD4"/>
              <w:bottom w:val="single" w:sz="8" w:space="0" w:color="548DD4"/>
              <w:right w:val="single" w:sz="8" w:space="0" w:color="548DD4"/>
            </w:tcBorders>
            <w:shd w:val="clear" w:color="000000" w:fill="4BACC6"/>
            <w:vAlign w:val="center"/>
            <w:hideMark/>
          </w:tcPr>
          <w:p w14:paraId="793E9FEB" w14:textId="77777777" w:rsidR="000C2868" w:rsidRPr="003E1083" w:rsidRDefault="000C2868" w:rsidP="000C2868">
            <w:pPr>
              <w:jc w:val="center"/>
              <w:rPr>
                <w:rFonts w:asciiTheme="minorHAnsi" w:hAnsiTheme="minorHAnsi"/>
                <w:b/>
                <w:bCs/>
                <w:sz w:val="18"/>
                <w:szCs w:val="18"/>
                <w:lang w:val="sq-AL"/>
              </w:rPr>
            </w:pPr>
            <w:r w:rsidRPr="003E1083">
              <w:rPr>
                <w:rFonts w:asciiTheme="minorHAnsi" w:hAnsiTheme="minorHAnsi"/>
                <w:b/>
                <w:bCs/>
                <w:sz w:val="18"/>
                <w:szCs w:val="18"/>
                <w:lang w:val="sq-AL"/>
              </w:rPr>
              <w:t>Emërtimi i Programit</w:t>
            </w:r>
          </w:p>
        </w:tc>
        <w:tc>
          <w:tcPr>
            <w:tcW w:w="0" w:type="auto"/>
            <w:gridSpan w:val="2"/>
            <w:tcBorders>
              <w:top w:val="single" w:sz="8" w:space="0" w:color="548DD4"/>
              <w:left w:val="nil"/>
              <w:bottom w:val="single" w:sz="8" w:space="0" w:color="548DD4"/>
              <w:right w:val="single" w:sz="8" w:space="0" w:color="548DD4"/>
            </w:tcBorders>
            <w:shd w:val="clear" w:color="000000" w:fill="4BACC6"/>
            <w:vAlign w:val="center"/>
            <w:hideMark/>
          </w:tcPr>
          <w:p w14:paraId="7289E7EA" w14:textId="77777777" w:rsidR="000C2868" w:rsidRPr="003E1083" w:rsidRDefault="000C2868" w:rsidP="000C2868">
            <w:pPr>
              <w:jc w:val="center"/>
              <w:rPr>
                <w:rFonts w:asciiTheme="minorHAnsi" w:hAnsiTheme="minorHAnsi"/>
                <w:b/>
                <w:bCs/>
                <w:sz w:val="18"/>
                <w:szCs w:val="18"/>
                <w:lang w:val="sq-AL"/>
              </w:rPr>
            </w:pPr>
            <w:r w:rsidRPr="003E1083">
              <w:rPr>
                <w:rFonts w:asciiTheme="minorHAnsi" w:hAnsiTheme="minorHAnsi"/>
                <w:b/>
                <w:bCs/>
                <w:sz w:val="18"/>
                <w:szCs w:val="18"/>
                <w:lang w:val="sq-AL"/>
              </w:rPr>
              <w:t>Plani 2023</w:t>
            </w:r>
          </w:p>
        </w:tc>
        <w:tc>
          <w:tcPr>
            <w:tcW w:w="0" w:type="auto"/>
            <w:gridSpan w:val="2"/>
            <w:tcBorders>
              <w:top w:val="single" w:sz="8" w:space="0" w:color="548DD4"/>
              <w:left w:val="nil"/>
              <w:bottom w:val="single" w:sz="8" w:space="0" w:color="548DD4"/>
              <w:right w:val="single" w:sz="8" w:space="0" w:color="548DD4"/>
            </w:tcBorders>
            <w:shd w:val="clear" w:color="000000" w:fill="4BACC6"/>
            <w:vAlign w:val="center"/>
            <w:hideMark/>
          </w:tcPr>
          <w:p w14:paraId="2F92EB6D" w14:textId="77777777" w:rsidR="000C2868" w:rsidRPr="003E1083" w:rsidRDefault="000C2868" w:rsidP="000C2868">
            <w:pPr>
              <w:jc w:val="center"/>
              <w:rPr>
                <w:rFonts w:asciiTheme="minorHAnsi" w:hAnsiTheme="minorHAnsi"/>
                <w:b/>
                <w:bCs/>
                <w:sz w:val="18"/>
                <w:szCs w:val="18"/>
                <w:lang w:val="sq-AL"/>
              </w:rPr>
            </w:pPr>
            <w:r w:rsidRPr="003E1083">
              <w:rPr>
                <w:rFonts w:asciiTheme="minorHAnsi" w:hAnsiTheme="minorHAnsi"/>
                <w:b/>
                <w:bCs/>
                <w:sz w:val="18"/>
                <w:szCs w:val="18"/>
                <w:lang w:val="sq-AL"/>
              </w:rPr>
              <w:t>Fakti 4M 2023</w:t>
            </w:r>
          </w:p>
        </w:tc>
        <w:tc>
          <w:tcPr>
            <w:tcW w:w="2181" w:type="dxa"/>
            <w:gridSpan w:val="2"/>
            <w:tcBorders>
              <w:top w:val="single" w:sz="8" w:space="0" w:color="548DD4"/>
              <w:left w:val="nil"/>
              <w:bottom w:val="single" w:sz="8" w:space="0" w:color="548DD4"/>
              <w:right w:val="single" w:sz="8" w:space="0" w:color="548DD4"/>
            </w:tcBorders>
            <w:shd w:val="clear" w:color="000000" w:fill="4BACC6"/>
            <w:vAlign w:val="center"/>
            <w:hideMark/>
          </w:tcPr>
          <w:p w14:paraId="325E9256" w14:textId="77777777" w:rsidR="000C2868" w:rsidRPr="003E1083" w:rsidRDefault="000C2868" w:rsidP="000C2868">
            <w:pPr>
              <w:jc w:val="center"/>
              <w:rPr>
                <w:rFonts w:asciiTheme="minorHAnsi" w:hAnsiTheme="minorHAnsi"/>
                <w:b/>
                <w:bCs/>
                <w:sz w:val="18"/>
                <w:szCs w:val="18"/>
                <w:lang w:val="sq-AL"/>
              </w:rPr>
            </w:pPr>
            <w:r w:rsidRPr="003E1083">
              <w:rPr>
                <w:rFonts w:asciiTheme="minorHAnsi" w:hAnsiTheme="minorHAnsi"/>
                <w:b/>
                <w:bCs/>
                <w:sz w:val="18"/>
                <w:szCs w:val="18"/>
                <w:lang w:val="sq-AL"/>
              </w:rPr>
              <w:t>Përqindja  e realizimit</w:t>
            </w:r>
          </w:p>
        </w:tc>
      </w:tr>
      <w:tr w:rsidR="000C2868" w:rsidRPr="003E1083" w14:paraId="1D800E73" w14:textId="77777777" w:rsidTr="000C2868">
        <w:trPr>
          <w:trHeight w:val="315"/>
          <w:jc w:val="center"/>
        </w:trPr>
        <w:tc>
          <w:tcPr>
            <w:tcW w:w="0" w:type="auto"/>
            <w:vMerge/>
            <w:tcBorders>
              <w:top w:val="single" w:sz="8" w:space="0" w:color="548DD4"/>
              <w:left w:val="single" w:sz="8" w:space="0" w:color="548DD4"/>
              <w:bottom w:val="single" w:sz="8" w:space="0" w:color="548DD4"/>
              <w:right w:val="single" w:sz="8" w:space="0" w:color="548DD4"/>
            </w:tcBorders>
            <w:vAlign w:val="center"/>
            <w:hideMark/>
          </w:tcPr>
          <w:p w14:paraId="0D189521" w14:textId="77777777" w:rsidR="000C2868" w:rsidRPr="003E1083" w:rsidRDefault="000C2868" w:rsidP="000C2868">
            <w:pPr>
              <w:rPr>
                <w:rFonts w:asciiTheme="minorHAnsi" w:hAnsiTheme="minorHAnsi"/>
                <w:b/>
                <w:bCs/>
                <w:sz w:val="18"/>
                <w:szCs w:val="18"/>
                <w:lang w:val="sq-AL"/>
              </w:rPr>
            </w:pPr>
          </w:p>
        </w:tc>
        <w:tc>
          <w:tcPr>
            <w:tcW w:w="0" w:type="auto"/>
            <w:vMerge/>
            <w:tcBorders>
              <w:top w:val="single" w:sz="8" w:space="0" w:color="548DD4"/>
              <w:left w:val="single" w:sz="8" w:space="0" w:color="548DD4"/>
              <w:bottom w:val="single" w:sz="8" w:space="0" w:color="548DD4"/>
              <w:right w:val="single" w:sz="8" w:space="0" w:color="548DD4"/>
            </w:tcBorders>
            <w:vAlign w:val="center"/>
            <w:hideMark/>
          </w:tcPr>
          <w:p w14:paraId="031DCE69" w14:textId="77777777" w:rsidR="000C2868" w:rsidRPr="003E1083" w:rsidRDefault="000C2868" w:rsidP="000C2868">
            <w:pPr>
              <w:rPr>
                <w:rFonts w:asciiTheme="minorHAnsi" w:hAnsiTheme="minorHAnsi"/>
                <w:b/>
                <w:bCs/>
                <w:sz w:val="18"/>
                <w:szCs w:val="18"/>
                <w:lang w:val="sq-AL"/>
              </w:rPr>
            </w:pPr>
          </w:p>
        </w:tc>
        <w:tc>
          <w:tcPr>
            <w:tcW w:w="0" w:type="auto"/>
            <w:tcBorders>
              <w:top w:val="nil"/>
              <w:left w:val="nil"/>
              <w:bottom w:val="single" w:sz="8" w:space="0" w:color="548DD4"/>
              <w:right w:val="single" w:sz="8" w:space="0" w:color="548DD4"/>
            </w:tcBorders>
            <w:shd w:val="clear" w:color="000000" w:fill="4BACC6"/>
            <w:vAlign w:val="center"/>
            <w:hideMark/>
          </w:tcPr>
          <w:p w14:paraId="29844732" w14:textId="77777777" w:rsidR="000C2868" w:rsidRPr="003E1083" w:rsidRDefault="000C2868" w:rsidP="000C2868">
            <w:pPr>
              <w:rPr>
                <w:rFonts w:asciiTheme="minorHAnsi" w:hAnsiTheme="minorHAnsi"/>
                <w:b/>
                <w:bCs/>
                <w:sz w:val="18"/>
                <w:szCs w:val="18"/>
                <w:lang w:val="sq-AL"/>
              </w:rPr>
            </w:pPr>
            <w:r w:rsidRPr="003E1083">
              <w:rPr>
                <w:rFonts w:asciiTheme="minorHAnsi" w:hAnsiTheme="minorHAnsi"/>
                <w:b/>
                <w:bCs/>
                <w:sz w:val="18"/>
                <w:szCs w:val="18"/>
                <w:lang w:val="sq-AL"/>
              </w:rPr>
              <w:t>Korrente</w:t>
            </w:r>
          </w:p>
        </w:tc>
        <w:tc>
          <w:tcPr>
            <w:tcW w:w="0" w:type="auto"/>
            <w:tcBorders>
              <w:top w:val="nil"/>
              <w:left w:val="nil"/>
              <w:bottom w:val="single" w:sz="8" w:space="0" w:color="548DD4"/>
              <w:right w:val="single" w:sz="8" w:space="0" w:color="548DD4"/>
            </w:tcBorders>
            <w:shd w:val="clear" w:color="000000" w:fill="4BACC6"/>
            <w:vAlign w:val="center"/>
            <w:hideMark/>
          </w:tcPr>
          <w:p w14:paraId="52AC13B8" w14:textId="77777777" w:rsidR="000C2868" w:rsidRPr="003E1083" w:rsidRDefault="000C2868" w:rsidP="000C2868">
            <w:pPr>
              <w:jc w:val="center"/>
              <w:rPr>
                <w:rFonts w:asciiTheme="minorHAnsi" w:hAnsiTheme="minorHAnsi"/>
                <w:b/>
                <w:bCs/>
                <w:sz w:val="18"/>
                <w:szCs w:val="18"/>
                <w:lang w:val="sq-AL"/>
              </w:rPr>
            </w:pPr>
            <w:r w:rsidRPr="003E1083">
              <w:rPr>
                <w:rFonts w:asciiTheme="minorHAnsi" w:hAnsiTheme="minorHAnsi"/>
                <w:b/>
                <w:bCs/>
                <w:sz w:val="18"/>
                <w:szCs w:val="18"/>
                <w:lang w:val="sq-AL"/>
              </w:rPr>
              <w:t>Investime</w:t>
            </w:r>
          </w:p>
        </w:tc>
        <w:tc>
          <w:tcPr>
            <w:tcW w:w="0" w:type="auto"/>
            <w:tcBorders>
              <w:top w:val="nil"/>
              <w:left w:val="nil"/>
              <w:bottom w:val="single" w:sz="8" w:space="0" w:color="548DD4"/>
              <w:right w:val="single" w:sz="8" w:space="0" w:color="548DD4"/>
            </w:tcBorders>
            <w:shd w:val="clear" w:color="000000" w:fill="4BACC6"/>
            <w:vAlign w:val="center"/>
            <w:hideMark/>
          </w:tcPr>
          <w:p w14:paraId="2E7D606C" w14:textId="77777777" w:rsidR="000C2868" w:rsidRPr="003E1083" w:rsidRDefault="000C2868" w:rsidP="000C2868">
            <w:pPr>
              <w:jc w:val="center"/>
              <w:rPr>
                <w:rFonts w:asciiTheme="minorHAnsi" w:hAnsiTheme="minorHAnsi"/>
                <w:b/>
                <w:bCs/>
                <w:sz w:val="18"/>
                <w:szCs w:val="18"/>
                <w:lang w:val="sq-AL"/>
              </w:rPr>
            </w:pPr>
            <w:r w:rsidRPr="003E1083">
              <w:rPr>
                <w:rFonts w:asciiTheme="minorHAnsi" w:hAnsiTheme="minorHAnsi"/>
                <w:b/>
                <w:bCs/>
                <w:sz w:val="18"/>
                <w:szCs w:val="18"/>
                <w:lang w:val="sq-AL"/>
              </w:rPr>
              <w:t>Korrente</w:t>
            </w:r>
          </w:p>
        </w:tc>
        <w:tc>
          <w:tcPr>
            <w:tcW w:w="0" w:type="auto"/>
            <w:tcBorders>
              <w:top w:val="nil"/>
              <w:left w:val="nil"/>
              <w:bottom w:val="single" w:sz="8" w:space="0" w:color="548DD4"/>
              <w:right w:val="single" w:sz="8" w:space="0" w:color="548DD4"/>
            </w:tcBorders>
            <w:shd w:val="clear" w:color="000000" w:fill="4BACC6"/>
            <w:vAlign w:val="center"/>
            <w:hideMark/>
          </w:tcPr>
          <w:p w14:paraId="1AE8DC43" w14:textId="77777777" w:rsidR="000C2868" w:rsidRPr="003E1083" w:rsidRDefault="000C2868" w:rsidP="000C2868">
            <w:pPr>
              <w:jc w:val="center"/>
              <w:rPr>
                <w:rFonts w:asciiTheme="minorHAnsi" w:hAnsiTheme="minorHAnsi"/>
                <w:b/>
                <w:bCs/>
                <w:sz w:val="18"/>
                <w:szCs w:val="18"/>
                <w:lang w:val="sq-AL"/>
              </w:rPr>
            </w:pPr>
            <w:r w:rsidRPr="003E1083">
              <w:rPr>
                <w:rFonts w:asciiTheme="minorHAnsi" w:hAnsiTheme="minorHAnsi"/>
                <w:b/>
                <w:bCs/>
                <w:sz w:val="18"/>
                <w:szCs w:val="18"/>
                <w:lang w:val="sq-AL"/>
              </w:rPr>
              <w:t>Investime</w:t>
            </w:r>
          </w:p>
        </w:tc>
        <w:tc>
          <w:tcPr>
            <w:tcW w:w="1011" w:type="dxa"/>
            <w:tcBorders>
              <w:top w:val="nil"/>
              <w:left w:val="nil"/>
              <w:bottom w:val="single" w:sz="8" w:space="0" w:color="548DD4"/>
              <w:right w:val="single" w:sz="8" w:space="0" w:color="548DD4"/>
            </w:tcBorders>
            <w:shd w:val="clear" w:color="000000" w:fill="4BACC6"/>
            <w:vAlign w:val="center"/>
            <w:hideMark/>
          </w:tcPr>
          <w:p w14:paraId="7256C5B0" w14:textId="77777777" w:rsidR="000C2868" w:rsidRPr="003E1083" w:rsidRDefault="000C2868" w:rsidP="000C2868">
            <w:pPr>
              <w:jc w:val="center"/>
              <w:rPr>
                <w:rFonts w:asciiTheme="minorHAnsi" w:hAnsiTheme="minorHAnsi"/>
                <w:b/>
                <w:bCs/>
                <w:sz w:val="18"/>
                <w:szCs w:val="18"/>
                <w:lang w:val="sq-AL"/>
              </w:rPr>
            </w:pPr>
            <w:r w:rsidRPr="003E1083">
              <w:rPr>
                <w:rFonts w:asciiTheme="minorHAnsi" w:hAnsiTheme="minorHAnsi"/>
                <w:b/>
                <w:bCs/>
                <w:sz w:val="18"/>
                <w:szCs w:val="18"/>
                <w:lang w:val="sq-AL"/>
              </w:rPr>
              <w:t>Korrente</w:t>
            </w:r>
          </w:p>
        </w:tc>
        <w:tc>
          <w:tcPr>
            <w:tcW w:w="1170" w:type="dxa"/>
            <w:tcBorders>
              <w:top w:val="nil"/>
              <w:left w:val="nil"/>
              <w:bottom w:val="single" w:sz="8" w:space="0" w:color="548DD4"/>
              <w:right w:val="single" w:sz="8" w:space="0" w:color="548DD4"/>
            </w:tcBorders>
            <w:shd w:val="clear" w:color="000000" w:fill="4BACC6"/>
            <w:vAlign w:val="center"/>
            <w:hideMark/>
          </w:tcPr>
          <w:p w14:paraId="05EAD87E" w14:textId="77777777" w:rsidR="000C2868" w:rsidRPr="003E1083" w:rsidRDefault="000C2868" w:rsidP="000C2868">
            <w:pPr>
              <w:jc w:val="center"/>
              <w:rPr>
                <w:rFonts w:asciiTheme="minorHAnsi" w:hAnsiTheme="minorHAnsi"/>
                <w:b/>
                <w:bCs/>
                <w:sz w:val="18"/>
                <w:szCs w:val="18"/>
                <w:lang w:val="sq-AL"/>
              </w:rPr>
            </w:pPr>
            <w:r w:rsidRPr="003E1083">
              <w:rPr>
                <w:rFonts w:asciiTheme="minorHAnsi" w:hAnsiTheme="minorHAnsi"/>
                <w:b/>
                <w:bCs/>
                <w:sz w:val="18"/>
                <w:szCs w:val="18"/>
                <w:lang w:val="sq-AL"/>
              </w:rPr>
              <w:t>Investime</w:t>
            </w:r>
          </w:p>
        </w:tc>
      </w:tr>
      <w:tr w:rsidR="000C2868" w:rsidRPr="003E1083" w14:paraId="11DE9ED5" w14:textId="77777777" w:rsidTr="000C2868">
        <w:trPr>
          <w:trHeight w:val="315"/>
          <w:jc w:val="center"/>
        </w:trPr>
        <w:tc>
          <w:tcPr>
            <w:tcW w:w="0" w:type="auto"/>
            <w:tcBorders>
              <w:top w:val="nil"/>
              <w:left w:val="single" w:sz="8" w:space="0" w:color="548DD4"/>
              <w:bottom w:val="single" w:sz="8" w:space="0" w:color="548DD4"/>
              <w:right w:val="single" w:sz="8" w:space="0" w:color="548DD4"/>
            </w:tcBorders>
            <w:shd w:val="clear" w:color="auto" w:fill="auto"/>
            <w:vAlign w:val="center"/>
            <w:hideMark/>
          </w:tcPr>
          <w:p w14:paraId="54B71FDA"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1</w:t>
            </w:r>
          </w:p>
        </w:tc>
        <w:tc>
          <w:tcPr>
            <w:tcW w:w="0" w:type="auto"/>
            <w:tcBorders>
              <w:top w:val="nil"/>
              <w:left w:val="nil"/>
              <w:bottom w:val="single" w:sz="8" w:space="0" w:color="548DD4"/>
              <w:right w:val="single" w:sz="8" w:space="0" w:color="548DD4"/>
            </w:tcBorders>
            <w:shd w:val="clear" w:color="auto" w:fill="auto"/>
            <w:vAlign w:val="center"/>
            <w:hideMark/>
          </w:tcPr>
          <w:p w14:paraId="104DD261" w14:textId="77777777" w:rsidR="000C2868" w:rsidRPr="003E1083" w:rsidRDefault="000C2868" w:rsidP="000C2868">
            <w:pPr>
              <w:rPr>
                <w:rFonts w:asciiTheme="minorHAnsi" w:hAnsiTheme="minorHAnsi"/>
                <w:color w:val="000000"/>
                <w:sz w:val="18"/>
                <w:szCs w:val="18"/>
                <w:lang w:val="sq-AL"/>
              </w:rPr>
            </w:pPr>
            <w:r w:rsidRPr="003E1083">
              <w:rPr>
                <w:rFonts w:asciiTheme="minorHAnsi" w:hAnsiTheme="minorHAnsi"/>
                <w:color w:val="000000"/>
                <w:sz w:val="18"/>
                <w:szCs w:val="18"/>
                <w:lang w:val="sq-AL"/>
              </w:rPr>
              <w:t>Planifikim, Menaxhim, Administrim</w:t>
            </w:r>
          </w:p>
        </w:tc>
        <w:tc>
          <w:tcPr>
            <w:tcW w:w="0" w:type="auto"/>
            <w:tcBorders>
              <w:top w:val="nil"/>
              <w:left w:val="nil"/>
              <w:bottom w:val="single" w:sz="8" w:space="0" w:color="548DD4"/>
              <w:right w:val="single" w:sz="8" w:space="0" w:color="548DD4"/>
            </w:tcBorders>
            <w:shd w:val="clear" w:color="auto" w:fill="auto"/>
            <w:vAlign w:val="center"/>
            <w:hideMark/>
          </w:tcPr>
          <w:p w14:paraId="148C8119"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1,372,050</w:t>
            </w:r>
          </w:p>
        </w:tc>
        <w:tc>
          <w:tcPr>
            <w:tcW w:w="0" w:type="auto"/>
            <w:tcBorders>
              <w:top w:val="nil"/>
              <w:left w:val="nil"/>
              <w:bottom w:val="single" w:sz="8" w:space="0" w:color="548DD4"/>
              <w:right w:val="single" w:sz="8" w:space="0" w:color="548DD4"/>
            </w:tcBorders>
            <w:shd w:val="clear" w:color="auto" w:fill="auto"/>
            <w:vAlign w:val="center"/>
            <w:hideMark/>
          </w:tcPr>
          <w:p w14:paraId="6D4155D9"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122,849</w:t>
            </w:r>
          </w:p>
        </w:tc>
        <w:tc>
          <w:tcPr>
            <w:tcW w:w="0" w:type="auto"/>
            <w:tcBorders>
              <w:top w:val="nil"/>
              <w:left w:val="nil"/>
              <w:bottom w:val="single" w:sz="8" w:space="0" w:color="548DD4"/>
              <w:right w:val="single" w:sz="8" w:space="0" w:color="548DD4"/>
            </w:tcBorders>
            <w:shd w:val="clear" w:color="auto" w:fill="auto"/>
            <w:vAlign w:val="center"/>
            <w:hideMark/>
          </w:tcPr>
          <w:p w14:paraId="7E8767C1"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342,203</w:t>
            </w:r>
          </w:p>
        </w:tc>
        <w:tc>
          <w:tcPr>
            <w:tcW w:w="0" w:type="auto"/>
            <w:tcBorders>
              <w:top w:val="nil"/>
              <w:left w:val="nil"/>
              <w:bottom w:val="single" w:sz="8" w:space="0" w:color="548DD4"/>
              <w:right w:val="single" w:sz="8" w:space="0" w:color="548DD4"/>
            </w:tcBorders>
            <w:shd w:val="clear" w:color="auto" w:fill="auto"/>
            <w:vAlign w:val="center"/>
            <w:hideMark/>
          </w:tcPr>
          <w:p w14:paraId="2BA4561E"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1,141</w:t>
            </w:r>
          </w:p>
        </w:tc>
        <w:tc>
          <w:tcPr>
            <w:tcW w:w="1011" w:type="dxa"/>
            <w:tcBorders>
              <w:top w:val="nil"/>
              <w:left w:val="nil"/>
              <w:bottom w:val="single" w:sz="8" w:space="0" w:color="548DD4"/>
              <w:right w:val="single" w:sz="8" w:space="0" w:color="548DD4"/>
            </w:tcBorders>
            <w:shd w:val="clear" w:color="auto" w:fill="auto"/>
            <w:vAlign w:val="center"/>
            <w:hideMark/>
          </w:tcPr>
          <w:p w14:paraId="5A88923E"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24.94%</w:t>
            </w:r>
          </w:p>
        </w:tc>
        <w:tc>
          <w:tcPr>
            <w:tcW w:w="1170" w:type="dxa"/>
            <w:tcBorders>
              <w:top w:val="nil"/>
              <w:left w:val="nil"/>
              <w:bottom w:val="single" w:sz="8" w:space="0" w:color="548DD4"/>
              <w:right w:val="single" w:sz="8" w:space="0" w:color="548DD4"/>
            </w:tcBorders>
            <w:shd w:val="clear" w:color="auto" w:fill="auto"/>
            <w:vAlign w:val="center"/>
            <w:hideMark/>
          </w:tcPr>
          <w:p w14:paraId="445F2A17"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0.93%</w:t>
            </w:r>
          </w:p>
        </w:tc>
      </w:tr>
      <w:tr w:rsidR="000C2868" w:rsidRPr="003E1083" w14:paraId="0F199C01" w14:textId="77777777" w:rsidTr="000C2868">
        <w:trPr>
          <w:trHeight w:val="315"/>
          <w:jc w:val="center"/>
        </w:trPr>
        <w:tc>
          <w:tcPr>
            <w:tcW w:w="0" w:type="auto"/>
            <w:tcBorders>
              <w:top w:val="nil"/>
              <w:left w:val="single" w:sz="8" w:space="0" w:color="548DD4"/>
              <w:bottom w:val="single" w:sz="8" w:space="0" w:color="548DD4"/>
              <w:right w:val="single" w:sz="8" w:space="0" w:color="548DD4"/>
            </w:tcBorders>
            <w:shd w:val="clear" w:color="auto" w:fill="auto"/>
            <w:vAlign w:val="center"/>
            <w:hideMark/>
          </w:tcPr>
          <w:p w14:paraId="24800921"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2</w:t>
            </w:r>
          </w:p>
        </w:tc>
        <w:tc>
          <w:tcPr>
            <w:tcW w:w="0" w:type="auto"/>
            <w:tcBorders>
              <w:top w:val="nil"/>
              <w:left w:val="nil"/>
              <w:bottom w:val="single" w:sz="8" w:space="0" w:color="548DD4"/>
              <w:right w:val="single" w:sz="8" w:space="0" w:color="548DD4"/>
            </w:tcBorders>
            <w:shd w:val="clear" w:color="auto" w:fill="auto"/>
            <w:vAlign w:val="center"/>
            <w:hideMark/>
          </w:tcPr>
          <w:p w14:paraId="5EEAEFDB" w14:textId="77777777" w:rsidR="000C2868" w:rsidRPr="003E1083" w:rsidRDefault="000C2868" w:rsidP="000C2868">
            <w:pPr>
              <w:rPr>
                <w:rFonts w:asciiTheme="minorHAnsi" w:hAnsiTheme="minorHAnsi"/>
                <w:color w:val="000000"/>
                <w:sz w:val="18"/>
                <w:szCs w:val="18"/>
                <w:lang w:val="sq-AL"/>
              </w:rPr>
            </w:pPr>
            <w:r w:rsidRPr="003E1083">
              <w:rPr>
                <w:rFonts w:asciiTheme="minorHAnsi" w:hAnsiTheme="minorHAnsi"/>
                <w:color w:val="000000"/>
                <w:sz w:val="18"/>
                <w:szCs w:val="18"/>
                <w:lang w:val="sq-AL"/>
              </w:rPr>
              <w:t>Policia e Shtetit</w:t>
            </w:r>
          </w:p>
        </w:tc>
        <w:tc>
          <w:tcPr>
            <w:tcW w:w="0" w:type="auto"/>
            <w:tcBorders>
              <w:top w:val="nil"/>
              <w:left w:val="nil"/>
              <w:bottom w:val="single" w:sz="8" w:space="0" w:color="548DD4"/>
              <w:right w:val="single" w:sz="8" w:space="0" w:color="548DD4"/>
            </w:tcBorders>
            <w:shd w:val="clear" w:color="auto" w:fill="auto"/>
            <w:vAlign w:val="center"/>
            <w:hideMark/>
          </w:tcPr>
          <w:p w14:paraId="76009F96"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17,930,950</w:t>
            </w:r>
          </w:p>
        </w:tc>
        <w:tc>
          <w:tcPr>
            <w:tcW w:w="0" w:type="auto"/>
            <w:tcBorders>
              <w:top w:val="nil"/>
              <w:left w:val="nil"/>
              <w:bottom w:val="single" w:sz="8" w:space="0" w:color="548DD4"/>
              <w:right w:val="single" w:sz="8" w:space="0" w:color="548DD4"/>
            </w:tcBorders>
            <w:shd w:val="clear" w:color="auto" w:fill="auto"/>
            <w:vAlign w:val="center"/>
            <w:hideMark/>
          </w:tcPr>
          <w:p w14:paraId="10F74770"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1,622,228</w:t>
            </w:r>
          </w:p>
        </w:tc>
        <w:tc>
          <w:tcPr>
            <w:tcW w:w="0" w:type="auto"/>
            <w:tcBorders>
              <w:top w:val="nil"/>
              <w:left w:val="nil"/>
              <w:bottom w:val="single" w:sz="8" w:space="0" w:color="548DD4"/>
              <w:right w:val="single" w:sz="8" w:space="0" w:color="548DD4"/>
            </w:tcBorders>
            <w:shd w:val="clear" w:color="auto" w:fill="auto"/>
            <w:vAlign w:val="center"/>
            <w:hideMark/>
          </w:tcPr>
          <w:p w14:paraId="797C5698"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5,537,317</w:t>
            </w:r>
          </w:p>
        </w:tc>
        <w:tc>
          <w:tcPr>
            <w:tcW w:w="0" w:type="auto"/>
            <w:tcBorders>
              <w:top w:val="nil"/>
              <w:left w:val="nil"/>
              <w:bottom w:val="single" w:sz="8" w:space="0" w:color="548DD4"/>
              <w:right w:val="single" w:sz="8" w:space="0" w:color="548DD4"/>
            </w:tcBorders>
            <w:shd w:val="clear" w:color="auto" w:fill="auto"/>
            <w:vAlign w:val="center"/>
            <w:hideMark/>
          </w:tcPr>
          <w:p w14:paraId="32130D4A"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417,120</w:t>
            </w:r>
          </w:p>
        </w:tc>
        <w:tc>
          <w:tcPr>
            <w:tcW w:w="1011" w:type="dxa"/>
            <w:tcBorders>
              <w:top w:val="nil"/>
              <w:left w:val="nil"/>
              <w:bottom w:val="single" w:sz="8" w:space="0" w:color="548DD4"/>
              <w:right w:val="single" w:sz="8" w:space="0" w:color="548DD4"/>
            </w:tcBorders>
            <w:shd w:val="clear" w:color="auto" w:fill="auto"/>
            <w:vAlign w:val="center"/>
            <w:hideMark/>
          </w:tcPr>
          <w:p w14:paraId="1FF1A454"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30.88%</w:t>
            </w:r>
          </w:p>
        </w:tc>
        <w:tc>
          <w:tcPr>
            <w:tcW w:w="1170" w:type="dxa"/>
            <w:tcBorders>
              <w:top w:val="nil"/>
              <w:left w:val="nil"/>
              <w:bottom w:val="single" w:sz="8" w:space="0" w:color="548DD4"/>
              <w:right w:val="single" w:sz="8" w:space="0" w:color="548DD4"/>
            </w:tcBorders>
            <w:shd w:val="clear" w:color="auto" w:fill="auto"/>
            <w:vAlign w:val="center"/>
            <w:hideMark/>
          </w:tcPr>
          <w:p w14:paraId="1439F931"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25.71%</w:t>
            </w:r>
          </w:p>
        </w:tc>
      </w:tr>
      <w:tr w:rsidR="000C2868" w:rsidRPr="003E1083" w14:paraId="0BC996F4" w14:textId="77777777" w:rsidTr="000C2868">
        <w:trPr>
          <w:trHeight w:val="315"/>
          <w:jc w:val="center"/>
        </w:trPr>
        <w:tc>
          <w:tcPr>
            <w:tcW w:w="0" w:type="auto"/>
            <w:tcBorders>
              <w:top w:val="nil"/>
              <w:left w:val="single" w:sz="8" w:space="0" w:color="548DD4"/>
              <w:bottom w:val="single" w:sz="8" w:space="0" w:color="548DD4"/>
              <w:right w:val="single" w:sz="8" w:space="0" w:color="548DD4"/>
            </w:tcBorders>
            <w:shd w:val="clear" w:color="auto" w:fill="auto"/>
            <w:vAlign w:val="center"/>
            <w:hideMark/>
          </w:tcPr>
          <w:p w14:paraId="6482859D"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3</w:t>
            </w:r>
          </w:p>
        </w:tc>
        <w:tc>
          <w:tcPr>
            <w:tcW w:w="0" w:type="auto"/>
            <w:tcBorders>
              <w:top w:val="nil"/>
              <w:left w:val="nil"/>
              <w:bottom w:val="single" w:sz="8" w:space="0" w:color="548DD4"/>
              <w:right w:val="single" w:sz="8" w:space="0" w:color="548DD4"/>
            </w:tcBorders>
            <w:shd w:val="clear" w:color="auto" w:fill="auto"/>
            <w:vAlign w:val="center"/>
            <w:hideMark/>
          </w:tcPr>
          <w:p w14:paraId="7E4CBB29" w14:textId="77777777" w:rsidR="000C2868" w:rsidRPr="003E1083" w:rsidRDefault="000C2868" w:rsidP="000C2868">
            <w:pPr>
              <w:rPr>
                <w:rFonts w:asciiTheme="minorHAnsi" w:hAnsiTheme="minorHAnsi"/>
                <w:color w:val="000000"/>
                <w:sz w:val="18"/>
                <w:szCs w:val="18"/>
                <w:lang w:val="sq-AL"/>
              </w:rPr>
            </w:pPr>
            <w:r w:rsidRPr="003E1083">
              <w:rPr>
                <w:rFonts w:asciiTheme="minorHAnsi" w:hAnsiTheme="minorHAnsi"/>
                <w:color w:val="000000"/>
                <w:sz w:val="18"/>
                <w:szCs w:val="18"/>
                <w:lang w:val="sq-AL"/>
              </w:rPr>
              <w:t>Garda e Republikës</w:t>
            </w:r>
          </w:p>
        </w:tc>
        <w:tc>
          <w:tcPr>
            <w:tcW w:w="0" w:type="auto"/>
            <w:tcBorders>
              <w:top w:val="nil"/>
              <w:left w:val="nil"/>
              <w:bottom w:val="single" w:sz="8" w:space="0" w:color="548DD4"/>
              <w:right w:val="single" w:sz="8" w:space="0" w:color="548DD4"/>
            </w:tcBorders>
            <w:shd w:val="clear" w:color="auto" w:fill="auto"/>
            <w:vAlign w:val="center"/>
            <w:hideMark/>
          </w:tcPr>
          <w:p w14:paraId="60B52002"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1,952,300</w:t>
            </w:r>
          </w:p>
        </w:tc>
        <w:tc>
          <w:tcPr>
            <w:tcW w:w="0" w:type="auto"/>
            <w:tcBorders>
              <w:top w:val="nil"/>
              <w:left w:val="nil"/>
              <w:bottom w:val="single" w:sz="8" w:space="0" w:color="548DD4"/>
              <w:right w:val="single" w:sz="8" w:space="0" w:color="548DD4"/>
            </w:tcBorders>
            <w:shd w:val="clear" w:color="auto" w:fill="auto"/>
            <w:vAlign w:val="center"/>
            <w:hideMark/>
          </w:tcPr>
          <w:p w14:paraId="1F99E058"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10,000</w:t>
            </w:r>
          </w:p>
        </w:tc>
        <w:tc>
          <w:tcPr>
            <w:tcW w:w="0" w:type="auto"/>
            <w:tcBorders>
              <w:top w:val="nil"/>
              <w:left w:val="nil"/>
              <w:bottom w:val="single" w:sz="8" w:space="0" w:color="548DD4"/>
              <w:right w:val="single" w:sz="8" w:space="0" w:color="548DD4"/>
            </w:tcBorders>
            <w:shd w:val="clear" w:color="auto" w:fill="auto"/>
            <w:vAlign w:val="center"/>
            <w:hideMark/>
          </w:tcPr>
          <w:p w14:paraId="6D404DDB"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558,239</w:t>
            </w:r>
          </w:p>
        </w:tc>
        <w:tc>
          <w:tcPr>
            <w:tcW w:w="0" w:type="auto"/>
            <w:tcBorders>
              <w:top w:val="nil"/>
              <w:left w:val="nil"/>
              <w:bottom w:val="single" w:sz="8" w:space="0" w:color="548DD4"/>
              <w:right w:val="single" w:sz="8" w:space="0" w:color="548DD4"/>
            </w:tcBorders>
            <w:shd w:val="clear" w:color="auto" w:fill="auto"/>
            <w:vAlign w:val="center"/>
            <w:hideMark/>
          </w:tcPr>
          <w:p w14:paraId="56F7CC1C"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0</w:t>
            </w:r>
          </w:p>
        </w:tc>
        <w:tc>
          <w:tcPr>
            <w:tcW w:w="1011" w:type="dxa"/>
            <w:tcBorders>
              <w:top w:val="nil"/>
              <w:left w:val="nil"/>
              <w:bottom w:val="single" w:sz="8" w:space="0" w:color="548DD4"/>
              <w:right w:val="single" w:sz="8" w:space="0" w:color="548DD4"/>
            </w:tcBorders>
            <w:shd w:val="clear" w:color="auto" w:fill="auto"/>
            <w:vAlign w:val="center"/>
            <w:hideMark/>
          </w:tcPr>
          <w:p w14:paraId="7B5E2A41"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28.59%</w:t>
            </w:r>
          </w:p>
        </w:tc>
        <w:tc>
          <w:tcPr>
            <w:tcW w:w="1170" w:type="dxa"/>
            <w:tcBorders>
              <w:top w:val="nil"/>
              <w:left w:val="nil"/>
              <w:bottom w:val="single" w:sz="8" w:space="0" w:color="548DD4"/>
              <w:right w:val="single" w:sz="8" w:space="0" w:color="548DD4"/>
            </w:tcBorders>
            <w:shd w:val="clear" w:color="auto" w:fill="auto"/>
            <w:vAlign w:val="center"/>
            <w:hideMark/>
          </w:tcPr>
          <w:p w14:paraId="668808E1"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0.00%</w:t>
            </w:r>
          </w:p>
        </w:tc>
      </w:tr>
      <w:tr w:rsidR="000C2868" w:rsidRPr="003E1083" w14:paraId="549BAC60" w14:textId="77777777" w:rsidTr="000C2868">
        <w:trPr>
          <w:trHeight w:val="315"/>
          <w:jc w:val="center"/>
        </w:trPr>
        <w:tc>
          <w:tcPr>
            <w:tcW w:w="0" w:type="auto"/>
            <w:tcBorders>
              <w:top w:val="nil"/>
              <w:left w:val="single" w:sz="8" w:space="0" w:color="548DD4"/>
              <w:bottom w:val="single" w:sz="8" w:space="0" w:color="548DD4"/>
              <w:right w:val="single" w:sz="8" w:space="0" w:color="548DD4"/>
            </w:tcBorders>
            <w:shd w:val="clear" w:color="auto" w:fill="auto"/>
            <w:vAlign w:val="center"/>
            <w:hideMark/>
          </w:tcPr>
          <w:p w14:paraId="4FB0C1BE"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4</w:t>
            </w:r>
          </w:p>
        </w:tc>
        <w:tc>
          <w:tcPr>
            <w:tcW w:w="0" w:type="auto"/>
            <w:tcBorders>
              <w:top w:val="nil"/>
              <w:left w:val="nil"/>
              <w:bottom w:val="single" w:sz="8" w:space="0" w:color="548DD4"/>
              <w:right w:val="single" w:sz="8" w:space="0" w:color="548DD4"/>
            </w:tcBorders>
            <w:shd w:val="clear" w:color="auto" w:fill="auto"/>
            <w:vAlign w:val="center"/>
            <w:hideMark/>
          </w:tcPr>
          <w:p w14:paraId="4B056B37" w14:textId="77777777" w:rsidR="000C2868" w:rsidRPr="003E1083" w:rsidRDefault="000C2868" w:rsidP="000C2868">
            <w:pPr>
              <w:rPr>
                <w:rFonts w:asciiTheme="minorHAnsi" w:hAnsiTheme="minorHAnsi"/>
                <w:color w:val="000000"/>
                <w:sz w:val="18"/>
                <w:szCs w:val="18"/>
                <w:lang w:val="sq-AL"/>
              </w:rPr>
            </w:pPr>
            <w:r w:rsidRPr="003E1083">
              <w:rPr>
                <w:rFonts w:asciiTheme="minorHAnsi" w:hAnsiTheme="minorHAnsi"/>
                <w:color w:val="000000"/>
                <w:sz w:val="18"/>
                <w:szCs w:val="18"/>
                <w:lang w:val="sq-AL"/>
              </w:rPr>
              <w:t>Shërbimi i Gjendjes Civile</w:t>
            </w:r>
          </w:p>
        </w:tc>
        <w:tc>
          <w:tcPr>
            <w:tcW w:w="0" w:type="auto"/>
            <w:tcBorders>
              <w:top w:val="nil"/>
              <w:left w:val="nil"/>
              <w:bottom w:val="single" w:sz="8" w:space="0" w:color="548DD4"/>
              <w:right w:val="single" w:sz="8" w:space="0" w:color="548DD4"/>
            </w:tcBorders>
            <w:shd w:val="clear" w:color="auto" w:fill="auto"/>
            <w:vAlign w:val="center"/>
            <w:hideMark/>
          </w:tcPr>
          <w:p w14:paraId="29EF0AFA"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518,500</w:t>
            </w:r>
          </w:p>
        </w:tc>
        <w:tc>
          <w:tcPr>
            <w:tcW w:w="0" w:type="auto"/>
            <w:tcBorders>
              <w:top w:val="nil"/>
              <w:left w:val="nil"/>
              <w:bottom w:val="single" w:sz="8" w:space="0" w:color="548DD4"/>
              <w:right w:val="single" w:sz="8" w:space="0" w:color="548DD4"/>
            </w:tcBorders>
            <w:shd w:val="clear" w:color="auto" w:fill="auto"/>
            <w:vAlign w:val="center"/>
            <w:hideMark/>
          </w:tcPr>
          <w:p w14:paraId="5284E52C"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130,000</w:t>
            </w:r>
          </w:p>
        </w:tc>
        <w:tc>
          <w:tcPr>
            <w:tcW w:w="0" w:type="auto"/>
            <w:tcBorders>
              <w:top w:val="nil"/>
              <w:left w:val="nil"/>
              <w:bottom w:val="single" w:sz="8" w:space="0" w:color="548DD4"/>
              <w:right w:val="single" w:sz="8" w:space="0" w:color="548DD4"/>
            </w:tcBorders>
            <w:shd w:val="clear" w:color="auto" w:fill="auto"/>
            <w:vAlign w:val="center"/>
            <w:hideMark/>
          </w:tcPr>
          <w:p w14:paraId="4F58A658"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141,388</w:t>
            </w:r>
          </w:p>
        </w:tc>
        <w:tc>
          <w:tcPr>
            <w:tcW w:w="0" w:type="auto"/>
            <w:tcBorders>
              <w:top w:val="nil"/>
              <w:left w:val="nil"/>
              <w:bottom w:val="single" w:sz="8" w:space="0" w:color="548DD4"/>
              <w:right w:val="single" w:sz="8" w:space="0" w:color="548DD4"/>
            </w:tcBorders>
            <w:shd w:val="clear" w:color="auto" w:fill="auto"/>
            <w:vAlign w:val="center"/>
            <w:hideMark/>
          </w:tcPr>
          <w:p w14:paraId="16F26440"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0</w:t>
            </w:r>
          </w:p>
        </w:tc>
        <w:tc>
          <w:tcPr>
            <w:tcW w:w="1011" w:type="dxa"/>
            <w:tcBorders>
              <w:top w:val="nil"/>
              <w:left w:val="nil"/>
              <w:bottom w:val="single" w:sz="8" w:space="0" w:color="548DD4"/>
              <w:right w:val="single" w:sz="8" w:space="0" w:color="548DD4"/>
            </w:tcBorders>
            <w:shd w:val="clear" w:color="auto" w:fill="auto"/>
            <w:vAlign w:val="center"/>
            <w:hideMark/>
          </w:tcPr>
          <w:p w14:paraId="6BFC9C67"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27.27%</w:t>
            </w:r>
          </w:p>
        </w:tc>
        <w:tc>
          <w:tcPr>
            <w:tcW w:w="1170" w:type="dxa"/>
            <w:tcBorders>
              <w:top w:val="nil"/>
              <w:left w:val="nil"/>
              <w:bottom w:val="single" w:sz="8" w:space="0" w:color="548DD4"/>
              <w:right w:val="single" w:sz="8" w:space="0" w:color="548DD4"/>
            </w:tcBorders>
            <w:shd w:val="clear" w:color="auto" w:fill="auto"/>
            <w:vAlign w:val="center"/>
            <w:hideMark/>
          </w:tcPr>
          <w:p w14:paraId="5508FB40"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0.00%</w:t>
            </w:r>
          </w:p>
        </w:tc>
      </w:tr>
      <w:tr w:rsidR="000C2868" w:rsidRPr="003E1083" w14:paraId="46D6B9CF" w14:textId="77777777" w:rsidTr="000C2868">
        <w:trPr>
          <w:trHeight w:val="315"/>
          <w:jc w:val="center"/>
        </w:trPr>
        <w:tc>
          <w:tcPr>
            <w:tcW w:w="0" w:type="auto"/>
            <w:tcBorders>
              <w:top w:val="nil"/>
              <w:left w:val="single" w:sz="8" w:space="0" w:color="548DD4"/>
              <w:bottom w:val="single" w:sz="8" w:space="0" w:color="548DD4"/>
              <w:right w:val="single" w:sz="8" w:space="0" w:color="548DD4"/>
            </w:tcBorders>
            <w:shd w:val="clear" w:color="auto" w:fill="auto"/>
            <w:vAlign w:val="center"/>
            <w:hideMark/>
          </w:tcPr>
          <w:p w14:paraId="7330CED1"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5</w:t>
            </w:r>
          </w:p>
        </w:tc>
        <w:tc>
          <w:tcPr>
            <w:tcW w:w="0" w:type="auto"/>
            <w:tcBorders>
              <w:top w:val="nil"/>
              <w:left w:val="nil"/>
              <w:bottom w:val="single" w:sz="8" w:space="0" w:color="548DD4"/>
              <w:right w:val="single" w:sz="8" w:space="0" w:color="548DD4"/>
            </w:tcBorders>
            <w:shd w:val="clear" w:color="auto" w:fill="auto"/>
            <w:vAlign w:val="center"/>
            <w:hideMark/>
          </w:tcPr>
          <w:p w14:paraId="327B1001" w14:textId="77777777" w:rsidR="000C2868" w:rsidRPr="003E1083" w:rsidRDefault="000C2868" w:rsidP="000C2868">
            <w:pPr>
              <w:rPr>
                <w:rFonts w:asciiTheme="minorHAnsi" w:hAnsiTheme="minorHAnsi"/>
                <w:color w:val="000000"/>
                <w:sz w:val="18"/>
                <w:szCs w:val="18"/>
                <w:lang w:val="sq-AL"/>
              </w:rPr>
            </w:pPr>
            <w:r w:rsidRPr="003E1083">
              <w:rPr>
                <w:rFonts w:asciiTheme="minorHAnsi" w:hAnsiTheme="minorHAnsi"/>
                <w:color w:val="000000"/>
                <w:sz w:val="18"/>
                <w:szCs w:val="18"/>
                <w:lang w:val="sq-AL"/>
              </w:rPr>
              <w:t>Prefekturat dhe Funksionet e Deleguar</w:t>
            </w:r>
          </w:p>
        </w:tc>
        <w:tc>
          <w:tcPr>
            <w:tcW w:w="0" w:type="auto"/>
            <w:tcBorders>
              <w:top w:val="nil"/>
              <w:left w:val="nil"/>
              <w:bottom w:val="single" w:sz="8" w:space="0" w:color="548DD4"/>
              <w:right w:val="single" w:sz="8" w:space="0" w:color="548DD4"/>
            </w:tcBorders>
            <w:shd w:val="clear" w:color="auto" w:fill="auto"/>
            <w:vAlign w:val="center"/>
            <w:hideMark/>
          </w:tcPr>
          <w:p w14:paraId="3621B561"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522,270</w:t>
            </w:r>
          </w:p>
        </w:tc>
        <w:tc>
          <w:tcPr>
            <w:tcW w:w="0" w:type="auto"/>
            <w:tcBorders>
              <w:top w:val="nil"/>
              <w:left w:val="nil"/>
              <w:bottom w:val="single" w:sz="8" w:space="0" w:color="548DD4"/>
              <w:right w:val="single" w:sz="8" w:space="0" w:color="548DD4"/>
            </w:tcBorders>
            <w:shd w:val="clear" w:color="auto" w:fill="auto"/>
            <w:vAlign w:val="center"/>
            <w:hideMark/>
          </w:tcPr>
          <w:p w14:paraId="46381ADC"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5,000</w:t>
            </w:r>
          </w:p>
        </w:tc>
        <w:tc>
          <w:tcPr>
            <w:tcW w:w="0" w:type="auto"/>
            <w:tcBorders>
              <w:top w:val="nil"/>
              <w:left w:val="nil"/>
              <w:bottom w:val="single" w:sz="8" w:space="0" w:color="548DD4"/>
              <w:right w:val="single" w:sz="8" w:space="0" w:color="548DD4"/>
            </w:tcBorders>
            <w:shd w:val="clear" w:color="auto" w:fill="auto"/>
            <w:vAlign w:val="center"/>
            <w:hideMark/>
          </w:tcPr>
          <w:p w14:paraId="716B54D8"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141,191</w:t>
            </w:r>
          </w:p>
        </w:tc>
        <w:tc>
          <w:tcPr>
            <w:tcW w:w="0" w:type="auto"/>
            <w:tcBorders>
              <w:top w:val="nil"/>
              <w:left w:val="nil"/>
              <w:bottom w:val="single" w:sz="8" w:space="0" w:color="548DD4"/>
              <w:right w:val="single" w:sz="8" w:space="0" w:color="548DD4"/>
            </w:tcBorders>
            <w:shd w:val="clear" w:color="auto" w:fill="auto"/>
            <w:vAlign w:val="center"/>
            <w:hideMark/>
          </w:tcPr>
          <w:p w14:paraId="3DA2C407" w14:textId="77777777" w:rsidR="000C2868" w:rsidRPr="003E1083" w:rsidRDefault="000C2868" w:rsidP="000C2868">
            <w:pPr>
              <w:jc w:val="right"/>
              <w:rPr>
                <w:rFonts w:asciiTheme="minorHAnsi" w:hAnsiTheme="minorHAnsi"/>
                <w:color w:val="000000"/>
                <w:sz w:val="18"/>
                <w:szCs w:val="18"/>
                <w:lang w:val="sq-AL"/>
              </w:rPr>
            </w:pPr>
            <w:r w:rsidRPr="003E1083">
              <w:rPr>
                <w:rFonts w:asciiTheme="minorHAnsi" w:hAnsiTheme="minorHAnsi"/>
                <w:color w:val="000000"/>
                <w:sz w:val="18"/>
                <w:szCs w:val="18"/>
                <w:lang w:val="sq-AL"/>
              </w:rPr>
              <w:t>3,938</w:t>
            </w:r>
          </w:p>
        </w:tc>
        <w:tc>
          <w:tcPr>
            <w:tcW w:w="1011" w:type="dxa"/>
            <w:tcBorders>
              <w:top w:val="nil"/>
              <w:left w:val="nil"/>
              <w:bottom w:val="single" w:sz="8" w:space="0" w:color="548DD4"/>
              <w:right w:val="single" w:sz="8" w:space="0" w:color="548DD4"/>
            </w:tcBorders>
            <w:shd w:val="clear" w:color="auto" w:fill="auto"/>
            <w:vAlign w:val="center"/>
            <w:hideMark/>
          </w:tcPr>
          <w:p w14:paraId="28470734"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27.03%</w:t>
            </w:r>
          </w:p>
        </w:tc>
        <w:tc>
          <w:tcPr>
            <w:tcW w:w="1170" w:type="dxa"/>
            <w:tcBorders>
              <w:top w:val="nil"/>
              <w:left w:val="nil"/>
              <w:bottom w:val="single" w:sz="8" w:space="0" w:color="548DD4"/>
              <w:right w:val="single" w:sz="8" w:space="0" w:color="548DD4"/>
            </w:tcBorders>
            <w:shd w:val="clear" w:color="auto" w:fill="auto"/>
            <w:vAlign w:val="center"/>
            <w:hideMark/>
          </w:tcPr>
          <w:p w14:paraId="47EC1461" w14:textId="77777777" w:rsidR="000C2868" w:rsidRPr="003E1083" w:rsidRDefault="000C2868" w:rsidP="000C2868">
            <w:pPr>
              <w:jc w:val="center"/>
              <w:rPr>
                <w:rFonts w:asciiTheme="minorHAnsi" w:hAnsiTheme="minorHAnsi"/>
                <w:color w:val="000000"/>
                <w:sz w:val="18"/>
                <w:szCs w:val="18"/>
                <w:lang w:val="sq-AL"/>
              </w:rPr>
            </w:pPr>
            <w:r w:rsidRPr="003E1083">
              <w:rPr>
                <w:rFonts w:asciiTheme="minorHAnsi" w:hAnsiTheme="minorHAnsi"/>
                <w:color w:val="000000"/>
                <w:sz w:val="18"/>
                <w:szCs w:val="18"/>
                <w:lang w:val="sq-AL"/>
              </w:rPr>
              <w:t>78.76%</w:t>
            </w:r>
          </w:p>
        </w:tc>
      </w:tr>
      <w:tr w:rsidR="000C2868" w:rsidRPr="003E1083" w14:paraId="64B20167" w14:textId="77777777" w:rsidTr="000C2868">
        <w:trPr>
          <w:trHeight w:val="315"/>
          <w:jc w:val="center"/>
        </w:trPr>
        <w:tc>
          <w:tcPr>
            <w:tcW w:w="0" w:type="auto"/>
            <w:gridSpan w:val="2"/>
            <w:tcBorders>
              <w:top w:val="single" w:sz="8" w:space="0" w:color="548DD4"/>
              <w:left w:val="single" w:sz="8" w:space="0" w:color="548DD4"/>
              <w:bottom w:val="single" w:sz="8" w:space="0" w:color="548DD4"/>
              <w:right w:val="single" w:sz="8" w:space="0" w:color="548DD4"/>
            </w:tcBorders>
            <w:shd w:val="clear" w:color="auto" w:fill="auto"/>
            <w:vAlign w:val="center"/>
            <w:hideMark/>
          </w:tcPr>
          <w:p w14:paraId="36A31B9B" w14:textId="77777777" w:rsidR="000C2868" w:rsidRPr="003E1083" w:rsidRDefault="000C2868" w:rsidP="000C2868">
            <w:pPr>
              <w:jc w:val="center"/>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Totali ne MB</w:t>
            </w:r>
          </w:p>
        </w:tc>
        <w:tc>
          <w:tcPr>
            <w:tcW w:w="0" w:type="auto"/>
            <w:tcBorders>
              <w:top w:val="nil"/>
              <w:left w:val="nil"/>
              <w:bottom w:val="single" w:sz="8" w:space="0" w:color="548DD4"/>
              <w:right w:val="single" w:sz="8" w:space="0" w:color="548DD4"/>
            </w:tcBorders>
            <w:shd w:val="clear" w:color="auto" w:fill="auto"/>
            <w:vAlign w:val="center"/>
            <w:hideMark/>
          </w:tcPr>
          <w:p w14:paraId="2A66E83F" w14:textId="77777777" w:rsidR="000C2868" w:rsidRPr="003E1083" w:rsidRDefault="000C2868" w:rsidP="000C2868">
            <w:pPr>
              <w:jc w:val="right"/>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22,296,070</w:t>
            </w:r>
          </w:p>
        </w:tc>
        <w:tc>
          <w:tcPr>
            <w:tcW w:w="0" w:type="auto"/>
            <w:tcBorders>
              <w:top w:val="nil"/>
              <w:left w:val="nil"/>
              <w:bottom w:val="single" w:sz="8" w:space="0" w:color="548DD4"/>
              <w:right w:val="single" w:sz="8" w:space="0" w:color="548DD4"/>
            </w:tcBorders>
            <w:shd w:val="clear" w:color="auto" w:fill="auto"/>
            <w:vAlign w:val="center"/>
            <w:hideMark/>
          </w:tcPr>
          <w:p w14:paraId="48E871AF" w14:textId="77777777" w:rsidR="000C2868" w:rsidRPr="003E1083" w:rsidRDefault="000C2868" w:rsidP="000C2868">
            <w:pPr>
              <w:jc w:val="right"/>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1,890,077</w:t>
            </w:r>
          </w:p>
        </w:tc>
        <w:tc>
          <w:tcPr>
            <w:tcW w:w="0" w:type="auto"/>
            <w:tcBorders>
              <w:top w:val="nil"/>
              <w:left w:val="nil"/>
              <w:bottom w:val="single" w:sz="8" w:space="0" w:color="548DD4"/>
              <w:right w:val="single" w:sz="8" w:space="0" w:color="548DD4"/>
            </w:tcBorders>
            <w:shd w:val="clear" w:color="auto" w:fill="auto"/>
            <w:vAlign w:val="center"/>
            <w:hideMark/>
          </w:tcPr>
          <w:p w14:paraId="185E1447" w14:textId="77777777" w:rsidR="000C2868" w:rsidRPr="003E1083" w:rsidRDefault="000C2868" w:rsidP="000C2868">
            <w:pPr>
              <w:jc w:val="right"/>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6,720,338</w:t>
            </w:r>
          </w:p>
        </w:tc>
        <w:tc>
          <w:tcPr>
            <w:tcW w:w="0" w:type="auto"/>
            <w:tcBorders>
              <w:top w:val="nil"/>
              <w:left w:val="nil"/>
              <w:bottom w:val="single" w:sz="8" w:space="0" w:color="548DD4"/>
              <w:right w:val="single" w:sz="8" w:space="0" w:color="548DD4"/>
            </w:tcBorders>
            <w:shd w:val="clear" w:color="auto" w:fill="auto"/>
            <w:vAlign w:val="center"/>
            <w:hideMark/>
          </w:tcPr>
          <w:p w14:paraId="6C3CA921" w14:textId="77777777" w:rsidR="000C2868" w:rsidRPr="003E1083" w:rsidRDefault="000C2868" w:rsidP="000C2868">
            <w:pPr>
              <w:jc w:val="right"/>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422,199</w:t>
            </w:r>
          </w:p>
        </w:tc>
        <w:tc>
          <w:tcPr>
            <w:tcW w:w="1011" w:type="dxa"/>
            <w:tcBorders>
              <w:top w:val="nil"/>
              <w:left w:val="nil"/>
              <w:bottom w:val="single" w:sz="8" w:space="0" w:color="548DD4"/>
              <w:right w:val="single" w:sz="8" w:space="0" w:color="548DD4"/>
            </w:tcBorders>
            <w:shd w:val="clear" w:color="auto" w:fill="auto"/>
            <w:vAlign w:val="center"/>
            <w:hideMark/>
          </w:tcPr>
          <w:p w14:paraId="6E313FCF" w14:textId="77777777" w:rsidR="000C2868" w:rsidRPr="003E1083" w:rsidRDefault="000C2868" w:rsidP="000C2868">
            <w:pPr>
              <w:jc w:val="center"/>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30%</w:t>
            </w:r>
          </w:p>
        </w:tc>
        <w:tc>
          <w:tcPr>
            <w:tcW w:w="1170" w:type="dxa"/>
            <w:tcBorders>
              <w:top w:val="nil"/>
              <w:left w:val="nil"/>
              <w:bottom w:val="single" w:sz="8" w:space="0" w:color="548DD4"/>
              <w:right w:val="single" w:sz="8" w:space="0" w:color="548DD4"/>
            </w:tcBorders>
            <w:shd w:val="clear" w:color="auto" w:fill="auto"/>
            <w:vAlign w:val="center"/>
            <w:hideMark/>
          </w:tcPr>
          <w:p w14:paraId="7269ECE5" w14:textId="77777777" w:rsidR="000C2868" w:rsidRPr="003E1083" w:rsidRDefault="000C2868" w:rsidP="000C2868">
            <w:pPr>
              <w:jc w:val="center"/>
              <w:rPr>
                <w:rFonts w:asciiTheme="minorHAnsi" w:hAnsiTheme="minorHAnsi"/>
                <w:b/>
                <w:bCs/>
                <w:color w:val="000000"/>
                <w:sz w:val="18"/>
                <w:szCs w:val="18"/>
                <w:lang w:val="sq-AL"/>
              </w:rPr>
            </w:pPr>
            <w:r w:rsidRPr="003E1083">
              <w:rPr>
                <w:rFonts w:asciiTheme="minorHAnsi" w:hAnsiTheme="minorHAnsi"/>
                <w:b/>
                <w:bCs/>
                <w:color w:val="000000"/>
                <w:sz w:val="18"/>
                <w:szCs w:val="18"/>
                <w:lang w:val="sq-AL"/>
              </w:rPr>
              <w:t>22%</w:t>
            </w:r>
          </w:p>
        </w:tc>
      </w:tr>
    </w:tbl>
    <w:p w14:paraId="1BECC222" w14:textId="77777777" w:rsidR="000C2868" w:rsidRDefault="000C2868" w:rsidP="000C2868">
      <w:pPr>
        <w:jc w:val="both"/>
        <w:rPr>
          <w:rFonts w:asciiTheme="minorHAnsi" w:hAnsiTheme="minorHAnsi"/>
          <w:b/>
          <w:lang w:val="sq-AL"/>
        </w:rPr>
      </w:pPr>
    </w:p>
    <w:p w14:paraId="64E0538A" w14:textId="77777777" w:rsidR="000C2868" w:rsidRPr="003E1083" w:rsidRDefault="000C2868" w:rsidP="000C2868">
      <w:pPr>
        <w:jc w:val="both"/>
        <w:rPr>
          <w:rFonts w:asciiTheme="minorHAnsi" w:hAnsiTheme="minorHAnsi"/>
          <w:lang w:val="sq-AL"/>
        </w:rPr>
      </w:pPr>
      <w:r w:rsidRPr="003E1083">
        <w:rPr>
          <w:rFonts w:asciiTheme="minorHAnsi" w:hAnsiTheme="minorHAnsi"/>
          <w:b/>
          <w:lang w:val="sq-AL"/>
        </w:rPr>
        <w:t>Në programin “Policia e Shtetit</w:t>
      </w:r>
      <w:r w:rsidRPr="003E1083">
        <w:rPr>
          <w:rFonts w:asciiTheme="minorHAnsi" w:hAnsiTheme="minorHAnsi"/>
          <w:lang w:val="sq-AL"/>
        </w:rPr>
        <w:t>”,</w:t>
      </w:r>
      <w:r w:rsidRPr="003E1083">
        <w:rPr>
          <w:rFonts w:asciiTheme="minorHAnsi" w:eastAsia="MS Mincho" w:hAnsiTheme="minorHAnsi"/>
          <w:lang w:val="sq-AL"/>
        </w:rPr>
        <w:t xml:space="preserve"> </w:t>
      </w:r>
      <w:r w:rsidRPr="003E1083">
        <w:rPr>
          <w:rFonts w:asciiTheme="minorHAnsi" w:hAnsiTheme="minorHAnsi"/>
          <w:lang w:val="sq-AL"/>
        </w:rPr>
        <w:t xml:space="preserve">realizimi i fondeve për shpenzimet korente është 31% ndaj planit vjetor ndërsa produktet e investimit janë realizuar ne masë 26%. </w:t>
      </w:r>
    </w:p>
    <w:p w14:paraId="0CF1B006" w14:textId="77777777" w:rsidR="000C2868" w:rsidRPr="00A0431A" w:rsidRDefault="000C2868" w:rsidP="000C2868">
      <w:pPr>
        <w:jc w:val="both"/>
        <w:rPr>
          <w:rFonts w:asciiTheme="minorHAnsi" w:hAnsiTheme="minorHAnsi"/>
          <w:sz w:val="12"/>
          <w:lang w:val="sq-AL"/>
        </w:rPr>
      </w:pPr>
    </w:p>
    <w:p w14:paraId="2EFA9652" w14:textId="77777777" w:rsidR="000C2868" w:rsidRPr="003E1083" w:rsidRDefault="000C2868" w:rsidP="000C2868">
      <w:pPr>
        <w:jc w:val="both"/>
        <w:rPr>
          <w:rFonts w:asciiTheme="minorHAnsi" w:hAnsiTheme="minorHAnsi"/>
          <w:i/>
          <w:lang w:val="sq-AL"/>
        </w:rPr>
      </w:pPr>
      <w:r w:rsidRPr="003E1083">
        <w:rPr>
          <w:rFonts w:asciiTheme="minorHAnsi" w:hAnsiTheme="minorHAnsi"/>
          <w:lang w:val="sq-AL"/>
        </w:rPr>
        <w:t xml:space="preserve">Qëllimi i këtij progami është:  </w:t>
      </w:r>
      <w:r w:rsidRPr="003E1083">
        <w:rPr>
          <w:rFonts w:asciiTheme="minorHAnsi" w:hAnsiTheme="minorHAnsi"/>
          <w:i/>
          <w:lang w:val="sq-AL"/>
        </w:rPr>
        <w:t xml:space="preserve">“Lufta pa kompromis dhe ndëshkimi i ashpër penal ndaj  grupeve dhe/ose organizatave kriminale të ndryshme, si dhe i grupeve me axhenda ekstremiste të dhunshme dhe terroriste duke shënjestëruar dhe goditur veprimtarinë e krimit të organizuar e rrjetet kriminale, sekuestruar dhe konfiskuar çdo aset ekonomik të paligjshëm. Përforcimi i zbatimit të ligjit për rritjen e nivelit të sigurisë publike dhe asaj rrugore. Menaxhimi efektiv, efeçient dhe i integruar i kufijve nëpërmjet mirëfunksionimit të 27 pikave të kalimit kufitar në Republikën e Shqipërisë. Forcimi i kapaciteteve institucionale, garantimi i pavarësisë operacionale të policisë së shtetit dhe konsolidimi i arsimit, kualifikimit dhe veçanërisht trajnimit të vazhdueshëm e të profilizuar të strukturave të Policisë së Shtetit.” </w:t>
      </w:r>
      <w:r w:rsidRPr="003E1083">
        <w:rPr>
          <w:rFonts w:asciiTheme="minorHAnsi" w:hAnsiTheme="minorHAnsi"/>
          <w:lang w:val="sq-AL"/>
        </w:rPr>
        <w:t xml:space="preserve">Qëllimi i programit realizohet nëpërmjet 4 objektivave të realizuar përgjatë </w:t>
      </w:r>
      <w:r>
        <w:rPr>
          <w:rFonts w:asciiTheme="minorHAnsi" w:hAnsiTheme="minorHAnsi"/>
          <w:lang w:val="sq-AL"/>
        </w:rPr>
        <w:t>4M I</w:t>
      </w:r>
      <w:r w:rsidRPr="003E1083">
        <w:rPr>
          <w:rFonts w:asciiTheme="minorHAnsi" w:hAnsiTheme="minorHAnsi"/>
          <w:lang w:val="sq-AL"/>
        </w:rPr>
        <w:t xml:space="preserve"> 2023,  të cilat paraqiten si vijon:</w:t>
      </w:r>
    </w:p>
    <w:p w14:paraId="5E658DD8" w14:textId="77777777" w:rsidR="000C2868" w:rsidRDefault="000C2868" w:rsidP="000C2868">
      <w:pPr>
        <w:contextualSpacing/>
        <w:jc w:val="both"/>
        <w:rPr>
          <w:rFonts w:asciiTheme="minorHAnsi" w:hAnsiTheme="minorHAnsi"/>
          <w:lang w:val="sq-AL"/>
        </w:rPr>
      </w:pPr>
    </w:p>
    <w:p w14:paraId="78FF914D" w14:textId="77777777" w:rsidR="000C2868" w:rsidRPr="003E1083" w:rsidRDefault="000C2868" w:rsidP="000C2868">
      <w:pPr>
        <w:contextualSpacing/>
        <w:jc w:val="both"/>
        <w:rPr>
          <w:rFonts w:asciiTheme="minorHAnsi" w:hAnsiTheme="minorHAnsi"/>
          <w:lang w:val="sq-AL"/>
        </w:rPr>
      </w:pPr>
      <w:r w:rsidRPr="003E1083">
        <w:rPr>
          <w:rFonts w:asciiTheme="minorHAnsi" w:hAnsiTheme="minorHAnsi"/>
          <w:lang w:val="sq-AL"/>
        </w:rPr>
        <w:t xml:space="preserve">Objektivi 1 </w:t>
      </w:r>
      <w:r w:rsidRPr="003E1083">
        <w:rPr>
          <w:rFonts w:asciiTheme="minorHAnsi" w:hAnsiTheme="minorHAnsi"/>
          <w:i/>
          <w:lang w:val="sq-AL"/>
        </w:rPr>
        <w:t>“Rritja e hetimeve proaktive në luftën kundër krimit të organizuar, trafiqeve, korrupsionit, terrorizmit si dhe forcimi i koordinimit ndërinstitucional ndërkombëtar në luftën kundër krimit të organizuar e terrorizmit”.</w:t>
      </w:r>
      <w:r w:rsidRPr="003E1083">
        <w:rPr>
          <w:rFonts w:asciiTheme="minorHAnsi" w:hAnsiTheme="minorHAnsi"/>
          <w:lang w:val="sq-AL"/>
        </w:rPr>
        <w:t xml:space="preserve"> Për realizimin e objektivit kanë kontribuar produktet sa më poshtë:</w:t>
      </w:r>
    </w:p>
    <w:p w14:paraId="7F761E25" w14:textId="77777777" w:rsidR="000C2868" w:rsidRPr="003E1083" w:rsidRDefault="000C2868" w:rsidP="00056DE5">
      <w:pPr>
        <w:numPr>
          <w:ilvl w:val="0"/>
          <w:numId w:val="12"/>
        </w:numPr>
        <w:contextualSpacing/>
        <w:jc w:val="both"/>
        <w:rPr>
          <w:rFonts w:asciiTheme="minorHAnsi" w:hAnsiTheme="minorHAnsi"/>
          <w:i/>
          <w:lang w:val="sq-AL"/>
        </w:rPr>
      </w:pPr>
      <w:r w:rsidRPr="003E1083">
        <w:rPr>
          <w:rFonts w:asciiTheme="minorHAnsi" w:hAnsiTheme="minorHAnsi"/>
          <w:i/>
          <w:lang w:val="sq-AL"/>
        </w:rPr>
        <w:t xml:space="preserve">Realizimi i 59 “Operacione të posaçme Konvencionale” apo 83 % e sasisë së planifikuar, me një kosto totale prej 112 milionë lekë. </w:t>
      </w:r>
    </w:p>
    <w:p w14:paraId="716F7649" w14:textId="77777777" w:rsidR="000C2868" w:rsidRPr="003E1083" w:rsidRDefault="000C2868" w:rsidP="00056DE5">
      <w:pPr>
        <w:numPr>
          <w:ilvl w:val="0"/>
          <w:numId w:val="12"/>
        </w:numPr>
        <w:contextualSpacing/>
        <w:jc w:val="both"/>
        <w:rPr>
          <w:rFonts w:asciiTheme="minorHAnsi" w:hAnsiTheme="minorHAnsi"/>
          <w:i/>
          <w:lang w:val="sq-AL"/>
        </w:rPr>
      </w:pPr>
      <w:r w:rsidRPr="003E1083">
        <w:rPr>
          <w:rFonts w:asciiTheme="minorHAnsi" w:hAnsiTheme="minorHAnsi"/>
          <w:i/>
          <w:lang w:val="sq-AL"/>
        </w:rPr>
        <w:t>Janë kryer 13 169 “Operacione policore të hetuara dhe shërbime”, apo 94% e sasisë së planifikuar për periudhën, me një kosto totale prej 2,897 milionë lekë.</w:t>
      </w:r>
    </w:p>
    <w:p w14:paraId="5C19D0AB" w14:textId="77777777" w:rsidR="000C2868" w:rsidRPr="003E1083" w:rsidRDefault="000C2868" w:rsidP="00056DE5">
      <w:pPr>
        <w:numPr>
          <w:ilvl w:val="0"/>
          <w:numId w:val="12"/>
        </w:numPr>
        <w:contextualSpacing/>
        <w:jc w:val="both"/>
        <w:rPr>
          <w:rFonts w:asciiTheme="minorHAnsi" w:hAnsiTheme="minorHAnsi"/>
          <w:i/>
          <w:lang w:val="sq-AL"/>
        </w:rPr>
      </w:pPr>
      <w:r w:rsidRPr="003E1083">
        <w:rPr>
          <w:rFonts w:asciiTheme="minorHAnsi" w:hAnsiTheme="minorHAnsi"/>
          <w:i/>
          <w:lang w:val="sq-AL"/>
        </w:rPr>
        <w:t xml:space="preserve">Janë realizuar 15 opracione ndaj ekstermisteve e grupeve terroriste, apo 83% e sasisë së planifikuar për periudhën. </w:t>
      </w:r>
    </w:p>
    <w:p w14:paraId="65671D97" w14:textId="77777777" w:rsidR="000C2868" w:rsidRPr="003E1083" w:rsidRDefault="000C2868" w:rsidP="00056DE5">
      <w:pPr>
        <w:numPr>
          <w:ilvl w:val="0"/>
          <w:numId w:val="12"/>
        </w:numPr>
        <w:contextualSpacing/>
        <w:jc w:val="both"/>
        <w:rPr>
          <w:rFonts w:asciiTheme="minorHAnsi" w:hAnsiTheme="minorHAnsi"/>
          <w:i/>
          <w:lang w:val="sq-AL"/>
        </w:rPr>
      </w:pPr>
      <w:r w:rsidRPr="003E1083">
        <w:rPr>
          <w:rFonts w:asciiTheme="minorHAnsi" w:hAnsiTheme="minorHAnsi"/>
          <w:i/>
          <w:lang w:val="sq-AL"/>
        </w:rPr>
        <w:t>37 “Persona me cilësi të veçantë të mbrojtur”, apo 67% e sasisë së planifikuar për periudhën, me një kosto totale prej 47 milionë lekë.</w:t>
      </w:r>
    </w:p>
    <w:p w14:paraId="3FE71228" w14:textId="77777777" w:rsidR="000C2868" w:rsidRPr="00A0431A" w:rsidRDefault="000C2868" w:rsidP="000C2868">
      <w:pPr>
        <w:contextualSpacing/>
        <w:jc w:val="both"/>
        <w:rPr>
          <w:rFonts w:asciiTheme="minorHAnsi" w:hAnsiTheme="minorHAnsi"/>
          <w:sz w:val="12"/>
          <w:szCs w:val="12"/>
          <w:lang w:val="sq-AL"/>
        </w:rPr>
      </w:pPr>
    </w:p>
    <w:p w14:paraId="1EB05C61" w14:textId="77777777" w:rsidR="000C2868" w:rsidRPr="003E1083" w:rsidRDefault="000C2868" w:rsidP="000C2868">
      <w:pPr>
        <w:contextualSpacing/>
        <w:jc w:val="both"/>
        <w:rPr>
          <w:rFonts w:asciiTheme="minorHAnsi" w:hAnsiTheme="minorHAnsi"/>
          <w:lang w:val="sq-AL"/>
        </w:rPr>
      </w:pPr>
      <w:r w:rsidRPr="003E1083">
        <w:rPr>
          <w:rFonts w:asciiTheme="minorHAnsi" w:hAnsiTheme="minorHAnsi"/>
          <w:lang w:val="sq-AL"/>
        </w:rPr>
        <w:t>Objektivi 2</w:t>
      </w:r>
      <w:r w:rsidRPr="003E1083">
        <w:rPr>
          <w:rFonts w:asciiTheme="minorHAnsi" w:hAnsiTheme="minorHAnsi"/>
          <w:i/>
          <w:lang w:val="sq-AL"/>
        </w:rPr>
        <w:t xml:space="preserve"> “Rritja e sigurisë Publike dhe Sigurisë rrugore përmes patrullimeve në rrugë dhe forcimi i kontrollit të territorit me policimin në komunitet”</w:t>
      </w:r>
      <w:r w:rsidRPr="003E1083">
        <w:rPr>
          <w:rFonts w:asciiTheme="minorHAnsi" w:hAnsiTheme="minorHAnsi"/>
          <w:lang w:val="sq-AL"/>
        </w:rPr>
        <w:t>. Për realizimin e objektivit kanë kontribuar produktet sa më poshtë:</w:t>
      </w:r>
    </w:p>
    <w:p w14:paraId="6ED4B287" w14:textId="77777777" w:rsidR="000C2868" w:rsidRPr="003E1083" w:rsidRDefault="000C2868" w:rsidP="00056DE5">
      <w:pPr>
        <w:numPr>
          <w:ilvl w:val="0"/>
          <w:numId w:val="12"/>
        </w:numPr>
        <w:contextualSpacing/>
        <w:jc w:val="both"/>
        <w:rPr>
          <w:rFonts w:asciiTheme="minorHAnsi" w:hAnsiTheme="minorHAnsi"/>
          <w:i/>
          <w:lang w:val="sq-AL"/>
        </w:rPr>
      </w:pPr>
      <w:r w:rsidRPr="003E1083">
        <w:rPr>
          <w:rFonts w:asciiTheme="minorHAnsi" w:hAnsiTheme="minorHAnsi"/>
          <w:i/>
          <w:lang w:val="sq-AL"/>
        </w:rPr>
        <w:t>Realizimi i 2 199 “Shërbime të policisë rrugore të kryera në rrugët nacionale”, apo 85% e sasisë së planifikuar për 4</w:t>
      </w:r>
      <w:r>
        <w:rPr>
          <w:rFonts w:asciiTheme="minorHAnsi" w:hAnsiTheme="minorHAnsi"/>
          <w:i/>
          <w:lang w:val="sq-AL"/>
        </w:rPr>
        <w:t>M</w:t>
      </w:r>
      <w:r w:rsidRPr="003E1083">
        <w:rPr>
          <w:rFonts w:asciiTheme="minorHAnsi" w:hAnsiTheme="minorHAnsi"/>
          <w:i/>
          <w:lang w:val="sq-AL"/>
        </w:rPr>
        <w:t>, me një kosto totale prej 92 milionë lekë.</w:t>
      </w:r>
    </w:p>
    <w:p w14:paraId="70D1D535" w14:textId="77777777" w:rsidR="000C2868" w:rsidRPr="003E1083" w:rsidRDefault="000C2868" w:rsidP="00056DE5">
      <w:pPr>
        <w:numPr>
          <w:ilvl w:val="0"/>
          <w:numId w:val="12"/>
        </w:numPr>
        <w:contextualSpacing/>
        <w:jc w:val="both"/>
        <w:rPr>
          <w:rFonts w:asciiTheme="minorHAnsi" w:hAnsiTheme="minorHAnsi"/>
          <w:i/>
          <w:lang w:val="sq-AL"/>
        </w:rPr>
      </w:pPr>
      <w:r w:rsidRPr="003E1083">
        <w:rPr>
          <w:rFonts w:asciiTheme="minorHAnsi" w:hAnsiTheme="minorHAnsi"/>
          <w:i/>
          <w:lang w:val="sq-AL"/>
        </w:rPr>
        <w:t>Janë realizuar 187 “Shërbime të Forcave Speciale dhe e NSH për sigurimin e Rendit Publik”, apo 87% e sasisë së planifikuar për 4</w:t>
      </w:r>
      <w:r>
        <w:rPr>
          <w:rFonts w:asciiTheme="minorHAnsi" w:hAnsiTheme="minorHAnsi"/>
          <w:i/>
          <w:lang w:val="sq-AL"/>
        </w:rPr>
        <w:t>M</w:t>
      </w:r>
      <w:r w:rsidRPr="003E1083">
        <w:rPr>
          <w:rFonts w:asciiTheme="minorHAnsi" w:hAnsiTheme="minorHAnsi"/>
          <w:i/>
          <w:lang w:val="sq-AL"/>
        </w:rPr>
        <w:t>, me një kosto totale prej 337 milionë lekë.</w:t>
      </w:r>
    </w:p>
    <w:p w14:paraId="3CED4F4F" w14:textId="77777777" w:rsidR="000C2868" w:rsidRPr="00E66651" w:rsidRDefault="000C2868" w:rsidP="00056DE5">
      <w:pPr>
        <w:numPr>
          <w:ilvl w:val="0"/>
          <w:numId w:val="12"/>
        </w:numPr>
        <w:contextualSpacing/>
        <w:jc w:val="both"/>
        <w:rPr>
          <w:rFonts w:asciiTheme="minorHAnsi" w:hAnsiTheme="minorHAnsi"/>
          <w:i/>
          <w:lang w:val="sq-AL"/>
        </w:rPr>
      </w:pPr>
      <w:r w:rsidRPr="003E1083">
        <w:rPr>
          <w:rFonts w:asciiTheme="minorHAnsi" w:hAnsiTheme="minorHAnsi"/>
          <w:i/>
          <w:lang w:val="sq-AL"/>
        </w:rPr>
        <w:t>21 objekte dhe personalitete të siguaruara, apo 95% e sasisë së planifikuar për 4</w:t>
      </w:r>
      <w:r>
        <w:rPr>
          <w:rFonts w:asciiTheme="minorHAnsi" w:hAnsiTheme="minorHAnsi"/>
          <w:i/>
          <w:lang w:val="sq-AL"/>
        </w:rPr>
        <w:t>M</w:t>
      </w:r>
      <w:r w:rsidRPr="003E1083">
        <w:rPr>
          <w:rFonts w:asciiTheme="minorHAnsi" w:hAnsiTheme="minorHAnsi"/>
          <w:i/>
          <w:lang w:val="sq-AL"/>
        </w:rPr>
        <w:t xml:space="preserve">, me një </w:t>
      </w:r>
      <w:r w:rsidRPr="00E66651">
        <w:rPr>
          <w:rFonts w:asciiTheme="minorHAnsi" w:hAnsiTheme="minorHAnsi"/>
          <w:i/>
          <w:lang w:val="sq-AL"/>
        </w:rPr>
        <w:t>kosto totale prej 101 milionë lekë.</w:t>
      </w:r>
    </w:p>
    <w:p w14:paraId="18CB2C34" w14:textId="77777777" w:rsidR="000C2868" w:rsidRPr="003E1083" w:rsidRDefault="000C2868" w:rsidP="000C2868">
      <w:pPr>
        <w:contextualSpacing/>
        <w:jc w:val="both"/>
        <w:rPr>
          <w:rFonts w:asciiTheme="minorHAnsi" w:hAnsiTheme="minorHAnsi"/>
          <w:lang w:val="sq-AL"/>
        </w:rPr>
      </w:pPr>
      <w:r w:rsidRPr="003E1083">
        <w:rPr>
          <w:rFonts w:asciiTheme="minorHAnsi" w:hAnsiTheme="minorHAnsi"/>
          <w:lang w:val="sq-AL"/>
        </w:rPr>
        <w:lastRenderedPageBreak/>
        <w:t>Objektivi 3 “</w:t>
      </w:r>
      <w:r w:rsidRPr="003E1083">
        <w:rPr>
          <w:rFonts w:asciiTheme="minorHAnsi" w:hAnsiTheme="minorHAnsi"/>
          <w:i/>
          <w:lang w:val="sq-AL"/>
        </w:rPr>
        <w:t>Forcimi i masave për luiftën kundë krimit ndërkufitar dhe trafiqeve të paligjshme me synim rritjen e standartev të sigurisë së kufijve sipas standarteve të BE-së dhe Kodit Schengen”.</w:t>
      </w:r>
      <w:r w:rsidRPr="003E1083">
        <w:rPr>
          <w:rFonts w:asciiTheme="minorHAnsi" w:hAnsiTheme="minorHAnsi"/>
          <w:lang w:val="sq-AL"/>
        </w:rPr>
        <w:t xml:space="preserve"> </w:t>
      </w:r>
    </w:p>
    <w:p w14:paraId="456B8142" w14:textId="77777777" w:rsidR="000C2868" w:rsidRPr="003E1083" w:rsidRDefault="000C2868" w:rsidP="000C2868">
      <w:pPr>
        <w:contextualSpacing/>
        <w:jc w:val="both"/>
        <w:rPr>
          <w:rFonts w:asciiTheme="minorHAnsi" w:hAnsiTheme="minorHAnsi"/>
          <w:lang w:val="sq-AL"/>
        </w:rPr>
      </w:pPr>
      <w:r w:rsidRPr="003E1083">
        <w:rPr>
          <w:rFonts w:asciiTheme="minorHAnsi" w:hAnsiTheme="minorHAnsi"/>
          <w:lang w:val="sq-AL"/>
        </w:rPr>
        <w:t>Për realizimin e objektivit kanë kontribuar 3 produkte përgjatë 4</w:t>
      </w:r>
      <w:r>
        <w:rPr>
          <w:rFonts w:asciiTheme="minorHAnsi" w:hAnsiTheme="minorHAnsi"/>
          <w:lang w:val="sq-AL"/>
        </w:rPr>
        <w:t>M I 2023</w:t>
      </w:r>
      <w:r w:rsidRPr="003E1083">
        <w:rPr>
          <w:rFonts w:asciiTheme="minorHAnsi" w:hAnsiTheme="minorHAnsi"/>
          <w:lang w:val="sq-AL"/>
        </w:rPr>
        <w:t>,  të cilët konsistojnë në:</w:t>
      </w:r>
    </w:p>
    <w:p w14:paraId="484AADEC" w14:textId="77777777" w:rsidR="000C2868" w:rsidRPr="003E1083" w:rsidRDefault="000C2868" w:rsidP="00056DE5">
      <w:pPr>
        <w:numPr>
          <w:ilvl w:val="0"/>
          <w:numId w:val="12"/>
        </w:numPr>
        <w:contextualSpacing/>
        <w:jc w:val="both"/>
        <w:rPr>
          <w:rFonts w:asciiTheme="minorHAnsi" w:hAnsiTheme="minorHAnsi"/>
          <w:i/>
          <w:lang w:val="sq-AL"/>
        </w:rPr>
      </w:pPr>
      <w:r w:rsidRPr="003E1083">
        <w:rPr>
          <w:rFonts w:asciiTheme="minorHAnsi" w:hAnsiTheme="minorHAnsi"/>
          <w:i/>
          <w:lang w:val="sq-AL"/>
        </w:rPr>
        <w:t>U realizuan 17 operacione të sigurisë në kufirin blu, apo 85% e sasisë së planifikuar për 4</w:t>
      </w:r>
      <w:r>
        <w:rPr>
          <w:rFonts w:asciiTheme="minorHAnsi" w:hAnsiTheme="minorHAnsi"/>
          <w:i/>
          <w:lang w:val="sq-AL"/>
        </w:rPr>
        <w:t>M</w:t>
      </w:r>
      <w:r w:rsidRPr="003E1083">
        <w:rPr>
          <w:rFonts w:asciiTheme="minorHAnsi" w:hAnsiTheme="minorHAnsi"/>
          <w:i/>
          <w:lang w:val="sq-AL"/>
        </w:rPr>
        <w:t>, me një kosto totale prej 40 milionë lekë.</w:t>
      </w:r>
    </w:p>
    <w:p w14:paraId="73FF149E" w14:textId="77777777" w:rsidR="000C2868" w:rsidRPr="003E1083" w:rsidRDefault="000C2868" w:rsidP="00056DE5">
      <w:pPr>
        <w:numPr>
          <w:ilvl w:val="0"/>
          <w:numId w:val="12"/>
        </w:numPr>
        <w:contextualSpacing/>
        <w:jc w:val="both"/>
        <w:rPr>
          <w:rFonts w:asciiTheme="minorHAnsi" w:hAnsiTheme="minorHAnsi"/>
          <w:i/>
          <w:lang w:val="sq-AL"/>
        </w:rPr>
      </w:pPr>
      <w:r w:rsidRPr="003E1083">
        <w:rPr>
          <w:rFonts w:asciiTheme="minorHAnsi" w:hAnsiTheme="minorHAnsi"/>
          <w:i/>
          <w:lang w:val="sq-AL"/>
        </w:rPr>
        <w:t>Janë procesuar 12,755,984 persona në PKK, kategoria I; II dhe e II-të (ajrore, detare, tokësore), apo 98</w:t>
      </w:r>
      <w:r>
        <w:rPr>
          <w:rFonts w:asciiTheme="minorHAnsi" w:hAnsiTheme="minorHAnsi"/>
          <w:i/>
          <w:lang w:val="sq-AL"/>
        </w:rPr>
        <w:t>% e sasisë së planifikuar për 4M</w:t>
      </w:r>
      <w:r w:rsidRPr="003E1083">
        <w:rPr>
          <w:rFonts w:asciiTheme="minorHAnsi" w:hAnsiTheme="minorHAnsi"/>
          <w:i/>
          <w:lang w:val="sq-AL"/>
        </w:rPr>
        <w:t>, me një kosto totale prej 778 milionë lekë.</w:t>
      </w:r>
    </w:p>
    <w:p w14:paraId="1BC6E218" w14:textId="77777777" w:rsidR="000C2868" w:rsidRPr="003E1083" w:rsidRDefault="000C2868" w:rsidP="00056DE5">
      <w:pPr>
        <w:numPr>
          <w:ilvl w:val="0"/>
          <w:numId w:val="12"/>
        </w:numPr>
        <w:contextualSpacing/>
        <w:jc w:val="both"/>
        <w:rPr>
          <w:rFonts w:asciiTheme="minorHAnsi" w:hAnsiTheme="minorHAnsi"/>
          <w:i/>
          <w:lang w:val="sq-AL"/>
        </w:rPr>
      </w:pPr>
      <w:r w:rsidRPr="003E1083">
        <w:rPr>
          <w:rFonts w:asciiTheme="minorHAnsi" w:hAnsiTheme="minorHAnsi"/>
          <w:i/>
          <w:lang w:val="sq-AL"/>
        </w:rPr>
        <w:t>Janë trajnuar 71 Qen policie në kushte shërbimi, apo 95% e sasisë së planifikuar për 4M.</w:t>
      </w:r>
    </w:p>
    <w:p w14:paraId="37DC6D63" w14:textId="77777777" w:rsidR="000C2868" w:rsidRPr="00A0431A" w:rsidRDefault="000C2868" w:rsidP="000C2868">
      <w:pPr>
        <w:contextualSpacing/>
        <w:jc w:val="both"/>
        <w:rPr>
          <w:rFonts w:asciiTheme="minorHAnsi" w:hAnsiTheme="minorHAnsi"/>
          <w:b/>
          <w:sz w:val="12"/>
          <w:szCs w:val="12"/>
          <w:lang w:val="sq-AL"/>
        </w:rPr>
      </w:pPr>
    </w:p>
    <w:p w14:paraId="1E5D516C" w14:textId="77777777" w:rsidR="000C2868" w:rsidRPr="003E1083" w:rsidRDefault="000C2868" w:rsidP="000C2868">
      <w:pPr>
        <w:ind w:left="360"/>
        <w:contextualSpacing/>
        <w:jc w:val="both"/>
        <w:rPr>
          <w:rFonts w:asciiTheme="minorHAnsi" w:hAnsiTheme="minorHAnsi"/>
          <w:lang w:val="sq-AL"/>
        </w:rPr>
      </w:pPr>
      <w:r w:rsidRPr="003E1083">
        <w:rPr>
          <w:rFonts w:asciiTheme="minorHAnsi" w:hAnsiTheme="minorHAnsi"/>
          <w:lang w:val="sq-AL"/>
        </w:rPr>
        <w:t>Objektivi 4 “</w:t>
      </w:r>
      <w:r w:rsidRPr="003E1083">
        <w:rPr>
          <w:rFonts w:asciiTheme="minorHAnsi" w:hAnsiTheme="minorHAnsi"/>
          <w:i/>
          <w:lang w:val="sq-AL"/>
        </w:rPr>
        <w:t>Përafrimi i standartve të shërbimeve policore me ato të BE-së”.</w:t>
      </w:r>
      <w:r w:rsidRPr="003E1083">
        <w:rPr>
          <w:rFonts w:asciiTheme="minorHAnsi" w:hAnsiTheme="minorHAnsi"/>
          <w:lang w:val="sq-AL"/>
        </w:rPr>
        <w:t xml:space="preserve"> Për realizimin e objektivit kanë kontribuar 3 produkte përgjatë </w:t>
      </w:r>
      <w:r>
        <w:rPr>
          <w:rFonts w:asciiTheme="minorHAnsi" w:hAnsiTheme="minorHAnsi"/>
          <w:lang w:val="sq-AL"/>
        </w:rPr>
        <w:t>4M I 2023</w:t>
      </w:r>
      <w:r w:rsidRPr="003E1083">
        <w:rPr>
          <w:rFonts w:asciiTheme="minorHAnsi" w:hAnsiTheme="minorHAnsi"/>
          <w:lang w:val="sq-AL"/>
        </w:rPr>
        <w:t>,  të cilët konsistojnë në:</w:t>
      </w:r>
    </w:p>
    <w:p w14:paraId="7D0969A2" w14:textId="77777777" w:rsidR="000C2868" w:rsidRPr="003E1083" w:rsidRDefault="000C2868" w:rsidP="00056DE5">
      <w:pPr>
        <w:numPr>
          <w:ilvl w:val="0"/>
          <w:numId w:val="12"/>
        </w:numPr>
        <w:contextualSpacing/>
        <w:jc w:val="both"/>
        <w:rPr>
          <w:rFonts w:asciiTheme="minorHAnsi" w:hAnsiTheme="minorHAnsi"/>
          <w:i/>
          <w:lang w:val="sq-AL"/>
        </w:rPr>
      </w:pPr>
      <w:r w:rsidRPr="003E1083">
        <w:rPr>
          <w:rFonts w:asciiTheme="minorHAnsi" w:hAnsiTheme="minorHAnsi"/>
          <w:i/>
          <w:lang w:val="sq-AL"/>
        </w:rPr>
        <w:t>U trajnuan 103 rekrut të trajnuar në auditore dhe në terren, apo 61% e sasisë së planifikuar për 4</w:t>
      </w:r>
      <w:r>
        <w:rPr>
          <w:rFonts w:asciiTheme="minorHAnsi" w:hAnsiTheme="minorHAnsi"/>
          <w:i/>
          <w:lang w:val="sq-AL"/>
        </w:rPr>
        <w:t>M</w:t>
      </w:r>
      <w:r w:rsidRPr="003E1083">
        <w:rPr>
          <w:rFonts w:asciiTheme="minorHAnsi" w:hAnsiTheme="minorHAnsi"/>
          <w:i/>
          <w:lang w:val="sq-AL"/>
        </w:rPr>
        <w:t>, me një kosto totale prej 34 milionë lekë.</w:t>
      </w:r>
    </w:p>
    <w:p w14:paraId="6D265E0A" w14:textId="77777777" w:rsidR="000C2868" w:rsidRPr="003E1083" w:rsidRDefault="000C2868" w:rsidP="00056DE5">
      <w:pPr>
        <w:numPr>
          <w:ilvl w:val="0"/>
          <w:numId w:val="12"/>
        </w:numPr>
        <w:contextualSpacing/>
        <w:jc w:val="both"/>
        <w:rPr>
          <w:rFonts w:asciiTheme="minorHAnsi" w:hAnsiTheme="minorHAnsi"/>
          <w:i/>
          <w:lang w:val="sq-AL"/>
        </w:rPr>
      </w:pPr>
      <w:r w:rsidRPr="003E1083">
        <w:rPr>
          <w:rFonts w:asciiTheme="minorHAnsi" w:hAnsiTheme="minorHAnsi"/>
          <w:i/>
          <w:lang w:val="sq-AL"/>
        </w:rPr>
        <w:t>U trajtuan 1223 punonjës me pagesë kalimtare, apo 87% e sasisë së planifikuar për 4</w:t>
      </w:r>
      <w:r>
        <w:rPr>
          <w:rFonts w:asciiTheme="minorHAnsi" w:hAnsiTheme="minorHAnsi"/>
          <w:i/>
          <w:lang w:val="sq-AL"/>
        </w:rPr>
        <w:t>M</w:t>
      </w:r>
      <w:r w:rsidRPr="003E1083">
        <w:rPr>
          <w:rFonts w:asciiTheme="minorHAnsi" w:hAnsiTheme="minorHAnsi"/>
          <w:i/>
          <w:lang w:val="sq-AL"/>
        </w:rPr>
        <w:t>.</w:t>
      </w:r>
    </w:p>
    <w:p w14:paraId="73F29EF0" w14:textId="77777777" w:rsidR="000C2868" w:rsidRPr="003E1083" w:rsidRDefault="000C2868" w:rsidP="00056DE5">
      <w:pPr>
        <w:numPr>
          <w:ilvl w:val="0"/>
          <w:numId w:val="12"/>
        </w:numPr>
        <w:contextualSpacing/>
        <w:jc w:val="both"/>
        <w:rPr>
          <w:rFonts w:asciiTheme="minorHAnsi" w:hAnsiTheme="minorHAnsi"/>
          <w:i/>
          <w:lang w:val="sq-AL"/>
        </w:rPr>
      </w:pPr>
      <w:r w:rsidRPr="003E1083">
        <w:rPr>
          <w:rFonts w:asciiTheme="minorHAnsi" w:hAnsiTheme="minorHAnsi"/>
          <w:i/>
          <w:lang w:val="sq-AL"/>
        </w:rPr>
        <w:t>Janë hartuar 6734 raporte për menaxhimin e burimeve finaciare dhe njerzore, apo 86% e sasisë së planifikuar për 4</w:t>
      </w:r>
      <w:r>
        <w:rPr>
          <w:rFonts w:asciiTheme="minorHAnsi" w:hAnsiTheme="minorHAnsi"/>
          <w:i/>
          <w:lang w:val="sq-AL"/>
        </w:rPr>
        <w:t>M</w:t>
      </w:r>
      <w:r w:rsidRPr="003E1083">
        <w:rPr>
          <w:rFonts w:asciiTheme="minorHAnsi" w:hAnsiTheme="minorHAnsi"/>
          <w:i/>
          <w:lang w:val="sq-AL"/>
        </w:rPr>
        <w:t>, me një kosto totale prej 922 milion lekë.</w:t>
      </w:r>
    </w:p>
    <w:p w14:paraId="3DC86063" w14:textId="77777777" w:rsidR="000C2868" w:rsidRPr="00A0431A" w:rsidRDefault="000C2868" w:rsidP="000C2868">
      <w:pPr>
        <w:jc w:val="both"/>
        <w:rPr>
          <w:rFonts w:asciiTheme="minorHAnsi" w:eastAsia="MS Mincho" w:hAnsiTheme="minorHAnsi"/>
          <w:b/>
          <w:sz w:val="12"/>
          <w:szCs w:val="12"/>
          <w:lang w:val="sq-AL"/>
        </w:rPr>
      </w:pPr>
    </w:p>
    <w:p w14:paraId="4B2691E7" w14:textId="77777777" w:rsidR="000C2868" w:rsidRPr="003E1083" w:rsidRDefault="000C2868" w:rsidP="000C2868">
      <w:pPr>
        <w:jc w:val="both"/>
        <w:rPr>
          <w:rFonts w:asciiTheme="minorHAnsi" w:hAnsiTheme="minorHAnsi"/>
          <w:lang w:val="sq-AL"/>
        </w:rPr>
      </w:pPr>
      <w:r w:rsidRPr="003E1083">
        <w:rPr>
          <w:rFonts w:asciiTheme="minorHAnsi" w:eastAsia="MS Mincho" w:hAnsiTheme="minorHAnsi"/>
          <w:b/>
          <w:lang w:val="sq-AL"/>
        </w:rPr>
        <w:t>Programi “Garda e Republikës”</w:t>
      </w:r>
      <w:r w:rsidRPr="003E1083">
        <w:rPr>
          <w:rFonts w:asciiTheme="minorHAnsi" w:eastAsia="MS Mincho" w:hAnsiTheme="minorHAnsi"/>
          <w:lang w:val="sq-AL"/>
        </w:rPr>
        <w:t xml:space="preserve">, </w:t>
      </w:r>
      <w:r w:rsidRPr="003E1083">
        <w:rPr>
          <w:rFonts w:asciiTheme="minorHAnsi" w:hAnsiTheme="minorHAnsi"/>
          <w:lang w:val="sq-AL"/>
        </w:rPr>
        <w:t xml:space="preserve">realizimi i fondeve për shpenzimet korente është 29 % ndaj planit vjetor. Qëllimi i këtij progami është: </w:t>
      </w:r>
      <w:r w:rsidRPr="003E1083">
        <w:rPr>
          <w:rFonts w:asciiTheme="minorHAnsi" w:hAnsiTheme="minorHAnsi"/>
          <w:i/>
          <w:lang w:val="sq-AL"/>
        </w:rPr>
        <w:t>“Të kontribuojë në përmiresimin e vazhdueshëm të Sigurise së Personaliteteve Vendas dhe të Huaj, të Objekteve të Rëndësisë së Veçantë nëpërmjet rritjes së kapaciteteve menaxhuese dhe përputhjes me standartet europiane në fushën e sigurisë, duke synuar arritjen e nivelit 100% të sigurisë”.</w:t>
      </w:r>
      <w:r w:rsidRPr="003E1083">
        <w:rPr>
          <w:rFonts w:asciiTheme="minorHAnsi" w:hAnsiTheme="minorHAnsi"/>
          <w:lang w:val="sq-AL"/>
        </w:rPr>
        <w:t xml:space="preserve"> Qëllimi i programit realizohet nëpërmjet objektivave specifike të parashikuara dhe 1  produkti të realizuar përgjatë 4</w:t>
      </w:r>
      <w:r>
        <w:rPr>
          <w:rFonts w:asciiTheme="minorHAnsi" w:hAnsiTheme="minorHAnsi"/>
          <w:lang w:val="sq-AL"/>
        </w:rPr>
        <w:t>M</w:t>
      </w:r>
      <w:r w:rsidRPr="003E1083">
        <w:rPr>
          <w:rFonts w:asciiTheme="minorHAnsi" w:hAnsiTheme="minorHAnsi"/>
          <w:lang w:val="sq-AL"/>
        </w:rPr>
        <w:t>, me specifikisht i paraqitur si më poshtë:</w:t>
      </w:r>
    </w:p>
    <w:p w14:paraId="21B81FE4" w14:textId="77777777" w:rsidR="000C2868" w:rsidRPr="003E1083" w:rsidRDefault="000C2868" w:rsidP="000C2868">
      <w:pPr>
        <w:numPr>
          <w:ilvl w:val="0"/>
          <w:numId w:val="7"/>
        </w:numPr>
        <w:contextualSpacing/>
        <w:jc w:val="both"/>
        <w:rPr>
          <w:rFonts w:asciiTheme="minorHAnsi" w:hAnsiTheme="minorHAnsi"/>
          <w:i/>
          <w:lang w:val="sq-AL"/>
        </w:rPr>
      </w:pPr>
      <w:r w:rsidRPr="003E1083">
        <w:rPr>
          <w:rFonts w:asciiTheme="minorHAnsi" w:hAnsiTheme="minorHAnsi"/>
          <w:i/>
          <w:lang w:val="sq-AL"/>
        </w:rPr>
        <w:t>Është realizuar ruajtja e personaliteteve VIP vendas e të huaj, me një kosto 558mln lekë.</w:t>
      </w:r>
    </w:p>
    <w:p w14:paraId="2FAC208E" w14:textId="77777777" w:rsidR="000C2868" w:rsidRPr="003E1083" w:rsidRDefault="000C2868" w:rsidP="000C2868">
      <w:pPr>
        <w:jc w:val="both"/>
        <w:rPr>
          <w:rFonts w:asciiTheme="minorHAnsi" w:hAnsiTheme="minorHAnsi"/>
          <w:b/>
          <w:i/>
          <w:lang w:val="sq-AL"/>
        </w:rPr>
      </w:pPr>
    </w:p>
    <w:p w14:paraId="7969C04C" w14:textId="77777777" w:rsidR="000C2868" w:rsidRPr="003E1083" w:rsidRDefault="000C2868" w:rsidP="000C2868">
      <w:pPr>
        <w:jc w:val="both"/>
        <w:rPr>
          <w:rFonts w:asciiTheme="minorHAnsi" w:hAnsiTheme="minorHAnsi"/>
          <w:lang w:val="sq-AL"/>
        </w:rPr>
      </w:pPr>
      <w:r w:rsidRPr="003E1083">
        <w:rPr>
          <w:rFonts w:asciiTheme="minorHAnsi" w:hAnsiTheme="minorHAnsi"/>
          <w:b/>
          <w:lang w:val="sq-AL"/>
        </w:rPr>
        <w:t>Në programin “Shërbimi i Gjendjes Civile”</w:t>
      </w:r>
      <w:r w:rsidRPr="003E1083">
        <w:rPr>
          <w:rFonts w:asciiTheme="minorHAnsi" w:hAnsiTheme="minorHAnsi"/>
          <w:lang w:val="sq-AL"/>
        </w:rPr>
        <w:t xml:space="preserve">, ka realizim të fondeve rreth 24% ndaj planit vjetor, duke realizuar kështu edhe qëllimin e politikës së programit, e cila është : </w:t>
      </w:r>
      <w:r w:rsidRPr="003E1083">
        <w:rPr>
          <w:rFonts w:asciiTheme="minorHAnsi" w:hAnsiTheme="minorHAnsi"/>
          <w:i/>
          <w:lang w:val="sq-AL"/>
        </w:rPr>
        <w:t>“Konsolidimi i mëtejshëm të një sistemi të dixhitalizuar të regjistrit kombëtar të gjendjes civile (RKGJC), të sistemit të regjistrit kombëtar të adresave (RKA) dhe regjistrimi/përditësimi i të dhënave të shtetasve në Republikën e Shqipërisë me vërtetësi dhe në kohë reale.”</w:t>
      </w:r>
      <w:r w:rsidRPr="003E1083">
        <w:rPr>
          <w:rFonts w:asciiTheme="minorHAnsi" w:hAnsiTheme="minorHAnsi"/>
          <w:lang w:val="sq-AL"/>
        </w:rPr>
        <w:t xml:space="preserve">  Qëllimi i programit u realizua nëpërmjet produkteve:</w:t>
      </w:r>
    </w:p>
    <w:p w14:paraId="69032635" w14:textId="77777777" w:rsidR="000C2868" w:rsidRPr="003E1083" w:rsidRDefault="000C2868" w:rsidP="000C2868">
      <w:pPr>
        <w:numPr>
          <w:ilvl w:val="0"/>
          <w:numId w:val="7"/>
        </w:numPr>
        <w:contextualSpacing/>
        <w:jc w:val="both"/>
        <w:rPr>
          <w:rFonts w:asciiTheme="minorHAnsi" w:hAnsiTheme="minorHAnsi"/>
          <w:i/>
          <w:lang w:val="sq-AL"/>
        </w:rPr>
      </w:pPr>
      <w:r w:rsidRPr="003E1083">
        <w:rPr>
          <w:rFonts w:asciiTheme="minorHAnsi" w:hAnsiTheme="minorHAnsi"/>
          <w:i/>
          <w:lang w:val="sq-AL"/>
        </w:rPr>
        <w:t>Rregjistrimit të 298,537 akte dhe dokumente të lëshuara nga shërbimi i Gjendjes Civile, me kosto prej 136 milionë lekë.</w:t>
      </w:r>
    </w:p>
    <w:p w14:paraId="38DDB02C" w14:textId="77777777" w:rsidR="000C2868" w:rsidRPr="003E1083" w:rsidRDefault="000C2868" w:rsidP="000C2868">
      <w:pPr>
        <w:numPr>
          <w:ilvl w:val="0"/>
          <w:numId w:val="7"/>
        </w:numPr>
        <w:contextualSpacing/>
        <w:jc w:val="both"/>
        <w:rPr>
          <w:rFonts w:asciiTheme="minorHAnsi" w:hAnsiTheme="minorHAnsi"/>
          <w:i/>
          <w:lang w:val="sq-AL"/>
        </w:rPr>
      </w:pPr>
      <w:r w:rsidRPr="003E1083">
        <w:rPr>
          <w:rFonts w:asciiTheme="minorHAnsi" w:hAnsiTheme="minorHAnsi"/>
          <w:i/>
          <w:lang w:val="sq-AL"/>
        </w:rPr>
        <w:t>Nëpërmjet funksionimit të sistemit të adresave të përmirësuar dhe rritjen e funksionalitetit të RKGJC.</w:t>
      </w:r>
    </w:p>
    <w:p w14:paraId="2BBC578F" w14:textId="77777777" w:rsidR="000C2868" w:rsidRPr="00A0431A" w:rsidRDefault="000C2868" w:rsidP="000C2868">
      <w:pPr>
        <w:ind w:left="780"/>
        <w:contextualSpacing/>
        <w:jc w:val="both"/>
        <w:rPr>
          <w:rFonts w:asciiTheme="minorHAnsi" w:hAnsiTheme="minorHAnsi"/>
          <w:i/>
          <w:sz w:val="12"/>
          <w:lang w:val="sq-AL"/>
        </w:rPr>
      </w:pPr>
    </w:p>
    <w:p w14:paraId="7377DF0A" w14:textId="77777777" w:rsidR="000C2868" w:rsidRPr="003E1083" w:rsidRDefault="000C2868" w:rsidP="000C2868">
      <w:pPr>
        <w:jc w:val="both"/>
        <w:rPr>
          <w:rFonts w:asciiTheme="minorHAnsi" w:hAnsiTheme="minorHAnsi"/>
          <w:lang w:val="sq-AL"/>
        </w:rPr>
      </w:pPr>
      <w:r w:rsidRPr="003E1083">
        <w:rPr>
          <w:rFonts w:asciiTheme="minorHAnsi" w:hAnsiTheme="minorHAnsi"/>
          <w:b/>
          <w:lang w:val="sq-AL"/>
        </w:rPr>
        <w:t xml:space="preserve">Programi “Prefektura dhe Funksionet e Deleguara”, </w:t>
      </w:r>
      <w:r w:rsidRPr="003E1083">
        <w:rPr>
          <w:rFonts w:asciiTheme="minorHAnsi" w:hAnsiTheme="minorHAnsi"/>
          <w:lang w:val="sq-AL"/>
        </w:rPr>
        <w:t>ka realizuar fondet p</w:t>
      </w:r>
      <w:r w:rsidRPr="003E1083">
        <w:rPr>
          <w:rFonts w:asciiTheme="minorHAnsi" w:eastAsia="Malgun Gothic" w:hAnsiTheme="minorHAnsi" w:cs="Malgun Gothic"/>
          <w:lang w:val="sq-AL"/>
        </w:rPr>
        <w:t xml:space="preserve">ër </w:t>
      </w:r>
      <w:r w:rsidRPr="003E1083">
        <w:rPr>
          <w:rFonts w:asciiTheme="minorHAnsi" w:hAnsiTheme="minorHAnsi"/>
          <w:lang w:val="sq-AL"/>
        </w:rPr>
        <w:t>shpenzimet korrente</w:t>
      </w:r>
      <w:r w:rsidRPr="003E1083">
        <w:rPr>
          <w:rFonts w:asciiTheme="minorHAnsi" w:eastAsia="Malgun Gothic" w:hAnsiTheme="minorHAnsi" w:cs="Malgun Gothic"/>
          <w:lang w:val="sq-AL"/>
        </w:rPr>
        <w:t xml:space="preserve"> </w:t>
      </w:r>
      <w:r>
        <w:rPr>
          <w:rFonts w:asciiTheme="minorHAnsi" w:hAnsiTheme="minorHAnsi"/>
          <w:lang w:val="sq-AL"/>
        </w:rPr>
        <w:t xml:space="preserve">për 4M I </w:t>
      </w:r>
      <w:r w:rsidRPr="003E1083">
        <w:rPr>
          <w:rFonts w:asciiTheme="minorHAnsi" w:hAnsiTheme="minorHAnsi"/>
          <w:lang w:val="sq-AL"/>
        </w:rPr>
        <w:t xml:space="preserve">2023 në masën 27%. Qëllimi i politikës së programit është: </w:t>
      </w:r>
      <w:r w:rsidRPr="003E1083">
        <w:rPr>
          <w:rFonts w:asciiTheme="minorHAnsi" w:hAnsiTheme="minorHAnsi"/>
          <w:i/>
          <w:lang w:val="sq-AL"/>
        </w:rPr>
        <w:t xml:space="preserve">“Ndjekia e zbatimit të programit të Qeverisë në nivel vendor si përfaqësues i qeverisë”, i cili synohet të realizohet nëpërmjet objektivit: “Rritja e performacës së Prefektit të Qarkut në nivel vendor për zbatimin e reformës Administrativo-Territoriale”. </w:t>
      </w:r>
      <w:r w:rsidRPr="003E1083">
        <w:rPr>
          <w:rFonts w:asciiTheme="minorHAnsi" w:hAnsiTheme="minorHAnsi"/>
          <w:lang w:val="sq-AL"/>
        </w:rPr>
        <w:t>Për realizimin e objektivit kanë kontribuar produktet sa më poshtë:</w:t>
      </w:r>
    </w:p>
    <w:p w14:paraId="58B47785" w14:textId="77777777" w:rsidR="000C2868" w:rsidRPr="003E1083" w:rsidRDefault="000C2868" w:rsidP="000C2868">
      <w:pPr>
        <w:numPr>
          <w:ilvl w:val="0"/>
          <w:numId w:val="7"/>
        </w:numPr>
        <w:contextualSpacing/>
        <w:jc w:val="both"/>
        <w:rPr>
          <w:rFonts w:asciiTheme="minorHAnsi" w:hAnsiTheme="minorHAnsi"/>
          <w:i/>
          <w:lang w:val="sq-AL"/>
        </w:rPr>
      </w:pPr>
      <w:r w:rsidRPr="003E1083">
        <w:rPr>
          <w:rFonts w:asciiTheme="minorHAnsi" w:hAnsiTheme="minorHAnsi"/>
          <w:i/>
          <w:lang w:val="sq-AL"/>
        </w:rPr>
        <w:t>Janë kryer 415 monitorime në nivel qarku nga Perfekti i Qarkut, apo 53% e sasisë së planifikuar,  me kosto prej 17 milionë lekë.</w:t>
      </w:r>
    </w:p>
    <w:p w14:paraId="1E5A10F2" w14:textId="77777777" w:rsidR="000C2868" w:rsidRPr="003E1083" w:rsidRDefault="000C2868" w:rsidP="000C2868">
      <w:pPr>
        <w:numPr>
          <w:ilvl w:val="0"/>
          <w:numId w:val="7"/>
        </w:numPr>
        <w:contextualSpacing/>
        <w:jc w:val="both"/>
        <w:rPr>
          <w:rFonts w:asciiTheme="minorHAnsi" w:hAnsiTheme="minorHAnsi"/>
          <w:i/>
          <w:lang w:val="sq-AL"/>
        </w:rPr>
      </w:pPr>
      <w:r w:rsidRPr="003E1083">
        <w:rPr>
          <w:rFonts w:asciiTheme="minorHAnsi" w:hAnsiTheme="minorHAnsi"/>
          <w:i/>
          <w:lang w:val="sq-AL"/>
        </w:rPr>
        <w:t xml:space="preserve">Është dhënë ndihmë për garantimin e vazhdueshmërisë së funksioneve dhe shërbimeve publike, në nivel vendor në kuadër të zbatimit të reformës administrativo-territoriale, me kosto rreth 5.6 milionë lekë. </w:t>
      </w:r>
    </w:p>
    <w:p w14:paraId="0048CF69" w14:textId="77777777" w:rsidR="000C2868" w:rsidRPr="003E1083" w:rsidRDefault="000C2868" w:rsidP="000C2868">
      <w:pPr>
        <w:numPr>
          <w:ilvl w:val="0"/>
          <w:numId w:val="7"/>
        </w:numPr>
        <w:contextualSpacing/>
        <w:jc w:val="both"/>
        <w:rPr>
          <w:rFonts w:asciiTheme="minorHAnsi" w:hAnsiTheme="minorHAnsi"/>
          <w:i/>
          <w:lang w:val="sq-AL"/>
        </w:rPr>
      </w:pPr>
      <w:r w:rsidRPr="003E1083">
        <w:rPr>
          <w:rFonts w:asciiTheme="minorHAnsi" w:hAnsiTheme="minorHAnsi"/>
          <w:i/>
          <w:lang w:val="sq-AL"/>
        </w:rPr>
        <w:t xml:space="preserve">Janë trajtuar 123 kërkesa për administrimin dhe mbrojtjen e tokës, apo 62% e sasisë së planifikuar, me kosto rreth 20.2 milionë lekë. </w:t>
      </w:r>
    </w:p>
    <w:p w14:paraId="0449AB2B" w14:textId="1F1536B5" w:rsidR="000C2868" w:rsidRDefault="000C2868" w:rsidP="000C2868">
      <w:pPr>
        <w:jc w:val="both"/>
        <w:rPr>
          <w:rFonts w:asciiTheme="minorHAnsi" w:hAnsiTheme="minorHAnsi"/>
          <w:i/>
          <w:lang w:val="sq-AL"/>
        </w:rPr>
      </w:pPr>
    </w:p>
    <w:p w14:paraId="0BE06DA3" w14:textId="77777777" w:rsidR="00EA4B27" w:rsidRDefault="00EA4B27" w:rsidP="000C2868">
      <w:pPr>
        <w:jc w:val="both"/>
        <w:rPr>
          <w:rFonts w:asciiTheme="minorHAnsi" w:hAnsiTheme="minorHAnsi"/>
          <w:i/>
          <w:lang w:val="sq-AL"/>
        </w:rPr>
      </w:pPr>
    </w:p>
    <w:p w14:paraId="193830B2" w14:textId="77777777" w:rsidR="000C2868" w:rsidRDefault="000C2868" w:rsidP="000C2868">
      <w:pPr>
        <w:jc w:val="both"/>
        <w:rPr>
          <w:rFonts w:asciiTheme="minorHAnsi" w:hAnsiTheme="minorHAnsi"/>
          <w:i/>
          <w:lang w:val="sq-AL"/>
        </w:rPr>
      </w:pPr>
    </w:p>
    <w:bookmarkEnd w:id="220"/>
    <w:bookmarkEnd w:id="221"/>
    <w:bookmarkEnd w:id="222"/>
    <w:p w14:paraId="1BB0D4A0" w14:textId="77777777" w:rsidR="000C2868" w:rsidRPr="003E1083" w:rsidRDefault="000C2868" w:rsidP="000C2868">
      <w:pPr>
        <w:spacing w:before="120"/>
        <w:jc w:val="both"/>
        <w:rPr>
          <w:rFonts w:asciiTheme="minorHAnsi" w:hAnsiTheme="minorHAnsi"/>
          <w:b/>
          <w:noProof/>
          <w:color w:val="0070C0"/>
          <w:lang w:val="sq-AL"/>
        </w:rPr>
      </w:pPr>
      <w:r w:rsidRPr="003E1083">
        <w:rPr>
          <w:rFonts w:asciiTheme="minorHAnsi" w:hAnsiTheme="minorHAnsi"/>
          <w:b/>
          <w:noProof/>
          <w:color w:val="0070C0"/>
          <w:lang w:val="sq-AL"/>
        </w:rPr>
        <w:lastRenderedPageBreak/>
        <w:t>KULTURA</w:t>
      </w:r>
    </w:p>
    <w:p w14:paraId="69D9B502" w14:textId="77777777" w:rsidR="000C2868" w:rsidRPr="003E1083" w:rsidRDefault="000C2868" w:rsidP="000C2868">
      <w:pPr>
        <w:jc w:val="both"/>
        <w:rPr>
          <w:rFonts w:asciiTheme="minorHAnsi" w:eastAsia="MS Mincho" w:hAnsiTheme="minorHAnsi"/>
          <w:color w:val="000000"/>
          <w:lang w:val="sq-AL"/>
        </w:rPr>
      </w:pPr>
      <w:r w:rsidRPr="003E1083">
        <w:rPr>
          <w:rFonts w:asciiTheme="minorHAnsi" w:eastAsia="MS Mincho" w:hAnsiTheme="minorHAnsi"/>
          <w:color w:val="000000"/>
          <w:lang w:val="sq-AL"/>
        </w:rPr>
        <w:t>Performanca e treguesve buxhetorë për programet e Ministrisë së Kulturës paraqitet si mëposhtë:</w:t>
      </w:r>
    </w:p>
    <w:p w14:paraId="474982C7" w14:textId="09A5DCCC" w:rsidR="000C2868" w:rsidRPr="00A0431A" w:rsidRDefault="000C2868" w:rsidP="000C2868">
      <w:pPr>
        <w:jc w:val="both"/>
        <w:rPr>
          <w:rFonts w:asciiTheme="minorHAnsi" w:hAnsiTheme="minorHAnsi"/>
          <w:i/>
          <w:noProof/>
          <w:sz w:val="22"/>
          <w:lang w:val="sq-AL"/>
        </w:rPr>
      </w:pPr>
      <w:bookmarkStart w:id="226" w:name="_Toc107496784"/>
      <w:r w:rsidRPr="00A0431A">
        <w:rPr>
          <w:rFonts w:asciiTheme="minorHAnsi" w:hAnsiTheme="minorHAnsi"/>
          <w:i/>
          <w:noProof/>
          <w:sz w:val="22"/>
          <w:lang w:val="sq-AL"/>
        </w:rPr>
        <w:t xml:space="preserve">Tabela </w:t>
      </w:r>
      <w:r w:rsidRPr="00A0431A">
        <w:rPr>
          <w:rFonts w:asciiTheme="minorHAnsi" w:hAnsiTheme="minorHAnsi"/>
          <w:i/>
          <w:noProof/>
          <w:sz w:val="22"/>
          <w:lang w:val="sq-AL"/>
        </w:rPr>
        <w:fldChar w:fldCharType="begin"/>
      </w:r>
      <w:r w:rsidRPr="00A0431A">
        <w:rPr>
          <w:rFonts w:asciiTheme="minorHAnsi" w:hAnsiTheme="minorHAnsi"/>
          <w:i/>
          <w:noProof/>
          <w:sz w:val="22"/>
          <w:lang w:val="sq-AL"/>
        </w:rPr>
        <w:instrText xml:space="preserve"> SEQ Tabela \* ARABIC </w:instrText>
      </w:r>
      <w:r w:rsidRPr="00A0431A">
        <w:rPr>
          <w:rFonts w:asciiTheme="minorHAnsi" w:hAnsiTheme="minorHAnsi"/>
          <w:i/>
          <w:noProof/>
          <w:sz w:val="22"/>
          <w:lang w:val="sq-AL"/>
        </w:rPr>
        <w:fldChar w:fldCharType="separate"/>
      </w:r>
      <w:r w:rsidR="00C153A9">
        <w:rPr>
          <w:rFonts w:asciiTheme="minorHAnsi" w:hAnsiTheme="minorHAnsi"/>
          <w:i/>
          <w:noProof/>
          <w:sz w:val="22"/>
          <w:lang w:val="sq-AL"/>
        </w:rPr>
        <w:t>47</w:t>
      </w:r>
      <w:r w:rsidRPr="00A0431A">
        <w:rPr>
          <w:rFonts w:asciiTheme="minorHAnsi" w:hAnsiTheme="minorHAnsi"/>
          <w:i/>
          <w:noProof/>
          <w:sz w:val="22"/>
          <w:lang w:val="sq-AL"/>
        </w:rPr>
        <w:fldChar w:fldCharType="end"/>
      </w:r>
      <w:r w:rsidRPr="00A0431A">
        <w:rPr>
          <w:rFonts w:asciiTheme="minorHAnsi" w:hAnsiTheme="minorHAnsi"/>
          <w:i/>
          <w:noProof/>
          <w:sz w:val="22"/>
          <w:lang w:val="sq-AL"/>
        </w:rPr>
        <w:t xml:space="preserve">: </w:t>
      </w:r>
      <w:r>
        <w:rPr>
          <w:rFonts w:ascii="Calibri" w:hAnsi="Calibri"/>
          <w:i/>
          <w:noProof/>
          <w:sz w:val="22"/>
          <w:lang w:val="sq-AL"/>
        </w:rPr>
        <w:t>Performanca e shpenzimeve për 4M I</w:t>
      </w:r>
      <w:r>
        <w:rPr>
          <w:rFonts w:asciiTheme="minorHAnsi" w:hAnsiTheme="minorHAnsi"/>
          <w:i/>
          <w:noProof/>
          <w:sz w:val="22"/>
          <w:lang w:val="sq-AL"/>
        </w:rPr>
        <w:t xml:space="preserve">, për </w:t>
      </w:r>
      <w:r w:rsidRPr="00A0431A">
        <w:rPr>
          <w:rFonts w:asciiTheme="minorHAnsi" w:hAnsiTheme="minorHAnsi"/>
          <w:i/>
          <w:noProof/>
          <w:sz w:val="22"/>
          <w:lang w:val="sq-AL"/>
        </w:rPr>
        <w:t>Kultur</w:t>
      </w:r>
      <w:bookmarkEnd w:id="226"/>
      <w:r>
        <w:rPr>
          <w:rFonts w:asciiTheme="minorHAnsi" w:hAnsiTheme="minorHAnsi"/>
          <w:i/>
          <w:noProof/>
          <w:sz w:val="22"/>
          <w:lang w:val="sq-AL"/>
        </w:rPr>
        <w:t>ën</w:t>
      </w:r>
    </w:p>
    <w:p w14:paraId="6A2AD4E5" w14:textId="77777777" w:rsidR="000C2868" w:rsidRPr="003E1083" w:rsidRDefault="000C2868" w:rsidP="000C2868">
      <w:pPr>
        <w:jc w:val="right"/>
        <w:rPr>
          <w:rFonts w:asciiTheme="minorHAnsi" w:eastAsia="MS Mincho" w:hAnsiTheme="minorHAnsi"/>
          <w:bCs/>
          <w:i/>
          <w:color w:val="000000"/>
          <w:lang w:val="sq-AL"/>
        </w:rPr>
      </w:pPr>
      <w:r w:rsidRPr="003E1083">
        <w:rPr>
          <w:rFonts w:asciiTheme="minorHAnsi" w:hAnsiTheme="minorHAnsi"/>
          <w:i/>
          <w:noProof/>
          <w:lang w:val="sq-AL"/>
        </w:rPr>
        <w:t xml:space="preserve">                                                                                                    </w:t>
      </w:r>
      <w:r w:rsidRPr="003E1083">
        <w:rPr>
          <w:rFonts w:asciiTheme="minorHAnsi" w:eastAsia="MS Mincho" w:hAnsiTheme="minorHAnsi"/>
          <w:bCs/>
          <w:i/>
          <w:color w:val="000000"/>
          <w:lang w:val="sq-AL"/>
        </w:rPr>
        <w:t>Në mijë lekë</w:t>
      </w:r>
    </w:p>
    <w:tbl>
      <w:tblPr>
        <w:tblStyle w:val="ListTable3-Accent527"/>
        <w:tblW w:w="9367" w:type="dxa"/>
        <w:jc w:val="center"/>
        <w:tblLook w:val="01E0" w:firstRow="1" w:lastRow="1" w:firstColumn="1" w:lastColumn="1" w:noHBand="0" w:noVBand="0"/>
      </w:tblPr>
      <w:tblGrid>
        <w:gridCol w:w="461"/>
        <w:gridCol w:w="2896"/>
        <w:gridCol w:w="1020"/>
        <w:gridCol w:w="1096"/>
        <w:gridCol w:w="931"/>
        <w:gridCol w:w="1007"/>
        <w:gridCol w:w="939"/>
        <w:gridCol w:w="1017"/>
      </w:tblGrid>
      <w:tr w:rsidR="000C2868" w:rsidRPr="003E1083" w14:paraId="78047E0A" w14:textId="77777777" w:rsidTr="000C2868">
        <w:trPr>
          <w:cnfStyle w:val="100000000000" w:firstRow="1" w:lastRow="0" w:firstColumn="0" w:lastColumn="0" w:oddVBand="0" w:evenVBand="0" w:oddHBand="0" w:evenHBand="0" w:firstRowFirstColumn="0" w:firstRowLastColumn="0" w:lastRowFirstColumn="0" w:lastRowLastColumn="0"/>
          <w:trHeight w:val="238"/>
          <w:jc w:val="center"/>
        </w:trPr>
        <w:tc>
          <w:tcPr>
            <w:cnfStyle w:val="001000000100" w:firstRow="0" w:lastRow="0" w:firstColumn="1" w:lastColumn="0" w:oddVBand="0" w:evenVBand="0" w:oddHBand="0" w:evenHBand="0" w:firstRowFirstColumn="1" w:firstRowLastColumn="0" w:lastRowFirstColumn="0" w:lastRowLastColumn="0"/>
            <w:tcW w:w="0" w:type="auto"/>
            <w:vMerge w:val="restart"/>
          </w:tcPr>
          <w:p w14:paraId="083655C6" w14:textId="77777777" w:rsidR="000C2868" w:rsidRPr="003E1083" w:rsidRDefault="000C2868" w:rsidP="000C2868">
            <w:pPr>
              <w:jc w:val="both"/>
              <w:rPr>
                <w:rFonts w:asciiTheme="minorHAnsi" w:hAnsiTheme="minorHAnsi"/>
                <w:sz w:val="18"/>
                <w:lang w:val="sq-AL"/>
              </w:rPr>
            </w:pPr>
            <w:r w:rsidRPr="003E1083">
              <w:rPr>
                <w:rFonts w:asciiTheme="minorHAnsi" w:hAnsiTheme="minorHAnsi"/>
                <w:sz w:val="18"/>
                <w:lang w:val="sq-AL"/>
              </w:rPr>
              <w:t>NR</w:t>
            </w:r>
          </w:p>
        </w:tc>
        <w:tc>
          <w:tcPr>
            <w:cnfStyle w:val="000010000000" w:firstRow="0" w:lastRow="0" w:firstColumn="0" w:lastColumn="0" w:oddVBand="1" w:evenVBand="0" w:oddHBand="0" w:evenHBand="0" w:firstRowFirstColumn="0" w:firstRowLastColumn="0" w:lastRowFirstColumn="0" w:lastRowLastColumn="0"/>
            <w:tcW w:w="0" w:type="auto"/>
            <w:vMerge w:val="restart"/>
          </w:tcPr>
          <w:p w14:paraId="278534B8" w14:textId="77777777" w:rsidR="000C2868" w:rsidRPr="003E1083" w:rsidRDefault="000C2868" w:rsidP="000C2868">
            <w:pPr>
              <w:jc w:val="both"/>
              <w:rPr>
                <w:rFonts w:asciiTheme="minorHAnsi" w:hAnsiTheme="minorHAnsi"/>
                <w:sz w:val="18"/>
                <w:lang w:val="sq-AL"/>
              </w:rPr>
            </w:pPr>
            <w:r w:rsidRPr="003E1083">
              <w:rPr>
                <w:rFonts w:asciiTheme="minorHAnsi" w:hAnsiTheme="minorHAnsi"/>
                <w:sz w:val="18"/>
                <w:lang w:val="sq-AL"/>
              </w:rPr>
              <w:t>Emërtimi i Programit</w:t>
            </w:r>
          </w:p>
        </w:tc>
        <w:tc>
          <w:tcPr>
            <w:tcW w:w="0" w:type="auto"/>
            <w:gridSpan w:val="2"/>
          </w:tcPr>
          <w:p w14:paraId="3C443BA1" w14:textId="77777777" w:rsidR="000C2868" w:rsidRPr="003E1083" w:rsidRDefault="000C2868" w:rsidP="000C2868">
            <w:pPr>
              <w:ind w:left="84"/>
              <w:jc w:val="both"/>
              <w:cnfStyle w:val="100000000000" w:firstRow="1" w:lastRow="0" w:firstColumn="0" w:lastColumn="0" w:oddVBand="0" w:evenVBand="0" w:oddHBand="0"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 xml:space="preserve">          Plani 2023</w:t>
            </w:r>
          </w:p>
        </w:tc>
        <w:tc>
          <w:tcPr>
            <w:cnfStyle w:val="000010000000" w:firstRow="0" w:lastRow="0" w:firstColumn="0" w:lastColumn="0" w:oddVBand="1" w:evenVBand="0" w:oddHBand="0" w:evenHBand="0" w:firstRowFirstColumn="0" w:firstRowLastColumn="0" w:lastRowFirstColumn="0" w:lastRowLastColumn="0"/>
            <w:tcW w:w="0" w:type="auto"/>
            <w:gridSpan w:val="2"/>
          </w:tcPr>
          <w:p w14:paraId="20B05F97" w14:textId="77777777" w:rsidR="000C2868" w:rsidRPr="003E1083" w:rsidRDefault="000C2868" w:rsidP="000C2868">
            <w:pPr>
              <w:jc w:val="both"/>
              <w:rPr>
                <w:rFonts w:asciiTheme="minorHAnsi" w:hAnsiTheme="minorHAnsi"/>
                <w:sz w:val="18"/>
                <w:lang w:val="sq-AL"/>
              </w:rPr>
            </w:pPr>
            <w:r w:rsidRPr="003E1083">
              <w:rPr>
                <w:rFonts w:asciiTheme="minorHAnsi" w:hAnsiTheme="minorHAnsi"/>
                <w:sz w:val="18"/>
                <w:lang w:val="sq-AL"/>
              </w:rPr>
              <w:t>Fakti 4 mujori I 2023</w:t>
            </w:r>
          </w:p>
        </w:tc>
        <w:tc>
          <w:tcPr>
            <w:cnfStyle w:val="000100001000" w:firstRow="0" w:lastRow="0" w:firstColumn="0" w:lastColumn="1" w:oddVBand="0" w:evenVBand="0" w:oddHBand="0" w:evenHBand="0" w:firstRowFirstColumn="0" w:firstRowLastColumn="1" w:lastRowFirstColumn="0" w:lastRowLastColumn="0"/>
            <w:tcW w:w="0" w:type="auto"/>
            <w:gridSpan w:val="2"/>
            <w:tcBorders>
              <w:bottom w:val="single" w:sz="4" w:space="0" w:color="4BACC6"/>
            </w:tcBorders>
          </w:tcPr>
          <w:p w14:paraId="294FDE00" w14:textId="77777777" w:rsidR="000C2868" w:rsidRPr="003E1083" w:rsidRDefault="000C2868" w:rsidP="000C2868">
            <w:pPr>
              <w:jc w:val="both"/>
              <w:rPr>
                <w:rFonts w:asciiTheme="minorHAnsi" w:hAnsiTheme="minorHAnsi"/>
                <w:sz w:val="18"/>
                <w:lang w:val="sq-AL"/>
              </w:rPr>
            </w:pPr>
            <w:r w:rsidRPr="003E1083">
              <w:rPr>
                <w:rFonts w:asciiTheme="minorHAnsi" w:hAnsiTheme="minorHAnsi"/>
                <w:sz w:val="18"/>
                <w:lang w:val="sq-AL"/>
              </w:rPr>
              <w:t>Përqindja  e realizimit</w:t>
            </w:r>
          </w:p>
        </w:tc>
      </w:tr>
      <w:tr w:rsidR="000C2868" w:rsidRPr="003E1083" w14:paraId="5A800122" w14:textId="77777777" w:rsidTr="000C2868">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0" w:type="auto"/>
            <w:vMerge/>
          </w:tcPr>
          <w:p w14:paraId="5F642FE1" w14:textId="77777777" w:rsidR="000C2868" w:rsidRPr="003E1083" w:rsidRDefault="000C2868" w:rsidP="000C2868">
            <w:pPr>
              <w:jc w:val="both"/>
              <w:rPr>
                <w:rFonts w:asciiTheme="minorHAnsi" w:hAnsiTheme="minorHAnsi"/>
                <w:sz w:val="18"/>
                <w:lang w:val="sq-AL"/>
              </w:rPr>
            </w:pPr>
          </w:p>
        </w:tc>
        <w:tc>
          <w:tcPr>
            <w:cnfStyle w:val="000010000000" w:firstRow="0" w:lastRow="0" w:firstColumn="0" w:lastColumn="0" w:oddVBand="1" w:evenVBand="0" w:oddHBand="0" w:evenHBand="0" w:firstRowFirstColumn="0" w:firstRowLastColumn="0" w:lastRowFirstColumn="0" w:lastRowLastColumn="0"/>
            <w:tcW w:w="0" w:type="auto"/>
            <w:vMerge/>
          </w:tcPr>
          <w:p w14:paraId="218DBA75" w14:textId="77777777" w:rsidR="000C2868" w:rsidRPr="003E1083" w:rsidRDefault="000C2868" w:rsidP="000C2868">
            <w:pPr>
              <w:jc w:val="both"/>
              <w:rPr>
                <w:rFonts w:asciiTheme="minorHAnsi" w:hAnsiTheme="minorHAnsi"/>
                <w:b/>
                <w:sz w:val="18"/>
                <w:lang w:val="sq-AL"/>
              </w:rPr>
            </w:pPr>
          </w:p>
        </w:tc>
        <w:tc>
          <w:tcPr>
            <w:tcW w:w="0" w:type="auto"/>
          </w:tcPr>
          <w:p w14:paraId="5536EDAC" w14:textId="77777777" w:rsidR="000C2868" w:rsidRPr="003E1083" w:rsidRDefault="000C2868" w:rsidP="000C2868">
            <w:pPr>
              <w:ind w:left="84"/>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lang w:val="sq-AL"/>
              </w:rPr>
            </w:pPr>
            <w:r w:rsidRPr="003E1083">
              <w:rPr>
                <w:rFonts w:asciiTheme="minorHAnsi" w:hAnsiTheme="minorHAnsi"/>
                <w:b/>
                <w:sz w:val="18"/>
                <w:lang w:val="sq-AL"/>
              </w:rPr>
              <w:t>Korrente</w:t>
            </w:r>
          </w:p>
        </w:tc>
        <w:tc>
          <w:tcPr>
            <w:cnfStyle w:val="000010000000" w:firstRow="0" w:lastRow="0" w:firstColumn="0" w:lastColumn="0" w:oddVBand="1" w:evenVBand="0" w:oddHBand="0" w:evenHBand="0" w:firstRowFirstColumn="0" w:firstRowLastColumn="0" w:lastRowFirstColumn="0" w:lastRowLastColumn="0"/>
            <w:tcW w:w="0" w:type="auto"/>
          </w:tcPr>
          <w:p w14:paraId="3748D127" w14:textId="77777777" w:rsidR="000C2868" w:rsidRPr="003E1083" w:rsidRDefault="000C2868" w:rsidP="000C2868">
            <w:pPr>
              <w:ind w:left="84"/>
              <w:jc w:val="center"/>
              <w:rPr>
                <w:rFonts w:asciiTheme="minorHAnsi" w:hAnsiTheme="minorHAnsi"/>
                <w:b/>
                <w:sz w:val="18"/>
                <w:lang w:val="sq-AL"/>
              </w:rPr>
            </w:pPr>
            <w:r w:rsidRPr="003E1083">
              <w:rPr>
                <w:rFonts w:asciiTheme="minorHAnsi" w:hAnsiTheme="minorHAnsi"/>
                <w:b/>
                <w:sz w:val="18"/>
                <w:lang w:val="sq-AL"/>
              </w:rPr>
              <w:t>Investime</w:t>
            </w:r>
          </w:p>
        </w:tc>
        <w:tc>
          <w:tcPr>
            <w:tcW w:w="0" w:type="auto"/>
          </w:tcPr>
          <w:p w14:paraId="7F8C8DB2"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lang w:val="sq-AL"/>
              </w:rPr>
            </w:pPr>
            <w:r w:rsidRPr="003E1083">
              <w:rPr>
                <w:rFonts w:asciiTheme="minorHAnsi" w:hAnsiTheme="minorHAnsi"/>
                <w:b/>
                <w:sz w:val="18"/>
                <w:lang w:val="sq-AL"/>
              </w:rPr>
              <w:t>Korrente</w:t>
            </w:r>
          </w:p>
        </w:tc>
        <w:tc>
          <w:tcPr>
            <w:cnfStyle w:val="000010000000" w:firstRow="0" w:lastRow="0" w:firstColumn="0" w:lastColumn="0" w:oddVBand="1" w:evenVBand="0" w:oddHBand="0" w:evenHBand="0" w:firstRowFirstColumn="0" w:firstRowLastColumn="0" w:lastRowFirstColumn="0" w:lastRowLastColumn="0"/>
            <w:tcW w:w="0" w:type="auto"/>
          </w:tcPr>
          <w:p w14:paraId="4E24DF46" w14:textId="77777777" w:rsidR="000C2868" w:rsidRPr="003E1083" w:rsidRDefault="000C2868" w:rsidP="000C2868">
            <w:pPr>
              <w:jc w:val="center"/>
              <w:rPr>
                <w:rFonts w:asciiTheme="minorHAnsi" w:hAnsiTheme="minorHAnsi"/>
                <w:b/>
                <w:sz w:val="18"/>
                <w:lang w:val="sq-AL"/>
              </w:rPr>
            </w:pPr>
            <w:r w:rsidRPr="003E1083">
              <w:rPr>
                <w:rFonts w:asciiTheme="minorHAnsi" w:hAnsiTheme="minorHAnsi"/>
                <w:b/>
                <w:sz w:val="18"/>
                <w:lang w:val="sq-AL"/>
              </w:rPr>
              <w:t>Investime</w:t>
            </w:r>
          </w:p>
        </w:tc>
        <w:tc>
          <w:tcPr>
            <w:tcW w:w="0" w:type="auto"/>
            <w:tcBorders>
              <w:left w:val="single" w:sz="4" w:space="0" w:color="4BACC6"/>
              <w:right w:val="single" w:sz="4" w:space="0" w:color="4BACC6"/>
            </w:tcBorders>
          </w:tcPr>
          <w:p w14:paraId="779652C6"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sz w:val="18"/>
                <w:lang w:val="sq-AL"/>
              </w:rPr>
            </w:pPr>
            <w:r w:rsidRPr="003E1083">
              <w:rPr>
                <w:rFonts w:asciiTheme="minorHAnsi" w:hAnsiTheme="minorHAnsi"/>
                <w:b/>
                <w:sz w:val="18"/>
                <w:lang w:val="sq-AL"/>
              </w:rPr>
              <w:t>Korrente</w:t>
            </w:r>
          </w:p>
        </w:tc>
        <w:tc>
          <w:tcPr>
            <w:cnfStyle w:val="000100000000" w:firstRow="0" w:lastRow="0" w:firstColumn="0" w:lastColumn="1" w:oddVBand="0" w:evenVBand="0" w:oddHBand="0" w:evenHBand="0" w:firstRowFirstColumn="0" w:firstRowLastColumn="0" w:lastRowFirstColumn="0" w:lastRowLastColumn="0"/>
            <w:tcW w:w="0" w:type="auto"/>
            <w:tcBorders>
              <w:left w:val="single" w:sz="4" w:space="0" w:color="4BACC6"/>
            </w:tcBorders>
          </w:tcPr>
          <w:p w14:paraId="5CF267AB"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Investime</w:t>
            </w:r>
          </w:p>
        </w:tc>
      </w:tr>
      <w:tr w:rsidR="000C2868" w:rsidRPr="003E1083" w14:paraId="260B177C" w14:textId="77777777" w:rsidTr="000C2868">
        <w:trPr>
          <w:trHeight w:val="269"/>
          <w:jc w:val="center"/>
        </w:trPr>
        <w:tc>
          <w:tcPr>
            <w:cnfStyle w:val="001000000000" w:firstRow="0" w:lastRow="0" w:firstColumn="1" w:lastColumn="0" w:oddVBand="0" w:evenVBand="0" w:oddHBand="0" w:evenHBand="0" w:firstRowFirstColumn="0" w:firstRowLastColumn="0" w:lastRowFirstColumn="0" w:lastRowLastColumn="0"/>
            <w:tcW w:w="0" w:type="auto"/>
          </w:tcPr>
          <w:p w14:paraId="7BB85269" w14:textId="77777777" w:rsidR="000C2868" w:rsidRPr="003E1083" w:rsidRDefault="000C2868" w:rsidP="000C2868">
            <w:pPr>
              <w:jc w:val="both"/>
              <w:rPr>
                <w:rFonts w:asciiTheme="minorHAnsi" w:hAnsiTheme="minorHAnsi"/>
                <w:sz w:val="18"/>
                <w:lang w:val="sq-AL"/>
              </w:rPr>
            </w:pPr>
            <w:r w:rsidRPr="003E1083">
              <w:rPr>
                <w:rFonts w:asciiTheme="minorHAnsi" w:hAnsiTheme="minorHAnsi"/>
                <w:sz w:val="18"/>
                <w:lang w:val="sq-AL"/>
              </w:rPr>
              <w:t>1.</w:t>
            </w:r>
          </w:p>
        </w:tc>
        <w:tc>
          <w:tcPr>
            <w:cnfStyle w:val="000010000000" w:firstRow="0" w:lastRow="0" w:firstColumn="0" w:lastColumn="0" w:oddVBand="1" w:evenVBand="0" w:oddHBand="0" w:evenHBand="0" w:firstRowFirstColumn="0" w:firstRowLastColumn="0" w:lastRowFirstColumn="0" w:lastRowLastColumn="0"/>
            <w:tcW w:w="0" w:type="auto"/>
          </w:tcPr>
          <w:p w14:paraId="693E76E9" w14:textId="77777777" w:rsidR="000C2868" w:rsidRPr="003E1083" w:rsidRDefault="000C2868" w:rsidP="000C2868">
            <w:pPr>
              <w:jc w:val="both"/>
              <w:rPr>
                <w:rFonts w:asciiTheme="minorHAnsi" w:hAnsiTheme="minorHAnsi"/>
                <w:sz w:val="18"/>
                <w:lang w:val="sq-AL"/>
              </w:rPr>
            </w:pPr>
            <w:r w:rsidRPr="003E1083">
              <w:rPr>
                <w:rFonts w:asciiTheme="minorHAnsi" w:hAnsiTheme="minorHAnsi"/>
                <w:sz w:val="18"/>
                <w:lang w:val="sq-AL"/>
              </w:rPr>
              <w:t>Planifikim, menaxhim administrim</w:t>
            </w:r>
          </w:p>
        </w:tc>
        <w:tc>
          <w:tcPr>
            <w:tcW w:w="0" w:type="auto"/>
          </w:tcPr>
          <w:p w14:paraId="1C64B0B9"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177 208</w:t>
            </w:r>
          </w:p>
        </w:tc>
        <w:tc>
          <w:tcPr>
            <w:cnfStyle w:val="000010000000" w:firstRow="0" w:lastRow="0" w:firstColumn="0" w:lastColumn="0" w:oddVBand="1" w:evenVBand="0" w:oddHBand="0" w:evenHBand="0" w:firstRowFirstColumn="0" w:firstRowLastColumn="0" w:lastRowFirstColumn="0" w:lastRowLastColumn="0"/>
            <w:tcW w:w="0" w:type="auto"/>
          </w:tcPr>
          <w:p w14:paraId="5DDC6825" w14:textId="77777777" w:rsidR="000C2868" w:rsidRPr="003E1083" w:rsidRDefault="000C2868" w:rsidP="000C2868">
            <w:pPr>
              <w:jc w:val="center"/>
              <w:rPr>
                <w:rFonts w:asciiTheme="minorHAnsi" w:hAnsiTheme="minorHAnsi"/>
                <w:sz w:val="18"/>
                <w:lang w:val="sq-AL"/>
              </w:rPr>
            </w:pPr>
          </w:p>
        </w:tc>
        <w:tc>
          <w:tcPr>
            <w:tcW w:w="0" w:type="auto"/>
          </w:tcPr>
          <w:p w14:paraId="6B944375"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43 804</w:t>
            </w:r>
          </w:p>
        </w:tc>
        <w:tc>
          <w:tcPr>
            <w:cnfStyle w:val="000010000000" w:firstRow="0" w:lastRow="0" w:firstColumn="0" w:lastColumn="0" w:oddVBand="1" w:evenVBand="0" w:oddHBand="0" w:evenHBand="0" w:firstRowFirstColumn="0" w:firstRowLastColumn="0" w:lastRowFirstColumn="0" w:lastRowLastColumn="0"/>
            <w:tcW w:w="0" w:type="auto"/>
          </w:tcPr>
          <w:p w14:paraId="31ECCE8D" w14:textId="77777777" w:rsidR="000C2868" w:rsidRPr="003E1083" w:rsidRDefault="000C2868" w:rsidP="000C2868">
            <w:pPr>
              <w:jc w:val="center"/>
              <w:rPr>
                <w:rFonts w:asciiTheme="minorHAnsi" w:hAnsiTheme="minorHAnsi"/>
                <w:sz w:val="18"/>
                <w:lang w:val="sq-AL"/>
              </w:rPr>
            </w:pPr>
          </w:p>
        </w:tc>
        <w:tc>
          <w:tcPr>
            <w:tcW w:w="0" w:type="auto"/>
            <w:tcBorders>
              <w:left w:val="single" w:sz="4" w:space="0" w:color="4BACC6"/>
              <w:right w:val="single" w:sz="4" w:space="0" w:color="4BACC6"/>
            </w:tcBorders>
          </w:tcPr>
          <w:p w14:paraId="64BCB230"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25%</w:t>
            </w:r>
          </w:p>
        </w:tc>
        <w:tc>
          <w:tcPr>
            <w:cnfStyle w:val="000100000000" w:firstRow="0" w:lastRow="0" w:firstColumn="0" w:lastColumn="1" w:oddVBand="0" w:evenVBand="0" w:oddHBand="0" w:evenHBand="0" w:firstRowFirstColumn="0" w:firstRowLastColumn="0" w:lastRowFirstColumn="0" w:lastRowLastColumn="0"/>
            <w:tcW w:w="0" w:type="auto"/>
            <w:tcBorders>
              <w:left w:val="single" w:sz="4" w:space="0" w:color="4BACC6"/>
            </w:tcBorders>
          </w:tcPr>
          <w:p w14:paraId="360CD9C4" w14:textId="77777777" w:rsidR="000C2868" w:rsidRPr="003E1083" w:rsidRDefault="000C2868" w:rsidP="000C2868">
            <w:pPr>
              <w:jc w:val="center"/>
              <w:rPr>
                <w:rFonts w:asciiTheme="minorHAnsi" w:hAnsiTheme="minorHAnsi"/>
                <w:sz w:val="18"/>
                <w:lang w:val="sq-AL"/>
              </w:rPr>
            </w:pPr>
          </w:p>
        </w:tc>
      </w:tr>
      <w:tr w:rsidR="000C2868" w:rsidRPr="003E1083" w14:paraId="14634A50" w14:textId="77777777" w:rsidTr="000C2868">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0" w:type="auto"/>
          </w:tcPr>
          <w:p w14:paraId="1290BD60" w14:textId="77777777" w:rsidR="000C2868" w:rsidRPr="003E1083" w:rsidRDefault="000C2868" w:rsidP="000C2868">
            <w:pPr>
              <w:jc w:val="both"/>
              <w:rPr>
                <w:rFonts w:asciiTheme="minorHAnsi" w:hAnsiTheme="minorHAnsi"/>
                <w:sz w:val="18"/>
                <w:lang w:val="sq-AL"/>
              </w:rPr>
            </w:pPr>
            <w:r w:rsidRPr="003E1083">
              <w:rPr>
                <w:rFonts w:asciiTheme="minorHAnsi" w:hAnsiTheme="minorHAnsi"/>
                <w:sz w:val="18"/>
                <w:lang w:val="sq-AL"/>
              </w:rPr>
              <w:t>2.</w:t>
            </w:r>
          </w:p>
        </w:tc>
        <w:tc>
          <w:tcPr>
            <w:cnfStyle w:val="000010000000" w:firstRow="0" w:lastRow="0" w:firstColumn="0" w:lastColumn="0" w:oddVBand="1" w:evenVBand="0" w:oddHBand="0" w:evenHBand="0" w:firstRowFirstColumn="0" w:firstRowLastColumn="0" w:lastRowFirstColumn="0" w:lastRowLastColumn="0"/>
            <w:tcW w:w="0" w:type="auto"/>
          </w:tcPr>
          <w:p w14:paraId="55BDD0BC" w14:textId="77777777" w:rsidR="000C2868" w:rsidRPr="003E1083" w:rsidRDefault="000C2868" w:rsidP="000C2868">
            <w:pPr>
              <w:jc w:val="both"/>
              <w:rPr>
                <w:rFonts w:asciiTheme="minorHAnsi" w:hAnsiTheme="minorHAnsi"/>
                <w:sz w:val="18"/>
                <w:lang w:val="sq-AL"/>
              </w:rPr>
            </w:pPr>
            <w:r w:rsidRPr="003E1083">
              <w:rPr>
                <w:rFonts w:asciiTheme="minorHAnsi" w:hAnsiTheme="minorHAnsi"/>
                <w:sz w:val="18"/>
                <w:lang w:val="sq-AL"/>
              </w:rPr>
              <w:t>Trashëgimia kulturore dhe muzetë</w:t>
            </w:r>
          </w:p>
        </w:tc>
        <w:tc>
          <w:tcPr>
            <w:tcW w:w="0" w:type="auto"/>
          </w:tcPr>
          <w:p w14:paraId="6DFD935C"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708 135</w:t>
            </w:r>
          </w:p>
        </w:tc>
        <w:tc>
          <w:tcPr>
            <w:cnfStyle w:val="000010000000" w:firstRow="0" w:lastRow="0" w:firstColumn="0" w:lastColumn="0" w:oddVBand="1" w:evenVBand="0" w:oddHBand="0" w:evenHBand="0" w:firstRowFirstColumn="0" w:firstRowLastColumn="0" w:lastRowFirstColumn="0" w:lastRowLastColumn="0"/>
            <w:tcW w:w="0" w:type="auto"/>
          </w:tcPr>
          <w:p w14:paraId="340B332C"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119 500</w:t>
            </w:r>
          </w:p>
        </w:tc>
        <w:tc>
          <w:tcPr>
            <w:tcW w:w="0" w:type="auto"/>
          </w:tcPr>
          <w:p w14:paraId="2CB6F77A"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138 427</w:t>
            </w:r>
          </w:p>
        </w:tc>
        <w:tc>
          <w:tcPr>
            <w:cnfStyle w:val="000010000000" w:firstRow="0" w:lastRow="0" w:firstColumn="0" w:lastColumn="0" w:oddVBand="1" w:evenVBand="0" w:oddHBand="0" w:evenHBand="0" w:firstRowFirstColumn="0" w:firstRowLastColumn="0" w:lastRowFirstColumn="0" w:lastRowLastColumn="0"/>
            <w:tcW w:w="0" w:type="auto"/>
          </w:tcPr>
          <w:p w14:paraId="0240CAA8"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2</w:t>
            </w:r>
          </w:p>
        </w:tc>
        <w:tc>
          <w:tcPr>
            <w:tcW w:w="0" w:type="auto"/>
            <w:tcBorders>
              <w:left w:val="single" w:sz="4" w:space="0" w:color="4BACC6"/>
              <w:right w:val="single" w:sz="4" w:space="0" w:color="4BACC6"/>
            </w:tcBorders>
          </w:tcPr>
          <w:p w14:paraId="0AAB3F83"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19.5%</w:t>
            </w:r>
          </w:p>
        </w:tc>
        <w:tc>
          <w:tcPr>
            <w:cnfStyle w:val="000100000000" w:firstRow="0" w:lastRow="0" w:firstColumn="0" w:lastColumn="1" w:oddVBand="0" w:evenVBand="0" w:oddHBand="0" w:evenHBand="0" w:firstRowFirstColumn="0" w:firstRowLastColumn="0" w:lastRowFirstColumn="0" w:lastRowLastColumn="0"/>
            <w:tcW w:w="0" w:type="auto"/>
            <w:tcBorders>
              <w:left w:val="single" w:sz="4" w:space="0" w:color="4BACC6"/>
            </w:tcBorders>
          </w:tcPr>
          <w:p w14:paraId="66B04C12" w14:textId="77777777" w:rsidR="000C2868" w:rsidRPr="003E1083" w:rsidRDefault="000C2868" w:rsidP="000C2868">
            <w:pPr>
              <w:jc w:val="center"/>
              <w:rPr>
                <w:rFonts w:asciiTheme="minorHAnsi" w:hAnsiTheme="minorHAnsi"/>
                <w:sz w:val="18"/>
                <w:lang w:val="sq-AL"/>
              </w:rPr>
            </w:pPr>
          </w:p>
        </w:tc>
      </w:tr>
      <w:tr w:rsidR="000C2868" w:rsidRPr="003E1083" w14:paraId="134D1274" w14:textId="77777777" w:rsidTr="000C2868">
        <w:trPr>
          <w:trHeight w:val="17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4F81BD"/>
            </w:tcBorders>
          </w:tcPr>
          <w:p w14:paraId="4026AC50" w14:textId="77777777" w:rsidR="000C2868" w:rsidRPr="003E1083" w:rsidRDefault="000C2868" w:rsidP="000C2868">
            <w:pPr>
              <w:jc w:val="both"/>
              <w:rPr>
                <w:rFonts w:asciiTheme="minorHAnsi" w:hAnsiTheme="minorHAnsi"/>
                <w:sz w:val="18"/>
                <w:lang w:val="sq-AL"/>
              </w:rPr>
            </w:pPr>
            <w:r w:rsidRPr="003E1083">
              <w:rPr>
                <w:rFonts w:asciiTheme="minorHAnsi" w:hAnsiTheme="minorHAnsi"/>
                <w:sz w:val="18"/>
                <w:lang w:val="sq-AL"/>
              </w:rPr>
              <w:t>3.</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4F81BD"/>
            </w:tcBorders>
          </w:tcPr>
          <w:p w14:paraId="26AD5D52" w14:textId="77777777" w:rsidR="000C2868" w:rsidRPr="003E1083" w:rsidRDefault="000C2868" w:rsidP="000C2868">
            <w:pPr>
              <w:jc w:val="both"/>
              <w:rPr>
                <w:rFonts w:asciiTheme="minorHAnsi" w:hAnsiTheme="minorHAnsi"/>
                <w:sz w:val="18"/>
                <w:lang w:val="sq-AL"/>
              </w:rPr>
            </w:pPr>
            <w:r w:rsidRPr="003E1083">
              <w:rPr>
                <w:rFonts w:asciiTheme="minorHAnsi" w:hAnsiTheme="minorHAnsi"/>
                <w:sz w:val="18"/>
                <w:lang w:val="sq-AL"/>
              </w:rPr>
              <w:t>Arti dhe Kultura</w:t>
            </w:r>
          </w:p>
        </w:tc>
        <w:tc>
          <w:tcPr>
            <w:tcW w:w="0" w:type="auto"/>
            <w:tcBorders>
              <w:bottom w:val="single" w:sz="4" w:space="0" w:color="4F81BD"/>
            </w:tcBorders>
          </w:tcPr>
          <w:p w14:paraId="63E1C79D"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1 278 638</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4F81BD"/>
            </w:tcBorders>
          </w:tcPr>
          <w:p w14:paraId="67B3AE0C"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1 692 500</w:t>
            </w:r>
          </w:p>
        </w:tc>
        <w:tc>
          <w:tcPr>
            <w:tcW w:w="0" w:type="auto"/>
            <w:tcBorders>
              <w:bottom w:val="single" w:sz="4" w:space="0" w:color="4F81BD"/>
            </w:tcBorders>
          </w:tcPr>
          <w:p w14:paraId="7328DE4B"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257 496</w:t>
            </w:r>
          </w:p>
        </w:tc>
        <w:tc>
          <w:tcPr>
            <w:cnfStyle w:val="000010000000" w:firstRow="0" w:lastRow="0" w:firstColumn="0" w:lastColumn="0" w:oddVBand="1" w:evenVBand="0" w:oddHBand="0" w:evenHBand="0" w:firstRowFirstColumn="0" w:firstRowLastColumn="0" w:lastRowFirstColumn="0" w:lastRowLastColumn="0"/>
            <w:tcW w:w="0" w:type="auto"/>
            <w:tcBorders>
              <w:bottom w:val="single" w:sz="4" w:space="0" w:color="4F81BD"/>
            </w:tcBorders>
          </w:tcPr>
          <w:p w14:paraId="01E4DE95"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76 404</w:t>
            </w:r>
          </w:p>
        </w:tc>
        <w:tc>
          <w:tcPr>
            <w:tcW w:w="0" w:type="auto"/>
            <w:tcBorders>
              <w:left w:val="single" w:sz="4" w:space="0" w:color="4BACC6"/>
              <w:bottom w:val="single" w:sz="4" w:space="0" w:color="4F81BD"/>
              <w:right w:val="single" w:sz="4" w:space="0" w:color="4BACC6"/>
            </w:tcBorders>
          </w:tcPr>
          <w:p w14:paraId="443BAD01"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20.1%</w:t>
            </w:r>
          </w:p>
        </w:tc>
        <w:tc>
          <w:tcPr>
            <w:cnfStyle w:val="000100000000" w:firstRow="0" w:lastRow="0" w:firstColumn="0" w:lastColumn="1" w:oddVBand="0" w:evenVBand="0" w:oddHBand="0" w:evenHBand="0" w:firstRowFirstColumn="0" w:firstRowLastColumn="0" w:lastRowFirstColumn="0" w:lastRowLastColumn="0"/>
            <w:tcW w:w="0" w:type="auto"/>
            <w:tcBorders>
              <w:left w:val="single" w:sz="4" w:space="0" w:color="4BACC6"/>
              <w:bottom w:val="single" w:sz="4" w:space="0" w:color="4F81BD"/>
            </w:tcBorders>
          </w:tcPr>
          <w:p w14:paraId="4068E605"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4.5%</w:t>
            </w:r>
          </w:p>
        </w:tc>
      </w:tr>
      <w:tr w:rsidR="000C2868" w:rsidRPr="003E1083" w14:paraId="7D203AF2" w14:textId="77777777" w:rsidTr="000C2868">
        <w:trPr>
          <w:cnfStyle w:val="010000000000" w:firstRow="0" w:lastRow="1" w:firstColumn="0" w:lastColumn="0" w:oddVBand="0" w:evenVBand="0" w:oddHBand="0" w:evenHBand="0" w:firstRowFirstColumn="0" w:firstRowLastColumn="0" w:lastRowFirstColumn="0" w:lastRowLastColumn="0"/>
          <w:trHeight w:val="179"/>
          <w:jc w:val="center"/>
        </w:trPr>
        <w:tc>
          <w:tcPr>
            <w:cnfStyle w:val="001000000001" w:firstRow="0" w:lastRow="0" w:firstColumn="1" w:lastColumn="0" w:oddVBand="0" w:evenVBand="0" w:oddHBand="0" w:evenHBand="0" w:firstRowFirstColumn="0" w:firstRowLastColumn="0" w:lastRowFirstColumn="1" w:lastRowLastColumn="0"/>
            <w:tcW w:w="0" w:type="auto"/>
            <w:tcBorders>
              <w:top w:val="single" w:sz="4" w:space="0" w:color="4F81BD"/>
              <w:bottom w:val="single" w:sz="4" w:space="0" w:color="4F81BD"/>
            </w:tcBorders>
          </w:tcPr>
          <w:p w14:paraId="0EC9AE4E" w14:textId="77777777" w:rsidR="000C2868" w:rsidRPr="003E1083" w:rsidRDefault="000C2868" w:rsidP="000C2868">
            <w:pPr>
              <w:jc w:val="center"/>
              <w:rPr>
                <w:rFonts w:asciiTheme="minorHAnsi" w:hAnsiTheme="minorHAnsi"/>
                <w:sz w:val="18"/>
                <w:lang w:val="sq-AL"/>
              </w:rPr>
            </w:pP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4F81BD"/>
              <w:bottom w:val="single" w:sz="4" w:space="0" w:color="4F81BD"/>
            </w:tcBorders>
          </w:tcPr>
          <w:p w14:paraId="6A30A8B8"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Totali</w:t>
            </w:r>
          </w:p>
        </w:tc>
        <w:tc>
          <w:tcPr>
            <w:tcW w:w="0" w:type="auto"/>
            <w:tcBorders>
              <w:top w:val="single" w:sz="4" w:space="0" w:color="4F81BD"/>
              <w:bottom w:val="single" w:sz="4" w:space="0" w:color="4F81BD"/>
            </w:tcBorders>
          </w:tcPr>
          <w:p w14:paraId="67C5987F" w14:textId="77777777" w:rsidR="000C2868" w:rsidRPr="003E1083" w:rsidRDefault="000C2868" w:rsidP="000C2868">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2 163 981</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4F81BD"/>
              <w:bottom w:val="single" w:sz="4" w:space="0" w:color="4F81BD"/>
            </w:tcBorders>
          </w:tcPr>
          <w:p w14:paraId="2278316E"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1 812 000</w:t>
            </w:r>
          </w:p>
        </w:tc>
        <w:tc>
          <w:tcPr>
            <w:tcW w:w="0" w:type="auto"/>
            <w:tcBorders>
              <w:top w:val="single" w:sz="4" w:space="0" w:color="4F81BD"/>
              <w:bottom w:val="single" w:sz="4" w:space="0" w:color="4F81BD"/>
            </w:tcBorders>
          </w:tcPr>
          <w:p w14:paraId="780D1503" w14:textId="77777777" w:rsidR="000C2868" w:rsidRPr="003E1083" w:rsidRDefault="000C2868" w:rsidP="000C2868">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516 132</w:t>
            </w:r>
          </w:p>
        </w:tc>
        <w:tc>
          <w:tcPr>
            <w:cnfStyle w:val="000010000000" w:firstRow="0" w:lastRow="0" w:firstColumn="0" w:lastColumn="0" w:oddVBand="1" w:evenVBand="0" w:oddHBand="0" w:evenHBand="0" w:firstRowFirstColumn="0" w:firstRowLastColumn="0" w:lastRowFirstColumn="0" w:lastRowLastColumn="0"/>
            <w:tcW w:w="0" w:type="auto"/>
            <w:tcBorders>
              <w:top w:val="single" w:sz="4" w:space="0" w:color="4F81BD"/>
              <w:bottom w:val="single" w:sz="4" w:space="0" w:color="4F81BD"/>
            </w:tcBorders>
          </w:tcPr>
          <w:p w14:paraId="28EBFBF1"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76 406</w:t>
            </w:r>
          </w:p>
        </w:tc>
        <w:tc>
          <w:tcPr>
            <w:tcW w:w="0" w:type="auto"/>
            <w:tcBorders>
              <w:top w:val="single" w:sz="4" w:space="0" w:color="4F81BD"/>
              <w:left w:val="single" w:sz="4" w:space="0" w:color="4BACC6"/>
              <w:bottom w:val="single" w:sz="4" w:space="0" w:color="4F81BD"/>
              <w:right w:val="single" w:sz="4" w:space="0" w:color="4BACC6"/>
            </w:tcBorders>
          </w:tcPr>
          <w:p w14:paraId="002D1D1A" w14:textId="77777777" w:rsidR="000C2868" w:rsidRPr="003E1083" w:rsidRDefault="000C2868" w:rsidP="000C2868">
            <w:pPr>
              <w:jc w:val="center"/>
              <w:cnfStyle w:val="010000000000" w:firstRow="0" w:lastRow="1" w:firstColumn="0" w:lastColumn="0" w:oddVBand="0" w:evenVBand="0" w:oddHBand="0"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20%</w:t>
            </w:r>
          </w:p>
        </w:tc>
        <w:tc>
          <w:tcPr>
            <w:cnfStyle w:val="000100000010" w:firstRow="0" w:lastRow="0" w:firstColumn="0" w:lastColumn="1" w:oddVBand="0" w:evenVBand="0" w:oddHBand="0" w:evenHBand="0" w:firstRowFirstColumn="0" w:firstRowLastColumn="0" w:lastRowFirstColumn="0" w:lastRowLastColumn="1"/>
            <w:tcW w:w="0" w:type="auto"/>
            <w:tcBorders>
              <w:top w:val="single" w:sz="4" w:space="0" w:color="4F81BD"/>
              <w:left w:val="single" w:sz="4" w:space="0" w:color="4BACC6"/>
              <w:bottom w:val="single" w:sz="4" w:space="0" w:color="4F81BD"/>
            </w:tcBorders>
          </w:tcPr>
          <w:p w14:paraId="5DC22C09"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4.2%</w:t>
            </w:r>
          </w:p>
        </w:tc>
      </w:tr>
    </w:tbl>
    <w:p w14:paraId="1A6277C1" w14:textId="77777777" w:rsidR="000C2868" w:rsidRPr="00EA4B27" w:rsidRDefault="000C2868" w:rsidP="000C2868">
      <w:pPr>
        <w:jc w:val="both"/>
        <w:rPr>
          <w:rFonts w:asciiTheme="minorHAnsi" w:hAnsiTheme="minorHAnsi"/>
          <w:sz w:val="8"/>
          <w:lang w:val="sq-AL"/>
        </w:rPr>
      </w:pPr>
    </w:p>
    <w:p w14:paraId="1F86F3FE" w14:textId="38D24687" w:rsidR="000C2868" w:rsidRPr="00EA4B27" w:rsidRDefault="000C2868" w:rsidP="00EA4B27">
      <w:pPr>
        <w:jc w:val="both"/>
        <w:rPr>
          <w:rFonts w:asciiTheme="minorHAnsi" w:hAnsiTheme="minorHAnsi"/>
          <w:sz w:val="22"/>
          <w:szCs w:val="22"/>
          <w:lang w:val="sq-AL"/>
        </w:rPr>
      </w:pPr>
      <w:r w:rsidRPr="00EA4B27">
        <w:rPr>
          <w:rFonts w:asciiTheme="minorHAnsi" w:hAnsiTheme="minorHAnsi"/>
          <w:sz w:val="22"/>
          <w:szCs w:val="22"/>
          <w:lang w:val="sq-AL"/>
        </w:rPr>
        <w:t>Në të gjitha programet, niveli i realizimit të planit të shpenzimeve korrente është i lidhur me mosplotësimin e vendeve vakante sipas organikës së institucioneve si edhe me procedurat e prokurimit të mallrave e shërbimeve, proces ky që zgjat deri në finalizimin e lidhjes së kontratës, por është parashikuar që realizimi i këtyre shpenzimeve në periudhat në vijim do të ndryshojë ndjeshëm. Ndërsa niveli i ulët i realizimit të investimeve është lidhur me kohen proceduriale që zënë prokurimet.</w:t>
      </w:r>
      <w:r w:rsidR="00EA4B27" w:rsidRPr="00EA4B27">
        <w:rPr>
          <w:rFonts w:asciiTheme="minorHAnsi" w:hAnsiTheme="minorHAnsi"/>
          <w:sz w:val="22"/>
          <w:szCs w:val="22"/>
          <w:lang w:val="sq-AL"/>
        </w:rPr>
        <w:t xml:space="preserve"> </w:t>
      </w:r>
      <w:r w:rsidRPr="00EA4B27">
        <w:rPr>
          <w:rFonts w:asciiTheme="minorHAnsi" w:hAnsiTheme="minorHAnsi"/>
          <w:sz w:val="22"/>
          <w:szCs w:val="22"/>
          <w:lang w:val="sq-AL"/>
        </w:rPr>
        <w:t xml:space="preserve">Në programin “Trashëgimia Kulturore” është realizuar promovimi, ruajtja, konservimi, restaurimi i objekteve dhe fondeve muzeore si dhe edukimi përmes trashëgimisë dhe aktiviteteve në funksion të saj. Kështu gjatë </w:t>
      </w:r>
      <w:r w:rsidR="00EA4B27" w:rsidRPr="00EA4B27">
        <w:rPr>
          <w:rFonts w:asciiTheme="minorHAnsi" w:hAnsiTheme="minorHAnsi"/>
          <w:sz w:val="22"/>
          <w:szCs w:val="22"/>
          <w:lang w:val="sq-AL"/>
        </w:rPr>
        <w:t>4M I</w:t>
      </w:r>
      <w:r w:rsidRPr="00EA4B27">
        <w:rPr>
          <w:rFonts w:asciiTheme="minorHAnsi" w:hAnsiTheme="minorHAnsi"/>
          <w:sz w:val="22"/>
          <w:szCs w:val="22"/>
          <w:lang w:val="sq-AL"/>
        </w:rPr>
        <w:t xml:space="preserve"> 2023 jan</w:t>
      </w:r>
      <w:r w:rsidR="00EA4B27" w:rsidRPr="00EA4B27">
        <w:rPr>
          <w:rFonts w:asciiTheme="minorHAnsi" w:hAnsiTheme="minorHAnsi"/>
          <w:sz w:val="22"/>
          <w:szCs w:val="22"/>
          <w:lang w:val="sq-AL"/>
        </w:rPr>
        <w:t>ë</w:t>
      </w:r>
      <w:r w:rsidRPr="00EA4B27">
        <w:rPr>
          <w:rFonts w:asciiTheme="minorHAnsi" w:hAnsiTheme="minorHAnsi"/>
          <w:sz w:val="22"/>
          <w:szCs w:val="22"/>
          <w:lang w:val="sq-AL"/>
        </w:rPr>
        <w:t xml:space="preserve"> realizuar produktet</w:t>
      </w:r>
      <w:r w:rsidRPr="00EA4B27">
        <w:rPr>
          <w:rFonts w:asciiTheme="minorHAnsi" w:hAnsiTheme="minorHAnsi"/>
          <w:i/>
          <w:sz w:val="22"/>
          <w:szCs w:val="22"/>
          <w:lang w:val="sq-AL"/>
        </w:rPr>
        <w:t>:</w:t>
      </w:r>
    </w:p>
    <w:p w14:paraId="174B286C" w14:textId="77777777" w:rsidR="000C2868" w:rsidRPr="00A0431A" w:rsidRDefault="000C2868" w:rsidP="000C2868">
      <w:pPr>
        <w:numPr>
          <w:ilvl w:val="0"/>
          <w:numId w:val="7"/>
        </w:numPr>
        <w:ind w:left="360"/>
        <w:contextualSpacing/>
        <w:jc w:val="both"/>
        <w:rPr>
          <w:rFonts w:asciiTheme="minorHAnsi" w:hAnsiTheme="minorHAnsi"/>
          <w:i/>
          <w:iCs/>
          <w:sz w:val="22"/>
          <w:lang w:val="sq-AL"/>
        </w:rPr>
      </w:pPr>
      <w:r w:rsidRPr="00A0431A">
        <w:rPr>
          <w:rFonts w:asciiTheme="minorHAnsi" w:hAnsiTheme="minorHAnsi"/>
          <w:i/>
          <w:iCs/>
          <w:sz w:val="22"/>
          <w:lang w:val="sq-AL"/>
        </w:rPr>
        <w:t xml:space="preserve">Me një kosto rreth 76.8  milion lekë, janë kryer punime mirëmbajtje dhe restaurime në 41 objekte, si edhe ndërhyrje restauruese, konsoliduese, pastrime nga vegjetacioni apo mirëmbajtje. </w:t>
      </w:r>
    </w:p>
    <w:p w14:paraId="395A8636" w14:textId="6C067C18" w:rsidR="000C2868" w:rsidRPr="00A0431A" w:rsidRDefault="00EA4B27" w:rsidP="000C2868">
      <w:pPr>
        <w:numPr>
          <w:ilvl w:val="0"/>
          <w:numId w:val="7"/>
        </w:numPr>
        <w:ind w:left="360"/>
        <w:contextualSpacing/>
        <w:jc w:val="both"/>
        <w:rPr>
          <w:rFonts w:asciiTheme="minorHAnsi" w:hAnsiTheme="minorHAnsi"/>
          <w:i/>
          <w:iCs/>
          <w:sz w:val="22"/>
          <w:lang w:val="sq-AL"/>
        </w:rPr>
      </w:pPr>
      <w:r>
        <w:rPr>
          <w:rFonts w:asciiTheme="minorHAnsi" w:hAnsiTheme="minorHAnsi"/>
          <w:i/>
          <w:iCs/>
          <w:sz w:val="22"/>
          <w:lang w:val="sq-AL"/>
        </w:rPr>
        <w:t>J</w:t>
      </w:r>
      <w:r w:rsidR="000C2868" w:rsidRPr="00A0431A">
        <w:rPr>
          <w:rFonts w:asciiTheme="minorHAnsi" w:hAnsiTheme="minorHAnsi"/>
          <w:i/>
          <w:iCs/>
          <w:sz w:val="22"/>
          <w:lang w:val="sq-AL"/>
        </w:rPr>
        <w:t>anë zhvilluar rreth 13 aktivitete edukuese</w:t>
      </w:r>
      <w:r>
        <w:rPr>
          <w:rFonts w:asciiTheme="minorHAnsi" w:hAnsiTheme="minorHAnsi"/>
          <w:i/>
          <w:iCs/>
          <w:sz w:val="22"/>
          <w:lang w:val="sq-AL"/>
        </w:rPr>
        <w:t>/</w:t>
      </w:r>
      <w:r w:rsidR="000C2868" w:rsidRPr="00A0431A">
        <w:rPr>
          <w:rFonts w:asciiTheme="minorHAnsi" w:hAnsiTheme="minorHAnsi"/>
          <w:i/>
          <w:iCs/>
          <w:sz w:val="22"/>
          <w:lang w:val="sq-AL"/>
        </w:rPr>
        <w:t>promovuese mbi trashëgiminë kulturore prej 8.4</w:t>
      </w:r>
      <w:r>
        <w:rPr>
          <w:rFonts w:asciiTheme="minorHAnsi" w:hAnsiTheme="minorHAnsi"/>
          <w:i/>
          <w:iCs/>
          <w:sz w:val="22"/>
          <w:lang w:val="sq-AL"/>
        </w:rPr>
        <w:t>mln</w:t>
      </w:r>
      <w:r w:rsidR="000C2868" w:rsidRPr="00A0431A">
        <w:rPr>
          <w:rFonts w:asciiTheme="minorHAnsi" w:hAnsiTheme="minorHAnsi"/>
          <w:i/>
          <w:iCs/>
          <w:sz w:val="22"/>
          <w:lang w:val="sq-AL"/>
        </w:rPr>
        <w:t xml:space="preserve"> leke.</w:t>
      </w:r>
    </w:p>
    <w:p w14:paraId="60DB8A53" w14:textId="77777777" w:rsidR="000C2868" w:rsidRPr="00A0431A" w:rsidRDefault="000C2868" w:rsidP="000C2868">
      <w:pPr>
        <w:numPr>
          <w:ilvl w:val="0"/>
          <w:numId w:val="7"/>
        </w:numPr>
        <w:ind w:left="360"/>
        <w:contextualSpacing/>
        <w:jc w:val="both"/>
        <w:rPr>
          <w:rFonts w:asciiTheme="minorHAnsi" w:hAnsiTheme="minorHAnsi"/>
          <w:i/>
          <w:iCs/>
          <w:sz w:val="22"/>
          <w:lang w:val="sq-AL"/>
        </w:rPr>
      </w:pPr>
      <w:r w:rsidRPr="00A0431A">
        <w:rPr>
          <w:rFonts w:asciiTheme="minorHAnsi" w:hAnsiTheme="minorHAnsi"/>
          <w:i/>
          <w:iCs/>
          <w:sz w:val="22"/>
          <w:lang w:val="sq-AL"/>
        </w:rPr>
        <w:t>Jane mirembajtur 3 muze te vizitueshme nga publiku me nje kosto prej 49.7 milion lekesh.</w:t>
      </w:r>
    </w:p>
    <w:p w14:paraId="615681A5" w14:textId="77777777" w:rsidR="000C2868" w:rsidRPr="00A0431A" w:rsidRDefault="000C2868" w:rsidP="000C2868">
      <w:pPr>
        <w:numPr>
          <w:ilvl w:val="0"/>
          <w:numId w:val="7"/>
        </w:numPr>
        <w:ind w:left="360"/>
        <w:contextualSpacing/>
        <w:jc w:val="both"/>
        <w:rPr>
          <w:rFonts w:asciiTheme="minorHAnsi" w:hAnsiTheme="minorHAnsi"/>
          <w:i/>
          <w:iCs/>
          <w:sz w:val="22"/>
          <w:lang w:val="sq-AL"/>
        </w:rPr>
      </w:pPr>
      <w:r w:rsidRPr="00A0431A">
        <w:rPr>
          <w:rFonts w:asciiTheme="minorHAnsi" w:hAnsiTheme="minorHAnsi"/>
          <w:i/>
          <w:iCs/>
          <w:sz w:val="22"/>
          <w:lang w:val="sq-AL"/>
        </w:rPr>
        <w:t>Eshte realizuar  produkti “Trashegimia materiale e jo materiale e inventarizuar” me nje numer kartelash faktike prej 10 024, me nje kosto prej 3.5 milion lekesh.</w:t>
      </w:r>
    </w:p>
    <w:p w14:paraId="4EB87B92" w14:textId="77777777" w:rsidR="000C2868" w:rsidRPr="00A0431A" w:rsidRDefault="000C2868" w:rsidP="000C2868">
      <w:pPr>
        <w:numPr>
          <w:ilvl w:val="0"/>
          <w:numId w:val="7"/>
        </w:numPr>
        <w:ind w:left="360"/>
        <w:contextualSpacing/>
        <w:jc w:val="both"/>
        <w:rPr>
          <w:rFonts w:asciiTheme="minorHAnsi" w:hAnsiTheme="minorHAnsi"/>
          <w:i/>
          <w:iCs/>
          <w:sz w:val="22"/>
          <w:lang w:val="sq-AL"/>
        </w:rPr>
      </w:pPr>
      <w:r w:rsidRPr="00A0431A">
        <w:rPr>
          <w:rFonts w:asciiTheme="minorHAnsi" w:hAnsiTheme="minorHAnsi"/>
          <w:i/>
          <w:iCs/>
          <w:sz w:val="22"/>
          <w:lang w:val="sq-AL"/>
        </w:rPr>
        <w:t>Në Berat janë realizuar punime mirembajtje, pastrimi e nderhyrje restauruese ne lagjen Kala, në rrugicat pranë territoreve të kishave, është realizuar restaurimi i dy ikonave nga specialistët e ARTIT ne DRTK “Shën Mëria mbi fron.</w:t>
      </w:r>
    </w:p>
    <w:p w14:paraId="166967B5" w14:textId="0D39911F" w:rsidR="000C2868" w:rsidRPr="00A0431A" w:rsidRDefault="000C2868" w:rsidP="000C2868">
      <w:pPr>
        <w:numPr>
          <w:ilvl w:val="0"/>
          <w:numId w:val="7"/>
        </w:numPr>
        <w:ind w:left="360"/>
        <w:contextualSpacing/>
        <w:jc w:val="both"/>
        <w:rPr>
          <w:rFonts w:asciiTheme="minorHAnsi" w:hAnsiTheme="minorHAnsi"/>
          <w:i/>
          <w:iCs/>
          <w:sz w:val="22"/>
          <w:lang w:val="sq-AL"/>
        </w:rPr>
      </w:pPr>
      <w:r w:rsidRPr="00A0431A">
        <w:rPr>
          <w:rFonts w:asciiTheme="minorHAnsi" w:hAnsiTheme="minorHAnsi"/>
          <w:i/>
          <w:iCs/>
          <w:sz w:val="22"/>
          <w:lang w:val="sq-AL"/>
        </w:rPr>
        <w:t xml:space="preserve">Në Korçë janë realizuar punime mirëmbajtje në Kishën e Mëhillit, në Kishën e Shën Prodhomit, Voskopojë, në kishën e Shën Gjergjit. </w:t>
      </w:r>
    </w:p>
    <w:p w14:paraId="27A8CCB5" w14:textId="77777777" w:rsidR="000C2868" w:rsidRPr="00A0431A" w:rsidRDefault="000C2868" w:rsidP="000C2868">
      <w:pPr>
        <w:numPr>
          <w:ilvl w:val="0"/>
          <w:numId w:val="7"/>
        </w:numPr>
        <w:ind w:left="360"/>
        <w:contextualSpacing/>
        <w:jc w:val="both"/>
        <w:rPr>
          <w:rFonts w:asciiTheme="minorHAnsi" w:hAnsiTheme="minorHAnsi"/>
          <w:i/>
          <w:iCs/>
          <w:sz w:val="22"/>
          <w:lang w:val="sq-AL"/>
        </w:rPr>
      </w:pPr>
      <w:r w:rsidRPr="00A0431A">
        <w:rPr>
          <w:rFonts w:asciiTheme="minorHAnsi" w:hAnsiTheme="minorHAnsi"/>
          <w:i/>
          <w:iCs/>
          <w:sz w:val="22"/>
          <w:lang w:val="sq-AL"/>
        </w:rPr>
        <w:t>Në Korçë në Muzeun e Artit , Arsimit dhe Arkeologjik, janë zhvilluar rreth 29 aktivitete.</w:t>
      </w:r>
    </w:p>
    <w:p w14:paraId="11C1FF1E" w14:textId="77777777" w:rsidR="000C2868" w:rsidRPr="00A0431A" w:rsidRDefault="000C2868" w:rsidP="000C2868">
      <w:pPr>
        <w:numPr>
          <w:ilvl w:val="0"/>
          <w:numId w:val="7"/>
        </w:numPr>
        <w:ind w:left="360"/>
        <w:contextualSpacing/>
        <w:jc w:val="both"/>
        <w:rPr>
          <w:rFonts w:asciiTheme="minorHAnsi" w:hAnsiTheme="minorHAnsi"/>
          <w:i/>
          <w:iCs/>
          <w:sz w:val="22"/>
          <w:lang w:val="sq-AL"/>
        </w:rPr>
      </w:pPr>
      <w:r w:rsidRPr="00A0431A">
        <w:rPr>
          <w:rFonts w:asciiTheme="minorHAnsi" w:hAnsiTheme="minorHAnsi"/>
          <w:i/>
          <w:iCs/>
          <w:sz w:val="22"/>
          <w:lang w:val="sq-AL"/>
        </w:rPr>
        <w:t xml:space="preserve">Në Qendreën  Muzeore Durrës janë realizuar 5 aktivitete mbi ruajtjen dhe promovimin e trashëgimisë kulturore, si dhe 6 aktivitete për edukimin përmes kulturës. </w:t>
      </w:r>
    </w:p>
    <w:p w14:paraId="5A64E0B0" w14:textId="77777777" w:rsidR="000C2868" w:rsidRPr="00A0431A" w:rsidRDefault="000C2868" w:rsidP="000C2868">
      <w:pPr>
        <w:numPr>
          <w:ilvl w:val="0"/>
          <w:numId w:val="7"/>
        </w:numPr>
        <w:ind w:left="360"/>
        <w:contextualSpacing/>
        <w:jc w:val="both"/>
        <w:rPr>
          <w:rFonts w:asciiTheme="minorHAnsi" w:hAnsiTheme="minorHAnsi"/>
          <w:i/>
          <w:iCs/>
          <w:sz w:val="22"/>
          <w:lang w:val="sq-AL"/>
        </w:rPr>
      </w:pPr>
      <w:r w:rsidRPr="00A0431A">
        <w:rPr>
          <w:rFonts w:asciiTheme="minorHAnsi" w:hAnsiTheme="minorHAnsi"/>
          <w:i/>
          <w:iCs/>
          <w:sz w:val="22"/>
          <w:lang w:val="sq-AL"/>
        </w:rPr>
        <w:t xml:space="preserve">Janë miratuar projekte për aktivitete, të fushës së trashëgimisë jomateriale, ku, pas thirrjes së hapur që Ministria e Kulturës shpall për mbështetjen financiare të projekteve në fushën e artit, kulturës dhe trashëgimisë janë miratuar 237 projekte fituese për promovimin e vlerave kulturore , promovimin dhe nxitjen e krijuesve dhe artistëve të rinj, etj të cilat do të zhvillohen deri në Dhjetor 2023. </w:t>
      </w:r>
    </w:p>
    <w:p w14:paraId="6B0CA204" w14:textId="77777777" w:rsidR="000C2868" w:rsidRPr="003E1083" w:rsidRDefault="000C2868" w:rsidP="000C2868">
      <w:pPr>
        <w:ind w:left="420"/>
        <w:contextualSpacing/>
        <w:jc w:val="both"/>
        <w:rPr>
          <w:rFonts w:asciiTheme="minorHAnsi" w:hAnsiTheme="minorHAnsi"/>
          <w:lang w:val="sq-AL"/>
        </w:rPr>
      </w:pPr>
    </w:p>
    <w:p w14:paraId="5EB06ABD" w14:textId="77777777" w:rsidR="000C2868" w:rsidRDefault="000C2868" w:rsidP="000C2868">
      <w:pPr>
        <w:contextualSpacing/>
        <w:jc w:val="both"/>
        <w:rPr>
          <w:rFonts w:asciiTheme="minorHAnsi" w:hAnsiTheme="minorHAnsi"/>
          <w:lang w:val="sq-AL"/>
        </w:rPr>
      </w:pPr>
      <w:r w:rsidRPr="003E1083">
        <w:rPr>
          <w:rFonts w:asciiTheme="minorHAnsi" w:hAnsiTheme="minorHAnsi"/>
          <w:lang w:val="sq-AL"/>
        </w:rPr>
        <w:t>Programi</w:t>
      </w:r>
      <w:r w:rsidRPr="003E1083">
        <w:rPr>
          <w:rFonts w:asciiTheme="minorHAnsi" w:hAnsiTheme="minorHAnsi"/>
          <w:b/>
          <w:lang w:val="sq-AL"/>
        </w:rPr>
        <w:t xml:space="preserve"> “Arti dhe Kultura</w:t>
      </w:r>
      <w:r w:rsidRPr="003E1083">
        <w:rPr>
          <w:rFonts w:asciiTheme="minorHAnsi" w:hAnsiTheme="minorHAnsi"/>
          <w:lang w:val="sq-AL"/>
        </w:rPr>
        <w:t xml:space="preserve"> ka për qëllim, edukimin, zhvillimin dhe promovimin e skenes artistike dhe vlerave kulturore kombëtare dhe ka </w:t>
      </w:r>
      <w:r>
        <w:rPr>
          <w:rFonts w:asciiTheme="minorHAnsi" w:hAnsiTheme="minorHAnsi"/>
          <w:lang w:val="sq-AL"/>
        </w:rPr>
        <w:t xml:space="preserve">si </w:t>
      </w:r>
      <w:r w:rsidRPr="003E1083">
        <w:rPr>
          <w:rFonts w:asciiTheme="minorHAnsi" w:hAnsiTheme="minorHAnsi"/>
          <w:lang w:val="sq-AL"/>
        </w:rPr>
        <w:t>objektiv</w:t>
      </w:r>
      <w:r>
        <w:rPr>
          <w:rFonts w:asciiTheme="minorHAnsi" w:hAnsiTheme="minorHAnsi"/>
          <w:lang w:val="sq-AL"/>
        </w:rPr>
        <w:t>:</w:t>
      </w:r>
    </w:p>
    <w:p w14:paraId="30FBB518" w14:textId="77777777" w:rsidR="000C2868" w:rsidRPr="00DC3A1B" w:rsidRDefault="000C2868" w:rsidP="00056DE5">
      <w:pPr>
        <w:pStyle w:val="ListParagraph"/>
        <w:numPr>
          <w:ilvl w:val="0"/>
          <w:numId w:val="68"/>
        </w:numPr>
        <w:jc w:val="both"/>
        <w:rPr>
          <w:rFonts w:asciiTheme="minorHAnsi" w:hAnsiTheme="minorHAnsi"/>
          <w:i/>
          <w:iCs/>
          <w:lang w:val="sq-AL"/>
        </w:rPr>
      </w:pPr>
      <w:r>
        <w:rPr>
          <w:rFonts w:asciiTheme="minorHAnsi" w:hAnsiTheme="minorHAnsi"/>
          <w:lang w:val="sq-AL"/>
        </w:rPr>
        <w:t>“</w:t>
      </w:r>
      <w:r w:rsidRPr="00DC3A1B">
        <w:rPr>
          <w:rFonts w:asciiTheme="minorHAnsi" w:hAnsiTheme="minorHAnsi"/>
          <w:i/>
          <w:iCs/>
          <w:lang w:val="sq-AL"/>
        </w:rPr>
        <w:t>Rritjen e interesit të publikut ndaj programeve kulturore përmes përmirësimit të shërbimeve në infrastrukturë si dhe rritjen e cilësisë artistike”.</w:t>
      </w:r>
    </w:p>
    <w:p w14:paraId="435F2ACB" w14:textId="51FE9DA6" w:rsidR="000C2868" w:rsidRPr="00947066" w:rsidRDefault="000C2868" w:rsidP="000C2868">
      <w:pPr>
        <w:jc w:val="both"/>
        <w:rPr>
          <w:rFonts w:asciiTheme="minorHAnsi" w:hAnsiTheme="minorHAnsi"/>
          <w:lang w:val="sq-AL"/>
        </w:rPr>
      </w:pPr>
      <w:r>
        <w:rPr>
          <w:rFonts w:asciiTheme="minorHAnsi" w:hAnsiTheme="minorHAnsi"/>
          <w:lang w:val="sq-AL"/>
        </w:rPr>
        <w:t>Realizimi i k</w:t>
      </w:r>
      <w:r w:rsidR="00EA4B27">
        <w:rPr>
          <w:rFonts w:asciiTheme="minorHAnsi" w:hAnsiTheme="minorHAnsi"/>
          <w:lang w:val="sq-AL"/>
        </w:rPr>
        <w:t>ë</w:t>
      </w:r>
      <w:r>
        <w:rPr>
          <w:rFonts w:asciiTheme="minorHAnsi" w:hAnsiTheme="minorHAnsi"/>
          <w:lang w:val="sq-AL"/>
        </w:rPr>
        <w:t xml:space="preserve">tij objektivi </w:t>
      </w:r>
      <w:r w:rsidRPr="00947066">
        <w:rPr>
          <w:rFonts w:asciiTheme="minorHAnsi" w:hAnsiTheme="minorHAnsi"/>
          <w:lang w:val="sq-AL"/>
        </w:rPr>
        <w:t xml:space="preserve">gjatë 4 mujorit të parë 2023 </w:t>
      </w:r>
      <w:r w:rsidR="00EA4B27">
        <w:rPr>
          <w:rFonts w:asciiTheme="minorHAnsi" w:hAnsiTheme="minorHAnsi"/>
          <w:lang w:val="sq-AL"/>
        </w:rPr>
        <w:t>ë</w:t>
      </w:r>
      <w:r>
        <w:rPr>
          <w:rFonts w:asciiTheme="minorHAnsi" w:hAnsiTheme="minorHAnsi"/>
          <w:lang w:val="sq-AL"/>
        </w:rPr>
        <w:t>sht</w:t>
      </w:r>
      <w:r w:rsidR="00EA4B27">
        <w:rPr>
          <w:rFonts w:asciiTheme="minorHAnsi" w:hAnsiTheme="minorHAnsi"/>
          <w:lang w:val="sq-AL"/>
        </w:rPr>
        <w:t>ë</w:t>
      </w:r>
      <w:r>
        <w:rPr>
          <w:rFonts w:asciiTheme="minorHAnsi" w:hAnsiTheme="minorHAnsi"/>
          <w:lang w:val="sq-AL"/>
        </w:rPr>
        <w:t xml:space="preserve"> realizuar n</w:t>
      </w:r>
      <w:r w:rsidR="00EA4B27">
        <w:rPr>
          <w:rFonts w:asciiTheme="minorHAnsi" w:hAnsiTheme="minorHAnsi"/>
          <w:lang w:val="sq-AL"/>
        </w:rPr>
        <w:t>ë</w:t>
      </w:r>
      <w:r>
        <w:rPr>
          <w:rFonts w:asciiTheme="minorHAnsi" w:hAnsiTheme="minorHAnsi"/>
          <w:lang w:val="sq-AL"/>
        </w:rPr>
        <w:t>p</w:t>
      </w:r>
      <w:r w:rsidR="00EA4B27">
        <w:rPr>
          <w:rFonts w:asciiTheme="minorHAnsi" w:hAnsiTheme="minorHAnsi"/>
          <w:lang w:val="sq-AL"/>
        </w:rPr>
        <w:t>ë</w:t>
      </w:r>
      <w:r>
        <w:rPr>
          <w:rFonts w:asciiTheme="minorHAnsi" w:hAnsiTheme="minorHAnsi"/>
          <w:lang w:val="sq-AL"/>
        </w:rPr>
        <w:t>rmjet produkteve performanca e t</w:t>
      </w:r>
      <w:r w:rsidR="00EA4B27">
        <w:rPr>
          <w:rFonts w:asciiTheme="minorHAnsi" w:hAnsiTheme="minorHAnsi"/>
          <w:lang w:val="sq-AL"/>
        </w:rPr>
        <w:t>ë</w:t>
      </w:r>
      <w:r>
        <w:rPr>
          <w:rFonts w:asciiTheme="minorHAnsi" w:hAnsiTheme="minorHAnsi"/>
          <w:lang w:val="sq-AL"/>
        </w:rPr>
        <w:t xml:space="preserve"> cilave paraqitet si m</w:t>
      </w:r>
      <w:r w:rsidR="00EA4B27">
        <w:rPr>
          <w:rFonts w:asciiTheme="minorHAnsi" w:hAnsiTheme="minorHAnsi"/>
          <w:lang w:val="sq-AL"/>
        </w:rPr>
        <w:t>ë</w:t>
      </w:r>
      <w:r>
        <w:rPr>
          <w:rFonts w:asciiTheme="minorHAnsi" w:hAnsiTheme="minorHAnsi"/>
          <w:lang w:val="sq-AL"/>
        </w:rPr>
        <w:t xml:space="preserve"> posht</w:t>
      </w:r>
      <w:r w:rsidR="00EA4B27">
        <w:rPr>
          <w:rFonts w:asciiTheme="minorHAnsi" w:hAnsiTheme="minorHAnsi"/>
          <w:lang w:val="sq-AL"/>
        </w:rPr>
        <w:t>ë</w:t>
      </w:r>
      <w:r>
        <w:rPr>
          <w:rFonts w:asciiTheme="minorHAnsi" w:hAnsiTheme="minorHAnsi"/>
          <w:lang w:val="sq-AL"/>
        </w:rPr>
        <w:t>:</w:t>
      </w:r>
    </w:p>
    <w:p w14:paraId="34F975C1" w14:textId="77777777" w:rsidR="000C2868" w:rsidRPr="00A0431A" w:rsidRDefault="000C2868" w:rsidP="000C2868">
      <w:pPr>
        <w:numPr>
          <w:ilvl w:val="0"/>
          <w:numId w:val="7"/>
        </w:numPr>
        <w:ind w:left="360"/>
        <w:contextualSpacing/>
        <w:jc w:val="both"/>
        <w:rPr>
          <w:rFonts w:asciiTheme="minorHAnsi" w:hAnsiTheme="minorHAnsi"/>
          <w:i/>
          <w:iCs/>
          <w:sz w:val="22"/>
          <w:lang w:val="sq-AL"/>
        </w:rPr>
      </w:pPr>
      <w:r w:rsidRPr="00A0431A">
        <w:rPr>
          <w:rFonts w:asciiTheme="minorHAnsi" w:hAnsiTheme="minorHAnsi"/>
          <w:i/>
          <w:iCs/>
          <w:sz w:val="22"/>
          <w:lang w:val="sq-AL"/>
        </w:rPr>
        <w:t>62 premiera dhe shfaqje artistike të zhanrit skenik operistik, koreografik dhe folklorik kombëtar (131.6 milion lekë).</w:t>
      </w:r>
    </w:p>
    <w:p w14:paraId="612735F1" w14:textId="77777777" w:rsidR="000C2868" w:rsidRPr="00A0431A" w:rsidRDefault="000C2868" w:rsidP="000C2868">
      <w:pPr>
        <w:numPr>
          <w:ilvl w:val="0"/>
          <w:numId w:val="7"/>
        </w:numPr>
        <w:ind w:left="360"/>
        <w:contextualSpacing/>
        <w:jc w:val="both"/>
        <w:rPr>
          <w:rFonts w:asciiTheme="minorHAnsi" w:hAnsiTheme="minorHAnsi"/>
          <w:i/>
          <w:iCs/>
          <w:sz w:val="22"/>
          <w:lang w:val="sq-AL"/>
        </w:rPr>
      </w:pPr>
      <w:r w:rsidRPr="00A0431A">
        <w:rPr>
          <w:rFonts w:asciiTheme="minorHAnsi" w:hAnsiTheme="minorHAnsi"/>
          <w:i/>
          <w:iCs/>
          <w:sz w:val="22"/>
          <w:lang w:val="sq-AL"/>
        </w:rPr>
        <w:t xml:space="preserve">52 Premiera dhe shfaqie artistike të zhanrit teatror klasik dhe bashkëkohor (31 mln leke); </w:t>
      </w:r>
    </w:p>
    <w:p w14:paraId="384D4DAC" w14:textId="63578005" w:rsidR="000C2868" w:rsidRPr="00A0431A" w:rsidRDefault="000C2868" w:rsidP="000C2868">
      <w:pPr>
        <w:numPr>
          <w:ilvl w:val="0"/>
          <w:numId w:val="7"/>
        </w:numPr>
        <w:ind w:left="360"/>
        <w:contextualSpacing/>
        <w:jc w:val="both"/>
        <w:rPr>
          <w:rFonts w:asciiTheme="minorHAnsi" w:hAnsiTheme="minorHAnsi"/>
          <w:i/>
          <w:iCs/>
          <w:sz w:val="22"/>
          <w:lang w:val="sq-AL"/>
        </w:rPr>
      </w:pPr>
      <w:r w:rsidRPr="00A0431A">
        <w:rPr>
          <w:rFonts w:asciiTheme="minorHAnsi" w:hAnsiTheme="minorHAnsi"/>
          <w:i/>
          <w:iCs/>
          <w:sz w:val="22"/>
          <w:lang w:val="sq-AL"/>
        </w:rPr>
        <w:t xml:space="preserve">72 premiera dhe shfaqje artistike të zhanrit skenik teatror eksperimental klasik e bashkekohor (6mln lekë); </w:t>
      </w:r>
    </w:p>
    <w:p w14:paraId="08A98146" w14:textId="77777777" w:rsidR="000C2868" w:rsidRPr="00A0431A" w:rsidRDefault="000C2868" w:rsidP="000C2868">
      <w:pPr>
        <w:numPr>
          <w:ilvl w:val="0"/>
          <w:numId w:val="7"/>
        </w:numPr>
        <w:ind w:left="360"/>
        <w:contextualSpacing/>
        <w:jc w:val="both"/>
        <w:rPr>
          <w:rFonts w:asciiTheme="minorHAnsi" w:hAnsiTheme="minorHAnsi"/>
          <w:i/>
          <w:iCs/>
          <w:sz w:val="22"/>
          <w:lang w:val="sq-AL"/>
        </w:rPr>
      </w:pPr>
      <w:r w:rsidRPr="00A0431A">
        <w:rPr>
          <w:rFonts w:asciiTheme="minorHAnsi" w:hAnsiTheme="minorHAnsi"/>
          <w:i/>
          <w:iCs/>
          <w:sz w:val="22"/>
          <w:lang w:val="sq-AL"/>
        </w:rPr>
        <w:t xml:space="preserve">8 ekspozita me vepra pjesë e fondit të GKA, të përkohshme të traditës dhe bashkëkohore, autorë të diasporës dhe të huaj (9 milion lekë), </w:t>
      </w:r>
    </w:p>
    <w:p w14:paraId="69D12056" w14:textId="77777777" w:rsidR="000C2868" w:rsidRPr="00A0431A" w:rsidRDefault="000C2868" w:rsidP="000C2868">
      <w:pPr>
        <w:numPr>
          <w:ilvl w:val="0"/>
          <w:numId w:val="7"/>
        </w:numPr>
        <w:ind w:left="360"/>
        <w:contextualSpacing/>
        <w:jc w:val="both"/>
        <w:rPr>
          <w:rFonts w:asciiTheme="minorHAnsi" w:hAnsiTheme="minorHAnsi"/>
          <w:i/>
          <w:iCs/>
          <w:sz w:val="22"/>
          <w:lang w:val="sq-AL"/>
        </w:rPr>
      </w:pPr>
      <w:r w:rsidRPr="00A0431A">
        <w:rPr>
          <w:rFonts w:asciiTheme="minorHAnsi" w:hAnsiTheme="minorHAnsi"/>
          <w:i/>
          <w:iCs/>
          <w:sz w:val="22"/>
          <w:lang w:val="sq-AL"/>
        </w:rPr>
        <w:t xml:space="preserve">13 veprimtari edukuese të teatrit me dhe për fëmijë (11 milion lekë), </w:t>
      </w:r>
    </w:p>
    <w:p w14:paraId="16D26F24" w14:textId="77777777" w:rsidR="000C2868" w:rsidRPr="00A0431A" w:rsidRDefault="000C2868" w:rsidP="000C2868">
      <w:pPr>
        <w:numPr>
          <w:ilvl w:val="0"/>
          <w:numId w:val="7"/>
        </w:numPr>
        <w:ind w:left="360"/>
        <w:contextualSpacing/>
        <w:jc w:val="both"/>
        <w:rPr>
          <w:rFonts w:asciiTheme="minorHAnsi" w:hAnsiTheme="minorHAnsi"/>
          <w:i/>
          <w:iCs/>
          <w:sz w:val="22"/>
          <w:lang w:val="sq-AL"/>
        </w:rPr>
      </w:pPr>
      <w:r w:rsidRPr="00A0431A">
        <w:rPr>
          <w:rFonts w:asciiTheme="minorHAnsi" w:hAnsiTheme="minorHAnsi"/>
          <w:i/>
          <w:iCs/>
          <w:sz w:val="22"/>
          <w:lang w:val="sq-AL"/>
        </w:rPr>
        <w:t>12 veprimtari artistike ne zhanrin e cirkut dhe eksperimentimin e formave te reja te shprehjes skenike bashkekohore (12 milion leke).</w:t>
      </w:r>
    </w:p>
    <w:p w14:paraId="21FE8123" w14:textId="77777777" w:rsidR="000C2868" w:rsidRPr="00A0431A" w:rsidRDefault="000C2868" w:rsidP="000C2868">
      <w:pPr>
        <w:numPr>
          <w:ilvl w:val="0"/>
          <w:numId w:val="7"/>
        </w:numPr>
        <w:ind w:left="360"/>
        <w:contextualSpacing/>
        <w:jc w:val="both"/>
        <w:rPr>
          <w:rFonts w:asciiTheme="minorHAnsi" w:hAnsiTheme="minorHAnsi"/>
          <w:i/>
          <w:iCs/>
          <w:sz w:val="22"/>
          <w:lang w:val="sq-AL"/>
        </w:rPr>
      </w:pPr>
      <w:r w:rsidRPr="00A0431A">
        <w:rPr>
          <w:rFonts w:asciiTheme="minorHAnsi" w:hAnsiTheme="minorHAnsi"/>
          <w:i/>
          <w:iCs/>
          <w:sz w:val="22"/>
          <w:lang w:val="sq-AL"/>
        </w:rPr>
        <w:t>64 aktivitete për qytetarët përdorues e frekuentues të koleksioneve bibliotekare (33mln lekë).</w:t>
      </w:r>
    </w:p>
    <w:p w14:paraId="48107FC5" w14:textId="77777777" w:rsidR="000C2868" w:rsidRPr="003E1083" w:rsidRDefault="000C2868" w:rsidP="000C2868">
      <w:pPr>
        <w:spacing w:before="120"/>
        <w:jc w:val="both"/>
        <w:rPr>
          <w:rFonts w:asciiTheme="minorHAnsi" w:hAnsiTheme="minorHAnsi"/>
          <w:b/>
          <w:noProof/>
          <w:color w:val="0070C0"/>
          <w:lang w:val="sq-AL"/>
        </w:rPr>
      </w:pPr>
      <w:bookmarkStart w:id="227" w:name="_Toc10033300"/>
      <w:bookmarkStart w:id="228" w:name="_Toc10721436"/>
      <w:bookmarkStart w:id="229" w:name="_Toc11134236"/>
      <w:r w:rsidRPr="003E1083">
        <w:rPr>
          <w:rFonts w:asciiTheme="minorHAnsi" w:hAnsiTheme="minorHAnsi"/>
          <w:b/>
          <w:noProof/>
          <w:color w:val="0070C0"/>
          <w:lang w:val="sq-AL"/>
        </w:rPr>
        <w:lastRenderedPageBreak/>
        <w:t>POLITIKA E JASHTME</w:t>
      </w:r>
      <w:bookmarkEnd w:id="227"/>
      <w:bookmarkEnd w:id="228"/>
      <w:bookmarkEnd w:id="229"/>
    </w:p>
    <w:p w14:paraId="3C0289E6" w14:textId="77777777" w:rsidR="000C2868" w:rsidRPr="003E1083" w:rsidRDefault="000C2868" w:rsidP="000C2868">
      <w:pPr>
        <w:jc w:val="both"/>
        <w:rPr>
          <w:rFonts w:asciiTheme="minorHAnsi" w:hAnsiTheme="minorHAnsi"/>
          <w:color w:val="000000"/>
          <w:lang w:val="sq-AL"/>
        </w:rPr>
      </w:pPr>
      <w:r w:rsidRPr="003E1083">
        <w:rPr>
          <w:rFonts w:asciiTheme="minorHAnsi" w:hAnsiTheme="minorHAnsi"/>
          <w:lang w:val="sq-AL"/>
        </w:rPr>
        <w:t>Ministria për Evropën dhe Punët e Jashtme është institucioni përgjegjës për hartimin dhe zbatimin e politikës së jashtme të Republikës së Shqipërisë, drejtimin teknik dhe bashkërendimin e procesit të integrimit të Republikës së Shqipërisë në Bashkimin Evropian, zhvillimit dhe fuqizimit të diplomacisë ekonomike si dhe bashkërendimin e ndihmave financiare nga Bashkimi Evropian. Performanca e treguesve buxhetorë për tre programet në Ministrinë për Evropën dhe Punët e Jashtme paraqitet si më poshtë</w:t>
      </w:r>
      <w:r w:rsidRPr="003E1083">
        <w:rPr>
          <w:rFonts w:asciiTheme="minorHAnsi" w:hAnsiTheme="minorHAnsi"/>
          <w:color w:val="000000"/>
          <w:lang w:val="sq-AL"/>
        </w:rPr>
        <w:t>:</w:t>
      </w:r>
    </w:p>
    <w:p w14:paraId="48711485" w14:textId="535975EE" w:rsidR="000C2868" w:rsidRPr="00A0431A" w:rsidRDefault="000C2868" w:rsidP="000C2868">
      <w:pPr>
        <w:spacing w:before="120"/>
        <w:rPr>
          <w:rFonts w:asciiTheme="minorHAnsi" w:hAnsiTheme="minorHAnsi"/>
          <w:b/>
          <w:bCs/>
          <w:i/>
          <w:color w:val="000000"/>
          <w:sz w:val="22"/>
          <w:lang w:val="sq-AL"/>
        </w:rPr>
      </w:pPr>
      <w:bookmarkStart w:id="230" w:name="_Toc107496785"/>
      <w:r w:rsidRPr="00A0431A">
        <w:rPr>
          <w:rFonts w:asciiTheme="minorHAnsi" w:hAnsiTheme="minorHAnsi"/>
          <w:i/>
          <w:noProof/>
          <w:sz w:val="22"/>
          <w:lang w:val="sq-AL"/>
        </w:rPr>
        <w:t xml:space="preserve">Tabela </w:t>
      </w:r>
      <w:r w:rsidRPr="00A0431A">
        <w:rPr>
          <w:rFonts w:asciiTheme="minorHAnsi" w:hAnsiTheme="minorHAnsi"/>
          <w:i/>
          <w:noProof/>
          <w:sz w:val="22"/>
          <w:lang w:val="sq-AL"/>
        </w:rPr>
        <w:fldChar w:fldCharType="begin"/>
      </w:r>
      <w:r w:rsidRPr="00A0431A">
        <w:rPr>
          <w:rFonts w:asciiTheme="minorHAnsi" w:hAnsiTheme="minorHAnsi"/>
          <w:i/>
          <w:noProof/>
          <w:sz w:val="22"/>
          <w:lang w:val="sq-AL"/>
        </w:rPr>
        <w:instrText xml:space="preserve"> SEQ Tabela \* ARABIC </w:instrText>
      </w:r>
      <w:r w:rsidRPr="00A0431A">
        <w:rPr>
          <w:rFonts w:asciiTheme="minorHAnsi" w:hAnsiTheme="minorHAnsi"/>
          <w:i/>
          <w:noProof/>
          <w:sz w:val="22"/>
          <w:lang w:val="sq-AL"/>
        </w:rPr>
        <w:fldChar w:fldCharType="separate"/>
      </w:r>
      <w:r w:rsidR="00C153A9">
        <w:rPr>
          <w:rFonts w:asciiTheme="minorHAnsi" w:hAnsiTheme="minorHAnsi"/>
          <w:i/>
          <w:noProof/>
          <w:sz w:val="22"/>
          <w:lang w:val="sq-AL"/>
        </w:rPr>
        <w:t>48</w:t>
      </w:r>
      <w:r w:rsidRPr="00A0431A">
        <w:rPr>
          <w:rFonts w:asciiTheme="minorHAnsi" w:hAnsiTheme="minorHAnsi"/>
          <w:i/>
          <w:noProof/>
          <w:sz w:val="22"/>
          <w:lang w:val="sq-AL"/>
        </w:rPr>
        <w:fldChar w:fldCharType="end"/>
      </w:r>
      <w:r w:rsidRPr="00A0431A">
        <w:rPr>
          <w:rFonts w:asciiTheme="minorHAnsi" w:hAnsiTheme="minorHAnsi"/>
          <w:i/>
          <w:noProof/>
          <w:sz w:val="22"/>
          <w:lang w:val="sq-AL"/>
        </w:rPr>
        <w:t xml:space="preserve">: </w:t>
      </w:r>
      <w:r>
        <w:rPr>
          <w:rFonts w:ascii="Calibri" w:hAnsi="Calibri"/>
          <w:i/>
          <w:noProof/>
          <w:sz w:val="22"/>
          <w:lang w:val="sq-AL"/>
        </w:rPr>
        <w:t>Performanca e shpenzimeve për 4M I</w:t>
      </w:r>
      <w:r>
        <w:rPr>
          <w:rFonts w:asciiTheme="minorHAnsi" w:hAnsiTheme="minorHAnsi"/>
          <w:i/>
          <w:noProof/>
          <w:sz w:val="22"/>
          <w:lang w:val="sq-AL"/>
        </w:rPr>
        <w:t>, për Politikën</w:t>
      </w:r>
      <w:r w:rsidRPr="00A0431A">
        <w:rPr>
          <w:rFonts w:asciiTheme="minorHAnsi" w:hAnsiTheme="minorHAnsi"/>
          <w:i/>
          <w:noProof/>
          <w:sz w:val="22"/>
          <w:lang w:val="sq-AL"/>
        </w:rPr>
        <w:t xml:space="preserve"> e Jashtme</w:t>
      </w:r>
      <w:bookmarkEnd w:id="230"/>
      <w:r w:rsidRPr="00A0431A">
        <w:rPr>
          <w:rFonts w:asciiTheme="minorHAnsi" w:hAnsiTheme="minorHAnsi"/>
          <w:b/>
          <w:bCs/>
          <w:i/>
          <w:color w:val="000000"/>
          <w:sz w:val="22"/>
          <w:lang w:val="sq-AL"/>
        </w:rPr>
        <w:t xml:space="preserve">                                          </w:t>
      </w:r>
    </w:p>
    <w:p w14:paraId="352D1599" w14:textId="77777777" w:rsidR="000C2868" w:rsidRPr="003E1083" w:rsidRDefault="000C2868" w:rsidP="000C2868">
      <w:pPr>
        <w:ind w:left="2880" w:firstLine="720"/>
        <w:jc w:val="right"/>
        <w:rPr>
          <w:rFonts w:asciiTheme="minorHAnsi" w:hAnsiTheme="minorHAnsi"/>
          <w:i/>
          <w:color w:val="000000"/>
          <w:lang w:val="sq-AL"/>
        </w:rPr>
      </w:pPr>
      <w:r w:rsidRPr="003E1083">
        <w:rPr>
          <w:rFonts w:asciiTheme="minorHAnsi" w:hAnsiTheme="minorHAnsi"/>
          <w:i/>
          <w:color w:val="000000"/>
          <w:lang w:val="sq-AL"/>
        </w:rPr>
        <w:t>Në mijë lekë</w:t>
      </w:r>
    </w:p>
    <w:tbl>
      <w:tblPr>
        <w:tblStyle w:val="ListTable3-Accent523"/>
        <w:tblW w:w="9881" w:type="dxa"/>
        <w:jc w:val="center"/>
        <w:tblLook w:val="0000" w:firstRow="0" w:lastRow="0" w:firstColumn="0" w:lastColumn="0" w:noHBand="0" w:noVBand="0"/>
      </w:tblPr>
      <w:tblGrid>
        <w:gridCol w:w="468"/>
        <w:gridCol w:w="3421"/>
        <w:gridCol w:w="1018"/>
        <w:gridCol w:w="1022"/>
        <w:gridCol w:w="945"/>
        <w:gridCol w:w="1022"/>
        <w:gridCol w:w="953"/>
        <w:gridCol w:w="1032"/>
      </w:tblGrid>
      <w:tr w:rsidR="000C2868" w:rsidRPr="003E1083" w14:paraId="7E83F2D7" w14:textId="77777777" w:rsidTr="000C2868">
        <w:trPr>
          <w:cnfStyle w:val="000000100000" w:firstRow="0" w:lastRow="0" w:firstColumn="0" w:lastColumn="0" w:oddVBand="0" w:evenVBand="0" w:oddHBand="1" w:evenHBand="0" w:firstRowFirstColumn="0" w:firstRowLastColumn="0" w:lastRowFirstColumn="0" w:lastRowLastColumn="0"/>
          <w:trHeight w:val="123"/>
          <w:jc w:val="center"/>
        </w:trPr>
        <w:tc>
          <w:tcPr>
            <w:cnfStyle w:val="000010000000" w:firstRow="0" w:lastRow="0" w:firstColumn="0" w:lastColumn="0" w:oddVBand="1" w:evenVBand="0" w:oddHBand="0" w:evenHBand="0" w:firstRowFirstColumn="0" w:firstRowLastColumn="0" w:lastRowFirstColumn="0" w:lastRowLastColumn="0"/>
            <w:tcW w:w="0" w:type="auto"/>
            <w:vMerge w:val="restart"/>
            <w:shd w:val="clear" w:color="auto" w:fill="B6DDE8"/>
          </w:tcPr>
          <w:p w14:paraId="1DA25BE9" w14:textId="77777777" w:rsidR="000C2868" w:rsidRPr="003E1083" w:rsidRDefault="000C2868" w:rsidP="000C2868">
            <w:pPr>
              <w:jc w:val="both"/>
              <w:rPr>
                <w:rFonts w:asciiTheme="minorHAnsi" w:hAnsiTheme="minorHAnsi"/>
                <w:b/>
                <w:bCs/>
                <w:sz w:val="18"/>
                <w:lang w:val="sq-AL"/>
              </w:rPr>
            </w:pPr>
          </w:p>
          <w:p w14:paraId="78ACBE80" w14:textId="77777777" w:rsidR="000C2868" w:rsidRPr="003E1083" w:rsidRDefault="000C2868" w:rsidP="000C2868">
            <w:pPr>
              <w:jc w:val="both"/>
              <w:rPr>
                <w:rFonts w:asciiTheme="minorHAnsi" w:hAnsiTheme="minorHAnsi"/>
                <w:b/>
                <w:bCs/>
                <w:sz w:val="18"/>
                <w:lang w:val="sq-AL"/>
              </w:rPr>
            </w:pPr>
            <w:r w:rsidRPr="003E1083">
              <w:rPr>
                <w:rFonts w:asciiTheme="minorHAnsi" w:hAnsiTheme="minorHAnsi"/>
                <w:b/>
                <w:bCs/>
                <w:sz w:val="18"/>
                <w:lang w:val="sq-AL"/>
              </w:rPr>
              <w:t>NR</w:t>
            </w:r>
          </w:p>
        </w:tc>
        <w:tc>
          <w:tcPr>
            <w:tcW w:w="0" w:type="auto"/>
            <w:vMerge w:val="restart"/>
            <w:shd w:val="clear" w:color="auto" w:fill="B6DDE8"/>
          </w:tcPr>
          <w:p w14:paraId="161531EF" w14:textId="77777777" w:rsidR="000C2868" w:rsidRPr="003E1083" w:rsidRDefault="000C2868" w:rsidP="000C286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b/>
                <w:bCs/>
                <w:sz w:val="18"/>
                <w:lang w:val="sq-AL"/>
              </w:rPr>
            </w:pPr>
          </w:p>
          <w:p w14:paraId="462953FF"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18"/>
                <w:lang w:val="sq-AL"/>
              </w:rPr>
            </w:pPr>
            <w:r w:rsidRPr="003E1083">
              <w:rPr>
                <w:rFonts w:asciiTheme="minorHAnsi" w:hAnsiTheme="minorHAnsi"/>
                <w:b/>
                <w:bCs/>
                <w:sz w:val="18"/>
                <w:lang w:val="sq-AL"/>
              </w:rPr>
              <w:t>Emërtimi i Programit</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B6DDE8"/>
          </w:tcPr>
          <w:p w14:paraId="3A8843FD" w14:textId="77777777" w:rsidR="000C2868" w:rsidRPr="003E1083" w:rsidRDefault="000C2868" w:rsidP="000C2868">
            <w:pPr>
              <w:jc w:val="center"/>
              <w:rPr>
                <w:rFonts w:asciiTheme="minorHAnsi" w:hAnsiTheme="minorHAnsi"/>
                <w:b/>
                <w:bCs/>
                <w:sz w:val="18"/>
                <w:lang w:val="sq-AL"/>
              </w:rPr>
            </w:pPr>
            <w:r w:rsidRPr="003E1083">
              <w:rPr>
                <w:rFonts w:asciiTheme="minorHAnsi" w:hAnsiTheme="minorHAnsi"/>
                <w:b/>
                <w:bCs/>
                <w:sz w:val="18"/>
                <w:lang w:val="sq-AL"/>
              </w:rPr>
              <w:t>Plani 2023</w:t>
            </w:r>
          </w:p>
        </w:tc>
        <w:tc>
          <w:tcPr>
            <w:tcW w:w="0" w:type="auto"/>
            <w:gridSpan w:val="2"/>
            <w:shd w:val="clear" w:color="auto" w:fill="B6DDE8"/>
          </w:tcPr>
          <w:p w14:paraId="18A51F66"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sz w:val="18"/>
                <w:lang w:val="sq-AL"/>
              </w:rPr>
            </w:pPr>
            <w:r w:rsidRPr="003E1083">
              <w:rPr>
                <w:rFonts w:asciiTheme="minorHAnsi" w:hAnsiTheme="minorHAnsi"/>
                <w:b/>
                <w:bCs/>
                <w:sz w:val="18"/>
                <w:lang w:val="sq-AL"/>
              </w:rPr>
              <w:t>Fakti 4 M 2023</w:t>
            </w:r>
          </w:p>
        </w:tc>
        <w:tc>
          <w:tcPr>
            <w:cnfStyle w:val="000010000000" w:firstRow="0" w:lastRow="0" w:firstColumn="0" w:lastColumn="0" w:oddVBand="1" w:evenVBand="0" w:oddHBand="0" w:evenHBand="0" w:firstRowFirstColumn="0" w:firstRowLastColumn="0" w:lastRowFirstColumn="0" w:lastRowLastColumn="0"/>
            <w:tcW w:w="0" w:type="auto"/>
            <w:gridSpan w:val="2"/>
            <w:shd w:val="clear" w:color="auto" w:fill="B6DDE8"/>
          </w:tcPr>
          <w:p w14:paraId="11B24168" w14:textId="77777777" w:rsidR="000C2868" w:rsidRPr="003E1083" w:rsidRDefault="000C2868" w:rsidP="000C2868">
            <w:pPr>
              <w:jc w:val="center"/>
              <w:rPr>
                <w:rFonts w:asciiTheme="minorHAnsi" w:hAnsiTheme="minorHAnsi"/>
                <w:b/>
                <w:bCs/>
                <w:sz w:val="18"/>
                <w:lang w:val="sq-AL"/>
              </w:rPr>
            </w:pPr>
            <w:r w:rsidRPr="003E1083">
              <w:rPr>
                <w:rFonts w:asciiTheme="minorHAnsi" w:hAnsiTheme="minorHAnsi"/>
                <w:b/>
                <w:bCs/>
                <w:sz w:val="18"/>
                <w:lang w:val="sq-AL"/>
              </w:rPr>
              <w:t>Përqindja  e realizimit</w:t>
            </w:r>
          </w:p>
        </w:tc>
      </w:tr>
      <w:tr w:rsidR="000C2868" w:rsidRPr="003E1083" w14:paraId="3CBD0282" w14:textId="77777777" w:rsidTr="000C2868">
        <w:trPr>
          <w:trHeight w:val="115"/>
          <w:jc w:val="center"/>
        </w:trPr>
        <w:tc>
          <w:tcPr>
            <w:cnfStyle w:val="000010000000" w:firstRow="0" w:lastRow="0" w:firstColumn="0" w:lastColumn="0" w:oddVBand="1" w:evenVBand="0" w:oddHBand="0" w:evenHBand="0" w:firstRowFirstColumn="0" w:firstRowLastColumn="0" w:lastRowFirstColumn="0" w:lastRowLastColumn="0"/>
            <w:tcW w:w="0" w:type="auto"/>
            <w:vMerge/>
            <w:shd w:val="clear" w:color="auto" w:fill="B6DDE8"/>
          </w:tcPr>
          <w:p w14:paraId="27082DEC" w14:textId="77777777" w:rsidR="000C2868" w:rsidRPr="003E1083" w:rsidRDefault="000C2868" w:rsidP="000C2868">
            <w:pPr>
              <w:jc w:val="both"/>
              <w:rPr>
                <w:rFonts w:asciiTheme="minorHAnsi" w:hAnsiTheme="minorHAnsi"/>
                <w:sz w:val="18"/>
                <w:lang w:val="sq-AL"/>
              </w:rPr>
            </w:pPr>
          </w:p>
        </w:tc>
        <w:tc>
          <w:tcPr>
            <w:tcW w:w="0" w:type="auto"/>
            <w:vMerge/>
            <w:shd w:val="clear" w:color="auto" w:fill="B6DDE8"/>
          </w:tcPr>
          <w:p w14:paraId="7FD68E79" w14:textId="77777777" w:rsidR="000C2868" w:rsidRPr="003E1083" w:rsidRDefault="000C2868" w:rsidP="000C286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8"/>
                <w:lang w:val="sq-AL"/>
              </w:rPr>
            </w:pPr>
          </w:p>
        </w:tc>
        <w:tc>
          <w:tcPr>
            <w:cnfStyle w:val="000010000000" w:firstRow="0" w:lastRow="0" w:firstColumn="0" w:lastColumn="0" w:oddVBand="1" w:evenVBand="0" w:oddHBand="0" w:evenHBand="0" w:firstRowFirstColumn="0" w:firstRowLastColumn="0" w:lastRowFirstColumn="0" w:lastRowLastColumn="0"/>
            <w:tcW w:w="0" w:type="auto"/>
            <w:shd w:val="clear" w:color="auto" w:fill="B6DDE8"/>
          </w:tcPr>
          <w:p w14:paraId="6524ACB2" w14:textId="77777777" w:rsidR="000C2868" w:rsidRPr="003E1083" w:rsidRDefault="000C2868" w:rsidP="000C2868">
            <w:pPr>
              <w:jc w:val="center"/>
              <w:rPr>
                <w:rFonts w:asciiTheme="minorHAnsi" w:hAnsiTheme="minorHAnsi"/>
                <w:b/>
                <w:bCs/>
                <w:sz w:val="18"/>
                <w:lang w:val="sq-AL"/>
              </w:rPr>
            </w:pPr>
            <w:r w:rsidRPr="003E1083">
              <w:rPr>
                <w:rFonts w:asciiTheme="minorHAnsi" w:hAnsiTheme="minorHAnsi"/>
                <w:b/>
                <w:bCs/>
                <w:sz w:val="18"/>
                <w:lang w:val="sq-AL"/>
              </w:rPr>
              <w:t>Korrente</w:t>
            </w:r>
          </w:p>
        </w:tc>
        <w:tc>
          <w:tcPr>
            <w:tcW w:w="0" w:type="auto"/>
            <w:shd w:val="clear" w:color="auto" w:fill="B6DDE8"/>
          </w:tcPr>
          <w:p w14:paraId="4B020281"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8"/>
                <w:lang w:val="sq-AL"/>
              </w:rPr>
            </w:pPr>
            <w:r w:rsidRPr="003E1083">
              <w:rPr>
                <w:rFonts w:asciiTheme="minorHAnsi" w:hAnsiTheme="minorHAnsi"/>
                <w:b/>
                <w:bCs/>
                <w:sz w:val="18"/>
                <w:lang w:val="sq-AL"/>
              </w:rPr>
              <w:t>Investime</w:t>
            </w:r>
          </w:p>
        </w:tc>
        <w:tc>
          <w:tcPr>
            <w:cnfStyle w:val="000010000000" w:firstRow="0" w:lastRow="0" w:firstColumn="0" w:lastColumn="0" w:oddVBand="1" w:evenVBand="0" w:oddHBand="0" w:evenHBand="0" w:firstRowFirstColumn="0" w:firstRowLastColumn="0" w:lastRowFirstColumn="0" w:lastRowLastColumn="0"/>
            <w:tcW w:w="0" w:type="auto"/>
            <w:shd w:val="clear" w:color="auto" w:fill="B6DDE8"/>
          </w:tcPr>
          <w:p w14:paraId="2726E089" w14:textId="77777777" w:rsidR="000C2868" w:rsidRPr="003E1083" w:rsidRDefault="000C2868" w:rsidP="000C2868">
            <w:pPr>
              <w:jc w:val="center"/>
              <w:rPr>
                <w:rFonts w:asciiTheme="minorHAnsi" w:hAnsiTheme="minorHAnsi"/>
                <w:b/>
                <w:bCs/>
                <w:sz w:val="18"/>
                <w:lang w:val="sq-AL"/>
              </w:rPr>
            </w:pPr>
            <w:r w:rsidRPr="003E1083">
              <w:rPr>
                <w:rFonts w:asciiTheme="minorHAnsi" w:hAnsiTheme="minorHAnsi"/>
                <w:b/>
                <w:bCs/>
                <w:sz w:val="18"/>
                <w:lang w:val="sq-AL"/>
              </w:rPr>
              <w:t>Korrente</w:t>
            </w:r>
          </w:p>
        </w:tc>
        <w:tc>
          <w:tcPr>
            <w:tcW w:w="0" w:type="auto"/>
            <w:shd w:val="clear" w:color="auto" w:fill="B6DDE8"/>
          </w:tcPr>
          <w:p w14:paraId="1980C129"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8"/>
                <w:lang w:val="sq-AL"/>
              </w:rPr>
            </w:pPr>
            <w:r w:rsidRPr="003E1083">
              <w:rPr>
                <w:rFonts w:asciiTheme="minorHAnsi" w:hAnsiTheme="minorHAnsi"/>
                <w:b/>
                <w:bCs/>
                <w:sz w:val="18"/>
                <w:lang w:val="sq-AL"/>
              </w:rPr>
              <w:t>Investime</w:t>
            </w:r>
          </w:p>
        </w:tc>
        <w:tc>
          <w:tcPr>
            <w:cnfStyle w:val="000010000000" w:firstRow="0" w:lastRow="0" w:firstColumn="0" w:lastColumn="0" w:oddVBand="1" w:evenVBand="0" w:oddHBand="0" w:evenHBand="0" w:firstRowFirstColumn="0" w:firstRowLastColumn="0" w:lastRowFirstColumn="0" w:lastRowLastColumn="0"/>
            <w:tcW w:w="0" w:type="auto"/>
            <w:shd w:val="clear" w:color="auto" w:fill="B6DDE8"/>
          </w:tcPr>
          <w:p w14:paraId="7B7F101E" w14:textId="77777777" w:rsidR="000C2868" w:rsidRPr="003E1083" w:rsidRDefault="000C2868" w:rsidP="000C2868">
            <w:pPr>
              <w:jc w:val="center"/>
              <w:rPr>
                <w:rFonts w:asciiTheme="minorHAnsi" w:hAnsiTheme="minorHAnsi"/>
                <w:b/>
                <w:bCs/>
                <w:sz w:val="18"/>
                <w:lang w:val="sq-AL"/>
              </w:rPr>
            </w:pPr>
            <w:r w:rsidRPr="003E1083">
              <w:rPr>
                <w:rFonts w:asciiTheme="minorHAnsi" w:hAnsiTheme="minorHAnsi"/>
                <w:b/>
                <w:bCs/>
                <w:sz w:val="18"/>
                <w:lang w:val="sq-AL"/>
              </w:rPr>
              <w:t>Korrente</w:t>
            </w:r>
          </w:p>
        </w:tc>
        <w:tc>
          <w:tcPr>
            <w:tcW w:w="0" w:type="auto"/>
            <w:shd w:val="clear" w:color="auto" w:fill="B6DDE8"/>
          </w:tcPr>
          <w:p w14:paraId="549A4103"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8"/>
                <w:lang w:val="sq-AL"/>
              </w:rPr>
            </w:pPr>
            <w:r w:rsidRPr="003E1083">
              <w:rPr>
                <w:rFonts w:asciiTheme="minorHAnsi" w:hAnsiTheme="minorHAnsi"/>
                <w:b/>
                <w:bCs/>
                <w:sz w:val="18"/>
                <w:lang w:val="sq-AL"/>
              </w:rPr>
              <w:t>Investime</w:t>
            </w:r>
          </w:p>
        </w:tc>
      </w:tr>
      <w:tr w:rsidR="000C2868" w:rsidRPr="003E1083" w14:paraId="7099D9D2" w14:textId="77777777" w:rsidTr="000C2868">
        <w:trPr>
          <w:cnfStyle w:val="000000100000" w:firstRow="0" w:lastRow="0" w:firstColumn="0" w:lastColumn="0" w:oddVBand="0" w:evenVBand="0" w:oddHBand="1" w:evenHBand="0" w:firstRowFirstColumn="0" w:firstRowLastColumn="0" w:lastRowFirstColumn="0" w:lastRowLastColumn="0"/>
          <w:trHeight w:val="308"/>
          <w:jc w:val="center"/>
        </w:trPr>
        <w:tc>
          <w:tcPr>
            <w:cnfStyle w:val="000010000000" w:firstRow="0" w:lastRow="0" w:firstColumn="0" w:lastColumn="0" w:oddVBand="1" w:evenVBand="0" w:oddHBand="0" w:evenHBand="0" w:firstRowFirstColumn="0" w:firstRowLastColumn="0" w:lastRowFirstColumn="0" w:lastRowLastColumn="0"/>
            <w:tcW w:w="0" w:type="auto"/>
          </w:tcPr>
          <w:p w14:paraId="3A15F6B7" w14:textId="77777777" w:rsidR="000C2868" w:rsidRPr="003E1083" w:rsidRDefault="000C2868" w:rsidP="000C2868">
            <w:pPr>
              <w:jc w:val="both"/>
              <w:rPr>
                <w:rFonts w:asciiTheme="minorHAnsi" w:hAnsiTheme="minorHAnsi"/>
                <w:sz w:val="18"/>
                <w:lang w:val="sq-AL"/>
              </w:rPr>
            </w:pPr>
            <w:r w:rsidRPr="003E1083">
              <w:rPr>
                <w:rFonts w:asciiTheme="minorHAnsi" w:hAnsiTheme="minorHAnsi"/>
                <w:sz w:val="18"/>
                <w:lang w:val="sq-AL"/>
              </w:rPr>
              <w:t>1.</w:t>
            </w:r>
          </w:p>
        </w:tc>
        <w:tc>
          <w:tcPr>
            <w:tcW w:w="0" w:type="auto"/>
          </w:tcPr>
          <w:p w14:paraId="77A69AE0" w14:textId="77777777" w:rsidR="000C2868" w:rsidRPr="003E1083" w:rsidRDefault="000C2868" w:rsidP="000C286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Planifikimi, Menaxhimi dhe Administrimi</w:t>
            </w:r>
          </w:p>
        </w:tc>
        <w:tc>
          <w:tcPr>
            <w:cnfStyle w:val="000010000000" w:firstRow="0" w:lastRow="0" w:firstColumn="0" w:lastColumn="0" w:oddVBand="1" w:evenVBand="0" w:oddHBand="0" w:evenHBand="0" w:firstRowFirstColumn="0" w:firstRowLastColumn="0" w:lastRowFirstColumn="0" w:lastRowLastColumn="0"/>
            <w:tcW w:w="0" w:type="auto"/>
          </w:tcPr>
          <w:p w14:paraId="4D907FC1"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281,073</w:t>
            </w:r>
          </w:p>
        </w:tc>
        <w:tc>
          <w:tcPr>
            <w:tcW w:w="0" w:type="auto"/>
          </w:tcPr>
          <w:p w14:paraId="3B81FD09"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37,999</w:t>
            </w:r>
          </w:p>
        </w:tc>
        <w:tc>
          <w:tcPr>
            <w:cnfStyle w:val="000010000000" w:firstRow="0" w:lastRow="0" w:firstColumn="0" w:lastColumn="0" w:oddVBand="1" w:evenVBand="0" w:oddHBand="0" w:evenHBand="0" w:firstRowFirstColumn="0" w:firstRowLastColumn="0" w:lastRowFirstColumn="0" w:lastRowLastColumn="0"/>
            <w:tcW w:w="0" w:type="auto"/>
          </w:tcPr>
          <w:p w14:paraId="04D507A8"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80,727</w:t>
            </w:r>
          </w:p>
        </w:tc>
        <w:tc>
          <w:tcPr>
            <w:tcW w:w="0" w:type="auto"/>
          </w:tcPr>
          <w:p w14:paraId="7B937325"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21</w:t>
            </w:r>
          </w:p>
        </w:tc>
        <w:tc>
          <w:tcPr>
            <w:cnfStyle w:val="000010000000" w:firstRow="0" w:lastRow="0" w:firstColumn="0" w:lastColumn="0" w:oddVBand="1" w:evenVBand="0" w:oddHBand="0" w:evenHBand="0" w:firstRowFirstColumn="0" w:firstRowLastColumn="0" w:lastRowFirstColumn="0" w:lastRowLastColumn="0"/>
            <w:tcW w:w="0" w:type="auto"/>
          </w:tcPr>
          <w:p w14:paraId="62B55EB5"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28.7</w:t>
            </w:r>
          </w:p>
        </w:tc>
        <w:tc>
          <w:tcPr>
            <w:tcW w:w="0" w:type="auto"/>
          </w:tcPr>
          <w:p w14:paraId="62FF20CA"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25.3</w:t>
            </w:r>
          </w:p>
        </w:tc>
      </w:tr>
      <w:tr w:rsidR="000C2868" w:rsidRPr="003E1083" w14:paraId="4365B43A" w14:textId="77777777" w:rsidTr="000C2868">
        <w:trPr>
          <w:trHeight w:val="218"/>
          <w:jc w:val="center"/>
        </w:trPr>
        <w:tc>
          <w:tcPr>
            <w:cnfStyle w:val="000010000000" w:firstRow="0" w:lastRow="0" w:firstColumn="0" w:lastColumn="0" w:oddVBand="1" w:evenVBand="0" w:oddHBand="0" w:evenHBand="0" w:firstRowFirstColumn="0" w:firstRowLastColumn="0" w:lastRowFirstColumn="0" w:lastRowLastColumn="0"/>
            <w:tcW w:w="0" w:type="auto"/>
          </w:tcPr>
          <w:p w14:paraId="59463178" w14:textId="77777777" w:rsidR="000C2868" w:rsidRPr="003E1083" w:rsidRDefault="000C2868" w:rsidP="000C2868">
            <w:pPr>
              <w:jc w:val="both"/>
              <w:rPr>
                <w:rFonts w:asciiTheme="minorHAnsi" w:hAnsiTheme="minorHAnsi"/>
                <w:sz w:val="18"/>
                <w:lang w:val="sq-AL"/>
              </w:rPr>
            </w:pPr>
            <w:r w:rsidRPr="003E1083">
              <w:rPr>
                <w:rFonts w:asciiTheme="minorHAnsi" w:hAnsiTheme="minorHAnsi"/>
                <w:sz w:val="18"/>
                <w:lang w:val="sq-AL"/>
              </w:rPr>
              <w:t>2.</w:t>
            </w:r>
          </w:p>
        </w:tc>
        <w:tc>
          <w:tcPr>
            <w:tcW w:w="0" w:type="auto"/>
          </w:tcPr>
          <w:p w14:paraId="74E49CE3" w14:textId="77777777" w:rsidR="000C2868" w:rsidRPr="003E1083" w:rsidRDefault="000C2868" w:rsidP="000C286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Mbështetje diplomatike jashtë shtetit</w:t>
            </w:r>
          </w:p>
        </w:tc>
        <w:tc>
          <w:tcPr>
            <w:cnfStyle w:val="000010000000" w:firstRow="0" w:lastRow="0" w:firstColumn="0" w:lastColumn="0" w:oddVBand="1" w:evenVBand="0" w:oddHBand="0" w:evenHBand="0" w:firstRowFirstColumn="0" w:firstRowLastColumn="0" w:lastRowFirstColumn="0" w:lastRowLastColumn="0"/>
            <w:tcW w:w="0" w:type="auto"/>
          </w:tcPr>
          <w:p w14:paraId="01639792"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2,509,576</w:t>
            </w:r>
          </w:p>
        </w:tc>
        <w:tc>
          <w:tcPr>
            <w:tcW w:w="0" w:type="auto"/>
          </w:tcPr>
          <w:p w14:paraId="64BA6D1D"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15,000</w:t>
            </w:r>
          </w:p>
        </w:tc>
        <w:tc>
          <w:tcPr>
            <w:cnfStyle w:val="000010000000" w:firstRow="0" w:lastRow="0" w:firstColumn="0" w:lastColumn="0" w:oddVBand="1" w:evenVBand="0" w:oddHBand="0" w:evenHBand="0" w:firstRowFirstColumn="0" w:firstRowLastColumn="0" w:lastRowFirstColumn="0" w:lastRowLastColumn="0"/>
            <w:tcW w:w="0" w:type="auto"/>
          </w:tcPr>
          <w:p w14:paraId="5EF8F0C3"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412,426</w:t>
            </w:r>
          </w:p>
        </w:tc>
        <w:tc>
          <w:tcPr>
            <w:tcW w:w="0" w:type="auto"/>
          </w:tcPr>
          <w:p w14:paraId="0F395E7B"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0</w:t>
            </w:r>
          </w:p>
        </w:tc>
        <w:tc>
          <w:tcPr>
            <w:cnfStyle w:val="000010000000" w:firstRow="0" w:lastRow="0" w:firstColumn="0" w:lastColumn="0" w:oddVBand="1" w:evenVBand="0" w:oddHBand="0" w:evenHBand="0" w:firstRowFirstColumn="0" w:firstRowLastColumn="0" w:lastRowFirstColumn="0" w:lastRowLastColumn="0"/>
            <w:tcW w:w="0" w:type="auto"/>
          </w:tcPr>
          <w:p w14:paraId="26EA4EE8"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16.4</w:t>
            </w:r>
          </w:p>
        </w:tc>
        <w:tc>
          <w:tcPr>
            <w:tcW w:w="0" w:type="auto"/>
          </w:tcPr>
          <w:p w14:paraId="05E1D2EE"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16.3</w:t>
            </w:r>
          </w:p>
        </w:tc>
      </w:tr>
      <w:tr w:rsidR="000C2868" w:rsidRPr="003E1083" w14:paraId="0696D2D6" w14:textId="77777777" w:rsidTr="000C2868">
        <w:trPr>
          <w:cnfStyle w:val="000000100000" w:firstRow="0" w:lastRow="0" w:firstColumn="0" w:lastColumn="0" w:oddVBand="0" w:evenVBand="0" w:oddHBand="1" w:evenHBand="0" w:firstRowFirstColumn="0" w:firstRowLastColumn="0" w:lastRowFirstColumn="0" w:lastRowLastColumn="0"/>
          <w:trHeight w:val="218"/>
          <w:jc w:val="center"/>
        </w:trPr>
        <w:tc>
          <w:tcPr>
            <w:cnfStyle w:val="000010000000" w:firstRow="0" w:lastRow="0" w:firstColumn="0" w:lastColumn="0" w:oddVBand="1" w:evenVBand="0" w:oddHBand="0" w:evenHBand="0" w:firstRowFirstColumn="0" w:firstRowLastColumn="0" w:lastRowFirstColumn="0" w:lastRowLastColumn="0"/>
            <w:tcW w:w="0" w:type="auto"/>
          </w:tcPr>
          <w:p w14:paraId="2FBFDEA7" w14:textId="77777777" w:rsidR="000C2868" w:rsidRPr="003E1083" w:rsidRDefault="000C2868" w:rsidP="000C2868">
            <w:pPr>
              <w:jc w:val="both"/>
              <w:rPr>
                <w:rFonts w:asciiTheme="minorHAnsi" w:hAnsiTheme="minorHAnsi"/>
                <w:sz w:val="18"/>
                <w:lang w:val="sq-AL"/>
              </w:rPr>
            </w:pPr>
            <w:r w:rsidRPr="003E1083">
              <w:rPr>
                <w:rFonts w:asciiTheme="minorHAnsi" w:hAnsiTheme="minorHAnsi"/>
                <w:sz w:val="18"/>
                <w:lang w:val="sq-AL"/>
              </w:rPr>
              <w:t>3.</w:t>
            </w:r>
          </w:p>
        </w:tc>
        <w:tc>
          <w:tcPr>
            <w:tcW w:w="0" w:type="auto"/>
          </w:tcPr>
          <w:p w14:paraId="6ECD6E61" w14:textId="77777777" w:rsidR="000C2868" w:rsidRPr="003E1083" w:rsidRDefault="000C2868" w:rsidP="000C286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Aktiviteti diplomatik dhe konsullor i MPJ</w:t>
            </w:r>
          </w:p>
        </w:tc>
        <w:tc>
          <w:tcPr>
            <w:cnfStyle w:val="000010000000" w:firstRow="0" w:lastRow="0" w:firstColumn="0" w:lastColumn="0" w:oddVBand="1" w:evenVBand="0" w:oddHBand="0" w:evenHBand="0" w:firstRowFirstColumn="0" w:firstRowLastColumn="0" w:lastRowFirstColumn="0" w:lastRowLastColumn="0"/>
            <w:tcW w:w="0" w:type="auto"/>
          </w:tcPr>
          <w:p w14:paraId="5A10648A"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245,500</w:t>
            </w:r>
          </w:p>
        </w:tc>
        <w:tc>
          <w:tcPr>
            <w:tcW w:w="0" w:type="auto"/>
          </w:tcPr>
          <w:p w14:paraId="41EDF227"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0</w:t>
            </w:r>
          </w:p>
        </w:tc>
        <w:tc>
          <w:tcPr>
            <w:cnfStyle w:val="000010000000" w:firstRow="0" w:lastRow="0" w:firstColumn="0" w:lastColumn="0" w:oddVBand="1" w:evenVBand="0" w:oddHBand="0" w:evenHBand="0" w:firstRowFirstColumn="0" w:firstRowLastColumn="0" w:lastRowFirstColumn="0" w:lastRowLastColumn="0"/>
            <w:tcW w:w="0" w:type="auto"/>
          </w:tcPr>
          <w:p w14:paraId="606F8AD9"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51,769</w:t>
            </w:r>
          </w:p>
        </w:tc>
        <w:tc>
          <w:tcPr>
            <w:tcW w:w="0" w:type="auto"/>
          </w:tcPr>
          <w:p w14:paraId="322E8804"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0</w:t>
            </w:r>
          </w:p>
        </w:tc>
        <w:tc>
          <w:tcPr>
            <w:cnfStyle w:val="000010000000" w:firstRow="0" w:lastRow="0" w:firstColumn="0" w:lastColumn="0" w:oddVBand="1" w:evenVBand="0" w:oddHBand="0" w:evenHBand="0" w:firstRowFirstColumn="0" w:firstRowLastColumn="0" w:lastRowFirstColumn="0" w:lastRowLastColumn="0"/>
            <w:tcW w:w="0" w:type="auto"/>
          </w:tcPr>
          <w:p w14:paraId="3E24CB7C" w14:textId="77777777" w:rsidR="000C2868" w:rsidRPr="003E1083" w:rsidRDefault="000C2868" w:rsidP="000C2868">
            <w:pPr>
              <w:jc w:val="center"/>
              <w:rPr>
                <w:rFonts w:asciiTheme="minorHAnsi" w:hAnsiTheme="minorHAnsi"/>
                <w:sz w:val="18"/>
                <w:lang w:val="sq-AL"/>
              </w:rPr>
            </w:pPr>
            <w:r w:rsidRPr="003E1083">
              <w:rPr>
                <w:rFonts w:asciiTheme="minorHAnsi" w:hAnsiTheme="minorHAnsi"/>
                <w:sz w:val="18"/>
                <w:lang w:val="sq-AL"/>
              </w:rPr>
              <w:t>21.1</w:t>
            </w:r>
          </w:p>
        </w:tc>
        <w:tc>
          <w:tcPr>
            <w:tcW w:w="0" w:type="auto"/>
          </w:tcPr>
          <w:p w14:paraId="249F1935" w14:textId="77777777" w:rsidR="000C2868" w:rsidRPr="003E1083" w:rsidRDefault="000C2868" w:rsidP="000C286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sz w:val="18"/>
                <w:lang w:val="sq-AL"/>
              </w:rPr>
            </w:pPr>
            <w:r w:rsidRPr="003E1083">
              <w:rPr>
                <w:rFonts w:asciiTheme="minorHAnsi" w:hAnsiTheme="minorHAnsi"/>
                <w:sz w:val="18"/>
                <w:lang w:val="sq-AL"/>
              </w:rPr>
              <w:t>21.1</w:t>
            </w:r>
          </w:p>
        </w:tc>
      </w:tr>
      <w:tr w:rsidR="000C2868" w:rsidRPr="003E1083" w14:paraId="3E33F086" w14:textId="77777777" w:rsidTr="000C2868">
        <w:trPr>
          <w:trHeight w:val="218"/>
          <w:jc w:val="center"/>
        </w:trPr>
        <w:tc>
          <w:tcPr>
            <w:cnfStyle w:val="000010000000" w:firstRow="0" w:lastRow="0" w:firstColumn="0" w:lastColumn="0" w:oddVBand="1" w:evenVBand="0" w:oddHBand="0" w:evenHBand="0" w:firstRowFirstColumn="0" w:firstRowLastColumn="0" w:lastRowFirstColumn="0" w:lastRowLastColumn="0"/>
            <w:tcW w:w="0" w:type="auto"/>
          </w:tcPr>
          <w:p w14:paraId="63230148" w14:textId="77777777" w:rsidR="000C2868" w:rsidRPr="003E1083" w:rsidRDefault="000C2868" w:rsidP="000C2868">
            <w:pPr>
              <w:jc w:val="both"/>
              <w:rPr>
                <w:rFonts w:asciiTheme="minorHAnsi" w:hAnsiTheme="minorHAnsi"/>
                <w:b/>
                <w:sz w:val="18"/>
                <w:lang w:val="sq-AL"/>
              </w:rPr>
            </w:pPr>
          </w:p>
        </w:tc>
        <w:tc>
          <w:tcPr>
            <w:tcW w:w="0" w:type="auto"/>
          </w:tcPr>
          <w:p w14:paraId="50F50112"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lang w:val="sq-AL"/>
              </w:rPr>
            </w:pPr>
            <w:r w:rsidRPr="003E1083">
              <w:rPr>
                <w:rFonts w:asciiTheme="minorHAnsi" w:hAnsiTheme="minorHAnsi"/>
                <w:b/>
                <w:sz w:val="18"/>
                <w:lang w:val="sq-AL"/>
              </w:rPr>
              <w:t>TOTAL</w:t>
            </w:r>
          </w:p>
        </w:tc>
        <w:tc>
          <w:tcPr>
            <w:cnfStyle w:val="000010000000" w:firstRow="0" w:lastRow="0" w:firstColumn="0" w:lastColumn="0" w:oddVBand="1" w:evenVBand="0" w:oddHBand="0" w:evenHBand="0" w:firstRowFirstColumn="0" w:firstRowLastColumn="0" w:lastRowFirstColumn="0" w:lastRowLastColumn="0"/>
            <w:tcW w:w="0" w:type="auto"/>
          </w:tcPr>
          <w:p w14:paraId="6236E82D" w14:textId="77777777" w:rsidR="000C2868" w:rsidRPr="003E1083" w:rsidRDefault="000C2868" w:rsidP="000C2868">
            <w:pPr>
              <w:jc w:val="center"/>
              <w:rPr>
                <w:rFonts w:asciiTheme="minorHAnsi" w:hAnsiTheme="minorHAnsi"/>
                <w:b/>
                <w:sz w:val="18"/>
                <w:lang w:val="sq-AL"/>
              </w:rPr>
            </w:pPr>
            <w:r w:rsidRPr="003E1083">
              <w:rPr>
                <w:rFonts w:asciiTheme="minorHAnsi" w:hAnsiTheme="minorHAnsi"/>
                <w:b/>
                <w:sz w:val="18"/>
                <w:lang w:val="sq-AL"/>
              </w:rPr>
              <w:t>3,036,149</w:t>
            </w:r>
          </w:p>
        </w:tc>
        <w:tc>
          <w:tcPr>
            <w:tcW w:w="0" w:type="auto"/>
          </w:tcPr>
          <w:p w14:paraId="6F7601FA"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lang w:val="sq-AL"/>
              </w:rPr>
            </w:pPr>
            <w:r w:rsidRPr="003E1083">
              <w:rPr>
                <w:rFonts w:asciiTheme="minorHAnsi" w:hAnsiTheme="minorHAnsi"/>
                <w:b/>
                <w:sz w:val="18"/>
                <w:lang w:val="sq-AL"/>
              </w:rPr>
              <w:t>52,999</w:t>
            </w:r>
          </w:p>
        </w:tc>
        <w:tc>
          <w:tcPr>
            <w:cnfStyle w:val="000010000000" w:firstRow="0" w:lastRow="0" w:firstColumn="0" w:lastColumn="0" w:oddVBand="1" w:evenVBand="0" w:oddHBand="0" w:evenHBand="0" w:firstRowFirstColumn="0" w:firstRowLastColumn="0" w:lastRowFirstColumn="0" w:lastRowLastColumn="0"/>
            <w:tcW w:w="0" w:type="auto"/>
          </w:tcPr>
          <w:p w14:paraId="1D36C8C9" w14:textId="77777777" w:rsidR="000C2868" w:rsidRPr="003E1083" w:rsidRDefault="000C2868" w:rsidP="000C2868">
            <w:pPr>
              <w:jc w:val="center"/>
              <w:rPr>
                <w:rFonts w:asciiTheme="minorHAnsi" w:hAnsiTheme="minorHAnsi"/>
                <w:b/>
                <w:sz w:val="18"/>
                <w:lang w:val="sq-AL"/>
              </w:rPr>
            </w:pPr>
            <w:r w:rsidRPr="003E1083">
              <w:rPr>
                <w:rFonts w:asciiTheme="minorHAnsi" w:hAnsiTheme="minorHAnsi"/>
                <w:b/>
                <w:sz w:val="18"/>
                <w:lang w:val="sq-AL"/>
              </w:rPr>
              <w:t>544,922</w:t>
            </w:r>
          </w:p>
        </w:tc>
        <w:tc>
          <w:tcPr>
            <w:tcW w:w="0" w:type="auto"/>
          </w:tcPr>
          <w:p w14:paraId="59C18F53"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lang w:val="sq-AL"/>
              </w:rPr>
            </w:pPr>
            <w:r w:rsidRPr="003E1083">
              <w:rPr>
                <w:rFonts w:asciiTheme="minorHAnsi" w:hAnsiTheme="minorHAnsi"/>
                <w:b/>
                <w:sz w:val="18"/>
                <w:lang w:val="sq-AL"/>
              </w:rPr>
              <w:t>21</w:t>
            </w:r>
          </w:p>
        </w:tc>
        <w:tc>
          <w:tcPr>
            <w:cnfStyle w:val="000010000000" w:firstRow="0" w:lastRow="0" w:firstColumn="0" w:lastColumn="0" w:oddVBand="1" w:evenVBand="0" w:oddHBand="0" w:evenHBand="0" w:firstRowFirstColumn="0" w:firstRowLastColumn="0" w:lastRowFirstColumn="0" w:lastRowLastColumn="0"/>
            <w:tcW w:w="0" w:type="auto"/>
          </w:tcPr>
          <w:p w14:paraId="71A447DA" w14:textId="77777777" w:rsidR="000C2868" w:rsidRPr="003E1083" w:rsidRDefault="000C2868" w:rsidP="000C2868">
            <w:pPr>
              <w:jc w:val="center"/>
              <w:rPr>
                <w:rFonts w:asciiTheme="minorHAnsi" w:hAnsiTheme="minorHAnsi"/>
                <w:b/>
                <w:sz w:val="18"/>
                <w:lang w:val="sq-AL"/>
              </w:rPr>
            </w:pPr>
            <w:r w:rsidRPr="003E1083">
              <w:rPr>
                <w:rFonts w:asciiTheme="minorHAnsi" w:hAnsiTheme="minorHAnsi"/>
                <w:b/>
                <w:sz w:val="18"/>
                <w:lang w:val="sq-AL"/>
              </w:rPr>
              <w:t>17.9</w:t>
            </w:r>
          </w:p>
        </w:tc>
        <w:tc>
          <w:tcPr>
            <w:tcW w:w="0" w:type="auto"/>
          </w:tcPr>
          <w:p w14:paraId="46657B31" w14:textId="77777777" w:rsidR="000C2868" w:rsidRPr="003E1083" w:rsidRDefault="000C2868" w:rsidP="000C286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8"/>
                <w:lang w:val="sq-AL"/>
              </w:rPr>
            </w:pPr>
            <w:r w:rsidRPr="003E1083">
              <w:rPr>
                <w:rFonts w:asciiTheme="minorHAnsi" w:hAnsiTheme="minorHAnsi"/>
                <w:b/>
                <w:sz w:val="18"/>
                <w:lang w:val="sq-AL"/>
              </w:rPr>
              <w:t>17.6</w:t>
            </w:r>
          </w:p>
        </w:tc>
      </w:tr>
    </w:tbl>
    <w:p w14:paraId="699F29D5" w14:textId="77777777" w:rsidR="000C2868" w:rsidRPr="003E1083" w:rsidRDefault="000C2868" w:rsidP="000C2868">
      <w:pPr>
        <w:jc w:val="center"/>
        <w:rPr>
          <w:rFonts w:asciiTheme="minorHAnsi" w:hAnsiTheme="minorHAnsi"/>
          <w:noProof/>
          <w:sz w:val="16"/>
          <w:lang w:val="sq-AL"/>
        </w:rPr>
      </w:pPr>
    </w:p>
    <w:p w14:paraId="1A14B276" w14:textId="77777777" w:rsidR="000C2868" w:rsidRDefault="000C2868" w:rsidP="000C2868">
      <w:pPr>
        <w:jc w:val="both"/>
        <w:rPr>
          <w:rFonts w:asciiTheme="minorHAnsi" w:hAnsiTheme="minorHAnsi"/>
          <w:noProof/>
          <w:lang w:val="sq-AL"/>
        </w:rPr>
      </w:pPr>
    </w:p>
    <w:p w14:paraId="270F29CB" w14:textId="77777777" w:rsidR="000C2868" w:rsidRPr="003E1083" w:rsidRDefault="000C2868" w:rsidP="000C2868">
      <w:pPr>
        <w:jc w:val="both"/>
        <w:rPr>
          <w:rFonts w:asciiTheme="minorHAnsi" w:hAnsiTheme="minorHAnsi"/>
          <w:noProof/>
          <w:lang w:val="sq-AL"/>
        </w:rPr>
      </w:pPr>
      <w:r w:rsidRPr="003E1083">
        <w:rPr>
          <w:rFonts w:asciiTheme="minorHAnsi" w:hAnsiTheme="minorHAnsi"/>
          <w:noProof/>
          <w:lang w:val="sq-AL"/>
        </w:rPr>
        <w:t>Programi “</w:t>
      </w:r>
      <w:r w:rsidRPr="003E1083">
        <w:rPr>
          <w:rFonts w:asciiTheme="minorHAnsi" w:hAnsiTheme="minorHAnsi"/>
          <w:b/>
          <w:noProof/>
          <w:lang w:val="sq-AL"/>
        </w:rPr>
        <w:t>Mbështetje diplomatike jashtë vendit</w:t>
      </w:r>
      <w:r w:rsidRPr="003E1083">
        <w:rPr>
          <w:rFonts w:asciiTheme="minorHAnsi" w:hAnsiTheme="minorHAnsi"/>
          <w:noProof/>
          <w:lang w:val="sq-AL"/>
        </w:rPr>
        <w:t xml:space="preserve">”, </w:t>
      </w:r>
      <w:r w:rsidRPr="00551974">
        <w:rPr>
          <w:rFonts w:asciiTheme="minorHAnsi" w:hAnsiTheme="minorHAnsi"/>
          <w:i/>
          <w:noProof/>
          <w:lang w:val="sq-AL"/>
        </w:rPr>
        <w:t>zhvillon aktivitetet që synojnë nxitjen dhe zhvillimin e marrëdhënieve të bashkëpunimit të gjithanshëm, mbrojtjen dhe avancimin e interesave kombëtare dhe përkujdesin ndaj qytetarëve shqiptar kudo ata ndodhen</w:t>
      </w:r>
      <w:r w:rsidRPr="003E1083">
        <w:rPr>
          <w:rFonts w:asciiTheme="minorHAnsi" w:hAnsiTheme="minorHAnsi"/>
          <w:noProof/>
          <w:lang w:val="sq-AL"/>
        </w:rPr>
        <w:t xml:space="preserve">. </w:t>
      </w:r>
      <w:r w:rsidRPr="003E1083">
        <w:rPr>
          <w:rFonts w:asciiTheme="minorHAnsi" w:hAnsiTheme="minorHAnsi"/>
          <w:lang w:val="sq-AL"/>
        </w:rPr>
        <w:t xml:space="preserve">Në këtë program janë realizuar disa produkte me kosto faktike 412 milionë lekë. Ndër produktet kryesore përmendim: </w:t>
      </w:r>
    </w:p>
    <w:p w14:paraId="0BC30AD2" w14:textId="77777777" w:rsidR="000C2868" w:rsidRPr="003E1083" w:rsidRDefault="000C2868" w:rsidP="00056DE5">
      <w:pPr>
        <w:numPr>
          <w:ilvl w:val="0"/>
          <w:numId w:val="67"/>
        </w:numPr>
        <w:contextualSpacing/>
        <w:jc w:val="both"/>
        <w:rPr>
          <w:rFonts w:asciiTheme="minorHAnsi" w:hAnsiTheme="minorHAnsi"/>
          <w:i/>
          <w:lang w:val="sq-AL"/>
        </w:rPr>
      </w:pPr>
      <w:r w:rsidRPr="003E1083">
        <w:rPr>
          <w:rFonts w:asciiTheme="minorHAnsi" w:hAnsiTheme="minorHAnsi"/>
          <w:i/>
          <w:lang w:val="sq-AL"/>
        </w:rPr>
        <w:t>“Mbështetja e përfaqësive diplomatike dhe konsullore me personel dhe kushte të përshtatshme pune dhe jetese”, për 60 nga 364 punonjës të planifikuar.</w:t>
      </w:r>
    </w:p>
    <w:p w14:paraId="5482C4FF" w14:textId="77777777" w:rsidR="000C2868" w:rsidRPr="003E1083" w:rsidRDefault="000C2868" w:rsidP="00056DE5">
      <w:pPr>
        <w:numPr>
          <w:ilvl w:val="0"/>
          <w:numId w:val="67"/>
        </w:numPr>
        <w:contextualSpacing/>
        <w:jc w:val="both"/>
        <w:rPr>
          <w:rFonts w:asciiTheme="minorHAnsi" w:hAnsiTheme="minorHAnsi"/>
          <w:i/>
          <w:lang w:val="sq-AL"/>
        </w:rPr>
      </w:pPr>
      <w:r w:rsidRPr="003E1083">
        <w:rPr>
          <w:rFonts w:asciiTheme="minorHAnsi" w:hAnsiTheme="minorHAnsi"/>
          <w:i/>
          <w:lang w:val="sq-AL"/>
        </w:rPr>
        <w:t>“Kuota ndërkombëtare” është kryer pagesa për 17 kuota nga 53 të planifikuara, ku vendi ynë është palë si detyrimet ndaj Organizatës së Kombeve të Bashkuara; Misioneve Paqeruajtëse; Frankofonisë; ANEA; UNIDO; UNESCO; Këshilli i Evropës, NATO; OSBE</w:t>
      </w:r>
      <w:r>
        <w:rPr>
          <w:rFonts w:asciiTheme="minorHAnsi" w:hAnsiTheme="minorHAnsi"/>
          <w:i/>
          <w:lang w:val="sq-AL"/>
        </w:rPr>
        <w:t xml:space="preserve">, </w:t>
      </w:r>
      <w:r w:rsidRPr="003E1083">
        <w:rPr>
          <w:rFonts w:asciiTheme="minorHAnsi" w:hAnsiTheme="minorHAnsi"/>
          <w:i/>
          <w:lang w:val="sq-AL"/>
        </w:rPr>
        <w:t>etj.</w:t>
      </w:r>
      <w:bookmarkStart w:id="231" w:name="_Toc515271231"/>
      <w:bookmarkEnd w:id="231"/>
    </w:p>
    <w:p w14:paraId="37CC5902" w14:textId="77777777" w:rsidR="000C2868" w:rsidRPr="00A0431A" w:rsidRDefault="000C2868" w:rsidP="000C2868">
      <w:pPr>
        <w:contextualSpacing/>
        <w:jc w:val="both"/>
        <w:rPr>
          <w:rFonts w:asciiTheme="minorHAnsi" w:hAnsiTheme="minorHAnsi"/>
          <w:sz w:val="12"/>
          <w:lang w:val="sq-AL"/>
        </w:rPr>
      </w:pPr>
    </w:p>
    <w:p w14:paraId="357F6A8F" w14:textId="77777777" w:rsidR="000C2868" w:rsidRPr="003E1083" w:rsidRDefault="000C2868" w:rsidP="000C2868">
      <w:pPr>
        <w:jc w:val="both"/>
        <w:rPr>
          <w:rFonts w:asciiTheme="minorHAnsi" w:hAnsiTheme="minorHAnsi"/>
          <w:noProof/>
          <w:lang w:val="sq-AL"/>
        </w:rPr>
      </w:pPr>
      <w:r w:rsidRPr="003E1083">
        <w:rPr>
          <w:rFonts w:asciiTheme="minorHAnsi" w:hAnsiTheme="minorHAnsi"/>
          <w:noProof/>
          <w:lang w:val="sq-AL"/>
        </w:rPr>
        <w:t>Programi “</w:t>
      </w:r>
      <w:r w:rsidRPr="003E1083">
        <w:rPr>
          <w:rFonts w:asciiTheme="minorHAnsi" w:hAnsiTheme="minorHAnsi"/>
          <w:b/>
          <w:noProof/>
          <w:lang w:val="sq-AL"/>
        </w:rPr>
        <w:t>Aktiviteti diplomatik dhe konsullor</w:t>
      </w:r>
      <w:r w:rsidRPr="003E1083">
        <w:rPr>
          <w:rFonts w:asciiTheme="minorHAnsi" w:hAnsiTheme="minorHAnsi"/>
          <w:noProof/>
          <w:lang w:val="sq-AL"/>
        </w:rPr>
        <w:t xml:space="preserve">” ka për qëllim: </w:t>
      </w:r>
    </w:p>
    <w:p w14:paraId="7427B8B4" w14:textId="77777777" w:rsidR="000C2868" w:rsidRPr="003E1083" w:rsidRDefault="000C2868" w:rsidP="000C2868">
      <w:pPr>
        <w:jc w:val="both"/>
        <w:rPr>
          <w:rFonts w:asciiTheme="minorHAnsi" w:hAnsiTheme="minorHAnsi"/>
          <w:lang w:val="sq-AL"/>
        </w:rPr>
      </w:pPr>
      <w:r w:rsidRPr="00551974">
        <w:rPr>
          <w:rFonts w:asciiTheme="minorHAnsi" w:hAnsiTheme="minorHAnsi"/>
          <w:i/>
          <w:lang w:val="sq-AL"/>
        </w:rPr>
        <w:t>Avancimin e procesit te integrimit evropian të vendit përmes hapjes dhe zhvillimit të negociatave për anëtarësim në BE. Zhvillimi dhe forcimi i marrëdhënieve dypalëshe në partnerët strategjik, vendet e rajonit, përfshirë kosovën, vendet mike dhe aleate.</w:t>
      </w:r>
      <w:r w:rsidRPr="003E1083">
        <w:rPr>
          <w:rFonts w:asciiTheme="minorHAnsi" w:hAnsiTheme="minorHAnsi"/>
          <w:lang w:val="sq-AL"/>
        </w:rPr>
        <w:t xml:space="preserve"> Në këtë program janë realizuar disa produkte me kosto faktike 52 milionë lekë, ku përmendim: </w:t>
      </w:r>
    </w:p>
    <w:p w14:paraId="32E5B98B" w14:textId="77777777" w:rsidR="000C2868" w:rsidRPr="003E1083" w:rsidRDefault="000C2868" w:rsidP="00056DE5">
      <w:pPr>
        <w:numPr>
          <w:ilvl w:val="0"/>
          <w:numId w:val="67"/>
        </w:numPr>
        <w:contextualSpacing/>
        <w:jc w:val="both"/>
        <w:rPr>
          <w:rFonts w:asciiTheme="minorHAnsi" w:hAnsiTheme="minorHAnsi"/>
          <w:i/>
          <w:lang w:val="sq-AL"/>
        </w:rPr>
      </w:pPr>
      <w:r w:rsidRPr="003E1083">
        <w:rPr>
          <w:rFonts w:asciiTheme="minorHAnsi" w:hAnsiTheme="minorHAnsi"/>
          <w:i/>
          <w:lang w:val="sq-AL"/>
        </w:rPr>
        <w:t xml:space="preserve">Janë hartuar 6 nga 24 akte ligjore dhe nënligjore të planifikuara në kuadër të intensifikimit të punës, përpjekjeve dhe koordinimit ndërinstitucional në procesin e përmbushjes së detyrimeve për hapjen e negociatave të anëtarësimit në BE </w:t>
      </w:r>
    </w:p>
    <w:p w14:paraId="320BCF8E" w14:textId="77777777" w:rsidR="000C2868" w:rsidRPr="003E1083" w:rsidRDefault="000C2868" w:rsidP="00056DE5">
      <w:pPr>
        <w:numPr>
          <w:ilvl w:val="0"/>
          <w:numId w:val="67"/>
        </w:numPr>
        <w:contextualSpacing/>
        <w:jc w:val="both"/>
        <w:rPr>
          <w:rFonts w:asciiTheme="minorHAnsi" w:hAnsiTheme="minorHAnsi"/>
          <w:i/>
          <w:lang w:val="sq-AL"/>
        </w:rPr>
      </w:pPr>
      <w:r w:rsidRPr="003E1083">
        <w:rPr>
          <w:rFonts w:asciiTheme="minorHAnsi" w:hAnsiTheme="minorHAnsi"/>
          <w:i/>
          <w:lang w:val="sq-AL"/>
        </w:rPr>
        <w:t>Janë zhvilluar gjithashtu takime dypalëshe dhe shumëpalëshe, në kuadër të zhvillimit dhe forcimit të marrëdhënieve me partnerë strategjik, vendet e rajonit si dhe si dhe rritjen e rolit të Shqipërisë në organizatat rajonale dhe ndërkombëtare përfshirë këtu edhe në Këshillin e Sigurimit në OKB me një peridicitet 1-3 herë në muaj.</w:t>
      </w:r>
    </w:p>
    <w:p w14:paraId="0A264E0F" w14:textId="77777777" w:rsidR="000C2868" w:rsidRPr="00595047" w:rsidRDefault="000C2868" w:rsidP="000C2868">
      <w:pPr>
        <w:ind w:left="780"/>
        <w:contextualSpacing/>
        <w:jc w:val="both"/>
        <w:rPr>
          <w:rFonts w:asciiTheme="minorHAnsi" w:hAnsiTheme="minorHAnsi"/>
          <w:i/>
          <w:lang w:val="sq-AL"/>
        </w:rPr>
      </w:pPr>
    </w:p>
    <w:p w14:paraId="525FACE2" w14:textId="09DF2ACB" w:rsidR="00A0431A" w:rsidRDefault="00A0431A" w:rsidP="009647C4">
      <w:pPr>
        <w:ind w:left="720"/>
        <w:jc w:val="both"/>
        <w:rPr>
          <w:rFonts w:asciiTheme="minorHAnsi" w:hAnsiTheme="minorHAnsi"/>
          <w:bCs/>
          <w:iCs/>
          <w:color w:val="00000A"/>
          <w:lang w:val="sq-AL"/>
        </w:rPr>
      </w:pPr>
    </w:p>
    <w:p w14:paraId="517963B2" w14:textId="7C520067" w:rsidR="00A0431A" w:rsidRDefault="00A0431A" w:rsidP="009647C4">
      <w:pPr>
        <w:ind w:left="720"/>
        <w:jc w:val="both"/>
        <w:rPr>
          <w:rFonts w:asciiTheme="minorHAnsi" w:hAnsiTheme="minorHAnsi"/>
          <w:bCs/>
          <w:iCs/>
          <w:color w:val="00000A"/>
          <w:lang w:val="sq-AL"/>
        </w:rPr>
      </w:pPr>
    </w:p>
    <w:p w14:paraId="70E66068" w14:textId="686DE86A" w:rsidR="00A0431A" w:rsidRDefault="00A0431A" w:rsidP="009647C4">
      <w:pPr>
        <w:ind w:left="720"/>
        <w:jc w:val="both"/>
        <w:rPr>
          <w:rFonts w:asciiTheme="minorHAnsi" w:hAnsiTheme="minorHAnsi"/>
          <w:bCs/>
          <w:iCs/>
          <w:color w:val="00000A"/>
          <w:lang w:val="sq-AL"/>
        </w:rPr>
      </w:pPr>
    </w:p>
    <w:p w14:paraId="5B7A0A7D" w14:textId="42C18A0A" w:rsidR="00A0431A" w:rsidRDefault="00A0431A" w:rsidP="009647C4">
      <w:pPr>
        <w:ind w:left="720"/>
        <w:jc w:val="both"/>
        <w:rPr>
          <w:rFonts w:asciiTheme="minorHAnsi" w:hAnsiTheme="minorHAnsi"/>
          <w:bCs/>
          <w:iCs/>
          <w:color w:val="00000A"/>
          <w:lang w:val="sq-AL"/>
        </w:rPr>
      </w:pPr>
    </w:p>
    <w:p w14:paraId="15D9867D" w14:textId="01703AC6" w:rsidR="00A0431A" w:rsidRDefault="00A0431A" w:rsidP="009647C4">
      <w:pPr>
        <w:ind w:left="720"/>
        <w:jc w:val="both"/>
        <w:rPr>
          <w:rFonts w:asciiTheme="minorHAnsi" w:hAnsiTheme="minorHAnsi"/>
          <w:bCs/>
          <w:iCs/>
          <w:color w:val="00000A"/>
          <w:lang w:val="sq-AL"/>
        </w:rPr>
      </w:pPr>
    </w:p>
    <w:p w14:paraId="498B76BA" w14:textId="7B19BD3D" w:rsidR="00A0431A" w:rsidRDefault="00A0431A" w:rsidP="009647C4">
      <w:pPr>
        <w:ind w:left="720"/>
        <w:jc w:val="both"/>
        <w:rPr>
          <w:rFonts w:asciiTheme="minorHAnsi" w:hAnsiTheme="minorHAnsi"/>
          <w:bCs/>
          <w:iCs/>
          <w:color w:val="00000A"/>
          <w:lang w:val="sq-AL"/>
        </w:rPr>
      </w:pPr>
    </w:p>
    <w:p w14:paraId="257DC114" w14:textId="4B1CEF0E" w:rsidR="00A0431A" w:rsidRDefault="00A0431A" w:rsidP="009647C4">
      <w:pPr>
        <w:ind w:left="720"/>
        <w:jc w:val="both"/>
        <w:rPr>
          <w:rFonts w:asciiTheme="minorHAnsi" w:hAnsiTheme="minorHAnsi"/>
          <w:bCs/>
          <w:iCs/>
          <w:color w:val="00000A"/>
          <w:lang w:val="sq-AL"/>
        </w:rPr>
      </w:pPr>
    </w:p>
    <w:p w14:paraId="300BBA50" w14:textId="382BB1CD" w:rsidR="00A0431A" w:rsidRDefault="00A0431A" w:rsidP="009647C4">
      <w:pPr>
        <w:ind w:left="720"/>
        <w:jc w:val="both"/>
        <w:rPr>
          <w:rFonts w:asciiTheme="minorHAnsi" w:hAnsiTheme="minorHAnsi"/>
          <w:bCs/>
          <w:iCs/>
          <w:color w:val="00000A"/>
          <w:lang w:val="sq-AL"/>
        </w:rPr>
      </w:pPr>
    </w:p>
    <w:p w14:paraId="7F50D9FD" w14:textId="6600B9A3" w:rsidR="00A0431A" w:rsidRDefault="00A0431A" w:rsidP="009647C4">
      <w:pPr>
        <w:ind w:left="720"/>
        <w:jc w:val="both"/>
        <w:rPr>
          <w:rFonts w:asciiTheme="minorHAnsi" w:hAnsiTheme="minorHAnsi"/>
          <w:bCs/>
          <w:iCs/>
          <w:color w:val="00000A"/>
          <w:lang w:val="sq-AL"/>
        </w:rPr>
      </w:pPr>
    </w:p>
    <w:p w14:paraId="44DE7DB4" w14:textId="2F897C56" w:rsidR="00A0431A" w:rsidRDefault="00A0431A" w:rsidP="009647C4">
      <w:pPr>
        <w:ind w:left="720"/>
        <w:jc w:val="both"/>
        <w:rPr>
          <w:rFonts w:asciiTheme="minorHAnsi" w:hAnsiTheme="minorHAnsi"/>
          <w:bCs/>
          <w:iCs/>
          <w:color w:val="00000A"/>
          <w:lang w:val="sq-AL"/>
        </w:rPr>
      </w:pPr>
    </w:p>
    <w:p w14:paraId="4873BA65" w14:textId="676A2944" w:rsidR="00A0431A" w:rsidRDefault="00A0431A" w:rsidP="009647C4">
      <w:pPr>
        <w:ind w:left="720"/>
        <w:jc w:val="both"/>
        <w:rPr>
          <w:rFonts w:asciiTheme="minorHAnsi" w:hAnsiTheme="minorHAnsi"/>
          <w:bCs/>
          <w:iCs/>
          <w:color w:val="00000A"/>
          <w:lang w:val="sq-AL"/>
        </w:rPr>
      </w:pPr>
    </w:p>
    <w:p w14:paraId="58DE1DB7" w14:textId="6AEDCBB9" w:rsidR="00150012" w:rsidRPr="00FA4974" w:rsidRDefault="00150012" w:rsidP="00056DE5">
      <w:pPr>
        <w:pStyle w:val="Heading2"/>
        <w:numPr>
          <w:ilvl w:val="0"/>
          <w:numId w:val="35"/>
        </w:numPr>
        <w:ind w:left="360"/>
        <w:rPr>
          <w:sz w:val="26"/>
          <w:szCs w:val="26"/>
        </w:rPr>
      </w:pPr>
      <w:bookmarkStart w:id="232" w:name="_Toc107497010"/>
      <w:r w:rsidRPr="00FA4974">
        <w:rPr>
          <w:sz w:val="26"/>
          <w:szCs w:val="26"/>
        </w:rPr>
        <w:lastRenderedPageBreak/>
        <w:t>Ecuria e detajuar e projekteve t</w:t>
      </w:r>
      <w:r w:rsidR="000E73FC" w:rsidRPr="00FA4974">
        <w:rPr>
          <w:sz w:val="26"/>
          <w:szCs w:val="26"/>
        </w:rPr>
        <w:t>ë</w:t>
      </w:r>
      <w:r w:rsidRPr="00FA4974">
        <w:rPr>
          <w:sz w:val="26"/>
          <w:szCs w:val="26"/>
        </w:rPr>
        <w:t xml:space="preserve"> </w:t>
      </w:r>
      <w:r w:rsidR="00176D77" w:rsidRPr="00FA4974">
        <w:rPr>
          <w:sz w:val="26"/>
          <w:szCs w:val="26"/>
        </w:rPr>
        <w:t>investimeve publike, gjatë J</w:t>
      </w:r>
      <w:r w:rsidRPr="00FA4974">
        <w:rPr>
          <w:sz w:val="26"/>
          <w:szCs w:val="26"/>
        </w:rPr>
        <w:t>anar-</w:t>
      </w:r>
      <w:r w:rsidR="00176D77" w:rsidRPr="00FA4974">
        <w:rPr>
          <w:sz w:val="26"/>
          <w:szCs w:val="26"/>
        </w:rPr>
        <w:t>M</w:t>
      </w:r>
      <w:r w:rsidRPr="00FA4974">
        <w:rPr>
          <w:sz w:val="26"/>
          <w:szCs w:val="26"/>
        </w:rPr>
        <w:t>aj 20</w:t>
      </w:r>
      <w:r w:rsidR="000909B0" w:rsidRPr="00FA4974">
        <w:rPr>
          <w:sz w:val="26"/>
          <w:szCs w:val="26"/>
        </w:rPr>
        <w:t>2</w:t>
      </w:r>
      <w:bookmarkEnd w:id="232"/>
      <w:r w:rsidR="00A0431A">
        <w:rPr>
          <w:sz w:val="26"/>
          <w:szCs w:val="26"/>
        </w:rPr>
        <w:t>3</w:t>
      </w:r>
    </w:p>
    <w:p w14:paraId="0F364772" w14:textId="77777777" w:rsidR="009D47E7" w:rsidRDefault="009D47E7" w:rsidP="009647C4">
      <w:pPr>
        <w:jc w:val="both"/>
        <w:rPr>
          <w:rFonts w:asciiTheme="minorHAnsi" w:hAnsiTheme="minorHAnsi"/>
          <w:noProof/>
          <w:lang w:val="sq-AL"/>
        </w:rPr>
      </w:pPr>
      <w:r w:rsidRPr="00461A59">
        <w:rPr>
          <w:rFonts w:asciiTheme="minorHAnsi" w:hAnsiTheme="minorHAnsi"/>
          <w:bCs/>
          <w:noProof/>
          <w:lang w:val="sq-AL"/>
        </w:rPr>
        <w:t>Ecuria e investimeve publike për 5-mujorin e parë të vitit 2023 paraqitet në të njëjtat nivele me vitet e mëparshme për të njëjtën periudhë raportimi. Realizimi për Financimin e Brendshëm paraqitet më i lartë krahasuar me të njëjtën periudhë raportimi, ndërkohë që Financimi i Huaj paraqitet ndjeshëm më i ulët se vitet e kaluara dhe realizimi i ulët lidhet kryesisht me mosrealizimet nga grantet.</w:t>
      </w:r>
      <w:r w:rsidRPr="00461A59">
        <w:rPr>
          <w:rFonts w:asciiTheme="minorHAnsi" w:hAnsiTheme="minorHAnsi"/>
          <w:noProof/>
          <w:lang w:val="sq-AL"/>
        </w:rPr>
        <w:t xml:space="preserve"> Një pjesë e mirëe shpenizmeve për projekte investimi është akorduar për projekte të reja të cilat fillojnë gjatë vitit 2023 dhe për të cilat janë duke u kryer procedurat e prokurimit. </w:t>
      </w:r>
    </w:p>
    <w:p w14:paraId="3C78CF5A" w14:textId="5E737AAE" w:rsidR="009D47E7" w:rsidRDefault="009D47E7" w:rsidP="009D47E7">
      <w:pPr>
        <w:spacing w:before="120"/>
        <w:jc w:val="both"/>
        <w:rPr>
          <w:rFonts w:asciiTheme="minorHAnsi" w:hAnsiTheme="minorHAnsi"/>
          <w:bCs/>
          <w:noProof/>
          <w:lang w:val="sq-AL"/>
        </w:rPr>
      </w:pPr>
      <w:r w:rsidRPr="00461A59">
        <w:rPr>
          <w:rFonts w:asciiTheme="minorHAnsi" w:hAnsiTheme="minorHAnsi"/>
          <w:bCs/>
          <w:noProof/>
          <w:lang w:val="sq-AL"/>
        </w:rPr>
        <w:t xml:space="preserve">Nga ministritë e linjës pavarësisht realizimit të deritanishëm është raportuar se  deri në fund të vitit do të kryhen të gjitha procedurat e prokurimit dhe do të vijohet normalisht me realizimin e fondeve për projektet e investimeve për financimin e brendshëm. Ndërkohë Financimi i Huaj mund të paraqesë disa problematika mosrealizimi dhe kryesisht ato me burim financimi grante. Deri në fund të muajit Maj 2023 janë raportuar disa kontrata për projekte investimi të përfunduara. Ndërkohë, po vijohet me zbatimin e kontratave për projektet e investimeve të parashikuara për vitin 2023. Numri më i lartë i kontratave për projektet e investimit të përfunduara i takon Ministrisë së Infrastrukturës dhe Energjisë dhe konkretisht projektet në Infrastrukturë. </w:t>
      </w:r>
    </w:p>
    <w:p w14:paraId="426F0BE1" w14:textId="19C1D799" w:rsidR="009640B4" w:rsidRDefault="009D47E7" w:rsidP="009D47E7">
      <w:pPr>
        <w:spacing w:before="120"/>
        <w:jc w:val="both"/>
        <w:rPr>
          <w:rFonts w:asciiTheme="minorHAnsi" w:hAnsiTheme="minorHAnsi"/>
          <w:bCs/>
          <w:lang w:val="sq-AL"/>
        </w:rPr>
      </w:pPr>
      <w:r w:rsidRPr="00461A59">
        <w:rPr>
          <w:rFonts w:asciiTheme="minorHAnsi" w:hAnsiTheme="minorHAnsi"/>
          <w:bCs/>
          <w:noProof/>
          <w:lang w:val="sq-AL"/>
        </w:rPr>
        <w:t>Më poshtë paraqitet shkurtimisht projektet kryesore të financuara deri në fund të muajit Maj  dhe projektet kryesore të përfunduara nga ministritë e linjës</w:t>
      </w:r>
      <w:r w:rsidR="009640B4" w:rsidRPr="005678D0">
        <w:rPr>
          <w:rFonts w:asciiTheme="minorHAnsi" w:hAnsiTheme="minorHAnsi"/>
          <w:bCs/>
          <w:lang w:val="sq-AL"/>
        </w:rPr>
        <w:t>.</w:t>
      </w:r>
    </w:p>
    <w:p w14:paraId="39279AEB" w14:textId="77777777" w:rsidR="00E0196D" w:rsidRPr="00E0196D" w:rsidRDefault="00E0196D" w:rsidP="006F25E7">
      <w:pPr>
        <w:spacing w:line="276" w:lineRule="auto"/>
        <w:jc w:val="both"/>
        <w:rPr>
          <w:rFonts w:asciiTheme="minorHAnsi" w:hAnsiTheme="minorHAnsi"/>
          <w:bCs/>
          <w:sz w:val="12"/>
          <w:lang w:val="sq-AL"/>
        </w:rPr>
      </w:pPr>
    </w:p>
    <w:p w14:paraId="3F6EFD97" w14:textId="77777777" w:rsidR="009640B4" w:rsidRPr="009647C4" w:rsidRDefault="009640B4" w:rsidP="006F25E7">
      <w:pPr>
        <w:spacing w:before="240" w:line="276" w:lineRule="auto"/>
        <w:jc w:val="both"/>
        <w:rPr>
          <w:rFonts w:asciiTheme="minorHAnsi" w:hAnsiTheme="minorHAnsi"/>
          <w:b/>
          <w:color w:val="0070C0"/>
          <w:lang w:val="sq-AL"/>
        </w:rPr>
      </w:pPr>
      <w:r w:rsidRPr="009647C4">
        <w:rPr>
          <w:rFonts w:asciiTheme="minorHAnsi" w:hAnsiTheme="minorHAnsi"/>
          <w:b/>
          <w:color w:val="0070C0"/>
          <w:lang w:val="sq-AL"/>
        </w:rPr>
        <w:t>Ministria e Bujqësisë dhe Zhvillimit Rural</w:t>
      </w:r>
    </w:p>
    <w:p w14:paraId="62805140" w14:textId="1FC14CCC" w:rsidR="00523BC9" w:rsidRPr="00F324D8" w:rsidRDefault="00523BC9" w:rsidP="00056DE5">
      <w:pPr>
        <w:pStyle w:val="ListParagraph"/>
        <w:numPr>
          <w:ilvl w:val="0"/>
          <w:numId w:val="39"/>
        </w:numPr>
        <w:spacing w:before="120"/>
        <w:jc w:val="both"/>
        <w:rPr>
          <w:rFonts w:asciiTheme="minorHAnsi" w:hAnsiTheme="minorHAnsi" w:cstheme="minorHAnsi"/>
          <w:bCs/>
          <w:noProof/>
          <w:lang w:val="sq-AL"/>
        </w:rPr>
      </w:pPr>
      <w:r w:rsidRPr="00F324D8">
        <w:rPr>
          <w:rFonts w:asciiTheme="minorHAnsi" w:hAnsiTheme="minorHAnsi" w:cstheme="minorHAnsi"/>
          <w:bCs/>
          <w:noProof/>
          <w:lang w:val="sq-AL"/>
        </w:rPr>
        <w:t>Për projektet me financim të brendshëm, realizimi për 5</w:t>
      </w:r>
      <w:r w:rsidR="0098410A">
        <w:rPr>
          <w:rFonts w:asciiTheme="minorHAnsi" w:hAnsiTheme="minorHAnsi" w:cstheme="minorHAnsi"/>
          <w:bCs/>
          <w:noProof/>
          <w:lang w:val="sq-AL"/>
        </w:rPr>
        <w:t>M</w:t>
      </w:r>
      <w:r w:rsidRPr="00F324D8">
        <w:rPr>
          <w:rFonts w:asciiTheme="minorHAnsi" w:hAnsiTheme="minorHAnsi" w:cstheme="minorHAnsi"/>
          <w:bCs/>
          <w:noProof/>
          <w:lang w:val="sq-AL"/>
        </w:rPr>
        <w:t xml:space="preserve"> 2023 është 13.8% </w:t>
      </w:r>
      <w:r w:rsidR="0098410A">
        <w:rPr>
          <w:rFonts w:asciiTheme="minorHAnsi" w:hAnsiTheme="minorHAnsi" w:cstheme="minorHAnsi"/>
          <w:bCs/>
          <w:noProof/>
          <w:lang w:val="sq-AL"/>
        </w:rPr>
        <w:t>e</w:t>
      </w:r>
      <w:r w:rsidRPr="00F324D8">
        <w:rPr>
          <w:rFonts w:asciiTheme="minorHAnsi" w:hAnsiTheme="minorHAnsi" w:cstheme="minorHAnsi"/>
          <w:bCs/>
          <w:noProof/>
          <w:lang w:val="sq-AL"/>
        </w:rPr>
        <w:t xml:space="preserve"> buxhetit fillestar </w:t>
      </w:r>
      <w:r w:rsidR="0098410A">
        <w:rPr>
          <w:rFonts w:asciiTheme="minorHAnsi" w:hAnsiTheme="minorHAnsi" w:cstheme="minorHAnsi"/>
          <w:bCs/>
          <w:noProof/>
          <w:lang w:val="sq-AL"/>
        </w:rPr>
        <w:t>ose</w:t>
      </w:r>
      <w:r w:rsidRPr="00F324D8">
        <w:rPr>
          <w:rFonts w:asciiTheme="minorHAnsi" w:hAnsiTheme="minorHAnsi" w:cstheme="minorHAnsi"/>
          <w:bCs/>
          <w:noProof/>
          <w:lang w:val="sq-AL"/>
        </w:rPr>
        <w:t xml:space="preserve"> 436 milionë lekë. Për projektet me financim të huaj realizimi është 7.6% e buxhetit fillestar </w:t>
      </w:r>
      <w:r w:rsidR="0098410A">
        <w:rPr>
          <w:rFonts w:asciiTheme="minorHAnsi" w:hAnsiTheme="minorHAnsi" w:cstheme="minorHAnsi"/>
          <w:bCs/>
          <w:noProof/>
          <w:lang w:val="sq-AL"/>
        </w:rPr>
        <w:t>ose</w:t>
      </w:r>
      <w:r w:rsidRPr="00F324D8">
        <w:rPr>
          <w:rFonts w:asciiTheme="minorHAnsi" w:hAnsiTheme="minorHAnsi" w:cstheme="minorHAnsi"/>
          <w:bCs/>
          <w:noProof/>
          <w:lang w:val="sq-AL"/>
        </w:rPr>
        <w:t xml:space="preserve"> 280 milionë lekë. </w:t>
      </w:r>
    </w:p>
    <w:p w14:paraId="6FB9DC96" w14:textId="480EA0FB" w:rsidR="00523BC9" w:rsidRPr="00F324D8" w:rsidRDefault="0098410A" w:rsidP="00056DE5">
      <w:pPr>
        <w:pStyle w:val="ListParagraph"/>
        <w:numPr>
          <w:ilvl w:val="0"/>
          <w:numId w:val="39"/>
        </w:numPr>
        <w:spacing w:before="120"/>
        <w:jc w:val="both"/>
        <w:rPr>
          <w:rFonts w:asciiTheme="minorHAnsi" w:hAnsiTheme="minorHAnsi" w:cstheme="minorHAnsi"/>
          <w:bCs/>
          <w:noProof/>
          <w:lang w:val="sq-AL"/>
        </w:rPr>
      </w:pPr>
      <w:r>
        <w:rPr>
          <w:rFonts w:asciiTheme="minorHAnsi" w:hAnsiTheme="minorHAnsi" w:cstheme="minorHAnsi"/>
          <w:bCs/>
          <w:noProof/>
          <w:lang w:val="sq-AL"/>
        </w:rPr>
        <w:t>N</w:t>
      </w:r>
      <w:r w:rsidR="00523BC9" w:rsidRPr="00F324D8">
        <w:rPr>
          <w:rFonts w:asciiTheme="minorHAnsi" w:hAnsiTheme="minorHAnsi" w:cstheme="minorHAnsi"/>
          <w:bCs/>
          <w:noProof/>
          <w:lang w:val="sq-AL"/>
        </w:rPr>
        <w:t xml:space="preserve">ë vazhdim nga viti 2022 janë gjithsej 20 projekte, të cilat përbëjnë 25.4% ndaj totalit të investimeve të brendshme, </w:t>
      </w:r>
      <w:r>
        <w:rPr>
          <w:rFonts w:asciiTheme="minorHAnsi" w:hAnsiTheme="minorHAnsi" w:cstheme="minorHAnsi"/>
          <w:bCs/>
          <w:noProof/>
          <w:lang w:val="sq-AL"/>
        </w:rPr>
        <w:t xml:space="preserve">ku </w:t>
      </w:r>
      <w:r w:rsidR="00523BC9" w:rsidRPr="00F324D8">
        <w:rPr>
          <w:rFonts w:asciiTheme="minorHAnsi" w:hAnsiTheme="minorHAnsi" w:cstheme="minorHAnsi"/>
          <w:bCs/>
          <w:noProof/>
          <w:lang w:val="sq-AL"/>
        </w:rPr>
        <w:t xml:space="preserve">9 prej tyre ose 5% e projekteve kanë përfunduar, </w:t>
      </w:r>
      <w:r>
        <w:rPr>
          <w:rFonts w:asciiTheme="minorHAnsi" w:hAnsiTheme="minorHAnsi" w:cstheme="minorHAnsi"/>
          <w:bCs/>
          <w:noProof/>
          <w:lang w:val="sq-AL"/>
        </w:rPr>
        <w:t>nd</w:t>
      </w:r>
      <w:r w:rsidR="007904C8">
        <w:rPr>
          <w:rFonts w:asciiTheme="minorHAnsi" w:hAnsiTheme="minorHAnsi" w:cstheme="minorHAnsi"/>
          <w:bCs/>
          <w:noProof/>
          <w:lang w:val="sq-AL"/>
        </w:rPr>
        <w:t>ë</w:t>
      </w:r>
      <w:r>
        <w:rPr>
          <w:rFonts w:asciiTheme="minorHAnsi" w:hAnsiTheme="minorHAnsi" w:cstheme="minorHAnsi"/>
          <w:bCs/>
          <w:noProof/>
          <w:lang w:val="sq-AL"/>
        </w:rPr>
        <w:t>rsa</w:t>
      </w:r>
      <w:r w:rsidR="00523BC9" w:rsidRPr="00F324D8">
        <w:rPr>
          <w:rFonts w:asciiTheme="minorHAnsi" w:hAnsiTheme="minorHAnsi" w:cstheme="minorHAnsi"/>
          <w:bCs/>
          <w:noProof/>
          <w:lang w:val="sq-AL"/>
        </w:rPr>
        <w:t xml:space="preserve"> rreth 4% e pjesës së mbetur janë në proces likuidimi pasi kanë përfunduar punimet fizike dhe po bëhen kolaudimet e objekteve.</w:t>
      </w:r>
    </w:p>
    <w:p w14:paraId="48506C9D" w14:textId="7963C742" w:rsidR="00523BC9" w:rsidRPr="00F324D8" w:rsidRDefault="00523BC9" w:rsidP="00056DE5">
      <w:pPr>
        <w:pStyle w:val="ListParagraph"/>
        <w:numPr>
          <w:ilvl w:val="0"/>
          <w:numId w:val="39"/>
        </w:numPr>
        <w:spacing w:before="120"/>
        <w:jc w:val="both"/>
        <w:rPr>
          <w:rFonts w:asciiTheme="minorHAnsi" w:hAnsiTheme="minorHAnsi" w:cstheme="minorHAnsi"/>
          <w:bCs/>
          <w:noProof/>
          <w:lang w:val="sq-AL"/>
        </w:rPr>
      </w:pPr>
      <w:r w:rsidRPr="00F324D8">
        <w:rPr>
          <w:rFonts w:asciiTheme="minorHAnsi" w:hAnsiTheme="minorHAnsi" w:cstheme="minorHAnsi"/>
          <w:bCs/>
          <w:noProof/>
          <w:lang w:val="sq-AL"/>
        </w:rPr>
        <w:t>Për Projektet dhe Bashkëfinancimin, Kosto Lokale dhe TVSH</w:t>
      </w:r>
      <w:r w:rsidR="0098410A">
        <w:rPr>
          <w:rFonts w:asciiTheme="minorHAnsi" w:hAnsiTheme="minorHAnsi" w:cstheme="minorHAnsi"/>
          <w:bCs/>
          <w:noProof/>
          <w:lang w:val="sq-AL"/>
        </w:rPr>
        <w:t>-ja</w:t>
      </w:r>
      <w:r w:rsidRPr="00F324D8">
        <w:rPr>
          <w:rFonts w:asciiTheme="minorHAnsi" w:hAnsiTheme="minorHAnsi" w:cstheme="minorHAnsi"/>
          <w:bCs/>
          <w:noProof/>
          <w:lang w:val="sq-AL"/>
        </w:rPr>
        <w:t xml:space="preserve"> për projektet e huaja është 39% e totalit të investimeve të brendshme, të cilat deri ne fund të muajit </w:t>
      </w:r>
      <w:r w:rsidR="0098410A">
        <w:rPr>
          <w:rFonts w:asciiTheme="minorHAnsi" w:hAnsiTheme="minorHAnsi" w:cstheme="minorHAnsi"/>
          <w:bCs/>
          <w:noProof/>
          <w:lang w:val="sq-AL"/>
        </w:rPr>
        <w:t>M</w:t>
      </w:r>
      <w:r w:rsidRPr="00F324D8">
        <w:rPr>
          <w:rFonts w:asciiTheme="minorHAnsi" w:hAnsiTheme="minorHAnsi" w:cstheme="minorHAnsi"/>
          <w:bCs/>
          <w:noProof/>
          <w:lang w:val="sq-AL"/>
        </w:rPr>
        <w:t>aj janë realizuar në masën 9%. K</w:t>
      </w:r>
      <w:r w:rsidR="0098410A">
        <w:rPr>
          <w:rFonts w:asciiTheme="minorHAnsi" w:hAnsiTheme="minorHAnsi" w:cstheme="minorHAnsi"/>
          <w:bCs/>
          <w:noProof/>
          <w:lang w:val="sq-AL"/>
        </w:rPr>
        <w:t>y</w:t>
      </w:r>
      <w:r w:rsidRPr="00F324D8">
        <w:rPr>
          <w:rFonts w:asciiTheme="minorHAnsi" w:hAnsiTheme="minorHAnsi" w:cstheme="minorHAnsi"/>
          <w:bCs/>
          <w:noProof/>
          <w:lang w:val="sq-AL"/>
        </w:rPr>
        <w:t xml:space="preserve"> realizim është në varësi të ecurisë së disbursimeve të fondeve për financimin e huaj.</w:t>
      </w:r>
    </w:p>
    <w:p w14:paraId="5063A245" w14:textId="39AE5298" w:rsidR="00523BC9" w:rsidRPr="00F324D8" w:rsidRDefault="00523BC9" w:rsidP="00056DE5">
      <w:pPr>
        <w:pStyle w:val="ListParagraph"/>
        <w:numPr>
          <w:ilvl w:val="0"/>
          <w:numId w:val="39"/>
        </w:numPr>
        <w:spacing w:before="120"/>
        <w:jc w:val="both"/>
        <w:rPr>
          <w:rFonts w:asciiTheme="minorHAnsi" w:hAnsiTheme="minorHAnsi" w:cstheme="minorHAnsi"/>
          <w:bCs/>
          <w:noProof/>
          <w:lang w:val="sq-AL"/>
        </w:rPr>
      </w:pPr>
      <w:r w:rsidRPr="00F324D8">
        <w:rPr>
          <w:rFonts w:asciiTheme="minorHAnsi" w:hAnsiTheme="minorHAnsi" w:cstheme="minorHAnsi"/>
          <w:bCs/>
          <w:noProof/>
          <w:lang w:val="sq-AL"/>
        </w:rPr>
        <w:t>Një pjesë e konsiderueshme e projekteve (27 projekte) ose 19.5% e totalit të financimi</w:t>
      </w:r>
      <w:r w:rsidR="0098410A">
        <w:rPr>
          <w:rFonts w:asciiTheme="minorHAnsi" w:hAnsiTheme="minorHAnsi" w:cstheme="minorHAnsi"/>
          <w:bCs/>
          <w:noProof/>
          <w:lang w:val="sq-AL"/>
        </w:rPr>
        <w:t>t</w:t>
      </w:r>
      <w:r w:rsidRPr="00F324D8">
        <w:rPr>
          <w:rFonts w:asciiTheme="minorHAnsi" w:hAnsiTheme="minorHAnsi" w:cstheme="minorHAnsi"/>
          <w:bCs/>
          <w:noProof/>
          <w:lang w:val="sq-AL"/>
        </w:rPr>
        <w:t xml:space="preserve"> </w:t>
      </w:r>
      <w:r w:rsidR="0098410A">
        <w:rPr>
          <w:rFonts w:asciiTheme="minorHAnsi" w:hAnsiTheme="minorHAnsi" w:cstheme="minorHAnsi"/>
          <w:bCs/>
          <w:noProof/>
          <w:lang w:val="sq-AL"/>
        </w:rPr>
        <w:t>t</w:t>
      </w:r>
      <w:r w:rsidR="007904C8">
        <w:rPr>
          <w:rFonts w:asciiTheme="minorHAnsi" w:hAnsiTheme="minorHAnsi" w:cstheme="minorHAnsi"/>
          <w:bCs/>
          <w:noProof/>
          <w:lang w:val="sq-AL"/>
        </w:rPr>
        <w:t>ë</w:t>
      </w:r>
      <w:r w:rsidRPr="00F324D8">
        <w:rPr>
          <w:rFonts w:asciiTheme="minorHAnsi" w:hAnsiTheme="minorHAnsi" w:cstheme="minorHAnsi"/>
          <w:bCs/>
          <w:noProof/>
          <w:lang w:val="sq-AL"/>
        </w:rPr>
        <w:t xml:space="preserve"> brendshëm</w:t>
      </w:r>
      <w:r w:rsidR="0098410A">
        <w:rPr>
          <w:rFonts w:asciiTheme="minorHAnsi" w:hAnsiTheme="minorHAnsi" w:cstheme="minorHAnsi"/>
          <w:bCs/>
          <w:noProof/>
          <w:lang w:val="sq-AL"/>
        </w:rPr>
        <w:t xml:space="preserve"> </w:t>
      </w:r>
      <w:r w:rsidRPr="00F324D8">
        <w:rPr>
          <w:rFonts w:asciiTheme="minorHAnsi" w:hAnsiTheme="minorHAnsi" w:cstheme="minorHAnsi"/>
          <w:bCs/>
          <w:noProof/>
          <w:lang w:val="sq-AL"/>
        </w:rPr>
        <w:t>janë në proces tenderimi, ndërsa 7% janë në fazën e përgatitjes së Dokumentave Standarde të Tenderit.</w:t>
      </w:r>
    </w:p>
    <w:p w14:paraId="6DC9E0E0" w14:textId="05B96527" w:rsidR="00523BC9" w:rsidRPr="00F324D8" w:rsidRDefault="00523BC9" w:rsidP="00056DE5">
      <w:pPr>
        <w:pStyle w:val="ListParagraph"/>
        <w:numPr>
          <w:ilvl w:val="0"/>
          <w:numId w:val="39"/>
        </w:numPr>
        <w:spacing w:before="120"/>
        <w:jc w:val="both"/>
        <w:rPr>
          <w:rFonts w:asciiTheme="minorHAnsi" w:hAnsiTheme="minorHAnsi" w:cstheme="minorHAnsi"/>
          <w:bCs/>
          <w:noProof/>
          <w:lang w:val="sq-AL"/>
        </w:rPr>
      </w:pPr>
      <w:r w:rsidRPr="00F324D8">
        <w:rPr>
          <w:rFonts w:asciiTheme="minorHAnsi" w:hAnsiTheme="minorHAnsi" w:cstheme="minorHAnsi"/>
          <w:bCs/>
          <w:noProof/>
          <w:lang w:val="sq-AL"/>
        </w:rPr>
        <w:t xml:space="preserve">Programi me realizimin më të mirë </w:t>
      </w:r>
      <w:r w:rsidR="0098410A">
        <w:rPr>
          <w:rFonts w:asciiTheme="minorHAnsi" w:hAnsiTheme="minorHAnsi" w:cstheme="minorHAnsi"/>
          <w:bCs/>
          <w:noProof/>
          <w:lang w:val="sq-AL"/>
        </w:rPr>
        <w:t>t</w:t>
      </w:r>
      <w:r w:rsidR="007904C8">
        <w:rPr>
          <w:rFonts w:asciiTheme="minorHAnsi" w:hAnsiTheme="minorHAnsi" w:cstheme="minorHAnsi"/>
          <w:bCs/>
          <w:noProof/>
          <w:lang w:val="sq-AL"/>
        </w:rPr>
        <w:t>ë</w:t>
      </w:r>
      <w:r w:rsidR="0098410A">
        <w:rPr>
          <w:rFonts w:asciiTheme="minorHAnsi" w:hAnsiTheme="minorHAnsi" w:cstheme="minorHAnsi"/>
          <w:bCs/>
          <w:noProof/>
          <w:lang w:val="sq-AL"/>
        </w:rPr>
        <w:t xml:space="preserve"> </w:t>
      </w:r>
      <w:r w:rsidRPr="00F324D8">
        <w:rPr>
          <w:rFonts w:asciiTheme="minorHAnsi" w:hAnsiTheme="minorHAnsi" w:cstheme="minorHAnsi"/>
          <w:bCs/>
          <w:noProof/>
          <w:lang w:val="sq-AL"/>
        </w:rPr>
        <w:t xml:space="preserve">projekteve me financim të brendshëm </w:t>
      </w:r>
      <w:r w:rsidR="007904C8">
        <w:rPr>
          <w:rFonts w:asciiTheme="minorHAnsi" w:hAnsiTheme="minorHAnsi" w:cstheme="minorHAnsi"/>
          <w:bCs/>
          <w:noProof/>
          <w:lang w:val="sq-AL"/>
        </w:rPr>
        <w:t>ë</w:t>
      </w:r>
      <w:r w:rsidR="0098410A">
        <w:rPr>
          <w:rFonts w:asciiTheme="minorHAnsi" w:hAnsiTheme="minorHAnsi" w:cstheme="minorHAnsi"/>
          <w:bCs/>
          <w:noProof/>
          <w:lang w:val="sq-AL"/>
        </w:rPr>
        <w:t>sht</w:t>
      </w:r>
      <w:r w:rsidR="007904C8">
        <w:rPr>
          <w:rFonts w:asciiTheme="minorHAnsi" w:hAnsiTheme="minorHAnsi" w:cstheme="minorHAnsi"/>
          <w:bCs/>
          <w:noProof/>
          <w:lang w:val="sq-AL"/>
        </w:rPr>
        <w:t>ë</w:t>
      </w:r>
      <w:r w:rsidRPr="00F324D8">
        <w:rPr>
          <w:rFonts w:asciiTheme="minorHAnsi" w:hAnsiTheme="minorHAnsi" w:cstheme="minorHAnsi"/>
          <w:bCs/>
          <w:noProof/>
          <w:lang w:val="sq-AL"/>
        </w:rPr>
        <w:t xml:space="preserve"> “</w:t>
      </w:r>
      <w:r w:rsidRPr="0098410A">
        <w:rPr>
          <w:rFonts w:asciiTheme="minorHAnsi" w:hAnsiTheme="minorHAnsi" w:cstheme="minorHAnsi"/>
          <w:bCs/>
          <w:i/>
          <w:noProof/>
          <w:lang w:val="sq-AL"/>
        </w:rPr>
        <w:t>Menaxhimi i infrastrukturës së kullimit dhe ujitjes</w:t>
      </w:r>
      <w:r w:rsidRPr="00F324D8">
        <w:rPr>
          <w:rFonts w:asciiTheme="minorHAnsi" w:hAnsiTheme="minorHAnsi" w:cstheme="minorHAnsi"/>
          <w:bCs/>
          <w:noProof/>
          <w:lang w:val="sq-AL"/>
        </w:rPr>
        <w:t>” realizuar 21.8% kundrejt planit prej 1.165 milionë lekë</w:t>
      </w:r>
      <w:r w:rsidR="0098410A">
        <w:rPr>
          <w:rFonts w:asciiTheme="minorHAnsi" w:hAnsiTheme="minorHAnsi" w:cstheme="minorHAnsi"/>
          <w:bCs/>
          <w:noProof/>
          <w:lang w:val="sq-AL"/>
        </w:rPr>
        <w:t>.</w:t>
      </w:r>
    </w:p>
    <w:p w14:paraId="3F021424" w14:textId="6C93C15E" w:rsidR="00523BC9" w:rsidRPr="00F324D8" w:rsidRDefault="0098410A" w:rsidP="00056DE5">
      <w:pPr>
        <w:pStyle w:val="ListParagraph"/>
        <w:numPr>
          <w:ilvl w:val="0"/>
          <w:numId w:val="39"/>
        </w:numPr>
        <w:spacing w:before="120"/>
        <w:jc w:val="both"/>
        <w:rPr>
          <w:rFonts w:asciiTheme="minorHAnsi" w:hAnsiTheme="minorHAnsi" w:cstheme="minorHAnsi"/>
          <w:bCs/>
          <w:noProof/>
          <w:lang w:val="sq-AL"/>
        </w:rPr>
      </w:pPr>
      <w:r>
        <w:rPr>
          <w:rFonts w:asciiTheme="minorHAnsi" w:hAnsiTheme="minorHAnsi" w:cstheme="minorHAnsi"/>
          <w:bCs/>
          <w:noProof/>
          <w:lang w:val="sq-AL"/>
        </w:rPr>
        <w:t>P</w:t>
      </w:r>
      <w:r w:rsidR="00523BC9" w:rsidRPr="00F324D8">
        <w:rPr>
          <w:rFonts w:asciiTheme="minorHAnsi" w:hAnsiTheme="minorHAnsi" w:cstheme="minorHAnsi"/>
          <w:bCs/>
          <w:noProof/>
          <w:lang w:val="sq-AL"/>
        </w:rPr>
        <w:t>rogram</w:t>
      </w:r>
      <w:r>
        <w:rPr>
          <w:rFonts w:asciiTheme="minorHAnsi" w:hAnsiTheme="minorHAnsi" w:cstheme="minorHAnsi"/>
          <w:bCs/>
          <w:noProof/>
          <w:lang w:val="sq-AL"/>
        </w:rPr>
        <w:t>i</w:t>
      </w:r>
      <w:r w:rsidR="00523BC9" w:rsidRPr="00F324D8">
        <w:rPr>
          <w:rFonts w:asciiTheme="minorHAnsi" w:hAnsiTheme="minorHAnsi" w:cstheme="minorHAnsi"/>
          <w:bCs/>
          <w:noProof/>
          <w:lang w:val="sq-AL"/>
        </w:rPr>
        <w:t xml:space="preserve"> me realizimin më të mirë </w:t>
      </w:r>
      <w:r>
        <w:rPr>
          <w:rFonts w:asciiTheme="minorHAnsi" w:hAnsiTheme="minorHAnsi" w:cstheme="minorHAnsi"/>
          <w:bCs/>
          <w:noProof/>
          <w:lang w:val="sq-AL"/>
        </w:rPr>
        <w:t>t</w:t>
      </w:r>
      <w:r w:rsidR="007904C8">
        <w:rPr>
          <w:rFonts w:asciiTheme="minorHAnsi" w:hAnsiTheme="minorHAnsi" w:cstheme="minorHAnsi"/>
          <w:bCs/>
          <w:noProof/>
          <w:lang w:val="sq-AL"/>
        </w:rPr>
        <w:t>ë</w:t>
      </w:r>
      <w:r w:rsidR="00523BC9" w:rsidRPr="00F324D8">
        <w:rPr>
          <w:rFonts w:asciiTheme="minorHAnsi" w:hAnsiTheme="minorHAnsi" w:cstheme="minorHAnsi"/>
          <w:bCs/>
          <w:noProof/>
          <w:lang w:val="sq-AL"/>
        </w:rPr>
        <w:t xml:space="preserve"> projekteve me financim te huaj paraqite</w:t>
      </w:r>
      <w:r>
        <w:rPr>
          <w:rFonts w:asciiTheme="minorHAnsi" w:hAnsiTheme="minorHAnsi" w:cstheme="minorHAnsi"/>
          <w:bCs/>
          <w:noProof/>
          <w:lang w:val="sq-AL"/>
        </w:rPr>
        <w:t>t</w:t>
      </w:r>
      <w:r w:rsidR="00523BC9" w:rsidRPr="00F324D8">
        <w:rPr>
          <w:rFonts w:asciiTheme="minorHAnsi" w:hAnsiTheme="minorHAnsi" w:cstheme="minorHAnsi"/>
          <w:bCs/>
          <w:noProof/>
          <w:lang w:val="sq-AL"/>
        </w:rPr>
        <w:t xml:space="preserve"> “</w:t>
      </w:r>
      <w:r w:rsidR="00523BC9" w:rsidRPr="00F324D8">
        <w:rPr>
          <w:rFonts w:asciiTheme="minorHAnsi" w:hAnsiTheme="minorHAnsi" w:cstheme="minorHAnsi"/>
          <w:bCs/>
          <w:i/>
          <w:noProof/>
          <w:lang w:val="sq-AL"/>
        </w:rPr>
        <w:t>Siguria Ushqimore dhe mbrojtja e konsumatorit</w:t>
      </w:r>
      <w:r w:rsidR="00523BC9" w:rsidRPr="00F324D8">
        <w:rPr>
          <w:rFonts w:asciiTheme="minorHAnsi" w:hAnsiTheme="minorHAnsi" w:cstheme="minorHAnsi"/>
          <w:bCs/>
          <w:noProof/>
          <w:lang w:val="sq-AL"/>
        </w:rPr>
        <w:t>” realizuar 31% kundrejt planit prej 161.5 milionë lekë.</w:t>
      </w:r>
    </w:p>
    <w:p w14:paraId="133C451D" w14:textId="77777777" w:rsidR="00523BC9" w:rsidRPr="00F324D8" w:rsidRDefault="00523BC9" w:rsidP="00056DE5">
      <w:pPr>
        <w:pStyle w:val="ListParagraph"/>
        <w:numPr>
          <w:ilvl w:val="0"/>
          <w:numId w:val="39"/>
        </w:numPr>
        <w:spacing w:before="120"/>
        <w:jc w:val="both"/>
        <w:rPr>
          <w:rFonts w:asciiTheme="minorHAnsi" w:hAnsiTheme="minorHAnsi" w:cstheme="minorHAnsi"/>
          <w:bCs/>
          <w:noProof/>
          <w:lang w:val="sq-AL"/>
        </w:rPr>
      </w:pPr>
      <w:r w:rsidRPr="00F324D8">
        <w:rPr>
          <w:rFonts w:asciiTheme="minorHAnsi" w:hAnsiTheme="minorHAnsi" w:cstheme="minorHAnsi"/>
          <w:bCs/>
          <w:noProof/>
          <w:lang w:val="sq-AL"/>
        </w:rPr>
        <w:t>Projektet kryesore të cilat kanë kontribuar në realizimin e investimeve për Ministrinë e Bujqësisë dhe Zhvillimit Rural  paraqiten si vijon:</w:t>
      </w:r>
    </w:p>
    <w:p w14:paraId="0A343823" w14:textId="77777777" w:rsidR="00523BC9" w:rsidRPr="00F324D8" w:rsidRDefault="00523BC9" w:rsidP="00056DE5">
      <w:pPr>
        <w:pStyle w:val="ListParagraph"/>
        <w:numPr>
          <w:ilvl w:val="0"/>
          <w:numId w:val="40"/>
        </w:numPr>
        <w:spacing w:before="120"/>
        <w:jc w:val="both"/>
        <w:rPr>
          <w:rFonts w:asciiTheme="minorHAnsi" w:hAnsiTheme="minorHAnsi" w:cstheme="minorHAnsi"/>
          <w:bCs/>
          <w:i/>
          <w:noProof/>
          <w:lang w:val="sq-AL"/>
        </w:rPr>
      </w:pPr>
      <w:r w:rsidRPr="00F324D8">
        <w:rPr>
          <w:rFonts w:asciiTheme="minorHAnsi" w:hAnsiTheme="minorHAnsi" w:cstheme="minorHAnsi"/>
          <w:bCs/>
          <w:i/>
          <w:noProof/>
          <w:lang w:val="sq-AL"/>
        </w:rPr>
        <w:t>Rehabilitim i kanalit ujitës krahu i djathtë rezervuari Gjanç në vlerën 61.6 milionë lekë</w:t>
      </w:r>
    </w:p>
    <w:p w14:paraId="105A5EF3" w14:textId="77777777" w:rsidR="00523BC9" w:rsidRPr="00F324D8" w:rsidRDefault="00523BC9" w:rsidP="00056DE5">
      <w:pPr>
        <w:pStyle w:val="ListParagraph"/>
        <w:numPr>
          <w:ilvl w:val="0"/>
          <w:numId w:val="40"/>
        </w:numPr>
        <w:spacing w:before="120"/>
        <w:jc w:val="both"/>
        <w:rPr>
          <w:rFonts w:asciiTheme="minorHAnsi" w:hAnsiTheme="minorHAnsi" w:cstheme="minorHAnsi"/>
          <w:bCs/>
          <w:i/>
          <w:noProof/>
          <w:lang w:val="sq-AL"/>
        </w:rPr>
      </w:pPr>
      <w:r w:rsidRPr="00F324D8">
        <w:rPr>
          <w:rFonts w:asciiTheme="minorHAnsi" w:hAnsiTheme="minorHAnsi" w:cstheme="minorHAnsi"/>
          <w:bCs/>
          <w:i/>
          <w:noProof/>
          <w:lang w:val="sq-AL"/>
        </w:rPr>
        <w:t>Rehabilitim i Argjinaturës së Tones, segmenti Tarin – Perlat në vlerën 34.7 milionë lekë;</w:t>
      </w:r>
    </w:p>
    <w:p w14:paraId="75F947A5" w14:textId="77777777" w:rsidR="00523BC9" w:rsidRPr="00F324D8" w:rsidRDefault="00523BC9" w:rsidP="00056DE5">
      <w:pPr>
        <w:pStyle w:val="ListParagraph"/>
        <w:numPr>
          <w:ilvl w:val="0"/>
          <w:numId w:val="40"/>
        </w:numPr>
        <w:spacing w:before="120"/>
        <w:jc w:val="both"/>
        <w:rPr>
          <w:rFonts w:asciiTheme="minorHAnsi" w:hAnsiTheme="minorHAnsi" w:cstheme="minorHAnsi"/>
          <w:bCs/>
          <w:i/>
          <w:noProof/>
          <w:lang w:val="sq-AL"/>
        </w:rPr>
      </w:pPr>
      <w:r w:rsidRPr="00F324D8">
        <w:rPr>
          <w:rFonts w:asciiTheme="minorHAnsi" w:hAnsiTheme="minorHAnsi" w:cstheme="minorHAnsi"/>
          <w:bCs/>
          <w:i/>
          <w:noProof/>
          <w:lang w:val="sq-AL"/>
        </w:rPr>
        <w:t>Mbrojtja nga Lumi Vjosa në Kafaraj, krahu i djathtë (L=400m) Bashkia Fier në vlerën 31.4 milionë lekë.</w:t>
      </w:r>
    </w:p>
    <w:p w14:paraId="773E8E0F" w14:textId="77777777" w:rsidR="00523BC9" w:rsidRPr="00F324D8" w:rsidRDefault="00523BC9" w:rsidP="00056DE5">
      <w:pPr>
        <w:pStyle w:val="ListParagraph"/>
        <w:numPr>
          <w:ilvl w:val="0"/>
          <w:numId w:val="40"/>
        </w:numPr>
        <w:spacing w:before="120"/>
        <w:jc w:val="both"/>
        <w:rPr>
          <w:rFonts w:asciiTheme="minorHAnsi" w:hAnsiTheme="minorHAnsi" w:cstheme="minorHAnsi"/>
          <w:bCs/>
          <w:i/>
          <w:noProof/>
          <w:lang w:val="sq-AL"/>
        </w:rPr>
      </w:pPr>
      <w:r w:rsidRPr="00F324D8">
        <w:rPr>
          <w:rFonts w:asciiTheme="minorHAnsi" w:hAnsiTheme="minorHAnsi" w:cstheme="minorHAnsi"/>
          <w:bCs/>
          <w:i/>
          <w:noProof/>
          <w:lang w:val="sq-AL"/>
        </w:rPr>
        <w:t>Mbrojtje nga gerryerjet e lumit Osum, bregu i majte te tokes bujqesore ne fshatin Arrez, bashkia Dimal në vlerën 31.2 milionë lekë.</w:t>
      </w:r>
    </w:p>
    <w:p w14:paraId="35DCBEE0" w14:textId="016DB02D" w:rsidR="00523BC9" w:rsidRDefault="00523BC9" w:rsidP="00056DE5">
      <w:pPr>
        <w:pStyle w:val="ListParagraph"/>
        <w:numPr>
          <w:ilvl w:val="0"/>
          <w:numId w:val="40"/>
        </w:numPr>
        <w:spacing w:before="120"/>
        <w:jc w:val="both"/>
        <w:rPr>
          <w:rFonts w:asciiTheme="minorHAnsi" w:hAnsiTheme="minorHAnsi" w:cstheme="minorHAnsi"/>
          <w:bCs/>
          <w:i/>
          <w:noProof/>
          <w:lang w:val="sq-AL"/>
        </w:rPr>
      </w:pPr>
      <w:r w:rsidRPr="00F324D8">
        <w:rPr>
          <w:rFonts w:asciiTheme="minorHAnsi" w:hAnsiTheme="minorHAnsi" w:cstheme="minorHAnsi"/>
          <w:bCs/>
          <w:i/>
          <w:noProof/>
          <w:lang w:val="sq-AL"/>
        </w:rPr>
        <w:t>Mbrojtje nga lumi Shkumbin tek Pularia Elbasan në vlerën 26 milionë lekë.</w:t>
      </w:r>
    </w:p>
    <w:p w14:paraId="680C5562" w14:textId="77777777" w:rsidR="005B2F12" w:rsidRPr="00BF59E0" w:rsidRDefault="005B2F12" w:rsidP="005B2F12">
      <w:pPr>
        <w:pStyle w:val="ListParagraph"/>
        <w:spacing w:before="120"/>
        <w:jc w:val="both"/>
        <w:rPr>
          <w:rFonts w:asciiTheme="minorHAnsi" w:hAnsiTheme="minorHAnsi" w:cstheme="minorHAnsi"/>
          <w:bCs/>
          <w:i/>
          <w:noProof/>
          <w:sz w:val="8"/>
          <w:lang w:val="sq-AL"/>
        </w:rPr>
      </w:pPr>
    </w:p>
    <w:p w14:paraId="69C576E5" w14:textId="77777777" w:rsidR="0098410A" w:rsidRPr="0098410A" w:rsidRDefault="0098410A" w:rsidP="0098410A">
      <w:pPr>
        <w:pStyle w:val="ListParagraph"/>
        <w:spacing w:before="120"/>
        <w:ind w:left="360"/>
        <w:jc w:val="both"/>
        <w:rPr>
          <w:rFonts w:asciiTheme="minorHAnsi" w:hAnsiTheme="minorHAnsi" w:cstheme="minorHAnsi"/>
          <w:bCs/>
          <w:noProof/>
          <w:sz w:val="8"/>
          <w:szCs w:val="8"/>
          <w:lang w:val="sq-AL"/>
        </w:rPr>
      </w:pPr>
    </w:p>
    <w:p w14:paraId="48AE3BCE" w14:textId="7C017558" w:rsidR="009640B4" w:rsidRPr="00BF59E0" w:rsidRDefault="00523BC9" w:rsidP="00056DE5">
      <w:pPr>
        <w:pStyle w:val="ListParagraph"/>
        <w:numPr>
          <w:ilvl w:val="0"/>
          <w:numId w:val="39"/>
        </w:numPr>
        <w:spacing w:before="120"/>
        <w:jc w:val="both"/>
        <w:rPr>
          <w:rFonts w:asciiTheme="minorHAnsi" w:hAnsiTheme="minorHAnsi"/>
          <w:b/>
          <w:lang w:val="sq-AL"/>
        </w:rPr>
      </w:pPr>
      <w:r w:rsidRPr="00BF59E0">
        <w:rPr>
          <w:rFonts w:asciiTheme="minorHAnsi" w:hAnsiTheme="minorHAnsi" w:cstheme="minorHAnsi"/>
          <w:b/>
          <w:bCs/>
          <w:noProof/>
          <w:lang w:val="sq-AL"/>
        </w:rPr>
        <w:t>Financimi i Huaj</w:t>
      </w:r>
      <w:r w:rsidRPr="00BF59E0">
        <w:rPr>
          <w:rFonts w:asciiTheme="minorHAnsi" w:hAnsiTheme="minorHAnsi" w:cstheme="minorHAnsi"/>
          <w:bCs/>
          <w:noProof/>
          <w:lang w:val="sq-AL"/>
        </w:rPr>
        <w:t xml:space="preserve"> paraqitet me realizim 7.6% kundrejt planit prej 3.660 milionë lekë. </w:t>
      </w:r>
    </w:p>
    <w:p w14:paraId="5F392547" w14:textId="77777777" w:rsidR="009640B4" w:rsidRPr="009647C4" w:rsidRDefault="009640B4" w:rsidP="006F25E7">
      <w:pPr>
        <w:spacing w:before="240" w:line="276" w:lineRule="auto"/>
        <w:jc w:val="both"/>
        <w:rPr>
          <w:rFonts w:asciiTheme="minorHAnsi" w:hAnsiTheme="minorHAnsi"/>
          <w:b/>
          <w:color w:val="0070C0"/>
          <w:lang w:val="sq-AL"/>
        </w:rPr>
      </w:pPr>
      <w:r w:rsidRPr="009647C4">
        <w:rPr>
          <w:rFonts w:asciiTheme="minorHAnsi" w:hAnsiTheme="minorHAnsi"/>
          <w:b/>
          <w:color w:val="0070C0"/>
          <w:lang w:val="sq-AL"/>
        </w:rPr>
        <w:lastRenderedPageBreak/>
        <w:t>Ministria e Transportit dhe Infrastrukturës</w:t>
      </w:r>
    </w:p>
    <w:p w14:paraId="00C9EDD7" w14:textId="587A4295" w:rsidR="0098410A" w:rsidRPr="00F324D8" w:rsidRDefault="0098410A" w:rsidP="00056DE5">
      <w:pPr>
        <w:pStyle w:val="ListParagraph"/>
        <w:numPr>
          <w:ilvl w:val="0"/>
          <w:numId w:val="39"/>
        </w:numPr>
        <w:spacing w:before="120"/>
        <w:jc w:val="both"/>
        <w:rPr>
          <w:rFonts w:asciiTheme="minorHAnsi" w:hAnsiTheme="minorHAnsi" w:cstheme="minorHAnsi"/>
          <w:b/>
          <w:noProof/>
          <w:lang w:val="sq-AL"/>
        </w:rPr>
      </w:pPr>
      <w:r w:rsidRPr="00F324D8">
        <w:rPr>
          <w:rFonts w:asciiTheme="minorHAnsi" w:hAnsiTheme="minorHAnsi" w:cstheme="minorHAnsi"/>
          <w:bCs/>
          <w:noProof/>
          <w:lang w:val="sq-AL"/>
        </w:rPr>
        <w:t>Për sa u përket investimeve publike, për projektet me financim të brendshëm, realizimi për 5</w:t>
      </w:r>
      <w:r>
        <w:rPr>
          <w:rFonts w:asciiTheme="minorHAnsi" w:hAnsiTheme="minorHAnsi" w:cstheme="minorHAnsi"/>
          <w:bCs/>
          <w:noProof/>
          <w:lang w:val="sq-AL"/>
        </w:rPr>
        <w:t xml:space="preserve">M </w:t>
      </w:r>
      <w:r w:rsidRPr="00F324D8">
        <w:rPr>
          <w:rFonts w:asciiTheme="minorHAnsi" w:hAnsiTheme="minorHAnsi" w:cstheme="minorHAnsi"/>
          <w:noProof/>
          <w:lang w:val="sq-AL"/>
        </w:rPr>
        <w:t>2023 është 39.5% të buxhetit fillestar</w:t>
      </w:r>
      <w:r>
        <w:rPr>
          <w:rFonts w:asciiTheme="minorHAnsi" w:hAnsiTheme="minorHAnsi" w:cstheme="minorHAnsi"/>
          <w:noProof/>
          <w:lang w:val="sq-AL"/>
        </w:rPr>
        <w:t>,</w:t>
      </w:r>
      <w:r w:rsidRPr="00F324D8">
        <w:rPr>
          <w:rFonts w:asciiTheme="minorHAnsi" w:hAnsiTheme="minorHAnsi" w:cstheme="minorHAnsi"/>
          <w:noProof/>
          <w:lang w:val="sq-AL"/>
        </w:rPr>
        <w:t xml:space="preserve"> realizuar në masën 11,649 milionë lekë</w:t>
      </w:r>
      <w:r w:rsidRPr="00F324D8">
        <w:rPr>
          <w:rFonts w:asciiTheme="minorHAnsi" w:hAnsiTheme="minorHAnsi" w:cstheme="minorHAnsi"/>
          <w:bCs/>
          <w:iCs/>
          <w:noProof/>
          <w:lang w:val="sq-AL"/>
        </w:rPr>
        <w:t xml:space="preserve">. </w:t>
      </w:r>
      <w:r w:rsidRPr="00F324D8">
        <w:rPr>
          <w:rFonts w:asciiTheme="minorHAnsi" w:hAnsiTheme="minorHAnsi" w:cstheme="minorHAnsi"/>
          <w:noProof/>
          <w:lang w:val="sq-AL"/>
        </w:rPr>
        <w:t>Për projektet me financim të huaj realizimi është 6.4% e buxhetit fillestar, realizuar në masën 1,280 milionë lekë</w:t>
      </w:r>
      <w:r w:rsidRPr="00F324D8">
        <w:rPr>
          <w:rFonts w:asciiTheme="minorHAnsi" w:hAnsiTheme="minorHAnsi" w:cstheme="minorHAnsi"/>
          <w:bCs/>
          <w:iCs/>
          <w:noProof/>
          <w:lang w:val="sq-AL"/>
        </w:rPr>
        <w:t>.</w:t>
      </w:r>
    </w:p>
    <w:p w14:paraId="5DB5EFF9" w14:textId="35115EA5" w:rsidR="0098410A" w:rsidRPr="00F324D8" w:rsidRDefault="0098410A" w:rsidP="00056DE5">
      <w:pPr>
        <w:pStyle w:val="ListParagraph"/>
        <w:numPr>
          <w:ilvl w:val="0"/>
          <w:numId w:val="41"/>
        </w:numPr>
        <w:spacing w:before="240"/>
        <w:jc w:val="both"/>
        <w:rPr>
          <w:rFonts w:asciiTheme="minorHAnsi" w:hAnsiTheme="minorHAnsi" w:cstheme="minorHAnsi"/>
          <w:b/>
          <w:noProof/>
          <w:lang w:val="sq-AL"/>
        </w:rPr>
      </w:pPr>
      <w:r>
        <w:rPr>
          <w:rFonts w:asciiTheme="minorHAnsi" w:hAnsiTheme="minorHAnsi" w:cstheme="minorHAnsi"/>
          <w:noProof/>
          <w:lang w:val="sq-AL"/>
        </w:rPr>
        <w:t>MIE</w:t>
      </w:r>
      <w:r w:rsidRPr="00F324D8">
        <w:rPr>
          <w:rFonts w:asciiTheme="minorHAnsi" w:hAnsiTheme="minorHAnsi" w:cstheme="minorHAnsi"/>
          <w:noProof/>
          <w:lang w:val="sq-AL"/>
        </w:rPr>
        <w:t xml:space="preserve"> nuk </w:t>
      </w:r>
      <w:r>
        <w:rPr>
          <w:rFonts w:asciiTheme="minorHAnsi" w:hAnsiTheme="minorHAnsi" w:cstheme="minorHAnsi"/>
          <w:noProof/>
          <w:lang w:val="sq-AL"/>
        </w:rPr>
        <w:t>ka</w:t>
      </w:r>
      <w:r w:rsidRPr="00F324D8">
        <w:rPr>
          <w:rFonts w:asciiTheme="minorHAnsi" w:hAnsiTheme="minorHAnsi" w:cstheme="minorHAnsi"/>
          <w:noProof/>
          <w:lang w:val="sq-AL"/>
        </w:rPr>
        <w:t xml:space="preserve"> raportuar për problematika të cilat do të ndikojnë në realizimin e projekteve të investimeve. Në këto kushte pritet që realizimi për projektet e investimeve të vijojë normalisht. </w:t>
      </w:r>
    </w:p>
    <w:p w14:paraId="2F7F7B2D" w14:textId="77777777" w:rsidR="0098410A" w:rsidRPr="0098410A" w:rsidRDefault="0098410A" w:rsidP="00056DE5">
      <w:pPr>
        <w:pStyle w:val="ListParagraph"/>
        <w:numPr>
          <w:ilvl w:val="0"/>
          <w:numId w:val="41"/>
        </w:numPr>
        <w:spacing w:before="240"/>
        <w:jc w:val="both"/>
        <w:rPr>
          <w:rFonts w:asciiTheme="minorHAnsi" w:hAnsiTheme="minorHAnsi" w:cstheme="minorHAnsi"/>
          <w:bCs/>
          <w:i/>
          <w:noProof/>
          <w:lang w:val="sq-AL"/>
        </w:rPr>
      </w:pPr>
      <w:r w:rsidRPr="00F324D8">
        <w:rPr>
          <w:rFonts w:asciiTheme="minorHAnsi" w:hAnsiTheme="minorHAnsi" w:cstheme="minorHAnsi"/>
          <w:noProof/>
          <w:lang w:val="sq-AL"/>
        </w:rPr>
        <w:t>Programet me realizimin më të mirë për projekte</w:t>
      </w:r>
      <w:r>
        <w:rPr>
          <w:rFonts w:asciiTheme="minorHAnsi" w:hAnsiTheme="minorHAnsi" w:cstheme="minorHAnsi"/>
          <w:noProof/>
          <w:lang w:val="sq-AL"/>
        </w:rPr>
        <w:t>t</w:t>
      </w:r>
      <w:r w:rsidRPr="00F324D8">
        <w:rPr>
          <w:rFonts w:asciiTheme="minorHAnsi" w:hAnsiTheme="minorHAnsi" w:cstheme="minorHAnsi"/>
          <w:noProof/>
          <w:lang w:val="sq-AL"/>
        </w:rPr>
        <w:t xml:space="preserve"> me financim te brendshëm paraqiten:  </w:t>
      </w:r>
    </w:p>
    <w:p w14:paraId="28550A22" w14:textId="77777777" w:rsidR="0098410A" w:rsidRDefault="0098410A" w:rsidP="00056DE5">
      <w:pPr>
        <w:pStyle w:val="ListParagraph"/>
        <w:numPr>
          <w:ilvl w:val="0"/>
          <w:numId w:val="40"/>
        </w:numPr>
        <w:spacing w:before="120"/>
        <w:jc w:val="both"/>
        <w:rPr>
          <w:rFonts w:asciiTheme="minorHAnsi" w:hAnsiTheme="minorHAnsi" w:cstheme="minorHAnsi"/>
          <w:bCs/>
          <w:i/>
          <w:noProof/>
          <w:lang w:val="sq-AL"/>
        </w:rPr>
      </w:pPr>
      <w:r w:rsidRPr="0098410A">
        <w:rPr>
          <w:rFonts w:asciiTheme="minorHAnsi" w:hAnsiTheme="minorHAnsi" w:cstheme="minorHAnsi"/>
          <w:bCs/>
          <w:i/>
          <w:noProof/>
          <w:lang w:val="sq-AL"/>
        </w:rPr>
        <w:t xml:space="preserve">programi “Furnizimi me Ujë dhe Kanalizime” me realizim 55.2% kundrejt planit prej 7,317 milionë lekë, </w:t>
      </w:r>
    </w:p>
    <w:p w14:paraId="117A9335" w14:textId="77777777" w:rsidR="0098410A" w:rsidRDefault="0098410A" w:rsidP="00056DE5">
      <w:pPr>
        <w:pStyle w:val="ListParagraph"/>
        <w:numPr>
          <w:ilvl w:val="0"/>
          <w:numId w:val="40"/>
        </w:numPr>
        <w:spacing w:before="120"/>
        <w:jc w:val="both"/>
        <w:rPr>
          <w:rFonts w:asciiTheme="minorHAnsi" w:hAnsiTheme="minorHAnsi" w:cstheme="minorHAnsi"/>
          <w:bCs/>
          <w:i/>
          <w:noProof/>
          <w:lang w:val="sq-AL"/>
        </w:rPr>
      </w:pPr>
      <w:r w:rsidRPr="0098410A">
        <w:rPr>
          <w:rFonts w:asciiTheme="minorHAnsi" w:hAnsiTheme="minorHAnsi" w:cstheme="minorHAnsi"/>
          <w:bCs/>
          <w:i/>
          <w:noProof/>
          <w:lang w:val="sq-AL"/>
        </w:rPr>
        <w:t xml:space="preserve">programi “Mbeshtetje për Burimet Natyrore” me realizim 43.4% kundrejt planit prej 91 milionë lekë, </w:t>
      </w:r>
    </w:p>
    <w:p w14:paraId="663AF3D0" w14:textId="77777777" w:rsidR="0098410A" w:rsidRDefault="0098410A" w:rsidP="00056DE5">
      <w:pPr>
        <w:pStyle w:val="ListParagraph"/>
        <w:numPr>
          <w:ilvl w:val="0"/>
          <w:numId w:val="40"/>
        </w:numPr>
        <w:spacing w:before="120"/>
        <w:jc w:val="both"/>
        <w:rPr>
          <w:rFonts w:asciiTheme="minorHAnsi" w:hAnsiTheme="minorHAnsi" w:cstheme="minorHAnsi"/>
          <w:bCs/>
          <w:i/>
          <w:noProof/>
          <w:lang w:val="sq-AL"/>
        </w:rPr>
      </w:pPr>
      <w:r w:rsidRPr="0098410A">
        <w:rPr>
          <w:rFonts w:asciiTheme="minorHAnsi" w:hAnsiTheme="minorHAnsi" w:cstheme="minorHAnsi"/>
          <w:bCs/>
          <w:i/>
          <w:noProof/>
          <w:lang w:val="sq-AL"/>
        </w:rPr>
        <w:t xml:space="preserve">programi,  programi “Transporti Rrugor” me realizim 39.6% kundrejt planit prej 18,591 milione lekë, </w:t>
      </w:r>
    </w:p>
    <w:p w14:paraId="1EC080F5" w14:textId="77777777" w:rsidR="0098410A" w:rsidRDefault="0098410A" w:rsidP="00056DE5">
      <w:pPr>
        <w:pStyle w:val="ListParagraph"/>
        <w:numPr>
          <w:ilvl w:val="0"/>
          <w:numId w:val="40"/>
        </w:numPr>
        <w:spacing w:before="120"/>
        <w:jc w:val="both"/>
        <w:rPr>
          <w:rFonts w:asciiTheme="minorHAnsi" w:hAnsiTheme="minorHAnsi" w:cstheme="minorHAnsi"/>
          <w:bCs/>
          <w:i/>
          <w:noProof/>
          <w:lang w:val="sq-AL"/>
        </w:rPr>
      </w:pPr>
      <w:r w:rsidRPr="0098410A">
        <w:rPr>
          <w:rFonts w:asciiTheme="minorHAnsi" w:hAnsiTheme="minorHAnsi" w:cstheme="minorHAnsi"/>
          <w:bCs/>
          <w:i/>
          <w:noProof/>
          <w:lang w:val="sq-AL"/>
        </w:rPr>
        <w:t xml:space="preserve">programi “Transporti Hekurudhor” me realizim 31.9 % kundrejt planit prej 550 milionë lekë, </w:t>
      </w:r>
    </w:p>
    <w:p w14:paraId="27C41D5E" w14:textId="7EA86F3D" w:rsidR="0098410A" w:rsidRPr="0098410A" w:rsidRDefault="0098410A" w:rsidP="00056DE5">
      <w:pPr>
        <w:pStyle w:val="ListParagraph"/>
        <w:numPr>
          <w:ilvl w:val="0"/>
          <w:numId w:val="40"/>
        </w:numPr>
        <w:spacing w:before="120"/>
        <w:jc w:val="both"/>
        <w:rPr>
          <w:rFonts w:asciiTheme="minorHAnsi" w:hAnsiTheme="minorHAnsi" w:cstheme="minorHAnsi"/>
          <w:bCs/>
          <w:i/>
          <w:noProof/>
          <w:lang w:val="sq-AL"/>
        </w:rPr>
      </w:pPr>
      <w:r w:rsidRPr="0098410A">
        <w:rPr>
          <w:rFonts w:asciiTheme="minorHAnsi" w:hAnsiTheme="minorHAnsi" w:cstheme="minorHAnsi"/>
          <w:bCs/>
          <w:i/>
          <w:noProof/>
          <w:lang w:val="sq-AL"/>
        </w:rPr>
        <w:t>programi “Mbështetje për Industrinë” me realizim 19.6% kundrejt planit prej 84 milionë lekë.</w:t>
      </w:r>
    </w:p>
    <w:p w14:paraId="29A77265" w14:textId="77777777" w:rsidR="0098410A" w:rsidRPr="00F324D8" w:rsidRDefault="0098410A" w:rsidP="0098410A">
      <w:pPr>
        <w:pStyle w:val="ListParagraph"/>
        <w:spacing w:before="240"/>
        <w:ind w:left="360"/>
        <w:rPr>
          <w:rFonts w:asciiTheme="minorHAnsi" w:hAnsiTheme="minorHAnsi" w:cstheme="minorHAnsi"/>
          <w:b/>
          <w:noProof/>
          <w:lang w:val="sq-AL"/>
        </w:rPr>
      </w:pPr>
    </w:p>
    <w:p w14:paraId="17DC5EF7" w14:textId="77777777" w:rsidR="0098410A" w:rsidRPr="00F324D8" w:rsidRDefault="0098410A" w:rsidP="00056DE5">
      <w:pPr>
        <w:pStyle w:val="ListParagraph"/>
        <w:numPr>
          <w:ilvl w:val="0"/>
          <w:numId w:val="41"/>
        </w:numPr>
        <w:spacing w:before="240"/>
        <w:jc w:val="both"/>
        <w:rPr>
          <w:rFonts w:asciiTheme="minorHAnsi" w:hAnsiTheme="minorHAnsi" w:cstheme="minorHAnsi"/>
          <w:b/>
          <w:noProof/>
          <w:lang w:val="sq-AL"/>
        </w:rPr>
      </w:pPr>
      <w:r w:rsidRPr="00F324D8">
        <w:rPr>
          <w:rFonts w:asciiTheme="minorHAnsi" w:eastAsia="MS Mincho" w:hAnsiTheme="minorHAnsi" w:cstheme="minorHAnsi"/>
          <w:noProof/>
          <w:lang w:val="sq-AL"/>
        </w:rPr>
        <w:t>Disa nga projektet të cilat janë realizuar 100% kundrejt planit vjetor të cilat kanë kontribuar edhe në realizimin e investimeve me financim të brendshëm për Ministrinë e Infrastrukturës dhe Energjisë paraqiten si më poshtë  vijon:</w:t>
      </w:r>
    </w:p>
    <w:p w14:paraId="6F43AEB2" w14:textId="33DAAB00"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Ndërtim rruga Korçë</w:t>
      </w:r>
      <w:r>
        <w:rPr>
          <w:rFonts w:asciiTheme="minorHAnsi" w:eastAsia="MS Mincho" w:hAnsiTheme="minorHAnsi" w:cstheme="minorHAnsi"/>
          <w:i/>
          <w:noProof/>
          <w:lang w:val="sq-AL"/>
        </w:rPr>
        <w:t>-</w:t>
      </w:r>
      <w:r w:rsidRPr="00F324D8">
        <w:rPr>
          <w:rFonts w:asciiTheme="minorHAnsi" w:eastAsia="MS Mincho" w:hAnsiTheme="minorHAnsi" w:cstheme="minorHAnsi"/>
          <w:i/>
          <w:noProof/>
          <w:lang w:val="sq-AL"/>
        </w:rPr>
        <w:t xml:space="preserve">Ersekë, Loti 2 (pjesa e parë), me vlerë realizimi prej 153 milionë lekë; </w:t>
      </w:r>
    </w:p>
    <w:p w14:paraId="1291D7C8" w14:textId="405AC1D9"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Ndërtim rruga Kardhiq</w:t>
      </w:r>
      <w:r>
        <w:rPr>
          <w:rFonts w:asciiTheme="minorHAnsi" w:eastAsia="MS Mincho" w:hAnsiTheme="minorHAnsi" w:cstheme="minorHAnsi"/>
          <w:i/>
          <w:noProof/>
          <w:lang w:val="sq-AL"/>
        </w:rPr>
        <w:t>-</w:t>
      </w:r>
      <w:r w:rsidRPr="00F324D8">
        <w:rPr>
          <w:rFonts w:asciiTheme="minorHAnsi" w:eastAsia="MS Mincho" w:hAnsiTheme="minorHAnsi" w:cstheme="minorHAnsi"/>
          <w:i/>
          <w:noProof/>
          <w:lang w:val="sq-AL"/>
        </w:rPr>
        <w:t>Delvinë, Loti 4, shtesë punimesh, me vlerë realizimi prej 75</w:t>
      </w:r>
      <w:r>
        <w:rPr>
          <w:rFonts w:asciiTheme="minorHAnsi" w:eastAsia="MS Mincho" w:hAnsiTheme="minorHAnsi" w:cstheme="minorHAnsi"/>
          <w:i/>
          <w:noProof/>
          <w:lang w:val="sq-AL"/>
        </w:rPr>
        <w:t xml:space="preserve">mln </w:t>
      </w:r>
      <w:r w:rsidRPr="00F324D8">
        <w:rPr>
          <w:rFonts w:asciiTheme="minorHAnsi" w:eastAsia="MS Mincho" w:hAnsiTheme="minorHAnsi" w:cstheme="minorHAnsi"/>
          <w:i/>
          <w:noProof/>
          <w:lang w:val="sq-AL"/>
        </w:rPr>
        <w:t>lekë;</w:t>
      </w:r>
    </w:p>
    <w:p w14:paraId="000FC38A" w14:textId="77777777"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Rehabilitim i segmentit rrugore mbikalimi pallati me shigjeta rrethrrotullimi Shqiponja, Loti 2, me vlerë realizimi prej 73 milionë lekë;</w:t>
      </w:r>
    </w:p>
    <w:p w14:paraId="77CD3B3A" w14:textId="77777777"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Ndërtim i Unazës së jashtme Tiranë, Loti 7, me vlerë realizimi prej  112 milionë lekë;</w:t>
      </w:r>
      <w:r w:rsidRPr="00F324D8">
        <w:rPr>
          <w:rFonts w:asciiTheme="minorHAnsi" w:eastAsia="MS Mincho" w:hAnsiTheme="minorHAnsi" w:cstheme="minorHAnsi"/>
          <w:i/>
          <w:noProof/>
          <w:lang w:val="sq-AL"/>
        </w:rPr>
        <w:tab/>
      </w:r>
    </w:p>
    <w:p w14:paraId="176625D2" w14:textId="77777777"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 xml:space="preserve">Plotesimi i punimeve dhe rruget lidhese në Unazen lindore, Loti 2, me vlerë realizimi prej 75 milionë lekë; </w:t>
      </w:r>
      <w:r w:rsidRPr="00F324D8">
        <w:rPr>
          <w:rFonts w:asciiTheme="minorHAnsi" w:eastAsia="MS Mincho" w:hAnsiTheme="minorHAnsi" w:cstheme="minorHAnsi"/>
          <w:i/>
          <w:noProof/>
          <w:lang w:val="sq-AL"/>
        </w:rPr>
        <w:tab/>
      </w:r>
    </w:p>
    <w:p w14:paraId="44C5B33E" w14:textId="77777777"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Ndërtimi i segmentit rrugor Sheshi Shqiponja – Bulevardi i Ri, Loti 2,  me vlerë realizimi prej  93 milionë lekë;</w:t>
      </w:r>
      <w:r w:rsidRPr="00F324D8">
        <w:rPr>
          <w:rFonts w:asciiTheme="minorHAnsi" w:eastAsia="MS Mincho" w:hAnsiTheme="minorHAnsi" w:cstheme="minorHAnsi"/>
          <w:i/>
          <w:noProof/>
          <w:lang w:val="sq-AL"/>
        </w:rPr>
        <w:tab/>
      </w:r>
    </w:p>
    <w:p w14:paraId="6F7A3613" w14:textId="43A838C1"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Ndërtim rruga Porto Romano – Durrës, Loti 3, vazhdimi, me vlerë realizimi prej  123</w:t>
      </w:r>
      <w:r w:rsidR="0025195D">
        <w:rPr>
          <w:rFonts w:asciiTheme="minorHAnsi" w:eastAsia="MS Mincho" w:hAnsiTheme="minorHAnsi" w:cstheme="minorHAnsi"/>
          <w:i/>
          <w:noProof/>
          <w:lang w:val="sq-AL"/>
        </w:rPr>
        <w:t>mln</w:t>
      </w:r>
      <w:r w:rsidRPr="00F324D8">
        <w:rPr>
          <w:rFonts w:asciiTheme="minorHAnsi" w:eastAsia="MS Mincho" w:hAnsiTheme="minorHAnsi" w:cstheme="minorHAnsi"/>
          <w:i/>
          <w:noProof/>
          <w:lang w:val="sq-AL"/>
        </w:rPr>
        <w:t xml:space="preserve"> lekë; </w:t>
      </w:r>
    </w:p>
    <w:p w14:paraId="3E796DF7" w14:textId="77777777"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Ndërtim rruga Kardhiq -  Delvinë Loti 8, (Sistemimi dhe Rivitalizimi i Skarpateve), me vlerë realizimi prej  92 milionë lekë;</w:t>
      </w:r>
      <w:r w:rsidRPr="00F324D8">
        <w:rPr>
          <w:rFonts w:asciiTheme="minorHAnsi" w:eastAsia="MS Mincho" w:hAnsiTheme="minorHAnsi" w:cstheme="minorHAnsi"/>
          <w:i/>
          <w:noProof/>
          <w:lang w:val="sq-AL"/>
        </w:rPr>
        <w:tab/>
      </w:r>
    </w:p>
    <w:p w14:paraId="537C6855" w14:textId="77777777"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Ndertim rruga Palase – Dhërmi,</w:t>
      </w:r>
      <w:r w:rsidRPr="00F324D8">
        <w:rPr>
          <w:rFonts w:asciiTheme="minorHAnsi" w:hAnsiTheme="minorHAnsi" w:cstheme="minorHAnsi"/>
          <w:i/>
          <w:noProof/>
          <w:lang w:val="sq-AL"/>
        </w:rPr>
        <w:t xml:space="preserve"> </w:t>
      </w:r>
      <w:r w:rsidRPr="00F324D8">
        <w:rPr>
          <w:rFonts w:asciiTheme="minorHAnsi" w:eastAsia="MS Mincho" w:hAnsiTheme="minorHAnsi" w:cstheme="minorHAnsi"/>
          <w:i/>
          <w:noProof/>
          <w:lang w:val="sq-AL"/>
        </w:rPr>
        <w:t>me vlerë realizimi prej  84 milionë lekë;</w:t>
      </w:r>
    </w:p>
    <w:p w14:paraId="66BB6948" w14:textId="375403EF"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Rikonstruksion i aksit rrugor Maliq – Lozhan i Ri – Strelce, me vlerë realizimi prej 94</w:t>
      </w:r>
      <w:r w:rsidR="0025195D">
        <w:rPr>
          <w:rFonts w:asciiTheme="minorHAnsi" w:eastAsia="MS Mincho" w:hAnsiTheme="minorHAnsi" w:cstheme="minorHAnsi"/>
          <w:i/>
          <w:noProof/>
          <w:lang w:val="sq-AL"/>
        </w:rPr>
        <w:t>mln</w:t>
      </w:r>
      <w:r w:rsidRPr="00F324D8">
        <w:rPr>
          <w:rFonts w:asciiTheme="minorHAnsi" w:eastAsia="MS Mincho" w:hAnsiTheme="minorHAnsi" w:cstheme="minorHAnsi"/>
          <w:i/>
          <w:noProof/>
          <w:lang w:val="sq-AL"/>
        </w:rPr>
        <w:t xml:space="preserve"> lekë;</w:t>
      </w:r>
    </w:p>
    <w:p w14:paraId="3EC2D848" w14:textId="0D6F3675"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Rehabilitim i segmentit rrugor Fier - Vlorë (rruga e vjetër), me vlerë realizimi prej 74</w:t>
      </w:r>
      <w:r w:rsidR="0025195D">
        <w:rPr>
          <w:rFonts w:asciiTheme="minorHAnsi" w:eastAsia="MS Mincho" w:hAnsiTheme="minorHAnsi" w:cstheme="minorHAnsi"/>
          <w:i/>
          <w:noProof/>
          <w:lang w:val="sq-AL"/>
        </w:rPr>
        <w:t>mln</w:t>
      </w:r>
      <w:r w:rsidRPr="00F324D8">
        <w:rPr>
          <w:rFonts w:asciiTheme="minorHAnsi" w:eastAsia="MS Mincho" w:hAnsiTheme="minorHAnsi" w:cstheme="minorHAnsi"/>
          <w:i/>
          <w:noProof/>
          <w:lang w:val="sq-AL"/>
        </w:rPr>
        <w:t xml:space="preserve"> lekë;</w:t>
      </w:r>
    </w:p>
    <w:p w14:paraId="53F015ED" w14:textId="0250F707"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Sistemimi dhe rivitalizi i skarpateve në Shkallën e Tujanit, me vlerë realizimi prej 74</w:t>
      </w:r>
      <w:r w:rsidR="0025195D">
        <w:rPr>
          <w:rFonts w:asciiTheme="minorHAnsi" w:eastAsia="MS Mincho" w:hAnsiTheme="minorHAnsi" w:cstheme="minorHAnsi"/>
          <w:i/>
          <w:noProof/>
          <w:lang w:val="sq-AL"/>
        </w:rPr>
        <w:t>mln</w:t>
      </w:r>
      <w:r w:rsidRPr="00F324D8">
        <w:rPr>
          <w:rFonts w:asciiTheme="minorHAnsi" w:eastAsia="MS Mincho" w:hAnsiTheme="minorHAnsi" w:cstheme="minorHAnsi"/>
          <w:i/>
          <w:noProof/>
          <w:lang w:val="sq-AL"/>
        </w:rPr>
        <w:t xml:space="preserve"> lekë;</w:t>
      </w:r>
    </w:p>
    <w:p w14:paraId="3C8601C9" w14:textId="77777777"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Ndërtim linjë transmetimi nga puseta Yzberisht deri në Depo Katund, Katund i Ri dhe ndërtim nga puseta Yzberisht deri në Depo Qyteti i Nxënësve, bashkia Tiranë, me vlerë realizimi prej  87 milione lekë;</w:t>
      </w:r>
    </w:p>
    <w:p w14:paraId="7BFF49F1" w14:textId="77777777"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Shtesa e impiantit të përpunimit të ujit të pijshë, Boville 1800 l/s faza e dytë me 1200 l/s, me vlerë realizimi prej  100 milionë lekë;</w:t>
      </w:r>
    </w:p>
    <w:p w14:paraId="0BC49F29" w14:textId="77777777"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Ndërtim tubacioni transmetimi Basen presioni – Tunel- Partitar – Depo Daias sh.a. Ujësjellës Kanalizime Tiranë, me vlerë realizimi prej 120 milionë lekë;</w:t>
      </w:r>
    </w:p>
    <w:p w14:paraId="111A9E12" w14:textId="77777777"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Ndërtim ujësjellësi për furnizim me ujë të qytetit Burrel të fshatrave të njësisë administrative Derjan dhe rukaj – Loti I, me vlerë realizimi prej 77.5 milionë lekë;</w:t>
      </w:r>
    </w:p>
    <w:p w14:paraId="452ED887" w14:textId="77777777"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Përfundimi i gjithë rrjetit të Kanalizimeve të Ujerave të ndotura në njësinë administrative Pogradec dhe njësinë administrative Buçimas, bashkia Pogradec, me vlerë realizimi prej 100 milionë lekë;</w:t>
      </w:r>
    </w:p>
    <w:p w14:paraId="31359187" w14:textId="77777777"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lastRenderedPageBreak/>
        <w:t>Ndërtim linjë e re në tubacionin d=700mm të Bovillës së vjetër, L=6.0 km (Zvëndësimi i tubacionit ekzisues-hekuri nga liqeni i Zallherit deri te Kafja e Rremës), me vlerë realizimi prej 75 milionë lekë;</w:t>
      </w:r>
    </w:p>
    <w:p w14:paraId="6F1CC3C1" w14:textId="77777777" w:rsidR="0098410A" w:rsidRPr="00F324D8" w:rsidRDefault="0098410A" w:rsidP="00056DE5">
      <w:pPr>
        <w:pStyle w:val="ListParagraph"/>
        <w:numPr>
          <w:ilvl w:val="0"/>
          <w:numId w:val="43"/>
        </w:numPr>
        <w:spacing w:before="120"/>
        <w:jc w:val="both"/>
        <w:rPr>
          <w:rFonts w:asciiTheme="minorHAnsi" w:eastAsia="MS Mincho" w:hAnsiTheme="minorHAnsi" w:cstheme="minorHAnsi"/>
          <w:i/>
          <w:noProof/>
          <w:lang w:val="sq-AL"/>
        </w:rPr>
      </w:pPr>
      <w:r w:rsidRPr="00F324D8">
        <w:rPr>
          <w:rFonts w:asciiTheme="minorHAnsi" w:eastAsia="MS Mincho" w:hAnsiTheme="minorHAnsi" w:cstheme="minorHAnsi"/>
          <w:i/>
          <w:noProof/>
          <w:lang w:val="sq-AL"/>
        </w:rPr>
        <w:t>Furnizim me ujë për Bashkinë Pustec, me vlerë realizimi prej 100 milionë lekë.</w:t>
      </w:r>
    </w:p>
    <w:p w14:paraId="3D8EA98A" w14:textId="77777777" w:rsidR="0098410A" w:rsidRPr="00F324D8" w:rsidRDefault="0098410A" w:rsidP="0098410A">
      <w:pPr>
        <w:pStyle w:val="ListParagraph"/>
        <w:rPr>
          <w:rFonts w:asciiTheme="minorHAnsi" w:eastAsia="MS Mincho" w:hAnsiTheme="minorHAnsi" w:cstheme="minorHAnsi"/>
          <w:noProof/>
          <w:lang w:val="sq-AL"/>
        </w:rPr>
      </w:pPr>
    </w:p>
    <w:p w14:paraId="30F249F5" w14:textId="05B0BE0A" w:rsidR="0098410A" w:rsidRPr="0025195D" w:rsidRDefault="0098410A" w:rsidP="00056DE5">
      <w:pPr>
        <w:pStyle w:val="ListParagraph"/>
        <w:numPr>
          <w:ilvl w:val="0"/>
          <w:numId w:val="42"/>
        </w:numPr>
        <w:spacing w:before="120"/>
        <w:jc w:val="both"/>
        <w:rPr>
          <w:rFonts w:asciiTheme="minorHAnsi" w:eastAsia="MS Mincho" w:hAnsiTheme="minorHAnsi" w:cstheme="minorHAnsi"/>
          <w:noProof/>
          <w:lang w:val="sq-AL"/>
        </w:rPr>
      </w:pPr>
      <w:r w:rsidRPr="00F324D8">
        <w:rPr>
          <w:rFonts w:asciiTheme="minorHAnsi" w:eastAsia="MS Mincho" w:hAnsiTheme="minorHAnsi" w:cstheme="minorHAnsi"/>
          <w:noProof/>
          <w:lang w:val="sq-AL"/>
        </w:rPr>
        <w:t>Projektet kryesore të cilat kanë kontribuar në realizimin e investimeve me financim të huaj për Ministrinë e Infrastrukturës dhe Energjisë paraqiten si vijon:</w:t>
      </w:r>
    </w:p>
    <w:p w14:paraId="5A0BF852"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Ndërtim By Pass i Vlorës (Kontrate e Re) në vlerën 550 milionë lekë;</w:t>
      </w:r>
    </w:p>
    <w:p w14:paraId="18424419"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Fuqia Energjitike dhe Siguria e Dgës në Kaskadën e Drinit në vlerën 345 milionë lekë;</w:t>
      </w:r>
    </w:p>
    <w:p w14:paraId="413B328C"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Rehabilitimi i linjës hekurudhore Durrës – Terminali i pasagjerëve Tiranë dhe ndërtimi i linjës hekurudhore Tiranë - Rinas, në vlerën 229 milionë lekë;</w:t>
      </w:r>
    </w:p>
    <w:p w14:paraId="170EF8EF"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RRSMSP/CË/2015/1- Kontrata A (Projekti i Bankës Botërore) në vlerën 35 milionë lekë;</w:t>
      </w:r>
    </w:p>
    <w:p w14:paraId="347094A9"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Infrastruktura Bashkiake V (KREDI), në vlerën 34 milionë lekë</w:t>
      </w:r>
    </w:p>
    <w:p w14:paraId="5E03D4D6"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Menaxhimi i mbetjeve të ngurta, Vlorë, në vlerën 17 milionë lekë</w:t>
      </w:r>
    </w:p>
    <w:p w14:paraId="5408ED7B"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Linja unazore 110kv e Shqipërisë së Jugur ( donator 09/10 KFE), në vlerën 15 milionë lekë.</w:t>
      </w:r>
    </w:p>
    <w:p w14:paraId="758B7C6B" w14:textId="77777777" w:rsidR="0098410A" w:rsidRPr="00F324D8" w:rsidRDefault="0098410A" w:rsidP="0098410A">
      <w:pPr>
        <w:pStyle w:val="ListParagraph"/>
        <w:ind w:left="1080"/>
        <w:rPr>
          <w:rFonts w:asciiTheme="minorHAnsi" w:hAnsiTheme="minorHAnsi" w:cstheme="minorHAnsi"/>
          <w:noProof/>
          <w:lang w:val="sq-AL"/>
        </w:rPr>
      </w:pPr>
    </w:p>
    <w:p w14:paraId="0CFC8BE9" w14:textId="3478B8E2" w:rsidR="0098410A" w:rsidRPr="0025195D" w:rsidRDefault="0098410A" w:rsidP="00056DE5">
      <w:pPr>
        <w:pStyle w:val="ListParagraph"/>
        <w:numPr>
          <w:ilvl w:val="0"/>
          <w:numId w:val="42"/>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Njëkohësisht për periudhën 5</w:t>
      </w:r>
      <w:r w:rsidR="0025195D">
        <w:rPr>
          <w:rFonts w:asciiTheme="minorHAnsi" w:eastAsiaTheme="minorHAnsi" w:hAnsiTheme="minorHAnsi" w:cstheme="minorHAnsi"/>
          <w:noProof/>
          <w:lang w:val="sq-AL"/>
        </w:rPr>
        <w:t xml:space="preserve"> </w:t>
      </w:r>
      <w:r w:rsidRPr="00F324D8">
        <w:rPr>
          <w:rFonts w:asciiTheme="minorHAnsi" w:eastAsiaTheme="minorHAnsi" w:hAnsiTheme="minorHAnsi" w:cstheme="minorHAnsi"/>
          <w:noProof/>
          <w:lang w:val="sq-AL"/>
        </w:rPr>
        <w:t xml:space="preserve">mujore të vitit 2023 janë mbyllur kontratat e investimit si mëposhtë, ku ndër më kryesoret veçojmë: </w:t>
      </w:r>
    </w:p>
    <w:p w14:paraId="4F902BE2"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Ndërtim linje transmetimi nga puseta Yzberisht deri në Depo Katund, Katund i Ri dhe ndërtim linjë transmetimi nga puseta Yzberisht deri në Depo Qyteti i Nxënësve, Bashkia Tiranë me vlerë të plotë projekti 458 milionë lekë - projekti ka përfunduar, por po vijohet me likuidimin e pagesës prej 160 milionë lekë.</w:t>
      </w:r>
    </w:p>
    <w:p w14:paraId="68F05D73"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Rehabiliti i segmetin rrugor mbikalimi pallati me shigjeta rrethrrotullimi Shqiponja Loti 2 (shtese punimesh)  me vlerë të plotë projekti 376 milionë lekë - projekti ka përfunduar, por po vijohet me likuidimin e pageses prej 73 milionë lekë;</w:t>
      </w:r>
    </w:p>
    <w:p w14:paraId="683DE5F5"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Furnizimi me ujë nga burimi i Gramës për ujësjellësin e Peshkopisë me vlerë të plotë projekti 737 milion lekë, por po vijohet me likuidimin e pagesës prej 116 milionë lekë.</w:t>
      </w:r>
    </w:p>
    <w:p w14:paraId="29ABD866"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Rehabilitim dhe masa inxhinierike Nyja e Fllakës me vlerë të plotë projekti 145 milionë lekë;</w:t>
      </w:r>
    </w:p>
    <w:p w14:paraId="40998637"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Ndërtim linjë e re në tubacionin d=700mm të Bovillës së vjetër, L=6.0 (Zëvendësimi i tubacionit ekzistues-hekuri nga liqeni i Zallherit deri te kafja e Rremës), me vlerë të plotë projekti 738 milionë lekë -  projekti ka përfunduar, por po vijohet me likuidimin e pagesës prej 373 milionë lekë.</w:t>
      </w:r>
    </w:p>
    <w:p w14:paraId="5CBEB88E"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Përfundimi i gjithë rrjetit të Kanalizimeve të Ujrave të ndotura në Njësinë Administrative Pogradec dhe Njësinë Administrative Buçimas, Bashkia, Pogradec me vlerë të plotë projekti 939 milionë lekë - projekti ka përfunduar, por po vijohet me likuidimin e pagesës prej 431 milionë lekë.</w:t>
      </w:r>
    </w:p>
    <w:p w14:paraId="1BBB11DB"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Ndërtimi i rrjetit KUZ dhe furnizimi me ujë i zonës Valiasi i Ri, Bashkia Kamëz me vlerë të plotë projekti 755 milionë lekë, por po vijohet me likuidimin e pagesës prej 380 milionë lekë.</w:t>
      </w:r>
    </w:p>
    <w:p w14:paraId="72A8B21B"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Rehabilitimi i ujesjellësit të qytetit të Çorovodës dhe fshatrave Çerenisht dhe Sharove, me vlerë të plotë projekti 525 milionë lekë, projekti ka përfunduar, por po vijohet me likuidimin e pageses prej 29 milionë lekë;</w:t>
      </w:r>
    </w:p>
    <w:p w14:paraId="4CC5B4D0"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Përmirësimi i furnizimit me ujë për lagjen Krasten e Vogel, Harmes dhe qytetin e Elbasanit me vlerë të plotë projekti 320 milionë lekë, por po vijohet me likuidimin e pageses prej 49 milionë lekë;</w:t>
      </w:r>
    </w:p>
    <w:p w14:paraId="57B664E8"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Furnizim me ujë i fshatrave Vertop, Bregas, Fushe Peshtan dhe Vodicë, bashkia Poliçan me vlerë të plotë projekti 835 milionë lekë;</w:t>
      </w:r>
    </w:p>
    <w:p w14:paraId="0B49EDDA" w14:textId="77777777" w:rsidR="0098410A" w:rsidRPr="0025195D" w:rsidRDefault="0098410A"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 xml:space="preserve">Rikonstruksion magjistrali kryesor dhe rrjetit të brëndshëm të ujësjellësit qytetit Patos Loti I,  me vlerë të plotë projekti 532 milionë lekë, por po vijohet me likuidimin e pageses prej 63 milionë lekë.     </w:t>
      </w:r>
    </w:p>
    <w:p w14:paraId="2E368603" w14:textId="77777777" w:rsidR="000C4F22" w:rsidRPr="000C4F22" w:rsidRDefault="000C4F22" w:rsidP="009647C4">
      <w:pPr>
        <w:pStyle w:val="NormalWeb"/>
        <w:spacing w:before="0" w:beforeAutospacing="0" w:after="0" w:afterAutospacing="0"/>
        <w:jc w:val="both"/>
        <w:rPr>
          <w:rFonts w:asciiTheme="minorHAnsi" w:hAnsiTheme="minorHAnsi"/>
          <w:b/>
          <w:color w:val="000000"/>
          <w:sz w:val="12"/>
          <w:lang w:val="sq-AL"/>
        </w:rPr>
      </w:pPr>
    </w:p>
    <w:p w14:paraId="7CBFF023" w14:textId="77777777" w:rsidR="000C4F22" w:rsidRPr="009647C4" w:rsidRDefault="000C4F22" w:rsidP="009647C4">
      <w:pPr>
        <w:spacing w:before="240" w:line="276" w:lineRule="auto"/>
        <w:jc w:val="both"/>
        <w:rPr>
          <w:rFonts w:asciiTheme="minorHAnsi" w:hAnsiTheme="minorHAnsi"/>
          <w:b/>
          <w:color w:val="0070C0"/>
          <w:lang w:val="sq-AL"/>
        </w:rPr>
      </w:pPr>
      <w:r w:rsidRPr="009647C4">
        <w:rPr>
          <w:rFonts w:asciiTheme="minorHAnsi" w:hAnsiTheme="minorHAnsi"/>
          <w:b/>
          <w:color w:val="0070C0"/>
          <w:lang w:val="sq-AL"/>
        </w:rPr>
        <w:lastRenderedPageBreak/>
        <w:t>Ministria e Financave dhe Ekonomisë</w:t>
      </w:r>
    </w:p>
    <w:p w14:paraId="0A078332" w14:textId="3F34AD9C" w:rsidR="0025195D" w:rsidRPr="00F324D8" w:rsidRDefault="0025195D" w:rsidP="00056DE5">
      <w:pPr>
        <w:pStyle w:val="ListParagraph"/>
        <w:numPr>
          <w:ilvl w:val="0"/>
          <w:numId w:val="42"/>
        </w:numPr>
        <w:spacing w:before="120"/>
        <w:jc w:val="both"/>
        <w:rPr>
          <w:rFonts w:asciiTheme="minorHAnsi" w:hAnsiTheme="minorHAnsi" w:cstheme="minorHAnsi"/>
          <w:noProof/>
          <w:lang w:val="sq-AL"/>
        </w:rPr>
      </w:pPr>
      <w:r w:rsidRPr="00F324D8">
        <w:rPr>
          <w:rFonts w:asciiTheme="minorHAnsi" w:eastAsiaTheme="minorHAnsi" w:hAnsiTheme="minorHAnsi" w:cstheme="minorHAnsi"/>
          <w:noProof/>
          <w:lang w:val="sq-AL"/>
        </w:rPr>
        <w:t xml:space="preserve">Për </w:t>
      </w:r>
      <w:r w:rsidRPr="00F324D8">
        <w:rPr>
          <w:rFonts w:asciiTheme="minorHAnsi" w:hAnsiTheme="minorHAnsi" w:cstheme="minorHAnsi"/>
          <w:noProof/>
          <w:lang w:val="sq-AL"/>
        </w:rPr>
        <w:t>projektet me financim të brendshëm, realizimi për 5</w:t>
      </w:r>
      <w:r>
        <w:rPr>
          <w:rFonts w:asciiTheme="minorHAnsi" w:hAnsiTheme="minorHAnsi" w:cstheme="minorHAnsi"/>
          <w:noProof/>
          <w:lang w:val="sq-AL"/>
        </w:rPr>
        <w:t>M</w:t>
      </w:r>
      <w:r w:rsidRPr="00F324D8">
        <w:rPr>
          <w:rFonts w:asciiTheme="minorHAnsi" w:hAnsiTheme="minorHAnsi" w:cstheme="minorHAnsi"/>
          <w:noProof/>
          <w:lang w:val="sq-AL"/>
        </w:rPr>
        <w:t xml:space="preserve"> 2023 është 14% të buxhetit fillestar realizuar ne masën 289 milionë lekë</w:t>
      </w:r>
      <w:r w:rsidRPr="00F324D8">
        <w:rPr>
          <w:rFonts w:asciiTheme="minorHAnsi" w:hAnsiTheme="minorHAnsi" w:cstheme="minorHAnsi"/>
          <w:bCs/>
          <w:iCs/>
          <w:noProof/>
          <w:lang w:val="sq-AL"/>
        </w:rPr>
        <w:t xml:space="preserve">. </w:t>
      </w:r>
      <w:r w:rsidRPr="00F324D8">
        <w:rPr>
          <w:rFonts w:asciiTheme="minorHAnsi" w:hAnsiTheme="minorHAnsi" w:cstheme="minorHAnsi"/>
          <w:noProof/>
          <w:lang w:val="sq-AL"/>
        </w:rPr>
        <w:t xml:space="preserve">Për projektet me financim të huaj realizimi është  4.1% e buxhetit fillestar </w:t>
      </w:r>
      <w:r>
        <w:rPr>
          <w:rFonts w:asciiTheme="minorHAnsi" w:hAnsiTheme="minorHAnsi" w:cstheme="minorHAnsi"/>
          <w:noProof/>
          <w:lang w:val="sq-AL"/>
        </w:rPr>
        <w:t xml:space="preserve">ose </w:t>
      </w:r>
      <w:r w:rsidRPr="00F324D8">
        <w:rPr>
          <w:rFonts w:asciiTheme="minorHAnsi" w:hAnsiTheme="minorHAnsi" w:cstheme="minorHAnsi"/>
          <w:noProof/>
          <w:lang w:val="sq-AL"/>
        </w:rPr>
        <w:t xml:space="preserve">në masën 97 milionë lekë. </w:t>
      </w:r>
    </w:p>
    <w:p w14:paraId="192A4F95" w14:textId="0C9105BC" w:rsidR="0025195D" w:rsidRPr="00F324D8" w:rsidRDefault="0025195D" w:rsidP="00056DE5">
      <w:pPr>
        <w:pStyle w:val="ListParagraph"/>
        <w:numPr>
          <w:ilvl w:val="0"/>
          <w:numId w:val="42"/>
        </w:numPr>
        <w:spacing w:before="120"/>
        <w:jc w:val="both"/>
        <w:rPr>
          <w:rFonts w:asciiTheme="minorHAnsi" w:hAnsiTheme="minorHAnsi" w:cstheme="minorHAnsi"/>
          <w:noProof/>
          <w:lang w:val="sq-AL"/>
        </w:rPr>
      </w:pPr>
      <w:r>
        <w:rPr>
          <w:rFonts w:asciiTheme="minorHAnsi" w:hAnsiTheme="minorHAnsi" w:cstheme="minorHAnsi"/>
          <w:noProof/>
          <w:lang w:val="sq-AL"/>
        </w:rPr>
        <w:t>MFE</w:t>
      </w:r>
      <w:r w:rsidRPr="00F324D8">
        <w:rPr>
          <w:rFonts w:asciiTheme="minorHAnsi" w:hAnsiTheme="minorHAnsi" w:cstheme="minorHAnsi"/>
          <w:noProof/>
          <w:lang w:val="sq-AL"/>
        </w:rPr>
        <w:t xml:space="preserve"> nuk </w:t>
      </w:r>
      <w:r>
        <w:rPr>
          <w:rFonts w:asciiTheme="minorHAnsi" w:hAnsiTheme="minorHAnsi" w:cstheme="minorHAnsi"/>
          <w:noProof/>
          <w:lang w:val="sq-AL"/>
        </w:rPr>
        <w:t>ka</w:t>
      </w:r>
      <w:r w:rsidRPr="00F324D8">
        <w:rPr>
          <w:rFonts w:asciiTheme="minorHAnsi" w:hAnsiTheme="minorHAnsi" w:cstheme="minorHAnsi"/>
          <w:noProof/>
          <w:lang w:val="sq-AL"/>
        </w:rPr>
        <w:t xml:space="preserve"> raportuar problematika </w:t>
      </w:r>
      <w:r>
        <w:rPr>
          <w:rFonts w:asciiTheme="minorHAnsi" w:hAnsiTheme="minorHAnsi" w:cstheme="minorHAnsi"/>
          <w:noProof/>
          <w:lang w:val="sq-AL"/>
        </w:rPr>
        <w:t>q</w:t>
      </w:r>
      <w:r w:rsidRPr="00F324D8">
        <w:rPr>
          <w:rFonts w:asciiTheme="minorHAnsi" w:hAnsiTheme="minorHAnsi" w:cstheme="minorHAnsi"/>
          <w:noProof/>
          <w:lang w:val="sq-AL"/>
        </w:rPr>
        <w:t xml:space="preserve">ë </w:t>
      </w:r>
      <w:r>
        <w:rPr>
          <w:rFonts w:asciiTheme="minorHAnsi" w:hAnsiTheme="minorHAnsi" w:cstheme="minorHAnsi"/>
          <w:noProof/>
          <w:lang w:val="sq-AL"/>
        </w:rPr>
        <w:t xml:space="preserve">mund </w:t>
      </w:r>
      <w:r w:rsidRPr="00F324D8">
        <w:rPr>
          <w:rFonts w:asciiTheme="minorHAnsi" w:hAnsiTheme="minorHAnsi" w:cstheme="minorHAnsi"/>
          <w:noProof/>
          <w:lang w:val="sq-AL"/>
        </w:rPr>
        <w:t xml:space="preserve">të ndikojnë në realizimin e projekteve të investimeve. Në përgjithësi procesi i realizimit të planit është në fazat e zhvillimit të procedurave të tenderave. </w:t>
      </w:r>
    </w:p>
    <w:p w14:paraId="073BB79C" w14:textId="510FEA03" w:rsidR="0025195D" w:rsidRPr="00F324D8" w:rsidRDefault="0025195D" w:rsidP="00056DE5">
      <w:pPr>
        <w:pStyle w:val="ListParagraph"/>
        <w:numPr>
          <w:ilvl w:val="0"/>
          <w:numId w:val="42"/>
        </w:numPr>
        <w:spacing w:before="120"/>
        <w:jc w:val="both"/>
        <w:rPr>
          <w:rFonts w:asciiTheme="minorHAnsi" w:hAnsiTheme="minorHAnsi" w:cstheme="minorHAnsi"/>
          <w:noProof/>
          <w:lang w:val="sq-AL"/>
        </w:rPr>
      </w:pPr>
      <w:r w:rsidRPr="00F324D8">
        <w:rPr>
          <w:rFonts w:asciiTheme="minorHAnsi" w:hAnsiTheme="minorHAnsi" w:cstheme="minorHAnsi"/>
          <w:noProof/>
          <w:lang w:val="sq-AL"/>
        </w:rPr>
        <w:t xml:space="preserve">Në Lidhje me Financimin e Huaj është raportuar se për projektin e parashikuar </w:t>
      </w:r>
      <w:r w:rsidRPr="00F324D8">
        <w:rPr>
          <w:rFonts w:asciiTheme="minorHAnsi" w:hAnsiTheme="minorHAnsi" w:cstheme="minorHAnsi"/>
          <w:bCs/>
          <w:i/>
          <w:noProof/>
          <w:lang w:val="sq-AL"/>
        </w:rPr>
        <w:t>“Rikonstruksion i godinave ne pronesi te Njesive te Qeverisjes Vendore per strehim social</w:t>
      </w:r>
      <w:r w:rsidRPr="00F324D8">
        <w:rPr>
          <w:rFonts w:asciiTheme="minorHAnsi" w:hAnsiTheme="minorHAnsi" w:cstheme="minorHAnsi"/>
          <w:bCs/>
          <w:noProof/>
          <w:lang w:val="sq-AL"/>
        </w:rPr>
        <w:t>” planifikuar 900,000 milionë lekë përmes një instrumenti të posaçëm të garancisë sovrane nga qeveria me një fond 100 milionë euro të Bankës Europiane të Investimeve</w:t>
      </w:r>
      <w:r>
        <w:rPr>
          <w:rFonts w:asciiTheme="minorHAnsi" w:hAnsiTheme="minorHAnsi" w:cstheme="minorHAnsi"/>
          <w:bCs/>
          <w:noProof/>
          <w:lang w:val="sq-AL"/>
        </w:rPr>
        <w:t xml:space="preserve">, </w:t>
      </w:r>
      <w:r w:rsidRPr="00F324D8">
        <w:rPr>
          <w:rFonts w:asciiTheme="minorHAnsi" w:hAnsiTheme="minorHAnsi" w:cstheme="minorHAnsi"/>
          <w:bCs/>
          <w:noProof/>
          <w:lang w:val="sq-AL"/>
        </w:rPr>
        <w:t xml:space="preserve">aktualisht ende nuk kemi një marrëveshje të lidhur me BEI dhe nuk parashikohet të lidhet brenda këtij viti. </w:t>
      </w:r>
    </w:p>
    <w:p w14:paraId="6CF182DE" w14:textId="4AE635C6" w:rsidR="0025195D" w:rsidRPr="0025195D" w:rsidRDefault="0025195D" w:rsidP="00056DE5">
      <w:pPr>
        <w:pStyle w:val="ListParagraph"/>
        <w:numPr>
          <w:ilvl w:val="0"/>
          <w:numId w:val="42"/>
        </w:numPr>
        <w:spacing w:before="120"/>
        <w:jc w:val="both"/>
        <w:rPr>
          <w:rFonts w:asciiTheme="minorHAnsi" w:hAnsiTheme="minorHAnsi" w:cstheme="minorHAnsi"/>
          <w:bCs/>
          <w:i/>
          <w:noProof/>
          <w:lang w:val="sq-AL"/>
        </w:rPr>
      </w:pPr>
      <w:r w:rsidRPr="00F324D8">
        <w:rPr>
          <w:rFonts w:asciiTheme="minorHAnsi" w:hAnsiTheme="minorHAnsi" w:cstheme="minorHAnsi"/>
          <w:noProof/>
          <w:lang w:val="sq-AL"/>
        </w:rPr>
        <w:t xml:space="preserve">Programet me realizimin më të mirë </w:t>
      </w:r>
      <w:r>
        <w:rPr>
          <w:rFonts w:asciiTheme="minorHAnsi" w:hAnsiTheme="minorHAnsi" w:cstheme="minorHAnsi"/>
          <w:noProof/>
          <w:lang w:val="sq-AL"/>
        </w:rPr>
        <w:t>t</w:t>
      </w:r>
      <w:r w:rsidR="007904C8">
        <w:rPr>
          <w:rFonts w:asciiTheme="minorHAnsi" w:hAnsiTheme="minorHAnsi" w:cstheme="minorHAnsi"/>
          <w:noProof/>
          <w:lang w:val="sq-AL"/>
        </w:rPr>
        <w:t>ë</w:t>
      </w:r>
      <w:r w:rsidRPr="00F324D8">
        <w:rPr>
          <w:rFonts w:asciiTheme="minorHAnsi" w:hAnsiTheme="minorHAnsi" w:cstheme="minorHAnsi"/>
          <w:noProof/>
          <w:lang w:val="sq-AL"/>
        </w:rPr>
        <w:t xml:space="preserve"> projekteve me financim te brendshëm paraqiten</w:t>
      </w:r>
      <w:r>
        <w:rPr>
          <w:rFonts w:asciiTheme="minorHAnsi" w:hAnsiTheme="minorHAnsi" w:cstheme="minorHAnsi"/>
          <w:noProof/>
          <w:lang w:val="sq-AL"/>
        </w:rPr>
        <w:t>:</w:t>
      </w:r>
      <w:r w:rsidRPr="00F324D8">
        <w:rPr>
          <w:rFonts w:asciiTheme="minorHAnsi" w:hAnsiTheme="minorHAnsi" w:cstheme="minorHAnsi"/>
          <w:noProof/>
          <w:lang w:val="sq-AL"/>
        </w:rPr>
        <w:t xml:space="preserve">  </w:t>
      </w:r>
    </w:p>
    <w:p w14:paraId="77208029" w14:textId="1F882B9F" w:rsidR="0025195D" w:rsidRDefault="0025195D"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programi “Planifikimi, Menaxhimi dhe Administrimi” me realizim 35.4% kundrejt planit prej 342 milionë lekë</w:t>
      </w:r>
      <w:r>
        <w:rPr>
          <w:rFonts w:asciiTheme="minorHAnsi" w:hAnsiTheme="minorHAnsi" w:cstheme="minorHAnsi"/>
          <w:bCs/>
          <w:i/>
          <w:noProof/>
          <w:lang w:val="sq-AL"/>
        </w:rPr>
        <w:t>;</w:t>
      </w:r>
      <w:r w:rsidRPr="0025195D">
        <w:rPr>
          <w:rFonts w:asciiTheme="minorHAnsi" w:hAnsiTheme="minorHAnsi" w:cstheme="minorHAnsi"/>
          <w:bCs/>
          <w:i/>
          <w:noProof/>
          <w:lang w:val="sq-AL"/>
        </w:rPr>
        <w:t xml:space="preserve"> </w:t>
      </w:r>
      <w:r>
        <w:rPr>
          <w:rFonts w:asciiTheme="minorHAnsi" w:hAnsiTheme="minorHAnsi" w:cstheme="minorHAnsi"/>
          <w:bCs/>
          <w:i/>
          <w:noProof/>
          <w:lang w:val="sq-AL"/>
        </w:rPr>
        <w:t xml:space="preserve">        </w:t>
      </w:r>
    </w:p>
    <w:p w14:paraId="31FF6037" w14:textId="77777777" w:rsidR="0025195D" w:rsidRPr="0025195D" w:rsidRDefault="0025195D" w:rsidP="00056DE5">
      <w:pPr>
        <w:pStyle w:val="ListParagraph"/>
        <w:numPr>
          <w:ilvl w:val="0"/>
          <w:numId w:val="40"/>
        </w:numPr>
        <w:spacing w:before="120"/>
        <w:jc w:val="both"/>
        <w:rPr>
          <w:rFonts w:asciiTheme="minorHAnsi" w:hAnsiTheme="minorHAnsi" w:cstheme="minorHAnsi"/>
          <w:bCs/>
          <w:i/>
          <w:noProof/>
          <w:lang w:val="sq-AL"/>
        </w:rPr>
      </w:pPr>
      <w:r w:rsidRPr="0025195D">
        <w:rPr>
          <w:rFonts w:asciiTheme="minorHAnsi" w:hAnsiTheme="minorHAnsi" w:cstheme="minorHAnsi"/>
          <w:bCs/>
          <w:i/>
          <w:noProof/>
          <w:lang w:val="sq-AL"/>
        </w:rPr>
        <w:t xml:space="preserve">programi “Tregu i Punes” me realizim 27.5% kundrejt planit prej 131 milionë lekë, </w:t>
      </w:r>
    </w:p>
    <w:p w14:paraId="31F57085" w14:textId="7483EBB2" w:rsidR="0025195D" w:rsidRPr="0025195D" w:rsidRDefault="0025195D" w:rsidP="00056DE5">
      <w:pPr>
        <w:pStyle w:val="ListParagraph"/>
        <w:numPr>
          <w:ilvl w:val="0"/>
          <w:numId w:val="42"/>
        </w:numPr>
        <w:spacing w:before="120"/>
        <w:jc w:val="both"/>
        <w:rPr>
          <w:rFonts w:asciiTheme="minorHAnsi" w:eastAsia="MS Mincho" w:hAnsiTheme="minorHAnsi" w:cstheme="minorHAnsi"/>
          <w:noProof/>
          <w:lang w:val="sq-AL"/>
        </w:rPr>
      </w:pPr>
      <w:r w:rsidRPr="0025195D">
        <w:rPr>
          <w:rFonts w:asciiTheme="minorHAnsi" w:hAnsiTheme="minorHAnsi" w:cstheme="minorHAnsi"/>
          <w:noProof/>
          <w:lang w:val="sq-AL"/>
        </w:rPr>
        <w:t>Programi me realizimin më të mirë përsa i përket projekteve me financim të huaj paraqitet  programi “</w:t>
      </w:r>
      <w:r w:rsidRPr="0025195D">
        <w:rPr>
          <w:rFonts w:asciiTheme="minorHAnsi" w:hAnsiTheme="minorHAnsi" w:cstheme="minorHAnsi"/>
          <w:i/>
          <w:noProof/>
          <w:lang w:val="sq-AL"/>
        </w:rPr>
        <w:t>Planifikimi Menaxhimi dhe administrimi”</w:t>
      </w:r>
      <w:r w:rsidRPr="0025195D">
        <w:rPr>
          <w:rFonts w:asciiTheme="minorHAnsi" w:hAnsiTheme="minorHAnsi" w:cstheme="minorHAnsi"/>
          <w:noProof/>
          <w:lang w:val="sq-AL"/>
        </w:rPr>
        <w:t xml:space="preserve"> me realizim 16.8% kundrejt planit prej 550 milionë lekë</w:t>
      </w:r>
      <w:r w:rsidRPr="0025195D">
        <w:rPr>
          <w:rFonts w:asciiTheme="minorHAnsi" w:eastAsia="MS Mincho" w:hAnsiTheme="minorHAnsi" w:cstheme="minorHAnsi"/>
          <w:noProof/>
          <w:lang w:val="sq-AL"/>
        </w:rPr>
        <w:t>.</w:t>
      </w:r>
    </w:p>
    <w:p w14:paraId="7A735EF9" w14:textId="77777777" w:rsidR="008E31C3" w:rsidRDefault="008E31C3" w:rsidP="0025195D">
      <w:pPr>
        <w:pStyle w:val="ListParagraph"/>
        <w:spacing w:before="120"/>
        <w:ind w:left="360"/>
        <w:jc w:val="both"/>
        <w:rPr>
          <w:rFonts w:asciiTheme="minorHAnsi" w:hAnsiTheme="minorHAnsi" w:cstheme="minorHAnsi"/>
          <w:noProof/>
          <w:lang w:val="sq-AL"/>
        </w:rPr>
      </w:pPr>
    </w:p>
    <w:p w14:paraId="4D11163E" w14:textId="6A16742A" w:rsidR="0025195D" w:rsidRPr="00F324D8" w:rsidRDefault="0025195D" w:rsidP="0025195D">
      <w:pPr>
        <w:pStyle w:val="ListParagraph"/>
        <w:spacing w:before="120"/>
        <w:ind w:left="360"/>
        <w:jc w:val="both"/>
        <w:rPr>
          <w:rFonts w:asciiTheme="minorHAnsi" w:hAnsiTheme="minorHAnsi" w:cstheme="minorHAnsi"/>
          <w:noProof/>
          <w:lang w:val="sq-AL"/>
        </w:rPr>
      </w:pPr>
      <w:r w:rsidRPr="00F324D8">
        <w:rPr>
          <w:rFonts w:asciiTheme="minorHAnsi" w:hAnsiTheme="minorHAnsi" w:cstheme="minorHAnsi"/>
          <w:noProof/>
          <w:lang w:val="sq-AL"/>
        </w:rPr>
        <w:t>Më poshtë paraqiten statusi i detajuar për cdo program.</w:t>
      </w:r>
    </w:p>
    <w:p w14:paraId="238F2B35" w14:textId="77777777" w:rsidR="0025195D" w:rsidRPr="008E31C3" w:rsidRDefault="0025195D" w:rsidP="0025195D">
      <w:pPr>
        <w:rPr>
          <w:rFonts w:asciiTheme="minorHAnsi" w:hAnsiTheme="minorHAnsi" w:cstheme="minorHAnsi"/>
          <w:noProof/>
          <w:sz w:val="12"/>
          <w:lang w:val="sq-AL"/>
        </w:rPr>
      </w:pPr>
    </w:p>
    <w:p w14:paraId="366CFFFE" w14:textId="22F68062" w:rsidR="0025195D" w:rsidRPr="00F324D8" w:rsidRDefault="0025195D" w:rsidP="00F17724">
      <w:pPr>
        <w:jc w:val="both"/>
        <w:rPr>
          <w:rFonts w:asciiTheme="minorHAnsi" w:hAnsiTheme="minorHAnsi" w:cstheme="minorHAnsi"/>
          <w:noProof/>
          <w:lang w:val="sq-AL"/>
        </w:rPr>
      </w:pPr>
      <w:r w:rsidRPr="0025195D">
        <w:rPr>
          <w:rFonts w:asciiTheme="minorHAnsi" w:hAnsiTheme="minorHAnsi" w:cstheme="minorHAnsi"/>
          <w:i/>
          <w:noProof/>
          <w:lang w:val="sq-AL"/>
        </w:rPr>
        <w:t>Planifikimi, Menaxhimi dhe Administrimi</w:t>
      </w:r>
      <w:r w:rsidR="00F17724">
        <w:rPr>
          <w:rFonts w:asciiTheme="minorHAnsi" w:hAnsiTheme="minorHAnsi" w:cstheme="minorHAnsi"/>
          <w:i/>
          <w:noProof/>
          <w:lang w:val="sq-AL"/>
        </w:rPr>
        <w:t>:</w:t>
      </w:r>
    </w:p>
    <w:p w14:paraId="7F460D29" w14:textId="77777777" w:rsidR="0025195D" w:rsidRPr="00F17724" w:rsidRDefault="0025195D" w:rsidP="00056DE5">
      <w:pPr>
        <w:pStyle w:val="ListParagraph"/>
        <w:numPr>
          <w:ilvl w:val="0"/>
          <w:numId w:val="44"/>
        </w:numPr>
        <w:contextualSpacing w:val="0"/>
        <w:jc w:val="both"/>
        <w:rPr>
          <w:rFonts w:asciiTheme="minorHAnsi" w:hAnsiTheme="minorHAnsi" w:cstheme="minorHAnsi"/>
          <w:noProof/>
          <w:sz w:val="22"/>
          <w:lang w:val="sq-AL"/>
        </w:rPr>
      </w:pPr>
      <w:r w:rsidRPr="00F17724">
        <w:rPr>
          <w:rFonts w:asciiTheme="minorHAnsi" w:hAnsiTheme="minorHAnsi" w:cstheme="minorHAnsi"/>
          <w:noProof/>
          <w:sz w:val="22"/>
          <w:lang w:val="sq-AL"/>
        </w:rPr>
        <w:t>Nga të gjitha projektet Transferta kapitale per IBRD dhe IFC është realizuar, ndërsa të tjera janë në proces.</w:t>
      </w:r>
    </w:p>
    <w:p w14:paraId="3D73E810" w14:textId="77777777" w:rsidR="0025195D" w:rsidRPr="00F17724" w:rsidRDefault="0025195D" w:rsidP="00056DE5">
      <w:pPr>
        <w:pStyle w:val="ListParagraph"/>
        <w:numPr>
          <w:ilvl w:val="0"/>
          <w:numId w:val="44"/>
        </w:numPr>
        <w:contextualSpacing w:val="0"/>
        <w:jc w:val="both"/>
        <w:rPr>
          <w:rFonts w:asciiTheme="minorHAnsi" w:hAnsiTheme="minorHAnsi" w:cstheme="minorHAnsi"/>
          <w:noProof/>
          <w:sz w:val="22"/>
          <w:lang w:val="sq-AL"/>
        </w:rPr>
      </w:pPr>
      <w:r w:rsidRPr="00F17724">
        <w:rPr>
          <w:rFonts w:asciiTheme="minorHAnsi" w:hAnsiTheme="minorHAnsi" w:cstheme="minorHAnsi"/>
          <w:noProof/>
          <w:sz w:val="22"/>
          <w:lang w:val="sq-AL"/>
        </w:rPr>
        <w:t>Rikonstruksion ambientesh per arkivat CFCU është në fazë të vlerësimit të ofertave dhe nëse nuk do të paraqiten ankesa parashikohet që 10 ditëshin e parë të korrikut të lidhet kontrata;</w:t>
      </w:r>
    </w:p>
    <w:p w14:paraId="229A858E" w14:textId="77777777" w:rsidR="0025195D" w:rsidRPr="00F17724" w:rsidRDefault="0025195D" w:rsidP="00056DE5">
      <w:pPr>
        <w:pStyle w:val="ListParagraph"/>
        <w:numPr>
          <w:ilvl w:val="0"/>
          <w:numId w:val="44"/>
        </w:numPr>
        <w:contextualSpacing w:val="0"/>
        <w:jc w:val="both"/>
        <w:rPr>
          <w:rFonts w:asciiTheme="minorHAnsi" w:hAnsiTheme="minorHAnsi" w:cstheme="minorHAnsi"/>
          <w:noProof/>
          <w:sz w:val="22"/>
          <w:lang w:val="sq-AL"/>
        </w:rPr>
      </w:pPr>
      <w:r w:rsidRPr="00F17724">
        <w:rPr>
          <w:rFonts w:asciiTheme="minorHAnsi" w:hAnsiTheme="minorHAnsi" w:cstheme="minorHAnsi"/>
          <w:noProof/>
          <w:sz w:val="22"/>
          <w:lang w:val="sq-AL"/>
        </w:rPr>
        <w:t>Mirembajtja e sistemit te thesarit dhe blerje licenca Oracle dhe Zgjerimi i SIFQ tek njesite e Qeverisjes se Pergjithshme është procedurë që kryhet nga AKSHI. Është në pritje të depozitimit të kontratës nga AKSHI për të parë sa do të jetë vlera e projektit.</w:t>
      </w:r>
    </w:p>
    <w:p w14:paraId="1D0266F7" w14:textId="77777777" w:rsidR="0025195D" w:rsidRPr="00F324D8" w:rsidRDefault="0025195D" w:rsidP="0025195D">
      <w:pPr>
        <w:rPr>
          <w:rFonts w:asciiTheme="minorHAnsi" w:hAnsiTheme="minorHAnsi" w:cstheme="minorHAnsi"/>
          <w:noProof/>
          <w:lang w:val="sq-AL"/>
        </w:rPr>
      </w:pPr>
    </w:p>
    <w:p w14:paraId="03789430" w14:textId="4F162AC5" w:rsidR="0025195D" w:rsidRPr="0025195D" w:rsidRDefault="0025195D" w:rsidP="00F17724">
      <w:pPr>
        <w:jc w:val="both"/>
        <w:rPr>
          <w:rFonts w:asciiTheme="minorHAnsi" w:hAnsiTheme="minorHAnsi" w:cstheme="minorHAnsi"/>
          <w:noProof/>
          <w:lang w:val="sq-AL"/>
        </w:rPr>
      </w:pPr>
      <w:r w:rsidRPr="0025195D">
        <w:rPr>
          <w:rFonts w:asciiTheme="minorHAnsi" w:hAnsiTheme="minorHAnsi" w:cstheme="minorHAnsi"/>
          <w:i/>
          <w:noProof/>
          <w:lang w:val="sq-AL"/>
        </w:rPr>
        <w:t>Ekzekutimi i  Pagesave te Ndryshme</w:t>
      </w:r>
      <w:r>
        <w:rPr>
          <w:rFonts w:asciiTheme="minorHAnsi" w:hAnsiTheme="minorHAnsi" w:cstheme="minorHAnsi"/>
          <w:i/>
          <w:noProof/>
          <w:lang w:val="sq-AL"/>
        </w:rPr>
        <w:t xml:space="preserve"> – </w:t>
      </w:r>
      <w:r w:rsidRPr="0025195D">
        <w:rPr>
          <w:rFonts w:asciiTheme="minorHAnsi" w:hAnsiTheme="minorHAnsi" w:cstheme="minorHAnsi"/>
          <w:noProof/>
          <w:lang w:val="sq-AL"/>
        </w:rPr>
        <w:t>Për</w:t>
      </w:r>
      <w:r>
        <w:rPr>
          <w:rFonts w:asciiTheme="minorHAnsi" w:hAnsiTheme="minorHAnsi" w:cstheme="minorHAnsi"/>
          <w:noProof/>
          <w:lang w:val="sq-AL"/>
        </w:rPr>
        <w:t xml:space="preserve"> </w:t>
      </w:r>
      <w:r w:rsidRPr="0025195D">
        <w:rPr>
          <w:rFonts w:asciiTheme="minorHAnsi" w:hAnsiTheme="minorHAnsi" w:cstheme="minorHAnsi"/>
          <w:noProof/>
          <w:lang w:val="sq-AL"/>
        </w:rPr>
        <w:t xml:space="preserve">vitin 2023 në këtë program u miratua vetëm një projekt. Ky projekt lidhet me objekte investimi që nuk prokurohen. Fondi për SASPAC përdoret rast pas rasti nga DPB, duke transferuar fondet dhe për cdo transferim pakësohet buxheti i alokuar. Deri tani janë transferuar fond per bashkite: Kucovë, Berat dhe Pustec, si dhe për qarkun Kukës. Në total janë transferuar rreth 17.2 milionë lekë. </w:t>
      </w:r>
    </w:p>
    <w:p w14:paraId="43D9B0B5" w14:textId="77777777" w:rsidR="0025195D" w:rsidRPr="0025195D" w:rsidRDefault="0025195D" w:rsidP="0025195D">
      <w:pPr>
        <w:pStyle w:val="ListParagraph"/>
        <w:rPr>
          <w:rFonts w:asciiTheme="minorHAnsi" w:hAnsiTheme="minorHAnsi" w:cstheme="minorHAnsi"/>
          <w:noProof/>
          <w:lang w:val="sq-AL"/>
        </w:rPr>
      </w:pPr>
    </w:p>
    <w:p w14:paraId="34C75075" w14:textId="40BF599D" w:rsidR="0025195D" w:rsidRPr="0025195D" w:rsidRDefault="0025195D" w:rsidP="00F17724">
      <w:pPr>
        <w:jc w:val="both"/>
        <w:rPr>
          <w:rFonts w:asciiTheme="minorHAnsi" w:hAnsiTheme="minorHAnsi" w:cstheme="minorHAnsi"/>
          <w:noProof/>
          <w:lang w:val="sq-AL"/>
        </w:rPr>
      </w:pPr>
      <w:r w:rsidRPr="0025195D">
        <w:rPr>
          <w:rFonts w:asciiTheme="minorHAnsi" w:hAnsiTheme="minorHAnsi" w:cstheme="minorHAnsi"/>
          <w:i/>
          <w:noProof/>
          <w:lang w:val="sq-AL"/>
        </w:rPr>
        <w:t xml:space="preserve">Menaxhimi i  të Ardhurave Tatimore </w:t>
      </w:r>
      <w:r>
        <w:rPr>
          <w:rFonts w:asciiTheme="minorHAnsi" w:hAnsiTheme="minorHAnsi" w:cstheme="minorHAnsi"/>
          <w:i/>
          <w:noProof/>
          <w:lang w:val="sq-AL"/>
        </w:rPr>
        <w:t xml:space="preserve">– </w:t>
      </w:r>
      <w:r w:rsidRPr="0025195D">
        <w:rPr>
          <w:rFonts w:asciiTheme="minorHAnsi" w:hAnsiTheme="minorHAnsi" w:cstheme="minorHAnsi"/>
          <w:noProof/>
          <w:lang w:val="sq-AL"/>
        </w:rPr>
        <w:t>Permiresimi</w:t>
      </w:r>
      <w:r>
        <w:rPr>
          <w:rFonts w:asciiTheme="minorHAnsi" w:hAnsiTheme="minorHAnsi" w:cstheme="minorHAnsi"/>
          <w:noProof/>
          <w:lang w:val="sq-AL"/>
        </w:rPr>
        <w:t xml:space="preserve"> </w:t>
      </w:r>
      <w:r w:rsidRPr="0025195D">
        <w:rPr>
          <w:rFonts w:asciiTheme="minorHAnsi" w:hAnsiTheme="minorHAnsi" w:cstheme="minorHAnsi"/>
          <w:noProof/>
          <w:lang w:val="sq-AL"/>
        </w:rPr>
        <w:t>i sistemit E- taxation, Hapesira hardëare per kapacitetin e serverave, Blerje pajisje elektronike dhe kompjuterike dhe Akses kontrolli janë procedura që zhvillohen nga AKSHI. Procedurat e tjera kanë si afat prokurimi qershorin dhe shtatorin 2023.</w:t>
      </w:r>
    </w:p>
    <w:p w14:paraId="5D66665A" w14:textId="77777777" w:rsidR="0025195D" w:rsidRPr="0025195D" w:rsidRDefault="0025195D" w:rsidP="0025195D">
      <w:pPr>
        <w:pStyle w:val="ListParagraph"/>
        <w:rPr>
          <w:rFonts w:asciiTheme="minorHAnsi" w:hAnsiTheme="minorHAnsi" w:cstheme="minorHAnsi"/>
          <w:noProof/>
          <w:lang w:val="sq-AL"/>
        </w:rPr>
      </w:pPr>
    </w:p>
    <w:p w14:paraId="69551D76" w14:textId="30DC9516" w:rsidR="0025195D" w:rsidRPr="0025195D" w:rsidRDefault="0025195D" w:rsidP="00F17724">
      <w:pPr>
        <w:jc w:val="both"/>
        <w:rPr>
          <w:rFonts w:asciiTheme="minorHAnsi" w:eastAsiaTheme="minorHAnsi" w:hAnsiTheme="minorHAnsi" w:cstheme="minorHAnsi"/>
          <w:noProof/>
          <w:lang w:val="sq-AL"/>
        </w:rPr>
      </w:pPr>
      <w:r w:rsidRPr="0025195D">
        <w:rPr>
          <w:rFonts w:asciiTheme="minorHAnsi" w:hAnsiTheme="minorHAnsi" w:cstheme="minorHAnsi"/>
          <w:i/>
          <w:noProof/>
          <w:lang w:val="sq-AL"/>
        </w:rPr>
        <w:t xml:space="preserve">Menaxhimi i te Ardhurave Doganore </w:t>
      </w:r>
      <w:r>
        <w:rPr>
          <w:rFonts w:asciiTheme="minorHAnsi" w:hAnsiTheme="minorHAnsi" w:cstheme="minorHAnsi"/>
          <w:i/>
          <w:noProof/>
          <w:lang w:val="sq-AL"/>
        </w:rPr>
        <w:t xml:space="preserve">– </w:t>
      </w:r>
      <w:r w:rsidRPr="0025195D">
        <w:rPr>
          <w:rFonts w:asciiTheme="minorHAnsi" w:eastAsiaTheme="minorHAnsi" w:hAnsiTheme="minorHAnsi" w:cstheme="minorHAnsi"/>
          <w:noProof/>
          <w:lang w:val="sq-AL"/>
        </w:rPr>
        <w:t>Nga</w:t>
      </w:r>
      <w:r>
        <w:rPr>
          <w:rFonts w:asciiTheme="minorHAnsi" w:eastAsiaTheme="minorHAnsi" w:hAnsiTheme="minorHAnsi" w:cstheme="minorHAnsi"/>
          <w:noProof/>
          <w:lang w:val="sq-AL"/>
        </w:rPr>
        <w:t xml:space="preserve"> </w:t>
      </w:r>
      <w:r w:rsidRPr="0025195D">
        <w:rPr>
          <w:rFonts w:asciiTheme="minorHAnsi" w:eastAsiaTheme="minorHAnsi" w:hAnsiTheme="minorHAnsi" w:cstheme="minorHAnsi"/>
          <w:noProof/>
          <w:lang w:val="sq-AL"/>
        </w:rPr>
        <w:t>DPD po punohet për të hapur procedurat e prokurimin duke qenë se janë projekte të reja. Disa janë edhe në fazë likujdimi.</w:t>
      </w:r>
    </w:p>
    <w:p w14:paraId="015816E1" w14:textId="77777777" w:rsidR="0025195D" w:rsidRPr="0025195D" w:rsidRDefault="0025195D" w:rsidP="0025195D">
      <w:pPr>
        <w:rPr>
          <w:rFonts w:asciiTheme="minorHAnsi" w:hAnsiTheme="minorHAnsi" w:cstheme="minorHAnsi"/>
          <w:noProof/>
          <w:lang w:val="sq-AL"/>
        </w:rPr>
      </w:pPr>
    </w:p>
    <w:p w14:paraId="227BA5A1" w14:textId="1D53CEC6" w:rsidR="0025195D" w:rsidRPr="0025195D" w:rsidRDefault="0025195D" w:rsidP="00F17724">
      <w:pPr>
        <w:jc w:val="both"/>
        <w:rPr>
          <w:rFonts w:asciiTheme="minorHAnsi" w:hAnsiTheme="minorHAnsi" w:cstheme="minorHAnsi"/>
          <w:noProof/>
          <w:lang w:val="sq-AL"/>
        </w:rPr>
      </w:pPr>
      <w:r w:rsidRPr="0025195D">
        <w:rPr>
          <w:rFonts w:asciiTheme="minorHAnsi" w:hAnsiTheme="minorHAnsi" w:cstheme="minorHAnsi"/>
          <w:i/>
          <w:noProof/>
          <w:lang w:val="sq-AL"/>
        </w:rPr>
        <w:t xml:space="preserve">Mbështetje për Zhvillimin Ekonomik </w:t>
      </w:r>
      <w:r>
        <w:rPr>
          <w:rFonts w:asciiTheme="minorHAnsi" w:hAnsiTheme="minorHAnsi" w:cstheme="minorHAnsi"/>
          <w:i/>
          <w:noProof/>
          <w:lang w:val="sq-AL"/>
        </w:rPr>
        <w:t xml:space="preserve">– </w:t>
      </w:r>
      <w:r w:rsidRPr="0025195D">
        <w:rPr>
          <w:rFonts w:asciiTheme="minorHAnsi" w:hAnsiTheme="minorHAnsi" w:cstheme="minorHAnsi"/>
          <w:noProof/>
          <w:lang w:val="sq-AL"/>
        </w:rPr>
        <w:t>Në</w:t>
      </w:r>
      <w:r>
        <w:rPr>
          <w:rFonts w:asciiTheme="minorHAnsi" w:hAnsiTheme="minorHAnsi" w:cstheme="minorHAnsi"/>
          <w:noProof/>
          <w:lang w:val="sq-AL"/>
        </w:rPr>
        <w:t xml:space="preserve"> </w:t>
      </w:r>
      <w:r w:rsidRPr="0025195D">
        <w:rPr>
          <w:rFonts w:asciiTheme="minorHAnsi" w:hAnsiTheme="minorHAnsi" w:cstheme="minorHAnsi"/>
          <w:noProof/>
          <w:lang w:val="sq-AL"/>
        </w:rPr>
        <w:t>këtë program është një projekt i AIDA me vlerë kontrate 57 milionë leke, te cilin ka kërkuar ta rialoko</w:t>
      </w:r>
      <w:r>
        <w:rPr>
          <w:rFonts w:asciiTheme="minorHAnsi" w:hAnsiTheme="minorHAnsi" w:cstheme="minorHAnsi"/>
          <w:noProof/>
          <w:lang w:val="sq-AL"/>
        </w:rPr>
        <w:t>jë</w:t>
      </w:r>
      <w:r w:rsidRPr="0025195D">
        <w:rPr>
          <w:rFonts w:asciiTheme="minorHAnsi" w:hAnsiTheme="minorHAnsi" w:cstheme="minorHAnsi"/>
          <w:noProof/>
          <w:lang w:val="sq-AL"/>
        </w:rPr>
        <w:t xml:space="preserve"> ne zera te tjere. Ne kete faze AIDA shprehet se ende nuk kane nisur procedurat per zhvillimin e projektit te parashikuar, por pritet te realizohet brenda vitit 2023. Përsa i përket projekteve të tjera të QKB janë parashikuar të mbyllen brenda vitit 2023. </w:t>
      </w:r>
    </w:p>
    <w:p w14:paraId="16D8384D" w14:textId="2F634560" w:rsidR="0025195D" w:rsidRPr="0025195D" w:rsidRDefault="0025195D" w:rsidP="00F17724">
      <w:pPr>
        <w:jc w:val="both"/>
        <w:rPr>
          <w:rFonts w:asciiTheme="minorHAnsi" w:hAnsiTheme="minorHAnsi" w:cstheme="minorHAnsi"/>
          <w:noProof/>
          <w:lang w:val="sq-AL"/>
        </w:rPr>
      </w:pPr>
      <w:r w:rsidRPr="0025195D">
        <w:rPr>
          <w:rFonts w:asciiTheme="minorHAnsi" w:hAnsiTheme="minorHAnsi" w:cstheme="minorHAnsi"/>
          <w:i/>
          <w:noProof/>
          <w:lang w:val="sq-AL"/>
        </w:rPr>
        <w:lastRenderedPageBreak/>
        <w:t xml:space="preserve">Mbështetje për Mbikq e Tregut, Infr.Cilësisë dhe Pron. Industriale </w:t>
      </w:r>
      <w:bookmarkStart w:id="233" w:name="_Hlk134454413"/>
      <w:r>
        <w:rPr>
          <w:rFonts w:asciiTheme="minorHAnsi" w:hAnsiTheme="minorHAnsi" w:cstheme="minorHAnsi"/>
          <w:i/>
          <w:noProof/>
          <w:lang w:val="sq-AL"/>
        </w:rPr>
        <w:t xml:space="preserve">– </w:t>
      </w:r>
      <w:r w:rsidRPr="0025195D">
        <w:rPr>
          <w:rFonts w:asciiTheme="minorHAnsi" w:hAnsiTheme="minorHAnsi" w:cstheme="minorHAnsi"/>
          <w:noProof/>
          <w:lang w:val="sq-AL"/>
        </w:rPr>
        <w:t>Nuk</w:t>
      </w:r>
      <w:r>
        <w:rPr>
          <w:rFonts w:asciiTheme="minorHAnsi" w:hAnsiTheme="minorHAnsi" w:cstheme="minorHAnsi"/>
          <w:noProof/>
          <w:lang w:val="sq-AL"/>
        </w:rPr>
        <w:t xml:space="preserve"> </w:t>
      </w:r>
      <w:r w:rsidRPr="0025195D">
        <w:rPr>
          <w:rFonts w:asciiTheme="minorHAnsi" w:hAnsiTheme="minorHAnsi" w:cstheme="minorHAnsi"/>
          <w:noProof/>
          <w:lang w:val="sq-AL"/>
        </w:rPr>
        <w:t>ka realizim fondesh.</w:t>
      </w:r>
      <w:bookmarkEnd w:id="233"/>
      <w:r>
        <w:rPr>
          <w:rFonts w:asciiTheme="minorHAnsi" w:hAnsiTheme="minorHAnsi" w:cstheme="minorHAnsi"/>
          <w:noProof/>
          <w:lang w:val="sq-AL"/>
        </w:rPr>
        <w:t xml:space="preserve"> </w:t>
      </w:r>
      <w:r w:rsidR="00F17724" w:rsidRPr="00F17724">
        <w:rPr>
          <w:rFonts w:asciiTheme="minorHAnsi" w:hAnsiTheme="minorHAnsi" w:cstheme="minorHAnsi"/>
          <w:noProof/>
          <w:lang w:val="sq-AL"/>
        </w:rPr>
        <w:t>Projektet e këtij programi janë në proces prokurimi</w:t>
      </w:r>
      <w:r w:rsidRPr="00F17724">
        <w:rPr>
          <w:rFonts w:asciiTheme="minorHAnsi" w:hAnsiTheme="minorHAnsi" w:cstheme="minorHAnsi"/>
          <w:noProof/>
          <w:lang w:val="sq-AL"/>
        </w:rPr>
        <w:t>.</w:t>
      </w:r>
    </w:p>
    <w:p w14:paraId="7FF4A182" w14:textId="77777777" w:rsidR="0025195D" w:rsidRPr="0025195D" w:rsidRDefault="0025195D" w:rsidP="0025195D">
      <w:pPr>
        <w:rPr>
          <w:rFonts w:asciiTheme="minorHAnsi" w:hAnsiTheme="minorHAnsi" w:cstheme="minorHAnsi"/>
          <w:noProof/>
          <w:u w:val="single"/>
          <w:lang w:val="sq-AL"/>
        </w:rPr>
      </w:pPr>
    </w:p>
    <w:p w14:paraId="794963A3" w14:textId="3D5CEEBC" w:rsidR="0025195D" w:rsidRPr="0025195D" w:rsidRDefault="0025195D" w:rsidP="00F17724">
      <w:pPr>
        <w:jc w:val="both"/>
        <w:rPr>
          <w:rFonts w:asciiTheme="minorHAnsi" w:hAnsiTheme="minorHAnsi" w:cstheme="minorHAnsi"/>
          <w:noProof/>
          <w:lang w:val="sq-AL"/>
        </w:rPr>
      </w:pPr>
      <w:r w:rsidRPr="0025195D">
        <w:rPr>
          <w:rFonts w:asciiTheme="minorHAnsi" w:hAnsiTheme="minorHAnsi" w:cstheme="minorHAnsi"/>
          <w:i/>
          <w:noProof/>
          <w:lang w:val="sq-AL"/>
        </w:rPr>
        <w:t xml:space="preserve">Inspektimi ne Pune </w:t>
      </w:r>
      <w:r w:rsidR="00D62F7F">
        <w:rPr>
          <w:rFonts w:asciiTheme="minorHAnsi" w:hAnsiTheme="minorHAnsi" w:cstheme="minorHAnsi"/>
          <w:i/>
          <w:noProof/>
          <w:lang w:val="sq-AL"/>
        </w:rPr>
        <w:t xml:space="preserve">– </w:t>
      </w:r>
      <w:r w:rsidRPr="0025195D">
        <w:rPr>
          <w:rFonts w:asciiTheme="minorHAnsi" w:eastAsia="MS Mincho" w:hAnsiTheme="minorHAnsi" w:cstheme="minorHAnsi"/>
          <w:noProof/>
          <w:lang w:val="sq-AL"/>
        </w:rPr>
        <w:t>Për</w:t>
      </w:r>
      <w:r w:rsidR="00D62F7F">
        <w:rPr>
          <w:rFonts w:asciiTheme="minorHAnsi" w:eastAsia="MS Mincho" w:hAnsiTheme="minorHAnsi" w:cstheme="minorHAnsi"/>
          <w:noProof/>
          <w:lang w:val="sq-AL"/>
        </w:rPr>
        <w:t xml:space="preserve"> </w:t>
      </w:r>
      <w:r w:rsidRPr="0025195D">
        <w:rPr>
          <w:rFonts w:asciiTheme="minorHAnsi" w:eastAsia="MS Mincho" w:hAnsiTheme="minorHAnsi" w:cstheme="minorHAnsi"/>
          <w:noProof/>
          <w:lang w:val="sq-AL"/>
        </w:rPr>
        <w:t xml:space="preserve">projektet e këtij programi ështe raportuar që </w:t>
      </w:r>
      <w:r w:rsidRPr="0025195D">
        <w:rPr>
          <w:rFonts w:asciiTheme="minorHAnsi" w:hAnsiTheme="minorHAnsi" w:cstheme="minorHAnsi"/>
          <w:noProof/>
          <w:lang w:val="sq-AL"/>
        </w:rPr>
        <w:t>nje projekt është në fazën e zbatimit të kontratës dhe për projektin tjetër, brënda muajit Qershor pritet për njoftimin për operatorin ekonomik te shpallur fitues dhe lidhjen e kontratës me të.</w:t>
      </w:r>
    </w:p>
    <w:p w14:paraId="4E8941D6" w14:textId="77777777" w:rsidR="00D62F7F" w:rsidRDefault="00D62F7F" w:rsidP="00D62F7F">
      <w:pPr>
        <w:ind w:left="360"/>
        <w:jc w:val="both"/>
        <w:rPr>
          <w:rFonts w:asciiTheme="minorHAnsi" w:hAnsiTheme="minorHAnsi" w:cstheme="minorHAnsi"/>
          <w:i/>
          <w:noProof/>
          <w:lang w:val="sq-AL"/>
        </w:rPr>
      </w:pPr>
    </w:p>
    <w:p w14:paraId="4356E85A" w14:textId="487513E6" w:rsidR="0025195D" w:rsidRPr="0025195D" w:rsidRDefault="0025195D" w:rsidP="00F17724">
      <w:pPr>
        <w:jc w:val="both"/>
        <w:rPr>
          <w:rFonts w:asciiTheme="minorHAnsi" w:hAnsiTheme="minorHAnsi" w:cstheme="minorHAnsi"/>
          <w:noProof/>
          <w:lang w:val="sq-AL"/>
        </w:rPr>
      </w:pPr>
      <w:r w:rsidRPr="0025195D">
        <w:rPr>
          <w:rFonts w:asciiTheme="minorHAnsi" w:hAnsiTheme="minorHAnsi" w:cstheme="minorHAnsi"/>
          <w:i/>
          <w:noProof/>
          <w:lang w:val="sq-AL"/>
        </w:rPr>
        <w:t xml:space="preserve">Strehimi </w:t>
      </w:r>
      <w:r w:rsidR="00D62F7F">
        <w:rPr>
          <w:rFonts w:asciiTheme="minorHAnsi" w:hAnsiTheme="minorHAnsi" w:cstheme="minorHAnsi"/>
          <w:i/>
          <w:noProof/>
          <w:lang w:val="sq-AL"/>
        </w:rPr>
        <w:t xml:space="preserve">– </w:t>
      </w:r>
      <w:r w:rsidRPr="0025195D">
        <w:rPr>
          <w:rFonts w:asciiTheme="minorHAnsi" w:hAnsiTheme="minorHAnsi" w:cstheme="minorHAnsi"/>
          <w:noProof/>
          <w:lang w:val="sq-AL"/>
        </w:rPr>
        <w:t>Në</w:t>
      </w:r>
      <w:r w:rsidR="00D62F7F">
        <w:rPr>
          <w:rFonts w:asciiTheme="minorHAnsi" w:hAnsiTheme="minorHAnsi" w:cstheme="minorHAnsi"/>
          <w:noProof/>
          <w:lang w:val="sq-AL"/>
        </w:rPr>
        <w:t xml:space="preserve"> </w:t>
      </w:r>
      <w:r w:rsidRPr="0025195D">
        <w:rPr>
          <w:rFonts w:asciiTheme="minorHAnsi" w:hAnsiTheme="minorHAnsi" w:cstheme="minorHAnsi"/>
          <w:noProof/>
          <w:lang w:val="sq-AL"/>
        </w:rPr>
        <w:t>këtë program ka projekte të cilat prokurohen nga NJQV. Ka projekte të cilat janë në vijim nga viti 2022, si dhe projekte që prokuro</w:t>
      </w:r>
      <w:r w:rsidR="00D62F7F">
        <w:rPr>
          <w:rFonts w:asciiTheme="minorHAnsi" w:hAnsiTheme="minorHAnsi" w:cstheme="minorHAnsi"/>
          <w:noProof/>
          <w:lang w:val="sq-AL"/>
        </w:rPr>
        <w:t>he</w:t>
      </w:r>
      <w:r w:rsidRPr="0025195D">
        <w:rPr>
          <w:rFonts w:asciiTheme="minorHAnsi" w:hAnsiTheme="minorHAnsi" w:cstheme="minorHAnsi"/>
          <w:noProof/>
          <w:lang w:val="sq-AL"/>
        </w:rPr>
        <w:t>n gjatë vitit 2023. Nga këto:</w:t>
      </w:r>
    </w:p>
    <w:p w14:paraId="781C947E" w14:textId="69B8B71F" w:rsidR="0025195D" w:rsidRPr="00D62F7F" w:rsidRDefault="0025195D" w:rsidP="00056DE5">
      <w:pPr>
        <w:pStyle w:val="ListParagraph"/>
        <w:numPr>
          <w:ilvl w:val="0"/>
          <w:numId w:val="44"/>
        </w:numPr>
        <w:contextualSpacing w:val="0"/>
        <w:jc w:val="both"/>
        <w:rPr>
          <w:rFonts w:asciiTheme="minorHAnsi" w:hAnsiTheme="minorHAnsi" w:cstheme="minorHAnsi"/>
          <w:i/>
          <w:noProof/>
          <w:lang w:val="sq-AL"/>
        </w:rPr>
      </w:pPr>
      <w:r w:rsidRPr="00D62F7F">
        <w:rPr>
          <w:rFonts w:asciiTheme="minorHAnsi" w:hAnsiTheme="minorHAnsi" w:cstheme="minorHAnsi"/>
          <w:i/>
          <w:noProof/>
          <w:lang w:val="sq-AL"/>
        </w:rPr>
        <w:t>10 projekte të “Përmirës</w:t>
      </w:r>
      <w:r w:rsidR="00D62F7F">
        <w:rPr>
          <w:rFonts w:asciiTheme="minorHAnsi" w:hAnsiTheme="minorHAnsi" w:cstheme="minorHAnsi"/>
          <w:i/>
          <w:noProof/>
          <w:lang w:val="sq-AL"/>
        </w:rPr>
        <w:t>m</w:t>
      </w:r>
      <w:r w:rsidRPr="00D62F7F">
        <w:rPr>
          <w:rFonts w:asciiTheme="minorHAnsi" w:hAnsiTheme="minorHAnsi" w:cstheme="minorHAnsi"/>
          <w:i/>
          <w:noProof/>
          <w:lang w:val="sq-AL"/>
        </w:rPr>
        <w:t>it të kushteve të banimit per komunitetin Rom/Egjiptian” me fond rreth 53.48 miliard leke janë realizuar 100% punimet dhe janë në proces dorëzim të dosjeve teknike të zbatimit nga mbikëqyrësi i punimeve.</w:t>
      </w:r>
    </w:p>
    <w:p w14:paraId="7B7990C5" w14:textId="77777777" w:rsidR="0025195D" w:rsidRPr="00D62F7F" w:rsidRDefault="0025195D" w:rsidP="00056DE5">
      <w:pPr>
        <w:pStyle w:val="ListParagraph"/>
        <w:numPr>
          <w:ilvl w:val="0"/>
          <w:numId w:val="44"/>
        </w:numPr>
        <w:contextualSpacing w:val="0"/>
        <w:jc w:val="both"/>
        <w:rPr>
          <w:rFonts w:asciiTheme="minorHAnsi" w:hAnsiTheme="minorHAnsi" w:cstheme="minorHAnsi"/>
          <w:i/>
          <w:noProof/>
          <w:lang w:val="sq-AL"/>
        </w:rPr>
      </w:pPr>
      <w:r w:rsidRPr="00D62F7F">
        <w:rPr>
          <w:rFonts w:asciiTheme="minorHAnsi" w:hAnsiTheme="minorHAnsi" w:cstheme="minorHAnsi"/>
          <w:i/>
          <w:noProof/>
          <w:lang w:val="sq-AL"/>
        </w:rPr>
        <w:t>4 projekte me vlerë  358.8 milion lekë janë në proces vlerësimi.</w:t>
      </w:r>
    </w:p>
    <w:p w14:paraId="01B3BE18" w14:textId="77777777" w:rsidR="0025195D" w:rsidRPr="00D62F7F" w:rsidRDefault="0025195D" w:rsidP="00056DE5">
      <w:pPr>
        <w:pStyle w:val="ListParagraph"/>
        <w:numPr>
          <w:ilvl w:val="0"/>
          <w:numId w:val="44"/>
        </w:numPr>
        <w:contextualSpacing w:val="0"/>
        <w:jc w:val="both"/>
        <w:rPr>
          <w:rFonts w:asciiTheme="minorHAnsi" w:hAnsiTheme="minorHAnsi" w:cstheme="minorHAnsi"/>
          <w:i/>
          <w:noProof/>
          <w:lang w:val="sq-AL"/>
        </w:rPr>
      </w:pPr>
      <w:r w:rsidRPr="00D62F7F">
        <w:rPr>
          <w:rFonts w:asciiTheme="minorHAnsi" w:hAnsiTheme="minorHAnsi" w:cstheme="minorHAnsi"/>
          <w:i/>
          <w:noProof/>
          <w:lang w:val="sq-AL"/>
        </w:rPr>
        <w:t>3 projekte me vlerë 10.1 milion lekë janë përfunduar dhe realizuar edhe nga ana fianciare.</w:t>
      </w:r>
    </w:p>
    <w:p w14:paraId="6790612E" w14:textId="3406F244" w:rsidR="0025195D" w:rsidRPr="00D62F7F" w:rsidRDefault="0025195D" w:rsidP="00056DE5">
      <w:pPr>
        <w:pStyle w:val="ListParagraph"/>
        <w:numPr>
          <w:ilvl w:val="0"/>
          <w:numId w:val="44"/>
        </w:numPr>
        <w:contextualSpacing w:val="0"/>
        <w:jc w:val="both"/>
        <w:rPr>
          <w:rFonts w:asciiTheme="minorHAnsi" w:hAnsiTheme="minorHAnsi" w:cstheme="minorHAnsi"/>
          <w:i/>
          <w:noProof/>
          <w:lang w:val="sq-AL"/>
        </w:rPr>
      </w:pPr>
      <w:r w:rsidRPr="00D62F7F">
        <w:rPr>
          <w:rFonts w:asciiTheme="minorHAnsi" w:hAnsiTheme="minorHAnsi" w:cstheme="minorHAnsi"/>
          <w:i/>
          <w:noProof/>
          <w:lang w:val="sq-AL"/>
        </w:rPr>
        <w:t>4 projekte me vlerë 25.4 milion lekë janë në proces punimesh</w:t>
      </w:r>
      <w:r w:rsidR="00D62F7F">
        <w:rPr>
          <w:rFonts w:asciiTheme="minorHAnsi" w:hAnsiTheme="minorHAnsi" w:cstheme="minorHAnsi"/>
          <w:i/>
          <w:noProof/>
          <w:lang w:val="sq-AL"/>
        </w:rPr>
        <w:t xml:space="preserve">, </w:t>
      </w:r>
      <w:r w:rsidRPr="00D62F7F">
        <w:rPr>
          <w:rFonts w:asciiTheme="minorHAnsi" w:hAnsiTheme="minorHAnsi" w:cstheme="minorHAnsi"/>
          <w:i/>
          <w:noProof/>
          <w:lang w:val="sq-AL"/>
        </w:rPr>
        <w:t>përfunduar 90% e punimeve.</w:t>
      </w:r>
    </w:p>
    <w:p w14:paraId="28ECFFFA" w14:textId="77777777" w:rsidR="0025195D" w:rsidRPr="00D62F7F" w:rsidRDefault="0025195D" w:rsidP="00056DE5">
      <w:pPr>
        <w:pStyle w:val="ListParagraph"/>
        <w:numPr>
          <w:ilvl w:val="0"/>
          <w:numId w:val="44"/>
        </w:numPr>
        <w:contextualSpacing w:val="0"/>
        <w:jc w:val="both"/>
        <w:rPr>
          <w:rFonts w:asciiTheme="minorHAnsi" w:hAnsiTheme="minorHAnsi" w:cstheme="minorHAnsi"/>
          <w:i/>
          <w:noProof/>
          <w:lang w:val="sq-AL"/>
        </w:rPr>
      </w:pPr>
      <w:r w:rsidRPr="00D62F7F">
        <w:rPr>
          <w:rFonts w:asciiTheme="minorHAnsi" w:hAnsiTheme="minorHAnsi" w:cstheme="minorHAnsi"/>
          <w:i/>
          <w:noProof/>
          <w:lang w:val="sq-AL"/>
        </w:rPr>
        <w:t>2 projekte me vlerë 2.2 milion janë njëri në pritje për tu marrë në dorëzim punimet dhe tjetri kanë përfunduar 75% të punimeve.</w:t>
      </w:r>
    </w:p>
    <w:p w14:paraId="2724D145" w14:textId="77777777" w:rsidR="0025195D" w:rsidRPr="00F17724" w:rsidRDefault="0025195D" w:rsidP="0025195D">
      <w:pPr>
        <w:rPr>
          <w:rFonts w:asciiTheme="minorHAnsi" w:eastAsia="MS Mincho" w:hAnsiTheme="minorHAnsi" w:cstheme="minorHAnsi"/>
          <w:noProof/>
          <w:sz w:val="12"/>
          <w:lang w:val="sq-AL"/>
        </w:rPr>
      </w:pPr>
    </w:p>
    <w:p w14:paraId="3992C5C0" w14:textId="596E904D" w:rsidR="0025195D" w:rsidRPr="0025195D" w:rsidRDefault="0025195D" w:rsidP="00F17724">
      <w:pPr>
        <w:jc w:val="both"/>
        <w:rPr>
          <w:rFonts w:asciiTheme="minorHAnsi" w:hAnsiTheme="minorHAnsi" w:cstheme="minorHAnsi"/>
          <w:noProof/>
          <w:lang w:val="sq-AL"/>
        </w:rPr>
      </w:pPr>
      <w:r w:rsidRPr="0025195D">
        <w:rPr>
          <w:rFonts w:asciiTheme="minorHAnsi" w:hAnsiTheme="minorHAnsi" w:cstheme="minorHAnsi"/>
          <w:i/>
          <w:noProof/>
          <w:lang w:val="sq-AL"/>
        </w:rPr>
        <w:t xml:space="preserve">Arsimi i Mesem Profesional </w:t>
      </w:r>
      <w:r w:rsidR="00D62F7F">
        <w:rPr>
          <w:rFonts w:asciiTheme="minorHAnsi" w:hAnsiTheme="minorHAnsi" w:cstheme="minorHAnsi"/>
          <w:i/>
          <w:noProof/>
          <w:lang w:val="sq-AL"/>
        </w:rPr>
        <w:t xml:space="preserve">– </w:t>
      </w:r>
      <w:r w:rsidR="00F17724" w:rsidRPr="0025195D">
        <w:rPr>
          <w:rFonts w:asciiTheme="minorHAnsi" w:hAnsiTheme="minorHAnsi" w:cstheme="minorHAnsi"/>
          <w:noProof/>
          <w:lang w:val="sq-AL"/>
        </w:rPr>
        <w:t>Në</w:t>
      </w:r>
      <w:r w:rsidR="00F17724">
        <w:rPr>
          <w:rFonts w:asciiTheme="minorHAnsi" w:hAnsiTheme="minorHAnsi" w:cstheme="minorHAnsi"/>
          <w:noProof/>
          <w:lang w:val="sq-AL"/>
        </w:rPr>
        <w:t xml:space="preserve"> </w:t>
      </w:r>
      <w:r w:rsidR="00F17724" w:rsidRPr="0025195D">
        <w:rPr>
          <w:rFonts w:asciiTheme="minorHAnsi" w:hAnsiTheme="minorHAnsi" w:cstheme="minorHAnsi"/>
          <w:noProof/>
          <w:lang w:val="sq-AL"/>
        </w:rPr>
        <w:t>këtë program ka vetëm një projekt për tu prokuruar dhe është ngritur komis</w:t>
      </w:r>
      <w:r w:rsidR="00F17724">
        <w:rPr>
          <w:rFonts w:asciiTheme="minorHAnsi" w:hAnsiTheme="minorHAnsi" w:cstheme="minorHAnsi"/>
          <w:noProof/>
          <w:lang w:val="sq-AL"/>
        </w:rPr>
        <w:t>i</w:t>
      </w:r>
      <w:r w:rsidR="00F17724" w:rsidRPr="0025195D">
        <w:rPr>
          <w:rFonts w:asciiTheme="minorHAnsi" w:hAnsiTheme="minorHAnsi" w:cstheme="minorHAnsi"/>
          <w:noProof/>
          <w:lang w:val="sq-AL"/>
        </w:rPr>
        <w:t xml:space="preserve">oni për hartimin e termave të referencës. </w:t>
      </w:r>
      <w:r w:rsidR="00F17724">
        <w:rPr>
          <w:rFonts w:asciiTheme="minorHAnsi" w:hAnsiTheme="minorHAnsi" w:cstheme="minorHAnsi"/>
          <w:noProof/>
          <w:lang w:val="sq-AL"/>
        </w:rPr>
        <w:t>Në p</w:t>
      </w:r>
      <w:r w:rsidR="00F17724" w:rsidRPr="0025195D">
        <w:rPr>
          <w:rFonts w:asciiTheme="minorHAnsi" w:hAnsiTheme="minorHAnsi" w:cstheme="minorHAnsi"/>
          <w:noProof/>
          <w:lang w:val="sq-AL"/>
        </w:rPr>
        <w:t xml:space="preserve">rojektet </w:t>
      </w:r>
      <w:r w:rsidR="00F17724">
        <w:rPr>
          <w:rFonts w:asciiTheme="minorHAnsi" w:hAnsiTheme="minorHAnsi" w:cstheme="minorHAnsi"/>
          <w:noProof/>
          <w:lang w:val="sq-AL"/>
        </w:rPr>
        <w:t>e tjera janë duke vijuar punimet dhe pritet të përfundojnë brenda vitit 2023</w:t>
      </w:r>
    </w:p>
    <w:p w14:paraId="478E45B7" w14:textId="77777777" w:rsidR="0025195D" w:rsidRPr="00F17724" w:rsidRDefault="0025195D" w:rsidP="0025195D">
      <w:pPr>
        <w:rPr>
          <w:rFonts w:asciiTheme="minorHAnsi" w:hAnsiTheme="minorHAnsi" w:cstheme="minorHAnsi"/>
          <w:noProof/>
          <w:sz w:val="12"/>
          <w:lang w:val="sq-AL"/>
        </w:rPr>
      </w:pPr>
    </w:p>
    <w:p w14:paraId="254DDBC4" w14:textId="213D69D1" w:rsidR="0025195D" w:rsidRPr="0025195D" w:rsidRDefault="0025195D" w:rsidP="00D62F7F">
      <w:pPr>
        <w:ind w:left="360"/>
        <w:jc w:val="both"/>
        <w:rPr>
          <w:rFonts w:asciiTheme="minorHAnsi" w:eastAsia="MS Mincho" w:hAnsiTheme="minorHAnsi" w:cstheme="minorHAnsi"/>
          <w:noProof/>
          <w:lang w:val="sq-AL"/>
        </w:rPr>
      </w:pPr>
      <w:r w:rsidRPr="0025195D">
        <w:rPr>
          <w:rFonts w:asciiTheme="minorHAnsi" w:hAnsiTheme="minorHAnsi" w:cstheme="minorHAnsi"/>
          <w:i/>
          <w:noProof/>
          <w:lang w:val="sq-AL"/>
        </w:rPr>
        <w:t>Tregu i punes</w:t>
      </w:r>
      <w:r w:rsidR="00D62F7F">
        <w:rPr>
          <w:rFonts w:asciiTheme="minorHAnsi" w:hAnsiTheme="minorHAnsi" w:cstheme="minorHAnsi"/>
          <w:i/>
          <w:noProof/>
          <w:lang w:val="sq-AL"/>
        </w:rPr>
        <w:t xml:space="preserve"> – </w:t>
      </w:r>
      <w:r w:rsidRPr="0025195D">
        <w:rPr>
          <w:rFonts w:asciiTheme="minorHAnsi" w:eastAsia="MS Mincho" w:hAnsiTheme="minorHAnsi" w:cstheme="minorHAnsi"/>
          <w:noProof/>
          <w:lang w:val="sq-AL"/>
        </w:rPr>
        <w:t>Në</w:t>
      </w:r>
      <w:r w:rsidR="00D62F7F">
        <w:rPr>
          <w:rFonts w:asciiTheme="minorHAnsi" w:eastAsia="MS Mincho" w:hAnsiTheme="minorHAnsi" w:cstheme="minorHAnsi"/>
          <w:noProof/>
          <w:lang w:val="sq-AL"/>
        </w:rPr>
        <w:t xml:space="preserve"> </w:t>
      </w:r>
      <w:r w:rsidRPr="0025195D">
        <w:rPr>
          <w:rFonts w:asciiTheme="minorHAnsi" w:eastAsia="MS Mincho" w:hAnsiTheme="minorHAnsi" w:cstheme="minorHAnsi"/>
          <w:noProof/>
          <w:lang w:val="sq-AL"/>
        </w:rPr>
        <w:t>këtë program përmendim:</w:t>
      </w:r>
    </w:p>
    <w:p w14:paraId="36F4B0BE" w14:textId="27E4FB81" w:rsidR="0025195D" w:rsidRPr="00D62F7F" w:rsidRDefault="0025195D" w:rsidP="00056DE5">
      <w:pPr>
        <w:pStyle w:val="ListParagraph"/>
        <w:numPr>
          <w:ilvl w:val="0"/>
          <w:numId w:val="44"/>
        </w:numPr>
        <w:contextualSpacing w:val="0"/>
        <w:jc w:val="both"/>
        <w:rPr>
          <w:rFonts w:asciiTheme="minorHAnsi" w:hAnsiTheme="minorHAnsi" w:cstheme="minorHAnsi"/>
          <w:i/>
          <w:noProof/>
          <w:lang w:val="sq-AL"/>
        </w:rPr>
      </w:pPr>
      <w:r w:rsidRPr="00D62F7F">
        <w:rPr>
          <w:rFonts w:asciiTheme="minorHAnsi" w:hAnsiTheme="minorHAnsi" w:cstheme="minorHAnsi"/>
          <w:i/>
          <w:noProof/>
          <w:lang w:val="sq-AL"/>
        </w:rPr>
        <w:t>Projekti “Ndertim i Kampusit te QFP” me vlerë plani 50 milionë lekë</w:t>
      </w:r>
      <w:r w:rsidR="00D62F7F">
        <w:rPr>
          <w:rFonts w:asciiTheme="minorHAnsi" w:hAnsiTheme="minorHAnsi" w:cstheme="minorHAnsi"/>
          <w:i/>
          <w:noProof/>
          <w:lang w:val="sq-AL"/>
        </w:rPr>
        <w:t>, e</w:t>
      </w:r>
      <w:r w:rsidRPr="00D62F7F">
        <w:rPr>
          <w:rFonts w:asciiTheme="minorHAnsi" w:hAnsiTheme="minorHAnsi" w:cstheme="minorHAnsi"/>
          <w:i/>
          <w:noProof/>
          <w:lang w:val="sq-AL"/>
        </w:rPr>
        <w:t xml:space="preserve">shte ne proces pergatitja e dokumentave per pershtatje dhe rikonstruksion te hyrjes se </w:t>
      </w:r>
      <w:r w:rsidR="00D62F7F">
        <w:rPr>
          <w:rFonts w:asciiTheme="minorHAnsi" w:hAnsiTheme="minorHAnsi" w:cstheme="minorHAnsi"/>
          <w:i/>
          <w:noProof/>
          <w:lang w:val="sq-AL"/>
        </w:rPr>
        <w:t>DQ</w:t>
      </w:r>
      <w:r w:rsidRPr="00D62F7F">
        <w:rPr>
          <w:rFonts w:asciiTheme="minorHAnsi" w:hAnsiTheme="minorHAnsi" w:cstheme="minorHAnsi"/>
          <w:i/>
          <w:noProof/>
          <w:lang w:val="sq-AL"/>
        </w:rPr>
        <w:t xml:space="preserve"> AKPA.</w:t>
      </w:r>
    </w:p>
    <w:p w14:paraId="33601884" w14:textId="18D8A01C" w:rsidR="0025195D" w:rsidRPr="00D62F7F" w:rsidRDefault="0025195D" w:rsidP="00056DE5">
      <w:pPr>
        <w:pStyle w:val="ListParagraph"/>
        <w:numPr>
          <w:ilvl w:val="0"/>
          <w:numId w:val="44"/>
        </w:numPr>
        <w:contextualSpacing w:val="0"/>
        <w:jc w:val="both"/>
        <w:rPr>
          <w:rFonts w:asciiTheme="minorHAnsi" w:hAnsiTheme="minorHAnsi" w:cstheme="minorHAnsi"/>
          <w:i/>
          <w:noProof/>
          <w:lang w:val="sq-AL"/>
        </w:rPr>
      </w:pPr>
      <w:r w:rsidRPr="00D62F7F">
        <w:rPr>
          <w:rFonts w:asciiTheme="minorHAnsi" w:hAnsiTheme="minorHAnsi" w:cstheme="minorHAnsi"/>
          <w:i/>
          <w:noProof/>
          <w:lang w:val="sq-AL"/>
        </w:rPr>
        <w:t>Projekti “Përmirësimi i Sistemit Informatik të Shërbimeve të Punësimit me vlerë plani 66 milionë lekë</w:t>
      </w:r>
      <w:r w:rsidR="00D62F7F">
        <w:rPr>
          <w:rFonts w:asciiTheme="minorHAnsi" w:hAnsiTheme="minorHAnsi" w:cstheme="minorHAnsi"/>
          <w:i/>
          <w:noProof/>
          <w:lang w:val="sq-AL"/>
        </w:rPr>
        <w:t xml:space="preserve">. </w:t>
      </w:r>
      <w:r w:rsidRPr="00D62F7F">
        <w:rPr>
          <w:rFonts w:asciiTheme="minorHAnsi" w:hAnsiTheme="minorHAnsi" w:cstheme="minorHAnsi"/>
          <w:i/>
          <w:noProof/>
          <w:lang w:val="sq-AL"/>
        </w:rPr>
        <w:t>Eshte lidhur kontrata e re me Communication Progres per permisimin e Sistemit te sherbimit te punesimit. Kontrata nr.55 dt 27.04.2023, Vlera totale e kontrates eshte 203.772.000 leke ,nga  te cilat sherbimi i miremebajtjes se sistemit ne shumen  59.760.000, i cili  eshte detyrim i AKSHI-t  dhe 144.012.000 leke eshte detyrim i AKPA. kontrata perfundon 1 vit pas lidhjes se saj. Detyrimi i llogaritur per vitin 2023 eshte rreth 30.144.000 leke.</w:t>
      </w:r>
    </w:p>
    <w:p w14:paraId="08994CC2" w14:textId="77777777" w:rsidR="0025195D" w:rsidRPr="00F17724" w:rsidRDefault="0025195D" w:rsidP="0025195D">
      <w:pPr>
        <w:pStyle w:val="ListParagraph"/>
        <w:contextualSpacing w:val="0"/>
        <w:rPr>
          <w:rFonts w:asciiTheme="minorHAnsi" w:eastAsia="MS Mincho" w:hAnsiTheme="minorHAnsi" w:cstheme="minorHAnsi"/>
          <w:noProof/>
          <w:sz w:val="12"/>
          <w:lang w:val="sq-AL"/>
        </w:rPr>
      </w:pPr>
    </w:p>
    <w:p w14:paraId="7C2268EB" w14:textId="77777777" w:rsidR="0025195D" w:rsidRPr="00F324D8" w:rsidRDefault="0025195D" w:rsidP="0025195D">
      <w:pPr>
        <w:rPr>
          <w:rFonts w:asciiTheme="minorHAnsi" w:hAnsiTheme="minorHAnsi" w:cstheme="minorHAnsi"/>
          <w:b/>
          <w:noProof/>
          <w:lang w:val="sq-AL"/>
        </w:rPr>
      </w:pPr>
      <w:r w:rsidRPr="00F324D8">
        <w:rPr>
          <w:rFonts w:asciiTheme="minorHAnsi" w:hAnsiTheme="minorHAnsi" w:cstheme="minorHAnsi"/>
          <w:b/>
          <w:noProof/>
          <w:lang w:val="sq-AL"/>
        </w:rPr>
        <w:t>Financimi i Huaj</w:t>
      </w:r>
    </w:p>
    <w:p w14:paraId="17C5115D" w14:textId="41E9E993" w:rsidR="0025195D" w:rsidRPr="00D62F7F" w:rsidRDefault="0025195D" w:rsidP="00D62F7F">
      <w:pPr>
        <w:jc w:val="both"/>
        <w:rPr>
          <w:rFonts w:asciiTheme="minorHAnsi" w:hAnsiTheme="minorHAnsi" w:cstheme="minorHAnsi"/>
          <w:noProof/>
          <w:lang w:val="sq-AL"/>
        </w:rPr>
      </w:pPr>
      <w:r w:rsidRPr="00F324D8">
        <w:rPr>
          <w:rFonts w:asciiTheme="minorHAnsi" w:hAnsiTheme="minorHAnsi" w:cstheme="minorHAnsi"/>
          <w:noProof/>
          <w:lang w:val="sq-AL"/>
        </w:rPr>
        <w:t>Realizimi i investimeve me financim të huaj nëse i referohemi % ka ecur pothuajse në përqindje të njëjtë ne krahasim me një vit më parë, por nëse i referohemi fondeve në vlerë absolute kemi një realizim fondesh më të lartë. Deri tani janë realizuar rreth 97 milion lekë.</w:t>
      </w:r>
      <w:r w:rsidR="00D62F7F">
        <w:rPr>
          <w:rFonts w:asciiTheme="minorHAnsi" w:hAnsiTheme="minorHAnsi" w:cstheme="minorHAnsi"/>
          <w:noProof/>
          <w:lang w:val="sq-AL"/>
        </w:rPr>
        <w:t xml:space="preserve"> </w:t>
      </w:r>
      <w:r w:rsidRPr="00F324D8">
        <w:rPr>
          <w:rFonts w:asciiTheme="minorHAnsi" w:hAnsiTheme="minorHAnsi" w:cstheme="minorHAnsi"/>
          <w:noProof/>
          <w:lang w:val="sq-AL"/>
        </w:rPr>
        <w:t>Në lidhje me këto fonde duke u bazuar edhe në ecurinë dhe parashikimet në programin e PMA, nga struktura përkatëse janë paraqitur edhe propozime për korrigjim/rialokim të fondeve.</w:t>
      </w:r>
    </w:p>
    <w:p w14:paraId="464C015F" w14:textId="7AB392BB" w:rsidR="009647C4" w:rsidRDefault="009647C4" w:rsidP="009647C4">
      <w:pPr>
        <w:pStyle w:val="ListParagraph"/>
        <w:jc w:val="both"/>
        <w:rPr>
          <w:rFonts w:asciiTheme="minorHAnsi" w:eastAsia="MS Mincho" w:hAnsiTheme="minorHAnsi"/>
          <w:i/>
          <w:sz w:val="22"/>
          <w:szCs w:val="22"/>
          <w:lang w:val="sq-AL"/>
        </w:rPr>
      </w:pPr>
    </w:p>
    <w:p w14:paraId="7EC0FAD8" w14:textId="77777777" w:rsidR="008E31C3" w:rsidRDefault="008E31C3" w:rsidP="009647C4">
      <w:pPr>
        <w:pStyle w:val="ListParagraph"/>
        <w:jc w:val="both"/>
        <w:rPr>
          <w:rFonts w:asciiTheme="minorHAnsi" w:eastAsia="MS Mincho" w:hAnsiTheme="minorHAnsi"/>
          <w:i/>
          <w:sz w:val="22"/>
          <w:szCs w:val="22"/>
          <w:lang w:val="sq-AL"/>
        </w:rPr>
      </w:pPr>
    </w:p>
    <w:p w14:paraId="6CDD78F8" w14:textId="77777777" w:rsidR="009640B4" w:rsidRPr="009647C4" w:rsidRDefault="009640B4" w:rsidP="009647C4">
      <w:pPr>
        <w:spacing w:before="240"/>
        <w:jc w:val="both"/>
        <w:rPr>
          <w:rFonts w:asciiTheme="minorHAnsi" w:hAnsiTheme="minorHAnsi"/>
          <w:b/>
          <w:color w:val="0070C0"/>
          <w:lang w:val="sq-AL"/>
        </w:rPr>
      </w:pPr>
      <w:r w:rsidRPr="009647C4">
        <w:rPr>
          <w:rFonts w:asciiTheme="minorHAnsi" w:hAnsiTheme="minorHAnsi"/>
          <w:b/>
          <w:color w:val="0070C0"/>
          <w:lang w:val="sq-AL"/>
        </w:rPr>
        <w:t>Ministria e Arsimit dhe Sporteve</w:t>
      </w:r>
    </w:p>
    <w:p w14:paraId="2A98202F" w14:textId="5233FF83" w:rsidR="008E31C3" w:rsidRPr="00F324D8" w:rsidRDefault="008E31C3" w:rsidP="00056DE5">
      <w:pPr>
        <w:pStyle w:val="ListParagraph"/>
        <w:numPr>
          <w:ilvl w:val="0"/>
          <w:numId w:val="45"/>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Për sa u përket investimeve publike, për projektet me financim të brendshëm, realizimi për 5</w:t>
      </w:r>
      <w:r>
        <w:rPr>
          <w:rFonts w:asciiTheme="minorHAnsi" w:eastAsiaTheme="minorHAnsi" w:hAnsiTheme="minorHAnsi" w:cstheme="minorHAnsi"/>
          <w:noProof/>
          <w:lang w:val="sq-AL"/>
        </w:rPr>
        <w:t xml:space="preserve">M </w:t>
      </w:r>
      <w:r w:rsidRPr="00F324D8">
        <w:rPr>
          <w:rFonts w:asciiTheme="minorHAnsi" w:eastAsiaTheme="minorHAnsi" w:hAnsiTheme="minorHAnsi" w:cstheme="minorHAnsi"/>
          <w:noProof/>
          <w:lang w:val="sq-AL"/>
        </w:rPr>
        <w:t xml:space="preserve">2023 është 14.1% të buxhetit fillestar </w:t>
      </w:r>
      <w:r>
        <w:rPr>
          <w:rFonts w:asciiTheme="minorHAnsi" w:eastAsiaTheme="minorHAnsi" w:hAnsiTheme="minorHAnsi" w:cstheme="minorHAnsi"/>
          <w:noProof/>
          <w:lang w:val="sq-AL"/>
        </w:rPr>
        <w:t>ose</w:t>
      </w:r>
      <w:r w:rsidRPr="00F324D8">
        <w:rPr>
          <w:rFonts w:asciiTheme="minorHAnsi" w:eastAsiaTheme="minorHAnsi" w:hAnsiTheme="minorHAnsi" w:cstheme="minorHAnsi"/>
          <w:noProof/>
          <w:lang w:val="sq-AL"/>
        </w:rPr>
        <w:t xml:space="preserve"> 554 milionë lekë. Për projektet me financim të huaj realizimi është 13% e buxhetit fillestar </w:t>
      </w:r>
      <w:r>
        <w:rPr>
          <w:rFonts w:asciiTheme="minorHAnsi" w:eastAsiaTheme="minorHAnsi" w:hAnsiTheme="minorHAnsi" w:cstheme="minorHAnsi"/>
          <w:noProof/>
          <w:lang w:val="sq-AL"/>
        </w:rPr>
        <w:t>ose</w:t>
      </w:r>
      <w:r w:rsidRPr="00F324D8">
        <w:rPr>
          <w:rFonts w:asciiTheme="minorHAnsi" w:eastAsiaTheme="minorHAnsi" w:hAnsiTheme="minorHAnsi" w:cstheme="minorHAnsi"/>
          <w:noProof/>
          <w:lang w:val="sq-AL"/>
        </w:rPr>
        <w:t xml:space="preserve"> 80 milionë lekë</w:t>
      </w:r>
      <w:r>
        <w:rPr>
          <w:rFonts w:asciiTheme="minorHAnsi" w:eastAsiaTheme="minorHAnsi" w:hAnsiTheme="minorHAnsi" w:cstheme="minorHAnsi"/>
          <w:noProof/>
          <w:lang w:val="sq-AL"/>
        </w:rPr>
        <w:t>,</w:t>
      </w:r>
      <w:r w:rsidRPr="00F324D8">
        <w:rPr>
          <w:rFonts w:asciiTheme="minorHAnsi" w:eastAsiaTheme="minorHAnsi" w:hAnsiTheme="minorHAnsi" w:cstheme="minorHAnsi"/>
          <w:noProof/>
          <w:lang w:val="sq-AL"/>
        </w:rPr>
        <w:t xml:space="preserve"> të cilat vijnë nga projektet e granteve në arsimin universitar dhe projekteve të fondeve për shkencën. </w:t>
      </w:r>
    </w:p>
    <w:p w14:paraId="012B720B" w14:textId="01A2BE28" w:rsidR="008E31C3" w:rsidRDefault="008E31C3" w:rsidP="00056DE5">
      <w:pPr>
        <w:pStyle w:val="ListParagraph"/>
        <w:numPr>
          <w:ilvl w:val="0"/>
          <w:numId w:val="45"/>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 xml:space="preserve">Për </w:t>
      </w:r>
      <w:r>
        <w:rPr>
          <w:rFonts w:asciiTheme="minorHAnsi" w:eastAsiaTheme="minorHAnsi" w:hAnsiTheme="minorHAnsi" w:cstheme="minorHAnsi"/>
          <w:noProof/>
          <w:lang w:val="sq-AL"/>
        </w:rPr>
        <w:t>MAS</w:t>
      </w:r>
      <w:r w:rsidRPr="00F324D8">
        <w:rPr>
          <w:rFonts w:asciiTheme="minorHAnsi" w:eastAsiaTheme="minorHAnsi" w:hAnsiTheme="minorHAnsi" w:cstheme="minorHAnsi"/>
          <w:noProof/>
          <w:lang w:val="sq-AL"/>
        </w:rPr>
        <w:t xml:space="preserve"> realizimi paraqitet tepër i ulët, por sipas raportimeve pritet që realizimi do të bëhet në muajt në vijim. Realizimi për një pjesë të fondeve bëhet me thirrje të cilat janë shpallur për aplikime nga NJQV-te. Procedurat e prokurimeve sipas raportimit janë në proces dhe pritet të finalizohen në muajt në vijim.</w:t>
      </w:r>
    </w:p>
    <w:p w14:paraId="5B65B263" w14:textId="77777777" w:rsidR="00F17724" w:rsidRPr="00F324D8" w:rsidRDefault="00F17724" w:rsidP="00F17724">
      <w:pPr>
        <w:pStyle w:val="ListParagraph"/>
        <w:spacing w:before="120"/>
        <w:ind w:left="360"/>
        <w:jc w:val="both"/>
        <w:rPr>
          <w:rFonts w:asciiTheme="minorHAnsi" w:eastAsiaTheme="minorHAnsi" w:hAnsiTheme="minorHAnsi" w:cstheme="minorHAnsi"/>
          <w:noProof/>
          <w:lang w:val="sq-AL"/>
        </w:rPr>
      </w:pPr>
    </w:p>
    <w:p w14:paraId="7AC2CEC8" w14:textId="77777777" w:rsidR="008E31C3" w:rsidRPr="00F324D8" w:rsidRDefault="008E31C3" w:rsidP="008E31C3">
      <w:pPr>
        <w:rPr>
          <w:rFonts w:asciiTheme="minorHAnsi" w:eastAsiaTheme="minorHAnsi" w:hAnsiTheme="minorHAnsi" w:cstheme="minorHAnsi"/>
          <w:noProof/>
          <w:sz w:val="2"/>
          <w:szCs w:val="2"/>
          <w:lang w:val="sq-AL"/>
        </w:rPr>
      </w:pPr>
    </w:p>
    <w:p w14:paraId="38A3EA11" w14:textId="77777777" w:rsidR="008E31C3" w:rsidRDefault="008E31C3" w:rsidP="00056DE5">
      <w:pPr>
        <w:pStyle w:val="ListParagraph"/>
        <w:numPr>
          <w:ilvl w:val="0"/>
          <w:numId w:val="45"/>
        </w:numPr>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lastRenderedPageBreak/>
        <w:t>Programet të cilat paraqesin realizimin më të lartë janë</w:t>
      </w:r>
      <w:r>
        <w:rPr>
          <w:rFonts w:asciiTheme="minorHAnsi" w:eastAsiaTheme="minorHAnsi" w:hAnsiTheme="minorHAnsi" w:cstheme="minorHAnsi"/>
          <w:noProof/>
          <w:lang w:val="sq-AL"/>
        </w:rPr>
        <w:t>:</w:t>
      </w:r>
    </w:p>
    <w:p w14:paraId="4999F4C7" w14:textId="77777777" w:rsidR="008E31C3" w:rsidRDefault="008E31C3" w:rsidP="00056DE5">
      <w:pPr>
        <w:pStyle w:val="ListParagraph"/>
        <w:numPr>
          <w:ilvl w:val="0"/>
          <w:numId w:val="44"/>
        </w:numPr>
        <w:contextualSpacing w:val="0"/>
        <w:jc w:val="both"/>
        <w:rPr>
          <w:rFonts w:asciiTheme="minorHAnsi" w:hAnsiTheme="minorHAnsi" w:cstheme="minorHAnsi"/>
          <w:i/>
          <w:noProof/>
          <w:lang w:val="sq-AL"/>
        </w:rPr>
      </w:pPr>
      <w:r w:rsidRPr="008E31C3">
        <w:rPr>
          <w:rFonts w:asciiTheme="minorHAnsi" w:hAnsiTheme="minorHAnsi" w:cstheme="minorHAnsi"/>
          <w:i/>
          <w:noProof/>
          <w:lang w:val="sq-AL"/>
        </w:rPr>
        <w:t xml:space="preserve">“Zhvillimi i Sportit dhe Rinisë”, “Planifikimi, Menaxhimi dhe Administrimi” dhe “Fonde për Shkencën” me realizim përkatësisht 25.5%, 22.8% dhe 14.9%. </w:t>
      </w:r>
    </w:p>
    <w:p w14:paraId="1E83D71B" w14:textId="71D31357" w:rsidR="008E31C3" w:rsidRPr="008E31C3" w:rsidRDefault="008E31C3" w:rsidP="00056DE5">
      <w:pPr>
        <w:pStyle w:val="ListParagraph"/>
        <w:numPr>
          <w:ilvl w:val="0"/>
          <w:numId w:val="44"/>
        </w:numPr>
        <w:contextualSpacing w:val="0"/>
        <w:jc w:val="both"/>
        <w:rPr>
          <w:rFonts w:asciiTheme="minorHAnsi" w:hAnsiTheme="minorHAnsi" w:cstheme="minorHAnsi"/>
          <w:i/>
          <w:noProof/>
          <w:lang w:val="sq-AL"/>
        </w:rPr>
      </w:pPr>
      <w:r w:rsidRPr="008E31C3">
        <w:rPr>
          <w:rFonts w:asciiTheme="minorHAnsi" w:hAnsiTheme="minorHAnsi" w:cstheme="minorHAnsi"/>
          <w:i/>
          <w:noProof/>
          <w:lang w:val="sq-AL"/>
        </w:rPr>
        <w:t xml:space="preserve">Ndërsa programet me financimin me të lartë janë “Arsimi i Mesëm (i Përgjithshëm)”, “Arsimi Bazë përfshirë parashkollorin)” dhe “Arsimi Universitar” me realizim përkatësisht 18.3%, 12% dhe 10.2%. Programet e tjera të MAS nuk paraqesin realizim në zërin e investimeve. </w:t>
      </w:r>
    </w:p>
    <w:p w14:paraId="42DFDCFB" w14:textId="77777777" w:rsidR="008E31C3" w:rsidRPr="00F324D8" w:rsidRDefault="008E31C3" w:rsidP="008E31C3">
      <w:pPr>
        <w:rPr>
          <w:rFonts w:asciiTheme="minorHAnsi" w:eastAsiaTheme="minorHAnsi" w:hAnsiTheme="minorHAnsi" w:cstheme="minorHAnsi"/>
          <w:noProof/>
          <w:sz w:val="2"/>
          <w:szCs w:val="2"/>
          <w:lang w:val="sq-AL"/>
        </w:rPr>
      </w:pPr>
    </w:p>
    <w:p w14:paraId="212D6F8A" w14:textId="616644C3" w:rsidR="008E31C3" w:rsidRPr="00F324D8" w:rsidRDefault="008E31C3" w:rsidP="00056DE5">
      <w:pPr>
        <w:pStyle w:val="ListParagraph"/>
        <w:numPr>
          <w:ilvl w:val="0"/>
          <w:numId w:val="45"/>
        </w:numPr>
        <w:jc w:val="both"/>
        <w:rPr>
          <w:rFonts w:asciiTheme="minorHAnsi" w:eastAsiaTheme="minorHAnsi" w:hAnsiTheme="minorHAnsi" w:cstheme="minorHAnsi"/>
          <w:noProof/>
          <w:lang w:val="sq-AL"/>
        </w:rPr>
      </w:pPr>
      <w:r>
        <w:rPr>
          <w:rFonts w:asciiTheme="minorHAnsi" w:eastAsiaTheme="minorHAnsi" w:hAnsiTheme="minorHAnsi" w:cstheme="minorHAnsi"/>
          <w:noProof/>
          <w:lang w:val="sq-AL"/>
        </w:rPr>
        <w:t>P</w:t>
      </w:r>
      <w:r w:rsidRPr="00F324D8">
        <w:rPr>
          <w:rFonts w:asciiTheme="minorHAnsi" w:eastAsiaTheme="minorHAnsi" w:hAnsiTheme="minorHAnsi" w:cstheme="minorHAnsi"/>
          <w:noProof/>
          <w:lang w:val="sq-AL"/>
        </w:rPr>
        <w:t>ër periudhën 5</w:t>
      </w:r>
      <w:r>
        <w:rPr>
          <w:rFonts w:asciiTheme="minorHAnsi" w:eastAsiaTheme="minorHAnsi" w:hAnsiTheme="minorHAnsi" w:cstheme="minorHAnsi"/>
          <w:noProof/>
          <w:lang w:val="sq-AL"/>
        </w:rPr>
        <w:t>M</w:t>
      </w:r>
      <w:r w:rsidRPr="00F324D8">
        <w:rPr>
          <w:rFonts w:asciiTheme="minorHAnsi" w:eastAsiaTheme="minorHAnsi" w:hAnsiTheme="minorHAnsi" w:cstheme="minorHAnsi"/>
          <w:noProof/>
          <w:lang w:val="sq-AL"/>
        </w:rPr>
        <w:t xml:space="preserve"> 2023 janë mbyllur kontratat e investimit, ku ndër më kryesoret veçojmë: </w:t>
      </w:r>
    </w:p>
    <w:p w14:paraId="53FBCE53" w14:textId="77777777" w:rsidR="008E31C3" w:rsidRPr="00F324D8" w:rsidRDefault="008E31C3" w:rsidP="00056DE5">
      <w:pPr>
        <w:pStyle w:val="ListParagraph"/>
        <w:numPr>
          <w:ilvl w:val="0"/>
          <w:numId w:val="46"/>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 xml:space="preserve">Rindërtimi i Godinës së Fakultetit të Bioteknologjisë dhe Ushqimit me vlerë të plotë projekti 306 milionë lekë, </w:t>
      </w:r>
    </w:p>
    <w:p w14:paraId="7E272C93" w14:textId="7C7B95B2" w:rsidR="008E31C3" w:rsidRPr="00F324D8" w:rsidRDefault="008E31C3" w:rsidP="00056DE5">
      <w:pPr>
        <w:pStyle w:val="ListParagraph"/>
        <w:numPr>
          <w:ilvl w:val="0"/>
          <w:numId w:val="46"/>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Vlerësimi i protezave fikse metal qeramikë dhe total qeramikë të mbështetura mbi implante Fakulteti i Mjekësisë D</w:t>
      </w:r>
      <w:r w:rsidR="00543597">
        <w:rPr>
          <w:rFonts w:asciiTheme="minorHAnsi" w:hAnsiTheme="minorHAnsi" w:cstheme="minorHAnsi"/>
          <w:i/>
          <w:noProof/>
          <w:lang w:val="sq-AL"/>
        </w:rPr>
        <w:t>e</w:t>
      </w:r>
      <w:r w:rsidRPr="00F324D8">
        <w:rPr>
          <w:rFonts w:asciiTheme="minorHAnsi" w:hAnsiTheme="minorHAnsi" w:cstheme="minorHAnsi"/>
          <w:i/>
          <w:noProof/>
          <w:lang w:val="sq-AL"/>
        </w:rPr>
        <w:t>ntare</w:t>
      </w:r>
      <w:r w:rsidR="00543597">
        <w:rPr>
          <w:rFonts w:asciiTheme="minorHAnsi" w:hAnsiTheme="minorHAnsi" w:cstheme="minorHAnsi"/>
          <w:i/>
          <w:noProof/>
          <w:lang w:val="sq-AL"/>
        </w:rPr>
        <w:t xml:space="preserve"> </w:t>
      </w:r>
      <w:r w:rsidRPr="00F324D8">
        <w:rPr>
          <w:rFonts w:asciiTheme="minorHAnsi" w:hAnsiTheme="minorHAnsi" w:cstheme="minorHAnsi"/>
          <w:i/>
          <w:noProof/>
          <w:lang w:val="sq-AL"/>
        </w:rPr>
        <w:t>Universitetit të Mjekësisë Tiranë me vlerë të plotë projekti 1.8  milionë lekë;</w:t>
      </w:r>
    </w:p>
    <w:p w14:paraId="3FE60F38" w14:textId="7FB2E034" w:rsidR="008E31C3" w:rsidRPr="00F324D8" w:rsidRDefault="008E31C3" w:rsidP="00056DE5">
      <w:pPr>
        <w:pStyle w:val="ListParagraph"/>
        <w:numPr>
          <w:ilvl w:val="0"/>
          <w:numId w:val="46"/>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Aplikimi i teknologjisë dixhitale në stomatologji, Fakulteti i Mjekësisë Dentare</w:t>
      </w:r>
      <w:r w:rsidR="00543597">
        <w:rPr>
          <w:rFonts w:asciiTheme="minorHAnsi" w:hAnsiTheme="minorHAnsi" w:cstheme="minorHAnsi"/>
          <w:i/>
          <w:noProof/>
          <w:lang w:val="sq-AL"/>
        </w:rPr>
        <w:t xml:space="preserve"> </w:t>
      </w:r>
      <w:r w:rsidRPr="00F324D8">
        <w:rPr>
          <w:rFonts w:asciiTheme="minorHAnsi" w:hAnsiTheme="minorHAnsi" w:cstheme="minorHAnsi"/>
          <w:i/>
          <w:noProof/>
          <w:lang w:val="sq-AL"/>
        </w:rPr>
        <w:t xml:space="preserve">Universitetit të Mjekësisë Tiranë  me vlerë të plotë projekti 21.5 milionë lekë, </w:t>
      </w:r>
    </w:p>
    <w:p w14:paraId="77E2AF15" w14:textId="77777777" w:rsidR="008E31C3" w:rsidRPr="00F324D8" w:rsidRDefault="008E31C3" w:rsidP="00056DE5">
      <w:pPr>
        <w:pStyle w:val="ListParagraph"/>
        <w:numPr>
          <w:ilvl w:val="0"/>
          <w:numId w:val="46"/>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Pajisja laboratorike të Akuakulturës, UT në shërbim të mëaimdhënies cilësore dhe përparimit të teknikave të kërkimit shkencor, me vlerë të plotë projekti 5.1 milionë lekë,</w:t>
      </w:r>
    </w:p>
    <w:p w14:paraId="4E63AD5E" w14:textId="77777777" w:rsidR="008E31C3" w:rsidRPr="00F324D8" w:rsidRDefault="008E31C3" w:rsidP="00056DE5">
      <w:pPr>
        <w:pStyle w:val="ListParagraph"/>
        <w:numPr>
          <w:ilvl w:val="0"/>
          <w:numId w:val="46"/>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Studimi i mykotoksinave në drither të prodhuar në Shqipëri. Vlerësimi i rrezikut të kontaminimit dhe ekspozimit me vlerë të plotë projekti 8.5 milionë lekë;</w:t>
      </w:r>
    </w:p>
    <w:p w14:paraId="60FEC8FC" w14:textId="3D56C2AF" w:rsidR="008E31C3" w:rsidRDefault="008E31C3" w:rsidP="00056DE5">
      <w:pPr>
        <w:pStyle w:val="ListParagraph"/>
        <w:numPr>
          <w:ilvl w:val="0"/>
          <w:numId w:val="46"/>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Ristrukturimi i kapaciteve kërkimore të Departamentit të Energjisë në fushën e dekarbonizimit të ekonomisë (Green Economy), me vlerë të plotë projekti 34 milionë lekë.</w:t>
      </w:r>
    </w:p>
    <w:p w14:paraId="44777E21" w14:textId="03AB1BE7" w:rsidR="00543597" w:rsidRDefault="00543597" w:rsidP="00543597">
      <w:pPr>
        <w:pStyle w:val="ListParagraph"/>
        <w:spacing w:before="120"/>
        <w:jc w:val="both"/>
        <w:rPr>
          <w:rFonts w:asciiTheme="minorHAnsi" w:hAnsiTheme="minorHAnsi" w:cstheme="minorHAnsi"/>
          <w:i/>
          <w:noProof/>
          <w:lang w:val="sq-AL"/>
        </w:rPr>
      </w:pPr>
    </w:p>
    <w:p w14:paraId="565A0C50" w14:textId="77777777" w:rsidR="00F17724" w:rsidRPr="00F324D8" w:rsidRDefault="00F17724" w:rsidP="00543597">
      <w:pPr>
        <w:pStyle w:val="ListParagraph"/>
        <w:spacing w:before="120"/>
        <w:jc w:val="both"/>
        <w:rPr>
          <w:rFonts w:asciiTheme="minorHAnsi" w:hAnsiTheme="minorHAnsi" w:cstheme="minorHAnsi"/>
          <w:i/>
          <w:noProof/>
          <w:lang w:val="sq-AL"/>
        </w:rPr>
      </w:pPr>
    </w:p>
    <w:p w14:paraId="7BB16CED" w14:textId="77777777" w:rsidR="000C4F22" w:rsidRPr="009647C4" w:rsidRDefault="000C4F22" w:rsidP="009647C4">
      <w:pPr>
        <w:spacing w:before="240" w:line="276" w:lineRule="auto"/>
        <w:jc w:val="both"/>
        <w:rPr>
          <w:rFonts w:asciiTheme="minorHAnsi" w:hAnsiTheme="minorHAnsi"/>
          <w:b/>
          <w:color w:val="0070C0"/>
          <w:lang w:val="sq-AL"/>
        </w:rPr>
      </w:pPr>
      <w:r w:rsidRPr="009647C4">
        <w:rPr>
          <w:rFonts w:asciiTheme="minorHAnsi" w:hAnsiTheme="minorHAnsi"/>
          <w:b/>
          <w:color w:val="0070C0"/>
          <w:lang w:val="sq-AL"/>
        </w:rPr>
        <w:t>Ministria e Kulturës</w:t>
      </w:r>
    </w:p>
    <w:p w14:paraId="05732C77" w14:textId="3F8AED61" w:rsidR="008E31C3" w:rsidRPr="00543597" w:rsidRDefault="008E31C3" w:rsidP="00056DE5">
      <w:pPr>
        <w:pStyle w:val="ListParagraph"/>
        <w:numPr>
          <w:ilvl w:val="0"/>
          <w:numId w:val="47"/>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Për projektet me financim të brendshëm, realizimi për 5</w:t>
      </w:r>
      <w:r w:rsidR="00543597">
        <w:rPr>
          <w:rFonts w:asciiTheme="minorHAnsi" w:eastAsiaTheme="minorHAnsi" w:hAnsiTheme="minorHAnsi" w:cstheme="minorHAnsi"/>
          <w:noProof/>
          <w:lang w:val="sq-AL"/>
        </w:rPr>
        <w:t>M</w:t>
      </w:r>
      <w:r w:rsidRPr="00F324D8">
        <w:rPr>
          <w:rFonts w:asciiTheme="minorHAnsi" w:eastAsiaTheme="minorHAnsi" w:hAnsiTheme="minorHAnsi" w:cstheme="minorHAnsi"/>
          <w:noProof/>
          <w:lang w:val="sq-AL"/>
        </w:rPr>
        <w:t xml:space="preserve"> 2023 është 5.7% </w:t>
      </w:r>
      <w:r w:rsidR="00543597">
        <w:rPr>
          <w:rFonts w:asciiTheme="minorHAnsi" w:eastAsiaTheme="minorHAnsi" w:hAnsiTheme="minorHAnsi" w:cstheme="minorHAnsi"/>
          <w:noProof/>
          <w:lang w:val="sq-AL"/>
        </w:rPr>
        <w:t>e</w:t>
      </w:r>
      <w:r w:rsidRPr="00F324D8">
        <w:rPr>
          <w:rFonts w:asciiTheme="minorHAnsi" w:eastAsiaTheme="minorHAnsi" w:hAnsiTheme="minorHAnsi" w:cstheme="minorHAnsi"/>
          <w:noProof/>
          <w:lang w:val="sq-AL"/>
        </w:rPr>
        <w:t xml:space="preserve"> buxhetit fillestar </w:t>
      </w:r>
      <w:r w:rsidR="00543597">
        <w:rPr>
          <w:rFonts w:asciiTheme="minorHAnsi" w:eastAsiaTheme="minorHAnsi" w:hAnsiTheme="minorHAnsi" w:cstheme="minorHAnsi"/>
          <w:noProof/>
          <w:lang w:val="sq-AL"/>
        </w:rPr>
        <w:t>ose</w:t>
      </w:r>
      <w:r w:rsidRPr="00F324D8">
        <w:rPr>
          <w:rFonts w:asciiTheme="minorHAnsi" w:eastAsiaTheme="minorHAnsi" w:hAnsiTheme="minorHAnsi" w:cstheme="minorHAnsi"/>
          <w:noProof/>
          <w:lang w:val="sq-AL"/>
        </w:rPr>
        <w:t xml:space="preserve"> 96.9 milionë lekë.</w:t>
      </w:r>
    </w:p>
    <w:p w14:paraId="2E7D7A5E" w14:textId="1863836E" w:rsidR="008E31C3" w:rsidRPr="00F324D8" w:rsidRDefault="008E31C3" w:rsidP="00056DE5">
      <w:pPr>
        <w:pStyle w:val="ListParagraph"/>
        <w:numPr>
          <w:ilvl w:val="0"/>
          <w:numId w:val="47"/>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Për Ministrinë e Kulturës realizimi i investimeve paraqitet tepër i ulët konkretisht programi “Trashëgimia Kulturore dhe Muzete” paraqitet me realizim 0% kundrejt planit me vlerë 127 milionë lekë</w:t>
      </w:r>
      <w:r w:rsidR="00543597">
        <w:rPr>
          <w:rFonts w:asciiTheme="minorHAnsi" w:eastAsiaTheme="minorHAnsi" w:hAnsiTheme="minorHAnsi" w:cstheme="minorHAnsi"/>
          <w:noProof/>
          <w:lang w:val="sq-AL"/>
        </w:rPr>
        <w:t>, nd</w:t>
      </w:r>
      <w:r w:rsidR="007904C8">
        <w:rPr>
          <w:rFonts w:asciiTheme="minorHAnsi" w:eastAsiaTheme="minorHAnsi" w:hAnsiTheme="minorHAnsi" w:cstheme="minorHAnsi"/>
          <w:noProof/>
          <w:lang w:val="sq-AL"/>
        </w:rPr>
        <w:t>ë</w:t>
      </w:r>
      <w:r w:rsidR="00543597">
        <w:rPr>
          <w:rFonts w:asciiTheme="minorHAnsi" w:eastAsiaTheme="minorHAnsi" w:hAnsiTheme="minorHAnsi" w:cstheme="minorHAnsi"/>
          <w:noProof/>
          <w:lang w:val="sq-AL"/>
        </w:rPr>
        <w:t xml:space="preserve">rsa programi </w:t>
      </w:r>
      <w:r w:rsidRPr="00F324D8">
        <w:rPr>
          <w:rFonts w:asciiTheme="minorHAnsi" w:eastAsiaTheme="minorHAnsi" w:hAnsiTheme="minorHAnsi" w:cstheme="minorHAnsi"/>
          <w:noProof/>
          <w:lang w:val="sq-AL"/>
        </w:rPr>
        <w:t>“Arti dhe Kultura” paraqitet me realizim 5.9% kundrejt planit me vlerë 1.643 milionë lekë.</w:t>
      </w:r>
    </w:p>
    <w:p w14:paraId="1ECC3746" w14:textId="3BA5B6AB" w:rsidR="008E31C3" w:rsidRPr="00F324D8" w:rsidRDefault="008E31C3" w:rsidP="00056DE5">
      <w:pPr>
        <w:pStyle w:val="ListParagraph"/>
        <w:numPr>
          <w:ilvl w:val="0"/>
          <w:numId w:val="47"/>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Statusi i projekteve kryesore me financim të brendshëm paraqitet si më poshtë:</w:t>
      </w:r>
    </w:p>
    <w:p w14:paraId="1B714B14" w14:textId="77777777" w:rsidR="008E31C3" w:rsidRPr="00F324D8" w:rsidRDefault="008E31C3" w:rsidP="00056DE5">
      <w:pPr>
        <w:pStyle w:val="ListParagraph"/>
        <w:numPr>
          <w:ilvl w:val="0"/>
          <w:numId w:val="46"/>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Projekti “Restaurimi, Rikonstruksioni dhe Rehabilitimi i hapesirave ne Muzeun e Arteve te bukra (Galerisë Kombetare të Arteve)” me vlerë plani 409.4 milionë lekë - Eshte mbyllur faza e ndertimit te karabinase dhe ngritja e skeletit te ndertimit, themelet dhe perfundimin e fazes se betonimit;</w:t>
      </w:r>
    </w:p>
    <w:p w14:paraId="6459FF27" w14:textId="77777777" w:rsidR="008E31C3" w:rsidRPr="00F324D8" w:rsidRDefault="008E31C3" w:rsidP="00056DE5">
      <w:pPr>
        <w:pStyle w:val="ListParagraph"/>
        <w:numPr>
          <w:ilvl w:val="0"/>
          <w:numId w:val="46"/>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Projekti “Ndertimi i Qendres Kombetare Kulturore per Femije dhe Teatri i Kukullave” me vlerë plani 350.7 milionë lekë - Aktualisht zbatuesi i punimeve eshte ne fazën e gërmimit ne sheshin e ndërtimit pranë zonës se Ish-Gardes se Republikes se Shqiperise;</w:t>
      </w:r>
    </w:p>
    <w:p w14:paraId="6B9E608B" w14:textId="77777777" w:rsidR="008E31C3" w:rsidRPr="00F324D8" w:rsidRDefault="008E31C3" w:rsidP="00056DE5">
      <w:pPr>
        <w:pStyle w:val="ListParagraph"/>
        <w:numPr>
          <w:ilvl w:val="0"/>
          <w:numId w:val="46"/>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Projekti “Projektim dhe Implementim i Mozaikut Tirane” me vlerë plani 141.8 milionë lekë - Punimet prane Bibliotekes Kombetare per te dyja kontratat kane perfunduar dhe jane ne proces kolauidim punimesh;</w:t>
      </w:r>
    </w:p>
    <w:p w14:paraId="35EAAB7C" w14:textId="77777777" w:rsidR="008E31C3" w:rsidRPr="00F324D8" w:rsidRDefault="008E31C3" w:rsidP="00056DE5">
      <w:pPr>
        <w:pStyle w:val="ListParagraph"/>
        <w:numPr>
          <w:ilvl w:val="0"/>
          <w:numId w:val="46"/>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Projekti “Rijetesimi i Piramides Tirane” me vlerë plani 110 milionë lekë - Perfunduar punimet ne pritje te likuidimit;</w:t>
      </w:r>
    </w:p>
    <w:p w14:paraId="06C1789C" w14:textId="006B7DFC" w:rsidR="008E31C3" w:rsidRPr="00F324D8" w:rsidRDefault="008E31C3" w:rsidP="00056DE5">
      <w:pPr>
        <w:pStyle w:val="ListParagraph"/>
        <w:numPr>
          <w:ilvl w:val="0"/>
          <w:numId w:val="46"/>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 xml:space="preserve">Projekti “Parku i artit, rivitalizimi dhe rikualifikimi i territorit te ish-Kinostudios "Shqipëria e Re", Tiranë” me vlerë plani 93 milionë lekë - Sapo ka kaluar situacioni ne Qershor, </w:t>
      </w:r>
      <w:r w:rsidR="00543597">
        <w:rPr>
          <w:rFonts w:asciiTheme="minorHAnsi" w:hAnsiTheme="minorHAnsi" w:cstheme="minorHAnsi"/>
          <w:i/>
          <w:noProof/>
          <w:lang w:val="sq-AL"/>
        </w:rPr>
        <w:t>n</w:t>
      </w:r>
      <w:r w:rsidRPr="00F324D8">
        <w:rPr>
          <w:rFonts w:asciiTheme="minorHAnsi" w:hAnsiTheme="minorHAnsi" w:cstheme="minorHAnsi"/>
          <w:i/>
          <w:noProof/>
          <w:lang w:val="sq-AL"/>
        </w:rPr>
        <w:t xml:space="preserve">e pritje te </w:t>
      </w:r>
      <w:r w:rsidR="00543597">
        <w:rPr>
          <w:rFonts w:asciiTheme="minorHAnsi" w:hAnsiTheme="minorHAnsi" w:cstheme="minorHAnsi"/>
          <w:i/>
          <w:noProof/>
          <w:lang w:val="sq-AL"/>
        </w:rPr>
        <w:t>s</w:t>
      </w:r>
      <w:r w:rsidRPr="00F324D8">
        <w:rPr>
          <w:rFonts w:asciiTheme="minorHAnsi" w:hAnsiTheme="minorHAnsi" w:cstheme="minorHAnsi"/>
          <w:i/>
          <w:noProof/>
          <w:lang w:val="sq-AL"/>
        </w:rPr>
        <w:t>ituacionit te rradhes.</w:t>
      </w:r>
    </w:p>
    <w:p w14:paraId="4F251B61" w14:textId="62EDB0A5" w:rsidR="000C4F22" w:rsidRDefault="000C4F22" w:rsidP="000C4F22">
      <w:pPr>
        <w:pStyle w:val="ListParagraph"/>
        <w:spacing w:line="276" w:lineRule="auto"/>
        <w:ind w:left="360"/>
        <w:jc w:val="both"/>
        <w:rPr>
          <w:rFonts w:asciiTheme="minorHAnsi" w:eastAsiaTheme="minorHAnsi" w:hAnsiTheme="minorHAnsi"/>
          <w:lang w:val="sq-AL"/>
        </w:rPr>
      </w:pPr>
    </w:p>
    <w:p w14:paraId="539E86ED" w14:textId="77777777" w:rsidR="00F17724" w:rsidRPr="002D6FC9" w:rsidRDefault="00F17724" w:rsidP="000C4F22">
      <w:pPr>
        <w:pStyle w:val="ListParagraph"/>
        <w:spacing w:line="276" w:lineRule="auto"/>
        <w:ind w:left="360"/>
        <w:jc w:val="both"/>
        <w:rPr>
          <w:rFonts w:asciiTheme="minorHAnsi" w:eastAsiaTheme="minorHAnsi" w:hAnsiTheme="minorHAnsi"/>
          <w:lang w:val="sq-AL"/>
        </w:rPr>
      </w:pPr>
    </w:p>
    <w:p w14:paraId="5D9824D0" w14:textId="77777777" w:rsidR="009640B4" w:rsidRPr="009647C4" w:rsidRDefault="009640B4" w:rsidP="009647C4">
      <w:pPr>
        <w:spacing w:before="240" w:line="276" w:lineRule="auto"/>
        <w:jc w:val="both"/>
        <w:rPr>
          <w:rFonts w:asciiTheme="minorHAnsi" w:hAnsiTheme="minorHAnsi"/>
          <w:b/>
          <w:color w:val="0070C0"/>
          <w:lang w:val="sq-AL"/>
        </w:rPr>
      </w:pPr>
      <w:r w:rsidRPr="009647C4">
        <w:rPr>
          <w:rFonts w:asciiTheme="minorHAnsi" w:hAnsiTheme="minorHAnsi"/>
          <w:b/>
          <w:color w:val="0070C0"/>
          <w:lang w:val="sq-AL"/>
        </w:rPr>
        <w:lastRenderedPageBreak/>
        <w:t>Ministria e Shëndetësisë dhe Mbrojtjes Sociale</w:t>
      </w:r>
    </w:p>
    <w:p w14:paraId="14EDA477" w14:textId="6589894D" w:rsidR="00543597" w:rsidRPr="00543597" w:rsidRDefault="00543597" w:rsidP="00056DE5">
      <w:pPr>
        <w:pStyle w:val="ListParagraph"/>
        <w:numPr>
          <w:ilvl w:val="0"/>
          <w:numId w:val="48"/>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 xml:space="preserve">Për projektet me financim të brendshëm, realizimi për </w:t>
      </w:r>
      <w:r>
        <w:rPr>
          <w:rFonts w:asciiTheme="minorHAnsi" w:eastAsiaTheme="minorHAnsi" w:hAnsiTheme="minorHAnsi" w:cstheme="minorHAnsi"/>
          <w:noProof/>
          <w:lang w:val="sq-AL"/>
        </w:rPr>
        <w:t>5M</w:t>
      </w:r>
      <w:r w:rsidRPr="00F324D8">
        <w:rPr>
          <w:rFonts w:asciiTheme="minorHAnsi" w:eastAsiaTheme="minorHAnsi" w:hAnsiTheme="minorHAnsi" w:cstheme="minorHAnsi"/>
          <w:noProof/>
          <w:lang w:val="sq-AL"/>
        </w:rPr>
        <w:t xml:space="preserve"> 2023 është 18.8% </w:t>
      </w:r>
      <w:r>
        <w:rPr>
          <w:rFonts w:asciiTheme="minorHAnsi" w:eastAsiaTheme="minorHAnsi" w:hAnsiTheme="minorHAnsi" w:cstheme="minorHAnsi"/>
          <w:noProof/>
          <w:lang w:val="sq-AL"/>
        </w:rPr>
        <w:t>e</w:t>
      </w:r>
      <w:r w:rsidRPr="00F324D8">
        <w:rPr>
          <w:rFonts w:asciiTheme="minorHAnsi" w:eastAsiaTheme="minorHAnsi" w:hAnsiTheme="minorHAnsi" w:cstheme="minorHAnsi"/>
          <w:noProof/>
          <w:lang w:val="sq-AL"/>
        </w:rPr>
        <w:t xml:space="preserve"> buxhetit fillestar </w:t>
      </w:r>
      <w:r>
        <w:rPr>
          <w:rFonts w:asciiTheme="minorHAnsi" w:eastAsiaTheme="minorHAnsi" w:hAnsiTheme="minorHAnsi" w:cstheme="minorHAnsi"/>
          <w:noProof/>
          <w:lang w:val="sq-AL"/>
        </w:rPr>
        <w:t>ose</w:t>
      </w:r>
      <w:r w:rsidRPr="00F324D8">
        <w:rPr>
          <w:rFonts w:asciiTheme="minorHAnsi" w:eastAsiaTheme="minorHAnsi" w:hAnsiTheme="minorHAnsi" w:cstheme="minorHAnsi"/>
          <w:noProof/>
          <w:lang w:val="sq-AL"/>
        </w:rPr>
        <w:t xml:space="preserve"> 357 milionë lekë. Për projektet me financim të huaj realizimi është  9% </w:t>
      </w:r>
      <w:r>
        <w:rPr>
          <w:rFonts w:asciiTheme="minorHAnsi" w:eastAsiaTheme="minorHAnsi" w:hAnsiTheme="minorHAnsi" w:cstheme="minorHAnsi"/>
          <w:noProof/>
          <w:lang w:val="sq-AL"/>
        </w:rPr>
        <w:t>ose</w:t>
      </w:r>
      <w:r w:rsidRPr="00F324D8">
        <w:rPr>
          <w:rFonts w:asciiTheme="minorHAnsi" w:eastAsiaTheme="minorHAnsi" w:hAnsiTheme="minorHAnsi" w:cstheme="minorHAnsi"/>
          <w:noProof/>
          <w:lang w:val="sq-AL"/>
        </w:rPr>
        <w:t xml:space="preserve"> 153 milionë lekë. </w:t>
      </w:r>
    </w:p>
    <w:p w14:paraId="7BCB294A" w14:textId="77777777" w:rsidR="00543597" w:rsidRPr="00F324D8" w:rsidRDefault="00543597" w:rsidP="00056DE5">
      <w:pPr>
        <w:pStyle w:val="ListParagraph"/>
        <w:numPr>
          <w:ilvl w:val="0"/>
          <w:numId w:val="48"/>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Përsa i përket projekteve me financim të brendshëm, programi  me planin më të lartë paraqitet  programi “Shërbimet e Kujdesit Dytësor” i cili është realizuar në masën 21.1% kundrejt planit prej 1,304 milionë lekë.</w:t>
      </w:r>
    </w:p>
    <w:p w14:paraId="3BFC07B3" w14:textId="70532D55" w:rsidR="00543597" w:rsidRPr="00F324D8" w:rsidRDefault="00543597" w:rsidP="00056DE5">
      <w:pPr>
        <w:pStyle w:val="ListParagraph"/>
        <w:numPr>
          <w:ilvl w:val="0"/>
          <w:numId w:val="48"/>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 xml:space="preserve">Sipas raportimeve te </w:t>
      </w:r>
      <w:r>
        <w:rPr>
          <w:rFonts w:asciiTheme="minorHAnsi" w:eastAsiaTheme="minorHAnsi" w:hAnsiTheme="minorHAnsi" w:cstheme="minorHAnsi"/>
          <w:noProof/>
          <w:lang w:val="sq-AL"/>
        </w:rPr>
        <w:t>MSHMS</w:t>
      </w:r>
      <w:r w:rsidRPr="00F324D8">
        <w:rPr>
          <w:rFonts w:asciiTheme="minorHAnsi" w:eastAsiaTheme="minorHAnsi" w:hAnsiTheme="minorHAnsi" w:cstheme="minorHAnsi"/>
          <w:noProof/>
          <w:lang w:val="sq-AL"/>
        </w:rPr>
        <w:t>,</w:t>
      </w:r>
      <w:r>
        <w:rPr>
          <w:rFonts w:asciiTheme="minorHAnsi" w:eastAsiaTheme="minorHAnsi" w:hAnsiTheme="minorHAnsi" w:cstheme="minorHAnsi"/>
          <w:noProof/>
          <w:lang w:val="sq-AL"/>
        </w:rPr>
        <w:t xml:space="preserve"> </w:t>
      </w:r>
      <w:r w:rsidRPr="00F324D8">
        <w:rPr>
          <w:rFonts w:asciiTheme="minorHAnsi" w:eastAsiaTheme="minorHAnsi" w:hAnsiTheme="minorHAnsi" w:cstheme="minorHAnsi"/>
          <w:noProof/>
          <w:lang w:val="sq-AL"/>
        </w:rPr>
        <w:t>statusi për disa nga projektet kryesore paraqitet si më poshtë:</w:t>
      </w:r>
    </w:p>
    <w:p w14:paraId="4EC035C5" w14:textId="77777777" w:rsidR="00543597" w:rsidRPr="00F324D8" w:rsidRDefault="00543597" w:rsidP="00056DE5">
      <w:pPr>
        <w:pStyle w:val="ListParagraph"/>
        <w:numPr>
          <w:ilvl w:val="0"/>
          <w:numId w:val="50"/>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Projekti “Rikonstruksion i qendrave shendetesore v.2023-2024” me vlerë plani 159.7 milionë lekë - Loti 1 në proces lidhje kontrate. Lot 2,3,4 shpallur fituesi paraprak (afatet e ankimimit);</w:t>
      </w:r>
    </w:p>
    <w:p w14:paraId="3EDB94F1" w14:textId="77777777" w:rsidR="00543597" w:rsidRPr="00F324D8" w:rsidRDefault="00543597" w:rsidP="00056DE5">
      <w:pPr>
        <w:pStyle w:val="ListParagraph"/>
        <w:numPr>
          <w:ilvl w:val="0"/>
          <w:numId w:val="50"/>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Projekti “Rikonstruksione te godinave te njesive te kujdesit shendetesor ne rrethe” me vlerë plani 82.7 milionë lekë - Pezulluar punimet ne QSH Durres, Qsh Iball. Kontrata mbyllet 17.06.2023. Nje situacion i pjesshëm do të mbyllet brenda Qershor 2023 dhe pjesa e mbetur korrik 2023 pas kolaudimit.</w:t>
      </w:r>
    </w:p>
    <w:p w14:paraId="08EDBB3E" w14:textId="77777777" w:rsidR="00543597" w:rsidRPr="00F324D8" w:rsidRDefault="00543597" w:rsidP="00056DE5">
      <w:pPr>
        <w:pStyle w:val="ListParagraph"/>
        <w:numPr>
          <w:ilvl w:val="0"/>
          <w:numId w:val="50"/>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Projekti “Rikonstruksion i godines qendrore te sp. Diber” me vlerë plani 73.3 milionë lekë - Ne proces ankimimi;</w:t>
      </w:r>
    </w:p>
    <w:p w14:paraId="2334FD43" w14:textId="77777777" w:rsidR="00543597" w:rsidRPr="00F324D8" w:rsidRDefault="00543597" w:rsidP="00056DE5">
      <w:pPr>
        <w:pStyle w:val="ListParagraph"/>
        <w:numPr>
          <w:ilvl w:val="0"/>
          <w:numId w:val="50"/>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Projekti “Rikonstruksion i poliklinikes se sp. Elbasan” me vlerë plani 58.3 milionë lekë – Në proces punimesh. Deri më daten 23.06.2023 do behet situacioni i pare;</w:t>
      </w:r>
    </w:p>
    <w:p w14:paraId="42E4AE9C" w14:textId="77777777" w:rsidR="00543597" w:rsidRPr="00F324D8" w:rsidRDefault="00543597" w:rsidP="00056DE5">
      <w:pPr>
        <w:pStyle w:val="ListParagraph"/>
        <w:numPr>
          <w:ilvl w:val="0"/>
          <w:numId w:val="50"/>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Projekti “Punime për pjesën teknologjike të fazës II të rikonstruksionit të sp. Kukes qe po implementohet nga Banka Boterore” me vlerë plani 53.8 milionë - Brenda muajit do behet nje situacion per pagese;</w:t>
      </w:r>
    </w:p>
    <w:p w14:paraId="5A0B6425" w14:textId="77777777" w:rsidR="00543597" w:rsidRPr="00F324D8" w:rsidRDefault="00543597" w:rsidP="00056DE5">
      <w:pPr>
        <w:pStyle w:val="ListParagraph"/>
        <w:numPr>
          <w:ilvl w:val="0"/>
          <w:numId w:val="50"/>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Projekti “Rikonstruksion i poliklinikes se sp. Shkoder me vlerë plani 40 milionë lekë - Ne proces punimesh, nuk ka nje date per disbursim (brenda javes se pare te korrikut);</w:t>
      </w:r>
    </w:p>
    <w:p w14:paraId="020DD89B" w14:textId="77777777" w:rsidR="00543597" w:rsidRPr="00F324D8" w:rsidRDefault="00543597" w:rsidP="00056DE5">
      <w:pPr>
        <w:pStyle w:val="ListParagraph"/>
        <w:numPr>
          <w:ilvl w:val="0"/>
          <w:numId w:val="50"/>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Projekti “Rikonstruksion i godinës së vjetër te Neonatologjisë dhe Obstetrikës dhe ndertim e dy godinave te reja ne SUOGJ, Mbretëresha Geraldinë me vlerë plani 301 milionë lekë - disbursimi deri me 23.06.2023;</w:t>
      </w:r>
    </w:p>
    <w:p w14:paraId="683B5AC5" w14:textId="77777777" w:rsidR="00543597" w:rsidRPr="00F324D8" w:rsidRDefault="00543597" w:rsidP="00056DE5">
      <w:pPr>
        <w:pStyle w:val="ListParagraph"/>
        <w:numPr>
          <w:ilvl w:val="0"/>
          <w:numId w:val="50"/>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Projekti “Rikonstruksion ne Maternitetin nr.1 Tirane faza II me vlerë plani 57.1 milionë lekë - Në pritje mbi informimin e OE ofertues për shkak të verifikimeve që kryen në një organ tjetër publik (QKB &amp; Agjencia per Eficencen e Energjise);</w:t>
      </w:r>
    </w:p>
    <w:p w14:paraId="481614B4" w14:textId="77777777" w:rsidR="00543597" w:rsidRPr="00F324D8" w:rsidRDefault="00543597" w:rsidP="00056DE5">
      <w:pPr>
        <w:pStyle w:val="ListParagraph"/>
        <w:numPr>
          <w:ilvl w:val="0"/>
          <w:numId w:val="50"/>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Projekti “Rikonstruksioni i shtepizave te mbeshtetura ne sp. Psikiatrik Vlore” me vlerë plani 56 milionë lekë - Brenda javës bëhet zbardhja e lejes së ndërtimit nga AZHT.</w:t>
      </w:r>
    </w:p>
    <w:p w14:paraId="122525C5" w14:textId="77777777" w:rsidR="00543597" w:rsidRPr="00F324D8" w:rsidRDefault="00543597" w:rsidP="00056DE5">
      <w:pPr>
        <w:pStyle w:val="ListParagraph"/>
        <w:numPr>
          <w:ilvl w:val="0"/>
          <w:numId w:val="50"/>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Projekti “Blerje autoambulanca, motore urgjence dhe pajisje per sistemin shendetesor” me vlerë plani 87 milionë lekë - ambulancat shpallen në datë 14.06.2023;</w:t>
      </w:r>
    </w:p>
    <w:p w14:paraId="3626AB04" w14:textId="77777777" w:rsidR="00543597" w:rsidRPr="00F324D8" w:rsidRDefault="00543597" w:rsidP="00056DE5">
      <w:pPr>
        <w:pStyle w:val="ListParagraph"/>
        <w:numPr>
          <w:ilvl w:val="0"/>
          <w:numId w:val="50"/>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Projekti “Ndertim i godines se re te laboratoreve te ISHP” me vlerë plani 96 milionë lekë - Ka sjell dokumentat per realizimin e procedure nga MSHMS. Aktualisht MSHMS është duke kryer vlersim te materialit te sjell per te vijuar me hedhjen e zerit ne regjister  per proceduren;</w:t>
      </w:r>
    </w:p>
    <w:p w14:paraId="047B97FE" w14:textId="0628F27F" w:rsidR="00543597" w:rsidRDefault="00543597" w:rsidP="00056DE5">
      <w:pPr>
        <w:pStyle w:val="ListParagraph"/>
        <w:numPr>
          <w:ilvl w:val="0"/>
          <w:numId w:val="50"/>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Projekti “Ngritja e modulit shtesë për kontrollin e menaxhimit te rastit ne kuadër të projektit te PAK nga BB” me vlerë plani 60.2 milionë lekë - Jane firmosur termat dhe eshte ne studim te tregut per percaktimin e fondit limit. Pritet të hidhet nga AKSH</w:t>
      </w:r>
      <w:r>
        <w:rPr>
          <w:rFonts w:asciiTheme="minorHAnsi" w:hAnsiTheme="minorHAnsi" w:cstheme="minorHAnsi"/>
          <w:i/>
          <w:noProof/>
          <w:lang w:val="sq-AL"/>
        </w:rPr>
        <w:t>I.</w:t>
      </w:r>
    </w:p>
    <w:p w14:paraId="6BEB9487" w14:textId="77777777" w:rsidR="00543597" w:rsidRPr="00F324D8" w:rsidRDefault="00543597" w:rsidP="00543597">
      <w:pPr>
        <w:pStyle w:val="ListParagraph"/>
        <w:contextualSpacing w:val="0"/>
        <w:jc w:val="both"/>
        <w:rPr>
          <w:rFonts w:asciiTheme="minorHAnsi" w:hAnsiTheme="minorHAnsi" w:cstheme="minorHAnsi"/>
          <w:i/>
          <w:noProof/>
          <w:lang w:val="sq-AL"/>
        </w:rPr>
      </w:pPr>
    </w:p>
    <w:p w14:paraId="6FB83873" w14:textId="4251CD89" w:rsidR="00543597" w:rsidRPr="00543597" w:rsidRDefault="00543597" w:rsidP="00056DE5">
      <w:pPr>
        <w:pStyle w:val="ListParagraph"/>
        <w:numPr>
          <w:ilvl w:val="0"/>
          <w:numId w:val="49"/>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 xml:space="preserve">Përsa i përket projekteve me </w:t>
      </w:r>
      <w:r w:rsidRPr="00F324D8">
        <w:rPr>
          <w:rFonts w:asciiTheme="minorHAnsi" w:eastAsiaTheme="minorHAnsi" w:hAnsiTheme="minorHAnsi" w:cstheme="minorHAnsi"/>
          <w:b/>
          <w:noProof/>
          <w:lang w:val="sq-AL"/>
        </w:rPr>
        <w:t>Financim të Huaj</w:t>
      </w:r>
      <w:r w:rsidRPr="00F324D8">
        <w:rPr>
          <w:rFonts w:asciiTheme="minorHAnsi" w:eastAsiaTheme="minorHAnsi" w:hAnsiTheme="minorHAnsi" w:cstheme="minorHAnsi"/>
          <w:noProof/>
          <w:lang w:val="sq-AL"/>
        </w:rPr>
        <w:t xml:space="preserve"> statusi paraqitet si më poshtë:</w:t>
      </w:r>
    </w:p>
    <w:p w14:paraId="095A7E7B" w14:textId="779F712D" w:rsidR="00543597" w:rsidRPr="00F324D8" w:rsidRDefault="00543597" w:rsidP="00056DE5">
      <w:pPr>
        <w:pStyle w:val="ListParagraph"/>
        <w:numPr>
          <w:ilvl w:val="0"/>
          <w:numId w:val="51"/>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“Investime ne qendrat shendetesore te qarqeve Fier dhe Diber nga Cooperazioni Zviceran” me vlerë plani 108 milionë lekë - Eshte paguar</w:t>
      </w:r>
      <w:r>
        <w:rPr>
          <w:rFonts w:asciiTheme="minorHAnsi" w:hAnsiTheme="minorHAnsi" w:cstheme="minorHAnsi"/>
          <w:i/>
          <w:noProof/>
          <w:lang w:val="sq-AL"/>
        </w:rPr>
        <w:t>.</w:t>
      </w:r>
    </w:p>
    <w:p w14:paraId="6FB2DAF8" w14:textId="4D645CE8" w:rsidR="00543597" w:rsidRPr="00F324D8" w:rsidRDefault="00543597" w:rsidP="00056DE5">
      <w:pPr>
        <w:pStyle w:val="ListParagraph"/>
        <w:numPr>
          <w:ilvl w:val="0"/>
          <w:numId w:val="51"/>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 xml:space="preserve">“Rikonstruksion dhe pajisje 5 poliklinikave” me vlerë plani 50 milionë lekë - </w:t>
      </w:r>
      <w:r>
        <w:rPr>
          <w:rFonts w:asciiTheme="minorHAnsi" w:hAnsiTheme="minorHAnsi" w:cstheme="minorHAnsi"/>
          <w:i/>
          <w:noProof/>
          <w:lang w:val="sq-AL"/>
        </w:rPr>
        <w:t>P</w:t>
      </w:r>
      <w:r w:rsidRPr="00F324D8">
        <w:rPr>
          <w:rFonts w:asciiTheme="minorHAnsi" w:hAnsiTheme="minorHAnsi" w:cstheme="minorHAnsi"/>
          <w:i/>
          <w:noProof/>
          <w:lang w:val="sq-AL"/>
        </w:rPr>
        <w:t>ritet te bej AMB Italiane nje situacion per pagese.</w:t>
      </w:r>
    </w:p>
    <w:p w14:paraId="3B875554" w14:textId="57973705" w:rsidR="00543597" w:rsidRDefault="00543597" w:rsidP="00056DE5">
      <w:pPr>
        <w:pStyle w:val="ListParagraph"/>
        <w:numPr>
          <w:ilvl w:val="0"/>
          <w:numId w:val="51"/>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“Modernizimi i Asistences Sociale” me vlerë plani 269 milionë lekë - Do te rialokohet.</w:t>
      </w:r>
    </w:p>
    <w:p w14:paraId="5F26B27A" w14:textId="6A99CF3B" w:rsidR="00F17724" w:rsidRDefault="00F17724" w:rsidP="00F17724">
      <w:pPr>
        <w:pStyle w:val="ListParagraph"/>
        <w:contextualSpacing w:val="0"/>
        <w:jc w:val="both"/>
        <w:rPr>
          <w:rFonts w:asciiTheme="minorHAnsi" w:hAnsiTheme="minorHAnsi" w:cstheme="minorHAnsi"/>
          <w:i/>
          <w:noProof/>
          <w:lang w:val="sq-AL"/>
        </w:rPr>
      </w:pPr>
    </w:p>
    <w:p w14:paraId="29AFED44" w14:textId="77777777" w:rsidR="00F17724" w:rsidRPr="00F324D8" w:rsidRDefault="00F17724" w:rsidP="00F17724">
      <w:pPr>
        <w:pStyle w:val="ListParagraph"/>
        <w:contextualSpacing w:val="0"/>
        <w:jc w:val="both"/>
        <w:rPr>
          <w:rFonts w:asciiTheme="minorHAnsi" w:hAnsiTheme="minorHAnsi" w:cstheme="minorHAnsi"/>
          <w:i/>
          <w:noProof/>
          <w:lang w:val="sq-AL"/>
        </w:rPr>
      </w:pPr>
    </w:p>
    <w:p w14:paraId="291DA423" w14:textId="77777777" w:rsidR="009640B4" w:rsidRPr="00B85B6E" w:rsidRDefault="009640B4" w:rsidP="009647C4">
      <w:pPr>
        <w:jc w:val="both"/>
        <w:rPr>
          <w:rFonts w:asciiTheme="minorHAnsi" w:hAnsiTheme="minorHAnsi"/>
          <w:b/>
          <w:sz w:val="12"/>
          <w:lang w:val="sq-AL"/>
        </w:rPr>
      </w:pPr>
    </w:p>
    <w:p w14:paraId="712EA7C1" w14:textId="77777777" w:rsidR="00B85B6E" w:rsidRPr="009647C4" w:rsidRDefault="00B85B6E" w:rsidP="009647C4">
      <w:pPr>
        <w:spacing w:before="240" w:line="276" w:lineRule="auto"/>
        <w:jc w:val="both"/>
        <w:rPr>
          <w:rFonts w:asciiTheme="minorHAnsi" w:hAnsiTheme="minorHAnsi"/>
          <w:b/>
          <w:color w:val="0070C0"/>
          <w:lang w:val="sq-AL"/>
        </w:rPr>
      </w:pPr>
      <w:r w:rsidRPr="009647C4">
        <w:rPr>
          <w:rFonts w:asciiTheme="minorHAnsi" w:hAnsiTheme="minorHAnsi"/>
          <w:b/>
          <w:color w:val="0070C0"/>
          <w:lang w:val="sq-AL"/>
        </w:rPr>
        <w:lastRenderedPageBreak/>
        <w:t>Ministria e Drejtësisë</w:t>
      </w:r>
    </w:p>
    <w:p w14:paraId="12335108" w14:textId="1596E73C" w:rsidR="00543597" w:rsidRPr="00F324D8" w:rsidRDefault="00543597" w:rsidP="00056DE5">
      <w:pPr>
        <w:pStyle w:val="ListParagraph"/>
        <w:numPr>
          <w:ilvl w:val="0"/>
          <w:numId w:val="49"/>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 xml:space="preserve">Për projektet me financim të brendshëm, realizimi për </w:t>
      </w:r>
      <w:r>
        <w:rPr>
          <w:rFonts w:asciiTheme="minorHAnsi" w:eastAsiaTheme="minorHAnsi" w:hAnsiTheme="minorHAnsi" w:cstheme="minorHAnsi"/>
          <w:noProof/>
          <w:lang w:val="sq-AL"/>
        </w:rPr>
        <w:t>5M</w:t>
      </w:r>
      <w:r w:rsidRPr="00F324D8">
        <w:rPr>
          <w:rFonts w:asciiTheme="minorHAnsi" w:eastAsiaTheme="minorHAnsi" w:hAnsiTheme="minorHAnsi" w:cstheme="minorHAnsi"/>
          <w:noProof/>
          <w:lang w:val="sq-AL"/>
        </w:rPr>
        <w:t xml:space="preserve"> 2023 është 0.9% </w:t>
      </w:r>
      <w:r>
        <w:rPr>
          <w:rFonts w:asciiTheme="minorHAnsi" w:eastAsiaTheme="minorHAnsi" w:hAnsiTheme="minorHAnsi" w:cstheme="minorHAnsi"/>
          <w:noProof/>
          <w:lang w:val="sq-AL"/>
        </w:rPr>
        <w:t>e</w:t>
      </w:r>
      <w:r w:rsidRPr="00F324D8">
        <w:rPr>
          <w:rFonts w:asciiTheme="minorHAnsi" w:eastAsiaTheme="minorHAnsi" w:hAnsiTheme="minorHAnsi" w:cstheme="minorHAnsi"/>
          <w:noProof/>
          <w:lang w:val="sq-AL"/>
        </w:rPr>
        <w:t xml:space="preserve"> buxhetit fillestar </w:t>
      </w:r>
      <w:r>
        <w:rPr>
          <w:rFonts w:asciiTheme="minorHAnsi" w:eastAsiaTheme="minorHAnsi" w:hAnsiTheme="minorHAnsi" w:cstheme="minorHAnsi"/>
          <w:noProof/>
          <w:lang w:val="sq-AL"/>
        </w:rPr>
        <w:t>ose</w:t>
      </w:r>
      <w:r w:rsidRPr="00F324D8">
        <w:rPr>
          <w:rFonts w:asciiTheme="minorHAnsi" w:eastAsiaTheme="minorHAnsi" w:hAnsiTheme="minorHAnsi" w:cstheme="minorHAnsi"/>
          <w:noProof/>
          <w:lang w:val="sq-AL"/>
        </w:rPr>
        <w:t xml:space="preserve"> 8.5 milionë lekë. Për projektet me financim të huaj nuk ka realizim. </w:t>
      </w:r>
    </w:p>
    <w:p w14:paraId="55B866DD" w14:textId="36FE09B8" w:rsidR="00543597" w:rsidRPr="00F324D8" w:rsidRDefault="00543597" w:rsidP="00056DE5">
      <w:pPr>
        <w:pStyle w:val="ListParagraph"/>
        <w:numPr>
          <w:ilvl w:val="0"/>
          <w:numId w:val="49"/>
        </w:numPr>
        <w:spacing w:before="120"/>
        <w:jc w:val="both"/>
        <w:rPr>
          <w:rFonts w:asciiTheme="minorHAnsi" w:eastAsiaTheme="minorHAnsi" w:hAnsiTheme="minorHAnsi" w:cstheme="minorHAnsi"/>
          <w:noProof/>
          <w:lang w:val="sq-AL"/>
        </w:rPr>
      </w:pPr>
      <w:r>
        <w:rPr>
          <w:rFonts w:asciiTheme="minorHAnsi" w:eastAsiaTheme="minorHAnsi" w:hAnsiTheme="minorHAnsi" w:cstheme="minorHAnsi"/>
          <w:noProof/>
          <w:lang w:val="sq-AL"/>
        </w:rPr>
        <w:t>P</w:t>
      </w:r>
      <w:r w:rsidRPr="00F324D8">
        <w:rPr>
          <w:rFonts w:asciiTheme="minorHAnsi" w:eastAsiaTheme="minorHAnsi" w:hAnsiTheme="minorHAnsi" w:cstheme="minorHAnsi"/>
          <w:noProof/>
          <w:lang w:val="sq-AL"/>
        </w:rPr>
        <w:t>rogramet “Ndihma Juridike” dhe “Shërbimi i Provës” janë programet me planin më të lartë me realizim përkatësisht 24% dhe 8.4%. Ndërsa programet me financimin me të lartë janë “Planifikimi, Menaxhimi dhe Administrimi”, “Sistemi i Burgjeve” dhe “Mjekësia Ligjore” përkatësisht 601.8 milionë lekë dhe 220 milionë lekë.</w:t>
      </w:r>
    </w:p>
    <w:p w14:paraId="1E4F06A7" w14:textId="4AC79E47" w:rsidR="00543597" w:rsidRPr="00F324D8" w:rsidRDefault="00543597" w:rsidP="00056DE5">
      <w:pPr>
        <w:pStyle w:val="ListParagraph"/>
        <w:numPr>
          <w:ilvl w:val="0"/>
          <w:numId w:val="49"/>
        </w:numPr>
        <w:spacing w:before="120"/>
        <w:jc w:val="both"/>
        <w:rPr>
          <w:rFonts w:asciiTheme="minorHAnsi" w:eastAsia="MS Mincho" w:hAnsiTheme="minorHAnsi" w:cstheme="minorHAnsi"/>
          <w:noProof/>
          <w:lang w:val="sq-AL"/>
        </w:rPr>
      </w:pPr>
      <w:r w:rsidRPr="00F324D8">
        <w:rPr>
          <w:rFonts w:asciiTheme="minorHAnsi" w:eastAsia="MS Mincho" w:hAnsiTheme="minorHAnsi" w:cstheme="minorHAnsi"/>
          <w:noProof/>
          <w:lang w:val="sq-AL"/>
        </w:rPr>
        <w:t>Projektet kryesore të cilat kanë impakt dhe ndikim të madh përsa i përket financimit të brendshëm në Ministrinë e Drejtësisë, janë si mëposhtë:</w:t>
      </w:r>
    </w:p>
    <w:p w14:paraId="58BEEA64" w14:textId="6264667C" w:rsidR="00543597" w:rsidRPr="00F17724" w:rsidRDefault="00543597" w:rsidP="00056DE5">
      <w:pPr>
        <w:pStyle w:val="ListParagraph"/>
        <w:numPr>
          <w:ilvl w:val="0"/>
          <w:numId w:val="51"/>
        </w:numPr>
        <w:contextualSpacing w:val="0"/>
        <w:jc w:val="both"/>
        <w:rPr>
          <w:rFonts w:asciiTheme="minorHAnsi" w:hAnsiTheme="minorHAnsi" w:cstheme="minorHAnsi"/>
          <w:i/>
          <w:noProof/>
          <w:lang w:val="sq-AL"/>
        </w:rPr>
      </w:pPr>
      <w:r w:rsidRPr="00543597">
        <w:rPr>
          <w:rFonts w:asciiTheme="minorHAnsi" w:hAnsiTheme="minorHAnsi" w:cstheme="minorHAnsi"/>
          <w:i/>
          <w:noProof/>
          <w:lang w:val="sq-AL"/>
        </w:rPr>
        <w:t>Rikonstruksioni i Institucionit për Edukim dhe Rehabilitim të të miturv</w:t>
      </w:r>
      <w:r>
        <w:rPr>
          <w:rFonts w:asciiTheme="minorHAnsi" w:hAnsiTheme="minorHAnsi" w:cstheme="minorHAnsi"/>
          <w:i/>
          <w:noProof/>
          <w:lang w:val="sq-AL"/>
        </w:rPr>
        <w:t>e</w:t>
      </w:r>
      <w:r w:rsidRPr="00543597">
        <w:rPr>
          <w:rFonts w:asciiTheme="minorHAnsi" w:hAnsiTheme="minorHAnsi" w:cstheme="minorHAnsi"/>
          <w:i/>
          <w:noProof/>
          <w:lang w:val="sq-AL"/>
        </w:rPr>
        <w:t xml:space="preserve"> me vlerë totale projekti prej 581 milionë lekë, për të cilin kanë filluar procedurat pas miratimit të tavaneve buxhetore afatmesme 2024</w:t>
      </w:r>
      <w:r>
        <w:rPr>
          <w:rFonts w:asciiTheme="minorHAnsi" w:hAnsiTheme="minorHAnsi" w:cstheme="minorHAnsi"/>
          <w:i/>
          <w:noProof/>
          <w:lang w:val="sq-AL"/>
        </w:rPr>
        <w:t>-</w:t>
      </w:r>
      <w:r w:rsidRPr="00543597">
        <w:rPr>
          <w:rFonts w:asciiTheme="minorHAnsi" w:hAnsiTheme="minorHAnsi" w:cstheme="minorHAnsi"/>
          <w:i/>
          <w:noProof/>
          <w:lang w:val="sq-AL"/>
        </w:rPr>
        <w:t xml:space="preserve">2026 pas miratimit </w:t>
      </w:r>
      <w:r w:rsidRPr="00F17724">
        <w:rPr>
          <w:rFonts w:asciiTheme="minorHAnsi" w:hAnsiTheme="minorHAnsi" w:cstheme="minorHAnsi"/>
          <w:i/>
          <w:noProof/>
          <w:lang w:val="sq-AL"/>
        </w:rPr>
        <w:t xml:space="preserve">të VKM Nr.195 datë 05.04.2023 </w:t>
      </w:r>
      <w:r w:rsidR="00F17724" w:rsidRPr="00F17724">
        <w:rPr>
          <w:rFonts w:asciiTheme="minorHAnsi" w:hAnsiTheme="minorHAnsi" w:cstheme="minorHAnsi"/>
          <w:i/>
          <w:noProof/>
          <w:lang w:val="sq-AL"/>
        </w:rPr>
        <w:t>“Për miratimin e tavaneve buxhetore 2024-2026”</w:t>
      </w:r>
      <w:r w:rsidRPr="00F17724">
        <w:rPr>
          <w:rFonts w:asciiTheme="minorHAnsi" w:hAnsiTheme="minorHAnsi" w:cstheme="minorHAnsi"/>
          <w:i/>
          <w:noProof/>
          <w:lang w:val="sq-AL"/>
        </w:rPr>
        <w:t>.</w:t>
      </w:r>
    </w:p>
    <w:p w14:paraId="2F32E13C" w14:textId="3002E8FE" w:rsidR="00543597" w:rsidRPr="00543597" w:rsidRDefault="00543597" w:rsidP="00056DE5">
      <w:pPr>
        <w:pStyle w:val="ListParagraph"/>
        <w:numPr>
          <w:ilvl w:val="0"/>
          <w:numId w:val="51"/>
        </w:numPr>
        <w:contextualSpacing w:val="0"/>
        <w:jc w:val="both"/>
        <w:rPr>
          <w:rFonts w:asciiTheme="minorHAnsi" w:hAnsiTheme="minorHAnsi" w:cstheme="minorHAnsi"/>
          <w:i/>
          <w:noProof/>
          <w:lang w:val="sq-AL"/>
        </w:rPr>
      </w:pPr>
      <w:r w:rsidRPr="00543597">
        <w:rPr>
          <w:rFonts w:asciiTheme="minorHAnsi" w:hAnsiTheme="minorHAnsi" w:cstheme="minorHAnsi"/>
          <w:i/>
          <w:noProof/>
          <w:lang w:val="sq-AL"/>
        </w:rPr>
        <w:t>Rikonstruksion i ambienteve të brëndshme të IML-së me vlerë totale projekti prej 70 milionë lekë, për të cilin procedurat janë në fazën fillestare pas marrjes në dorëzim dhe përpunimit të informacionit përkatës.</w:t>
      </w:r>
    </w:p>
    <w:p w14:paraId="4DF78BA5" w14:textId="08FF4E14" w:rsidR="00543597" w:rsidRPr="00543597" w:rsidRDefault="00543597" w:rsidP="00056DE5">
      <w:pPr>
        <w:pStyle w:val="ListParagraph"/>
        <w:numPr>
          <w:ilvl w:val="0"/>
          <w:numId w:val="51"/>
        </w:numPr>
        <w:contextualSpacing w:val="0"/>
        <w:jc w:val="both"/>
        <w:rPr>
          <w:rFonts w:asciiTheme="minorHAnsi" w:hAnsiTheme="minorHAnsi" w:cstheme="minorHAnsi"/>
          <w:i/>
          <w:noProof/>
          <w:lang w:val="sq-AL"/>
        </w:rPr>
      </w:pPr>
      <w:r w:rsidRPr="00543597">
        <w:rPr>
          <w:rFonts w:asciiTheme="minorHAnsi" w:hAnsiTheme="minorHAnsi" w:cstheme="minorHAnsi"/>
          <w:i/>
          <w:noProof/>
          <w:lang w:val="sq-AL"/>
        </w:rPr>
        <w:t>Përmi</w:t>
      </w:r>
      <w:r>
        <w:rPr>
          <w:rFonts w:asciiTheme="minorHAnsi" w:hAnsiTheme="minorHAnsi" w:cstheme="minorHAnsi"/>
          <w:i/>
          <w:noProof/>
          <w:lang w:val="sq-AL"/>
        </w:rPr>
        <w:t>r</w:t>
      </w:r>
      <w:r w:rsidR="007904C8">
        <w:rPr>
          <w:rFonts w:asciiTheme="minorHAnsi" w:hAnsiTheme="minorHAnsi" w:cstheme="minorHAnsi"/>
          <w:i/>
          <w:noProof/>
          <w:lang w:val="sq-AL"/>
        </w:rPr>
        <w:t>ë</w:t>
      </w:r>
      <w:r w:rsidRPr="00543597">
        <w:rPr>
          <w:rFonts w:asciiTheme="minorHAnsi" w:hAnsiTheme="minorHAnsi" w:cstheme="minorHAnsi"/>
          <w:i/>
          <w:noProof/>
          <w:lang w:val="sq-AL"/>
        </w:rPr>
        <w:t>simi i kushteve fizike të jetesës nëpërmjet përmi</w:t>
      </w:r>
      <w:r>
        <w:rPr>
          <w:rFonts w:asciiTheme="minorHAnsi" w:hAnsiTheme="minorHAnsi" w:cstheme="minorHAnsi"/>
          <w:i/>
          <w:noProof/>
          <w:lang w:val="sq-AL"/>
        </w:rPr>
        <w:t>r</w:t>
      </w:r>
      <w:r w:rsidR="007904C8">
        <w:rPr>
          <w:rFonts w:asciiTheme="minorHAnsi" w:hAnsiTheme="minorHAnsi" w:cstheme="minorHAnsi"/>
          <w:i/>
          <w:noProof/>
          <w:lang w:val="sq-AL"/>
        </w:rPr>
        <w:t>ë</w:t>
      </w:r>
      <w:r w:rsidRPr="00543597">
        <w:rPr>
          <w:rFonts w:asciiTheme="minorHAnsi" w:hAnsiTheme="minorHAnsi" w:cstheme="minorHAnsi"/>
          <w:i/>
          <w:noProof/>
          <w:lang w:val="sq-AL"/>
        </w:rPr>
        <w:t>simit të përgjithshëm të infrastrukturës me vlerë totale projekti prej 100 milionë lekë, për të cilin procedura ka vijuar me ngritjen e grupit të punës për inspektimin e infrastrukturës inxhinierike dhe ndërtimore në IEVP, sipas nevojave prioritare dhe mundësisë buxhetore.</w:t>
      </w:r>
    </w:p>
    <w:p w14:paraId="2CB51268" w14:textId="77777777" w:rsidR="00543597" w:rsidRPr="00543597" w:rsidRDefault="00543597" w:rsidP="00543597">
      <w:pPr>
        <w:pStyle w:val="ListParagraph"/>
        <w:rPr>
          <w:rFonts w:asciiTheme="minorHAnsi" w:eastAsia="MS Mincho" w:hAnsiTheme="minorHAnsi" w:cstheme="minorHAnsi"/>
          <w:noProof/>
          <w:sz w:val="8"/>
          <w:szCs w:val="8"/>
          <w:lang w:val="sq-AL"/>
        </w:rPr>
      </w:pPr>
    </w:p>
    <w:p w14:paraId="398FF4FA" w14:textId="4BE34790" w:rsidR="00543597" w:rsidRPr="00F324D8" w:rsidRDefault="00543597" w:rsidP="00056DE5">
      <w:pPr>
        <w:pStyle w:val="ListParagraph"/>
        <w:numPr>
          <w:ilvl w:val="0"/>
          <w:numId w:val="52"/>
        </w:numPr>
        <w:spacing w:before="120"/>
        <w:jc w:val="both"/>
        <w:rPr>
          <w:rFonts w:asciiTheme="minorHAnsi" w:eastAsiaTheme="minorHAnsi" w:hAnsiTheme="minorHAnsi" w:cstheme="minorHAnsi"/>
          <w:noProof/>
          <w:lang w:val="sq-AL"/>
        </w:rPr>
      </w:pPr>
      <w:r>
        <w:rPr>
          <w:rFonts w:asciiTheme="minorHAnsi" w:eastAsiaTheme="minorHAnsi" w:hAnsiTheme="minorHAnsi" w:cstheme="minorHAnsi"/>
          <w:noProof/>
          <w:lang w:val="sq-AL"/>
        </w:rPr>
        <w:t>R</w:t>
      </w:r>
      <w:r w:rsidRPr="00F324D8">
        <w:rPr>
          <w:rFonts w:asciiTheme="minorHAnsi" w:eastAsiaTheme="minorHAnsi" w:hAnsiTheme="minorHAnsi" w:cstheme="minorHAnsi"/>
          <w:noProof/>
          <w:lang w:val="sq-AL"/>
        </w:rPr>
        <w:t>ealizimi i investimeve paraqitet tepër i ulët</w:t>
      </w:r>
      <w:r>
        <w:rPr>
          <w:rFonts w:asciiTheme="minorHAnsi" w:eastAsiaTheme="minorHAnsi" w:hAnsiTheme="minorHAnsi" w:cstheme="minorHAnsi"/>
          <w:noProof/>
          <w:lang w:val="sq-AL"/>
        </w:rPr>
        <w:t xml:space="preserve"> n</w:t>
      </w:r>
      <w:r w:rsidR="007904C8">
        <w:rPr>
          <w:rFonts w:asciiTheme="minorHAnsi" w:eastAsiaTheme="minorHAnsi" w:hAnsiTheme="minorHAnsi" w:cstheme="minorHAnsi"/>
          <w:noProof/>
          <w:lang w:val="sq-AL"/>
        </w:rPr>
        <w:t>ë</w:t>
      </w:r>
      <w:r>
        <w:rPr>
          <w:rFonts w:asciiTheme="minorHAnsi" w:eastAsiaTheme="minorHAnsi" w:hAnsiTheme="minorHAnsi" w:cstheme="minorHAnsi"/>
          <w:noProof/>
          <w:lang w:val="sq-AL"/>
        </w:rPr>
        <w:t xml:space="preserve"> t</w:t>
      </w:r>
      <w:r w:rsidR="007904C8">
        <w:rPr>
          <w:rFonts w:asciiTheme="minorHAnsi" w:eastAsiaTheme="minorHAnsi" w:hAnsiTheme="minorHAnsi" w:cstheme="minorHAnsi"/>
          <w:noProof/>
          <w:lang w:val="sq-AL"/>
        </w:rPr>
        <w:t>ë</w:t>
      </w:r>
      <w:r>
        <w:rPr>
          <w:rFonts w:asciiTheme="minorHAnsi" w:eastAsiaTheme="minorHAnsi" w:hAnsiTheme="minorHAnsi" w:cstheme="minorHAnsi"/>
          <w:noProof/>
          <w:lang w:val="sq-AL"/>
        </w:rPr>
        <w:t>r</w:t>
      </w:r>
      <w:r w:rsidR="007904C8">
        <w:rPr>
          <w:rFonts w:asciiTheme="minorHAnsi" w:eastAsiaTheme="minorHAnsi" w:hAnsiTheme="minorHAnsi" w:cstheme="minorHAnsi"/>
          <w:noProof/>
          <w:lang w:val="sq-AL"/>
        </w:rPr>
        <w:t>ë</w:t>
      </w:r>
      <w:r>
        <w:rPr>
          <w:rFonts w:asciiTheme="minorHAnsi" w:eastAsiaTheme="minorHAnsi" w:hAnsiTheme="minorHAnsi" w:cstheme="minorHAnsi"/>
          <w:noProof/>
          <w:lang w:val="sq-AL"/>
        </w:rPr>
        <w:t>si</w:t>
      </w:r>
      <w:r w:rsidRPr="00F324D8">
        <w:rPr>
          <w:rFonts w:asciiTheme="minorHAnsi" w:eastAsiaTheme="minorHAnsi" w:hAnsiTheme="minorHAnsi" w:cstheme="minorHAnsi"/>
          <w:noProof/>
          <w:lang w:val="sq-AL"/>
        </w:rPr>
        <w:t>. Ky realizim lidhet me faktin se shumica e projekteve të MD janë projekte të reja dhe janë në proces prokurimi. Nga MD nuk është raportuar për problematika të cilat do të ndikojnë në realizimin e projekteve të investimeve.</w:t>
      </w:r>
    </w:p>
    <w:p w14:paraId="62B5E273" w14:textId="77777777" w:rsidR="00543597" w:rsidRPr="00543597" w:rsidRDefault="00543597" w:rsidP="00543597">
      <w:pPr>
        <w:pStyle w:val="ListParagraph"/>
        <w:rPr>
          <w:rFonts w:asciiTheme="minorHAnsi" w:eastAsiaTheme="minorHAnsi" w:hAnsiTheme="minorHAnsi" w:cstheme="minorHAnsi"/>
          <w:noProof/>
          <w:sz w:val="8"/>
          <w:szCs w:val="8"/>
          <w:lang w:val="sq-AL"/>
        </w:rPr>
      </w:pPr>
    </w:p>
    <w:p w14:paraId="2FD5E2DC" w14:textId="77777777" w:rsidR="009640B4" w:rsidRPr="009647C4" w:rsidRDefault="009640B4" w:rsidP="006F25E7">
      <w:pPr>
        <w:shd w:val="clear" w:color="auto" w:fill="FFFFFF"/>
        <w:spacing w:line="276" w:lineRule="auto"/>
        <w:rPr>
          <w:rFonts w:asciiTheme="minorHAnsi" w:hAnsiTheme="minorHAnsi"/>
          <w:sz w:val="12"/>
          <w:lang w:val="sq-AL"/>
        </w:rPr>
      </w:pPr>
    </w:p>
    <w:p w14:paraId="3B6CE6F7" w14:textId="77777777" w:rsidR="00B85B6E" w:rsidRPr="009647C4" w:rsidRDefault="00B85B6E" w:rsidP="009647C4">
      <w:pPr>
        <w:spacing w:before="240" w:line="276" w:lineRule="auto"/>
        <w:jc w:val="both"/>
        <w:rPr>
          <w:rFonts w:asciiTheme="minorHAnsi" w:hAnsiTheme="minorHAnsi"/>
          <w:b/>
          <w:color w:val="0070C0"/>
          <w:lang w:val="sq-AL"/>
        </w:rPr>
      </w:pPr>
      <w:r w:rsidRPr="009647C4">
        <w:rPr>
          <w:rFonts w:asciiTheme="minorHAnsi" w:hAnsiTheme="minorHAnsi"/>
          <w:b/>
          <w:color w:val="0070C0"/>
          <w:lang w:val="sq-AL"/>
        </w:rPr>
        <w:t>Ministria për Evropën dhe Punët e Jashtme</w:t>
      </w:r>
    </w:p>
    <w:p w14:paraId="6CEA2132" w14:textId="50D11FEF" w:rsidR="00543597" w:rsidRPr="00F324D8" w:rsidRDefault="00543597" w:rsidP="00056DE5">
      <w:pPr>
        <w:pStyle w:val="ListParagraph"/>
        <w:numPr>
          <w:ilvl w:val="0"/>
          <w:numId w:val="52"/>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 xml:space="preserve">Për projektet me financim të brendshëm, realizimi për </w:t>
      </w:r>
      <w:r>
        <w:rPr>
          <w:rFonts w:asciiTheme="minorHAnsi" w:eastAsiaTheme="minorHAnsi" w:hAnsiTheme="minorHAnsi" w:cstheme="minorHAnsi"/>
          <w:noProof/>
          <w:lang w:val="sq-AL"/>
        </w:rPr>
        <w:t xml:space="preserve">5M </w:t>
      </w:r>
      <w:r w:rsidRPr="00F324D8">
        <w:rPr>
          <w:rFonts w:asciiTheme="minorHAnsi" w:eastAsiaTheme="minorHAnsi" w:hAnsiTheme="minorHAnsi" w:cstheme="minorHAnsi"/>
          <w:noProof/>
          <w:lang w:val="sq-AL"/>
        </w:rPr>
        <w:t xml:space="preserve">2023 është 28.7% </w:t>
      </w:r>
      <w:r>
        <w:rPr>
          <w:rFonts w:asciiTheme="minorHAnsi" w:eastAsiaTheme="minorHAnsi" w:hAnsiTheme="minorHAnsi" w:cstheme="minorHAnsi"/>
          <w:noProof/>
          <w:lang w:val="sq-AL"/>
        </w:rPr>
        <w:t>e</w:t>
      </w:r>
      <w:r w:rsidRPr="00F324D8">
        <w:rPr>
          <w:rFonts w:asciiTheme="minorHAnsi" w:eastAsiaTheme="minorHAnsi" w:hAnsiTheme="minorHAnsi" w:cstheme="minorHAnsi"/>
          <w:noProof/>
          <w:lang w:val="sq-AL"/>
        </w:rPr>
        <w:t xml:space="preserve"> buxhetit fillestar </w:t>
      </w:r>
      <w:r>
        <w:rPr>
          <w:rFonts w:asciiTheme="minorHAnsi" w:eastAsiaTheme="minorHAnsi" w:hAnsiTheme="minorHAnsi" w:cstheme="minorHAnsi"/>
          <w:noProof/>
          <w:lang w:val="sq-AL"/>
        </w:rPr>
        <w:t xml:space="preserve">ose </w:t>
      </w:r>
      <w:r w:rsidRPr="00F324D8">
        <w:rPr>
          <w:rFonts w:asciiTheme="minorHAnsi" w:eastAsiaTheme="minorHAnsi" w:hAnsiTheme="minorHAnsi" w:cstheme="minorHAnsi"/>
          <w:noProof/>
          <w:lang w:val="sq-AL"/>
        </w:rPr>
        <w:t xml:space="preserve">53 milionë lekë. </w:t>
      </w:r>
    </w:p>
    <w:p w14:paraId="6D0859F2" w14:textId="67F89CD2" w:rsidR="00543597" w:rsidRPr="00F324D8" w:rsidRDefault="00543597" w:rsidP="00056DE5">
      <w:pPr>
        <w:pStyle w:val="ListParagraph"/>
        <w:numPr>
          <w:ilvl w:val="0"/>
          <w:numId w:val="52"/>
        </w:numPr>
        <w:spacing w:before="120"/>
        <w:jc w:val="both"/>
        <w:rPr>
          <w:rFonts w:asciiTheme="minorHAnsi" w:eastAsiaTheme="minorHAnsi" w:hAnsiTheme="minorHAnsi" w:cstheme="minorHAnsi"/>
          <w:noProof/>
          <w:lang w:val="sq-AL"/>
        </w:rPr>
      </w:pPr>
      <w:r>
        <w:rPr>
          <w:rFonts w:asciiTheme="minorHAnsi" w:eastAsiaTheme="minorHAnsi" w:hAnsiTheme="minorHAnsi" w:cstheme="minorHAnsi"/>
          <w:noProof/>
          <w:lang w:val="sq-AL"/>
        </w:rPr>
        <w:t>P</w:t>
      </w:r>
      <w:r w:rsidRPr="00F324D8">
        <w:rPr>
          <w:rFonts w:asciiTheme="minorHAnsi" w:eastAsiaTheme="minorHAnsi" w:hAnsiTheme="minorHAnsi" w:cstheme="minorHAnsi"/>
          <w:noProof/>
          <w:lang w:val="sq-AL"/>
        </w:rPr>
        <w:t>rogrami me realizim më të lartë paraqitet programi “</w:t>
      </w:r>
      <w:r w:rsidRPr="00543597">
        <w:rPr>
          <w:rFonts w:asciiTheme="minorHAnsi" w:eastAsiaTheme="minorHAnsi" w:hAnsiTheme="minorHAnsi" w:cstheme="minorHAnsi"/>
          <w:i/>
          <w:noProof/>
          <w:lang w:val="sq-AL"/>
        </w:rPr>
        <w:t>Mbështetje Diplomatike Jashtë shtetit</w:t>
      </w:r>
      <w:r w:rsidRPr="00F324D8">
        <w:rPr>
          <w:rFonts w:asciiTheme="minorHAnsi" w:eastAsiaTheme="minorHAnsi" w:hAnsiTheme="minorHAnsi" w:cstheme="minorHAnsi"/>
          <w:noProof/>
          <w:lang w:val="sq-AL"/>
        </w:rPr>
        <w:t>” me realizim 100% kundrejt planit prej 15 milionë lekë.</w:t>
      </w:r>
    </w:p>
    <w:p w14:paraId="770A3463" w14:textId="52C45C54" w:rsidR="00543597" w:rsidRPr="00F17724" w:rsidRDefault="00543597" w:rsidP="00056DE5">
      <w:pPr>
        <w:pStyle w:val="ListParagraph"/>
        <w:numPr>
          <w:ilvl w:val="0"/>
          <w:numId w:val="52"/>
        </w:numPr>
        <w:spacing w:before="120"/>
        <w:jc w:val="both"/>
        <w:rPr>
          <w:rFonts w:asciiTheme="minorHAnsi" w:eastAsiaTheme="minorHAnsi" w:hAnsiTheme="minorHAnsi" w:cstheme="minorHAnsi"/>
          <w:noProof/>
          <w:lang w:val="sq-AL"/>
        </w:rPr>
      </w:pPr>
      <w:r w:rsidRPr="00F17724">
        <w:rPr>
          <w:rFonts w:asciiTheme="minorHAnsi" w:eastAsiaTheme="minorHAnsi" w:hAnsiTheme="minorHAnsi" w:cstheme="minorHAnsi"/>
          <w:noProof/>
          <w:lang w:val="sq-AL"/>
        </w:rPr>
        <w:t xml:space="preserve">Për projektet me </w:t>
      </w:r>
      <w:r w:rsidRPr="008E3FA6">
        <w:rPr>
          <w:rFonts w:asciiTheme="minorHAnsi" w:eastAsiaTheme="minorHAnsi" w:hAnsiTheme="minorHAnsi" w:cstheme="minorHAnsi"/>
          <w:b/>
          <w:noProof/>
          <w:lang w:val="sq-AL"/>
        </w:rPr>
        <w:t>financim të huaj</w:t>
      </w:r>
      <w:r w:rsidRPr="00F17724">
        <w:rPr>
          <w:rFonts w:asciiTheme="minorHAnsi" w:eastAsiaTheme="minorHAnsi" w:hAnsiTheme="minorHAnsi" w:cstheme="minorHAnsi"/>
          <w:noProof/>
          <w:lang w:val="sq-AL"/>
        </w:rPr>
        <w:t xml:space="preserve"> realizimi për 5M 2023 është në masën 6.9 milionë lekë.</w:t>
      </w:r>
    </w:p>
    <w:p w14:paraId="2F3B3611" w14:textId="77777777" w:rsidR="00B85B6E" w:rsidRPr="002D6FC9" w:rsidRDefault="00B85B6E" w:rsidP="00A42CBF">
      <w:pPr>
        <w:pStyle w:val="ListParagraph"/>
        <w:jc w:val="both"/>
        <w:rPr>
          <w:rFonts w:asciiTheme="minorHAnsi" w:eastAsia="MS Mincho" w:hAnsiTheme="minorHAnsi"/>
          <w:i/>
          <w:sz w:val="8"/>
          <w:lang w:val="sq-AL"/>
        </w:rPr>
      </w:pPr>
    </w:p>
    <w:p w14:paraId="0D95F2C9" w14:textId="77777777" w:rsidR="00B85B6E" w:rsidRPr="009647C4" w:rsidRDefault="00B85B6E" w:rsidP="006F25E7">
      <w:pPr>
        <w:shd w:val="clear" w:color="auto" w:fill="FFFFFF"/>
        <w:spacing w:line="276" w:lineRule="auto"/>
        <w:rPr>
          <w:rFonts w:asciiTheme="minorHAnsi" w:hAnsiTheme="minorHAnsi"/>
          <w:sz w:val="12"/>
          <w:lang w:val="sq-AL"/>
        </w:rPr>
      </w:pPr>
    </w:p>
    <w:p w14:paraId="4C8FBCDF" w14:textId="77777777" w:rsidR="00A42CBF" w:rsidRPr="009647C4" w:rsidRDefault="00A42CBF" w:rsidP="009647C4">
      <w:pPr>
        <w:spacing w:before="240" w:line="276" w:lineRule="auto"/>
        <w:jc w:val="both"/>
        <w:rPr>
          <w:rFonts w:asciiTheme="minorHAnsi" w:hAnsiTheme="minorHAnsi"/>
          <w:b/>
          <w:color w:val="0070C0"/>
          <w:lang w:val="sq-AL"/>
        </w:rPr>
      </w:pPr>
      <w:r w:rsidRPr="009647C4">
        <w:rPr>
          <w:rFonts w:asciiTheme="minorHAnsi" w:hAnsiTheme="minorHAnsi"/>
          <w:b/>
          <w:color w:val="0070C0"/>
          <w:lang w:val="sq-AL"/>
        </w:rPr>
        <w:t>Ministria e Brendshme</w:t>
      </w:r>
    </w:p>
    <w:p w14:paraId="0B3C67D6" w14:textId="08E3C692" w:rsidR="00773810" w:rsidRPr="00141D41" w:rsidRDefault="00773810" w:rsidP="00056DE5">
      <w:pPr>
        <w:pStyle w:val="ListParagraph"/>
        <w:numPr>
          <w:ilvl w:val="0"/>
          <w:numId w:val="53"/>
        </w:numPr>
        <w:spacing w:before="120"/>
        <w:ind w:left="36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 xml:space="preserve">Për projektet me financim të brendshëm, realizimi për </w:t>
      </w:r>
      <w:r>
        <w:rPr>
          <w:rFonts w:asciiTheme="minorHAnsi" w:eastAsiaTheme="minorHAnsi" w:hAnsiTheme="minorHAnsi" w:cstheme="minorHAnsi"/>
          <w:noProof/>
          <w:lang w:val="sq-AL"/>
        </w:rPr>
        <w:t>5M</w:t>
      </w:r>
      <w:r w:rsidRPr="00F324D8">
        <w:rPr>
          <w:rFonts w:asciiTheme="minorHAnsi" w:eastAsiaTheme="minorHAnsi" w:hAnsiTheme="minorHAnsi" w:cstheme="minorHAnsi"/>
          <w:noProof/>
          <w:lang w:val="sq-AL"/>
        </w:rPr>
        <w:t xml:space="preserve"> 2023 është 14.3% </w:t>
      </w:r>
      <w:r>
        <w:rPr>
          <w:rFonts w:asciiTheme="minorHAnsi" w:eastAsiaTheme="minorHAnsi" w:hAnsiTheme="minorHAnsi" w:cstheme="minorHAnsi"/>
          <w:noProof/>
          <w:lang w:val="sq-AL"/>
        </w:rPr>
        <w:t>e</w:t>
      </w:r>
      <w:r w:rsidRPr="00F324D8">
        <w:rPr>
          <w:rFonts w:asciiTheme="minorHAnsi" w:eastAsiaTheme="minorHAnsi" w:hAnsiTheme="minorHAnsi" w:cstheme="minorHAnsi"/>
          <w:noProof/>
          <w:lang w:val="sq-AL"/>
        </w:rPr>
        <w:t xml:space="preserve"> buxhetit fillestar </w:t>
      </w:r>
      <w:r>
        <w:rPr>
          <w:rFonts w:asciiTheme="minorHAnsi" w:eastAsiaTheme="minorHAnsi" w:hAnsiTheme="minorHAnsi" w:cstheme="minorHAnsi"/>
          <w:noProof/>
          <w:lang w:val="sq-AL"/>
        </w:rPr>
        <w:t>ose</w:t>
      </w:r>
      <w:r w:rsidRPr="00F324D8">
        <w:rPr>
          <w:rFonts w:asciiTheme="minorHAnsi" w:eastAsiaTheme="minorHAnsi" w:hAnsiTheme="minorHAnsi" w:cstheme="minorHAnsi"/>
          <w:noProof/>
          <w:lang w:val="sq-AL"/>
        </w:rPr>
        <w:t xml:space="preserve"> 205 milionë lekë. Për projektet me financim të huaj realizimi është 50.2% </w:t>
      </w:r>
      <w:r w:rsidR="00141D41">
        <w:rPr>
          <w:rFonts w:asciiTheme="minorHAnsi" w:eastAsiaTheme="minorHAnsi" w:hAnsiTheme="minorHAnsi" w:cstheme="minorHAnsi"/>
          <w:noProof/>
          <w:lang w:val="sq-AL"/>
        </w:rPr>
        <w:t xml:space="preserve">ose </w:t>
      </w:r>
      <w:r w:rsidRPr="00F324D8">
        <w:rPr>
          <w:rFonts w:asciiTheme="minorHAnsi" w:eastAsiaTheme="minorHAnsi" w:hAnsiTheme="minorHAnsi" w:cstheme="minorHAnsi"/>
          <w:noProof/>
          <w:lang w:val="sq-AL"/>
        </w:rPr>
        <w:t xml:space="preserve">231 milionë lekë. </w:t>
      </w:r>
      <w:r w:rsidRPr="00F324D8">
        <w:rPr>
          <w:rFonts w:asciiTheme="minorHAnsi" w:hAnsiTheme="minorHAnsi" w:cstheme="minorHAnsi"/>
          <w:noProof/>
          <w:lang w:val="sq-AL"/>
        </w:rPr>
        <w:t>Realizimi lidhet me faktin se po bëhet prokurimi i fondeve. </w:t>
      </w:r>
    </w:p>
    <w:p w14:paraId="6BA20C82" w14:textId="6C1CC678" w:rsidR="00773810" w:rsidRPr="00141D41" w:rsidRDefault="00773810" w:rsidP="00056DE5">
      <w:pPr>
        <w:pStyle w:val="ListParagraph"/>
        <w:numPr>
          <w:ilvl w:val="0"/>
          <w:numId w:val="53"/>
        </w:numPr>
        <w:spacing w:before="120"/>
        <w:ind w:left="36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Për projekte</w:t>
      </w:r>
      <w:r w:rsidR="00141D41">
        <w:rPr>
          <w:rFonts w:asciiTheme="minorHAnsi" w:eastAsiaTheme="minorHAnsi" w:hAnsiTheme="minorHAnsi" w:cstheme="minorHAnsi"/>
          <w:noProof/>
          <w:lang w:val="sq-AL"/>
        </w:rPr>
        <w:t>t</w:t>
      </w:r>
      <w:r w:rsidRPr="00F324D8">
        <w:rPr>
          <w:rFonts w:asciiTheme="minorHAnsi" w:eastAsiaTheme="minorHAnsi" w:hAnsiTheme="minorHAnsi" w:cstheme="minorHAnsi"/>
          <w:noProof/>
          <w:lang w:val="sq-AL"/>
        </w:rPr>
        <w:t xml:space="preserve"> me financim të brendshëm, programi me realizimin disi më të mirë dhe me planin më të lartë është programi “Policia e Shtetit” i cili paraqitet me realizim 17.4% kundrejt planit prej 1.162 milionë lekë.</w:t>
      </w:r>
      <w:r w:rsidR="00141D41">
        <w:rPr>
          <w:rFonts w:asciiTheme="minorHAnsi" w:eastAsiaTheme="minorHAnsi" w:hAnsiTheme="minorHAnsi" w:cstheme="minorHAnsi"/>
          <w:noProof/>
          <w:lang w:val="sq-AL"/>
        </w:rPr>
        <w:t xml:space="preserve"> Edhe p</w:t>
      </w:r>
      <w:r w:rsidR="007904C8">
        <w:rPr>
          <w:rFonts w:asciiTheme="minorHAnsi" w:eastAsiaTheme="minorHAnsi" w:hAnsiTheme="minorHAnsi" w:cstheme="minorHAnsi"/>
          <w:noProof/>
          <w:lang w:val="sq-AL"/>
        </w:rPr>
        <w:t>ë</w:t>
      </w:r>
      <w:r w:rsidR="00141D41">
        <w:rPr>
          <w:rFonts w:asciiTheme="minorHAnsi" w:eastAsiaTheme="minorHAnsi" w:hAnsiTheme="minorHAnsi" w:cstheme="minorHAnsi"/>
          <w:noProof/>
          <w:lang w:val="sq-AL"/>
        </w:rPr>
        <w:t>r financimin e huaj, ky program ka r</w:t>
      </w:r>
      <w:r w:rsidRPr="00141D41">
        <w:rPr>
          <w:rFonts w:asciiTheme="minorHAnsi" w:eastAsiaTheme="minorHAnsi" w:hAnsiTheme="minorHAnsi" w:cstheme="minorHAnsi"/>
          <w:noProof/>
          <w:lang w:val="sq-AL"/>
        </w:rPr>
        <w:t xml:space="preserve">ealizimin më të mirë </w:t>
      </w:r>
      <w:r w:rsidR="00141D41">
        <w:rPr>
          <w:rFonts w:asciiTheme="minorHAnsi" w:eastAsiaTheme="minorHAnsi" w:hAnsiTheme="minorHAnsi" w:cstheme="minorHAnsi"/>
          <w:noProof/>
          <w:lang w:val="sq-AL"/>
        </w:rPr>
        <w:t>me</w:t>
      </w:r>
      <w:r w:rsidRPr="00141D41">
        <w:rPr>
          <w:rFonts w:asciiTheme="minorHAnsi" w:eastAsiaTheme="minorHAnsi" w:hAnsiTheme="minorHAnsi" w:cstheme="minorHAnsi"/>
          <w:noProof/>
          <w:lang w:val="sq-AL"/>
        </w:rPr>
        <w:t xml:space="preserve"> 49.6% kundrejt planit prej 460 milionë lekë.</w:t>
      </w:r>
    </w:p>
    <w:p w14:paraId="5E410B5E" w14:textId="24EA1C18" w:rsidR="00773810" w:rsidRPr="00141D41" w:rsidRDefault="00773810" w:rsidP="00056DE5">
      <w:pPr>
        <w:pStyle w:val="xmsonormal"/>
        <w:numPr>
          <w:ilvl w:val="0"/>
          <w:numId w:val="53"/>
        </w:numPr>
        <w:shd w:val="clear" w:color="auto" w:fill="FFFFFF"/>
        <w:ind w:left="360"/>
        <w:jc w:val="both"/>
        <w:rPr>
          <w:rFonts w:asciiTheme="minorHAnsi" w:hAnsiTheme="minorHAnsi" w:cstheme="minorHAnsi"/>
          <w:noProof/>
          <w:sz w:val="24"/>
          <w:lang w:val="sq-AL" w:eastAsia="en-US"/>
        </w:rPr>
      </w:pPr>
      <w:r w:rsidRPr="00F324D8">
        <w:rPr>
          <w:rFonts w:asciiTheme="minorHAnsi" w:hAnsiTheme="minorHAnsi" w:cstheme="minorHAnsi"/>
          <w:noProof/>
          <w:sz w:val="24"/>
          <w:lang w:val="sq-AL" w:eastAsia="en-US"/>
        </w:rPr>
        <w:t xml:space="preserve">Referuar angazhimeve financiare të marra gjatë </w:t>
      </w:r>
      <w:r w:rsidR="00141D41">
        <w:rPr>
          <w:rFonts w:asciiTheme="minorHAnsi" w:hAnsiTheme="minorHAnsi" w:cstheme="minorHAnsi"/>
          <w:noProof/>
          <w:sz w:val="24"/>
          <w:lang w:val="sq-AL" w:eastAsia="en-US"/>
        </w:rPr>
        <w:t>2022</w:t>
      </w:r>
      <w:r w:rsidRPr="00F324D8">
        <w:rPr>
          <w:rFonts w:asciiTheme="minorHAnsi" w:hAnsiTheme="minorHAnsi" w:cstheme="minorHAnsi"/>
          <w:noProof/>
          <w:sz w:val="24"/>
          <w:lang w:val="sq-AL" w:eastAsia="en-US"/>
        </w:rPr>
        <w:t xml:space="preserve">, detyrimeve për pagesën e </w:t>
      </w:r>
      <w:r w:rsidR="00141D41" w:rsidRPr="00F324D8">
        <w:rPr>
          <w:rFonts w:asciiTheme="minorHAnsi" w:hAnsiTheme="minorHAnsi" w:cstheme="minorHAnsi"/>
          <w:noProof/>
          <w:sz w:val="24"/>
          <w:lang w:val="sq-AL" w:eastAsia="en-US"/>
        </w:rPr>
        <w:t>T.V.Sh</w:t>
      </w:r>
      <w:r w:rsidRPr="00F324D8">
        <w:rPr>
          <w:rFonts w:asciiTheme="minorHAnsi" w:hAnsiTheme="minorHAnsi" w:cstheme="minorHAnsi"/>
          <w:noProof/>
          <w:sz w:val="24"/>
          <w:lang w:val="sq-AL" w:eastAsia="en-US"/>
        </w:rPr>
        <w:t xml:space="preserve">-së, fondeve që prokurohen nga AKSHI, fondeve që prokurohen nga ASHPP dhe atyre që prokurohen nga strukturat e </w:t>
      </w:r>
      <w:r w:rsidR="00141D41">
        <w:rPr>
          <w:rFonts w:asciiTheme="minorHAnsi" w:hAnsiTheme="minorHAnsi" w:cstheme="minorHAnsi"/>
          <w:noProof/>
          <w:sz w:val="24"/>
          <w:lang w:val="sq-AL" w:eastAsia="en-US"/>
        </w:rPr>
        <w:t>MB</w:t>
      </w:r>
      <w:r w:rsidRPr="00F324D8">
        <w:rPr>
          <w:rFonts w:asciiTheme="minorHAnsi" w:hAnsiTheme="minorHAnsi" w:cstheme="minorHAnsi"/>
          <w:noProof/>
          <w:sz w:val="24"/>
          <w:lang w:val="sq-AL" w:eastAsia="en-US"/>
        </w:rPr>
        <w:t>, ecuria e prokurimit për projektet me financim të brendshëm, paraqitet: </w:t>
      </w:r>
    </w:p>
    <w:p w14:paraId="005DED6B" w14:textId="44448994" w:rsidR="00773810" w:rsidRPr="00141D41" w:rsidRDefault="00773810" w:rsidP="00056DE5">
      <w:pPr>
        <w:pStyle w:val="ListParagraph"/>
        <w:numPr>
          <w:ilvl w:val="0"/>
          <w:numId w:val="51"/>
        </w:numPr>
        <w:contextualSpacing w:val="0"/>
        <w:jc w:val="both"/>
        <w:rPr>
          <w:rFonts w:asciiTheme="minorHAnsi" w:hAnsiTheme="minorHAnsi" w:cstheme="minorHAnsi"/>
          <w:i/>
          <w:noProof/>
          <w:lang w:val="sq-AL"/>
        </w:rPr>
      </w:pPr>
      <w:r w:rsidRPr="00141D41">
        <w:rPr>
          <w:rFonts w:asciiTheme="minorHAnsi" w:hAnsiTheme="minorHAnsi" w:cstheme="minorHAnsi"/>
          <w:i/>
          <w:noProof/>
          <w:lang w:val="sq-AL"/>
        </w:rPr>
        <w:t xml:space="preserve">Fonde të kontraktuara (kontrata në vazhdim) janë në vlerën 474,553 mijë lekë ose 33% kundrejt fondeve me financim të brendshëm; </w:t>
      </w:r>
    </w:p>
    <w:p w14:paraId="2E69D44D" w14:textId="3999BB20" w:rsidR="00773810" w:rsidRPr="00141D41" w:rsidRDefault="00773810" w:rsidP="00056DE5">
      <w:pPr>
        <w:pStyle w:val="ListParagraph"/>
        <w:numPr>
          <w:ilvl w:val="0"/>
          <w:numId w:val="51"/>
        </w:numPr>
        <w:contextualSpacing w:val="0"/>
        <w:jc w:val="both"/>
        <w:rPr>
          <w:rFonts w:asciiTheme="minorHAnsi" w:hAnsiTheme="minorHAnsi" w:cstheme="minorHAnsi"/>
          <w:i/>
          <w:noProof/>
          <w:lang w:val="sq-AL"/>
        </w:rPr>
      </w:pPr>
      <w:r w:rsidRPr="00141D41">
        <w:rPr>
          <w:rFonts w:asciiTheme="minorHAnsi" w:hAnsiTheme="minorHAnsi" w:cstheme="minorHAnsi"/>
          <w:i/>
          <w:noProof/>
          <w:lang w:val="sq-AL"/>
        </w:rPr>
        <w:lastRenderedPageBreak/>
        <w:t> Fonde që nuk prokurohen (tvsh, leje ndërtimi etj) janë në vlerën 46,737</w:t>
      </w:r>
      <w:r w:rsidR="00141D41">
        <w:rPr>
          <w:rFonts w:asciiTheme="minorHAnsi" w:hAnsiTheme="minorHAnsi" w:cstheme="minorHAnsi"/>
          <w:i/>
          <w:noProof/>
          <w:lang w:val="sq-AL"/>
        </w:rPr>
        <w:t xml:space="preserve"> </w:t>
      </w:r>
      <w:r w:rsidRPr="00141D41">
        <w:rPr>
          <w:rFonts w:asciiTheme="minorHAnsi" w:hAnsiTheme="minorHAnsi" w:cstheme="minorHAnsi"/>
          <w:i/>
          <w:noProof/>
          <w:lang w:val="sq-AL"/>
        </w:rPr>
        <w:t>mijë lekë ose 3% kundrejt fondeve me financim të brendshëm; </w:t>
      </w:r>
    </w:p>
    <w:p w14:paraId="2D024AD1" w14:textId="7D08B6C4" w:rsidR="00773810" w:rsidRPr="00141D41" w:rsidRDefault="00773810" w:rsidP="00056DE5">
      <w:pPr>
        <w:pStyle w:val="ListParagraph"/>
        <w:numPr>
          <w:ilvl w:val="0"/>
          <w:numId w:val="51"/>
        </w:numPr>
        <w:contextualSpacing w:val="0"/>
        <w:jc w:val="both"/>
        <w:rPr>
          <w:rFonts w:asciiTheme="minorHAnsi" w:hAnsiTheme="minorHAnsi" w:cstheme="minorHAnsi"/>
          <w:i/>
          <w:noProof/>
          <w:lang w:val="sq-AL"/>
        </w:rPr>
      </w:pPr>
      <w:r w:rsidRPr="00141D41">
        <w:rPr>
          <w:rFonts w:asciiTheme="minorHAnsi" w:hAnsiTheme="minorHAnsi" w:cstheme="minorHAnsi"/>
          <w:i/>
          <w:noProof/>
          <w:lang w:val="sq-AL"/>
        </w:rPr>
        <w:t xml:space="preserve">Fonde që prokurohen nga </w:t>
      </w:r>
      <w:r w:rsidR="00141D41">
        <w:rPr>
          <w:rFonts w:asciiTheme="minorHAnsi" w:hAnsiTheme="minorHAnsi" w:cstheme="minorHAnsi"/>
          <w:i/>
          <w:noProof/>
          <w:lang w:val="sq-AL"/>
        </w:rPr>
        <w:t>ASHP</w:t>
      </w:r>
      <w:r w:rsidRPr="00141D41">
        <w:rPr>
          <w:rFonts w:asciiTheme="minorHAnsi" w:hAnsiTheme="minorHAnsi" w:cstheme="minorHAnsi"/>
          <w:i/>
          <w:noProof/>
          <w:lang w:val="sq-AL"/>
        </w:rPr>
        <w:t xml:space="preserve"> janë në vlerën 41,200 mijë lekë ose 3% kundrejt fondeve me financim të brendshëm; </w:t>
      </w:r>
    </w:p>
    <w:p w14:paraId="4BFD08AB" w14:textId="52587A2F" w:rsidR="00773810" w:rsidRPr="00141D41" w:rsidRDefault="00773810" w:rsidP="00056DE5">
      <w:pPr>
        <w:pStyle w:val="ListParagraph"/>
        <w:numPr>
          <w:ilvl w:val="0"/>
          <w:numId w:val="51"/>
        </w:numPr>
        <w:contextualSpacing w:val="0"/>
        <w:jc w:val="both"/>
        <w:rPr>
          <w:rFonts w:asciiTheme="minorHAnsi" w:hAnsiTheme="minorHAnsi" w:cstheme="minorHAnsi"/>
          <w:i/>
          <w:noProof/>
          <w:lang w:val="sq-AL"/>
        </w:rPr>
      </w:pPr>
      <w:r w:rsidRPr="00141D41">
        <w:rPr>
          <w:rFonts w:asciiTheme="minorHAnsi" w:hAnsiTheme="minorHAnsi" w:cstheme="minorHAnsi"/>
          <w:i/>
          <w:noProof/>
          <w:lang w:val="sq-AL"/>
        </w:rPr>
        <w:t>Fonde që prokurohen nga AKSHI janë në vlerën 566,992 mijë lekë ose 40% kundrejt fondeve me financim të brendshëm; </w:t>
      </w:r>
    </w:p>
    <w:p w14:paraId="10E33150" w14:textId="77777777" w:rsidR="00141D41" w:rsidRDefault="00773810" w:rsidP="00056DE5">
      <w:pPr>
        <w:pStyle w:val="ListParagraph"/>
        <w:numPr>
          <w:ilvl w:val="0"/>
          <w:numId w:val="51"/>
        </w:numPr>
        <w:contextualSpacing w:val="0"/>
        <w:jc w:val="both"/>
        <w:rPr>
          <w:rFonts w:asciiTheme="minorHAnsi" w:hAnsiTheme="minorHAnsi" w:cstheme="minorHAnsi"/>
          <w:i/>
          <w:noProof/>
          <w:lang w:val="sq-AL"/>
        </w:rPr>
      </w:pPr>
      <w:r w:rsidRPr="00141D41">
        <w:rPr>
          <w:rFonts w:asciiTheme="minorHAnsi" w:hAnsiTheme="minorHAnsi" w:cstheme="minorHAnsi"/>
          <w:i/>
          <w:noProof/>
          <w:lang w:val="sq-AL"/>
        </w:rPr>
        <w:t xml:space="preserve">Fonde që do prokurohen nga strukturat e </w:t>
      </w:r>
      <w:r w:rsidR="00141D41">
        <w:rPr>
          <w:rFonts w:asciiTheme="minorHAnsi" w:hAnsiTheme="minorHAnsi" w:cstheme="minorHAnsi"/>
          <w:i/>
          <w:noProof/>
          <w:lang w:val="sq-AL"/>
        </w:rPr>
        <w:t>MB</w:t>
      </w:r>
      <w:r w:rsidRPr="00141D41">
        <w:rPr>
          <w:rFonts w:asciiTheme="minorHAnsi" w:hAnsiTheme="minorHAnsi" w:cstheme="minorHAnsi"/>
          <w:i/>
          <w:noProof/>
          <w:lang w:val="sq-AL"/>
        </w:rPr>
        <w:t xml:space="preserve"> janë në vlerën 300,518 mijë lekë ose 21% kundrejt fondeve me financim të brendshëm. </w:t>
      </w:r>
    </w:p>
    <w:p w14:paraId="454272AB" w14:textId="76E780D5" w:rsidR="00773810" w:rsidRPr="00141D41" w:rsidRDefault="00773810" w:rsidP="00056DE5">
      <w:pPr>
        <w:pStyle w:val="ListParagraph"/>
        <w:numPr>
          <w:ilvl w:val="0"/>
          <w:numId w:val="51"/>
        </w:numPr>
        <w:contextualSpacing w:val="0"/>
        <w:jc w:val="both"/>
        <w:rPr>
          <w:rFonts w:asciiTheme="minorHAnsi" w:hAnsiTheme="minorHAnsi" w:cstheme="minorHAnsi"/>
          <w:i/>
          <w:noProof/>
          <w:lang w:val="sq-AL"/>
        </w:rPr>
      </w:pPr>
      <w:r w:rsidRPr="00141D41">
        <w:rPr>
          <w:rFonts w:asciiTheme="minorHAnsi" w:hAnsiTheme="minorHAnsi" w:cstheme="minorHAnsi"/>
          <w:i/>
          <w:noProof/>
          <w:lang w:val="sq-AL"/>
        </w:rPr>
        <w:t>Gjatë kësaj periudhe të gjitha strukturat e MB janë angazhuar në procesin e prokurimit të fondeve dhe vetëm për 10% të tyre ose në vlerën 30,764 mijë lekë, nuk kanë nisur ende procedurat.  </w:t>
      </w:r>
    </w:p>
    <w:p w14:paraId="2135EF34" w14:textId="6594558C" w:rsidR="00773810" w:rsidRPr="00F324D8" w:rsidRDefault="00773810" w:rsidP="00056DE5">
      <w:pPr>
        <w:pStyle w:val="ListParagraph"/>
        <w:numPr>
          <w:ilvl w:val="0"/>
          <w:numId w:val="54"/>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 xml:space="preserve">Projektet kryesore të cilat kanë kontribuar në realizimin e investimeve për </w:t>
      </w:r>
      <w:r w:rsidR="00141D41">
        <w:rPr>
          <w:rFonts w:asciiTheme="minorHAnsi" w:eastAsiaTheme="minorHAnsi" w:hAnsiTheme="minorHAnsi" w:cstheme="minorHAnsi"/>
          <w:noProof/>
          <w:lang w:val="sq-AL"/>
        </w:rPr>
        <w:t>MB jan</w:t>
      </w:r>
      <w:r w:rsidR="007904C8">
        <w:rPr>
          <w:rFonts w:asciiTheme="minorHAnsi" w:eastAsiaTheme="minorHAnsi" w:hAnsiTheme="minorHAnsi" w:cstheme="minorHAnsi"/>
          <w:noProof/>
          <w:lang w:val="sq-AL"/>
        </w:rPr>
        <w:t>ë</w:t>
      </w:r>
      <w:r w:rsidRPr="00F324D8">
        <w:rPr>
          <w:rFonts w:asciiTheme="minorHAnsi" w:eastAsiaTheme="minorHAnsi" w:hAnsiTheme="minorHAnsi" w:cstheme="minorHAnsi"/>
          <w:noProof/>
          <w:lang w:val="sq-AL"/>
        </w:rPr>
        <w:t>:</w:t>
      </w:r>
    </w:p>
    <w:p w14:paraId="2D2652A4" w14:textId="77777777" w:rsidR="00773810" w:rsidRPr="00F324D8" w:rsidRDefault="00773810" w:rsidP="00056DE5">
      <w:pPr>
        <w:pStyle w:val="ListParagraph"/>
        <w:numPr>
          <w:ilvl w:val="0"/>
          <w:numId w:val="57"/>
        </w:numPr>
        <w:contextualSpacing w:val="0"/>
        <w:rPr>
          <w:rFonts w:asciiTheme="minorHAnsi" w:hAnsiTheme="minorHAnsi" w:cstheme="minorHAnsi"/>
          <w:i/>
          <w:noProof/>
          <w:lang w:val="sq-AL"/>
        </w:rPr>
      </w:pPr>
      <w:r w:rsidRPr="00F324D8">
        <w:rPr>
          <w:rFonts w:asciiTheme="minorHAnsi" w:hAnsiTheme="minorHAnsi" w:cstheme="minorHAnsi"/>
          <w:i/>
          <w:noProof/>
          <w:lang w:val="sq-AL"/>
        </w:rPr>
        <w:t>Pajisje te blera per Policine Kriminale ( Aplikimi I identifikimit biometrik te personit) LTA me vlerë plani 126.7 milionë lekë realizuar 100%.</w:t>
      </w:r>
    </w:p>
    <w:p w14:paraId="323D329F" w14:textId="77777777" w:rsidR="00773810" w:rsidRPr="00F324D8" w:rsidRDefault="00773810" w:rsidP="00056DE5">
      <w:pPr>
        <w:pStyle w:val="ListParagraph"/>
        <w:numPr>
          <w:ilvl w:val="0"/>
          <w:numId w:val="54"/>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Sipas raportimeve të MB statusi për disa nga projektet kryesore paraqitet si më poshtë:</w:t>
      </w:r>
    </w:p>
    <w:p w14:paraId="70CBDDD1" w14:textId="4EFBDBC1" w:rsidR="00773810" w:rsidRPr="00F324D8" w:rsidRDefault="00773810" w:rsidP="00056DE5">
      <w:pPr>
        <w:pStyle w:val="ListParagraph"/>
        <w:numPr>
          <w:ilvl w:val="0"/>
          <w:numId w:val="55"/>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“Blerje pajisjesh per ngritjen e infrastrukturës DRC për sistemet e Policisë” me vlerë plani 174 milionë lekë - Fondi do prokurohet nga AKSHI. Eshte kerkuar ne MFE pakesim fondi ne shumen rreth 62 milion leke.</w:t>
      </w:r>
    </w:p>
    <w:p w14:paraId="580995E2" w14:textId="77777777" w:rsidR="00773810" w:rsidRPr="00F324D8" w:rsidRDefault="00773810" w:rsidP="00056DE5">
      <w:pPr>
        <w:pStyle w:val="ListParagraph"/>
        <w:numPr>
          <w:ilvl w:val="0"/>
          <w:numId w:val="55"/>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“Rikonstruksion  i godines se  DVP Diber” me vlerë plani 90 milionë leke - Kontrate e lidhur është në proces realizimi. Eshte kerkuar ne MFE shtese fondi ne shumen rreth 62 milion leke.</w:t>
      </w:r>
    </w:p>
    <w:p w14:paraId="02C7DBCB" w14:textId="55699812" w:rsidR="00773810" w:rsidRPr="00F324D8" w:rsidRDefault="00773810" w:rsidP="00056DE5">
      <w:pPr>
        <w:pStyle w:val="ListParagraph"/>
        <w:numPr>
          <w:ilvl w:val="0"/>
          <w:numId w:val="55"/>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“Rikonstruksion i godines se DVP Berat” me vlerë plani 80 milionë - Eshte publikuar   procedura e prokurimit dhe brenda muajit qershor hapen ofertat ekonomike.</w:t>
      </w:r>
    </w:p>
    <w:p w14:paraId="4847A24F" w14:textId="77777777" w:rsidR="00773810" w:rsidRPr="00F324D8" w:rsidRDefault="00773810" w:rsidP="00773810">
      <w:pPr>
        <w:pStyle w:val="ListParagraph"/>
        <w:contextualSpacing w:val="0"/>
        <w:rPr>
          <w:rFonts w:asciiTheme="minorHAnsi" w:hAnsiTheme="minorHAnsi" w:cstheme="minorHAnsi"/>
          <w:noProof/>
          <w:lang w:val="sq-AL"/>
        </w:rPr>
      </w:pPr>
    </w:p>
    <w:p w14:paraId="7F2A86F1" w14:textId="77777777" w:rsidR="00773810" w:rsidRPr="00F324D8" w:rsidRDefault="00773810" w:rsidP="00056DE5">
      <w:pPr>
        <w:pStyle w:val="ListParagraph"/>
        <w:numPr>
          <w:ilvl w:val="0"/>
          <w:numId w:val="54"/>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 xml:space="preserve">Përsa i përket </w:t>
      </w:r>
      <w:r w:rsidRPr="00F324D8">
        <w:rPr>
          <w:rFonts w:asciiTheme="minorHAnsi" w:eastAsiaTheme="minorHAnsi" w:hAnsiTheme="minorHAnsi" w:cstheme="minorHAnsi"/>
          <w:b/>
          <w:noProof/>
          <w:lang w:val="sq-AL"/>
        </w:rPr>
        <w:t>Financimit të Huaj</w:t>
      </w:r>
      <w:r w:rsidRPr="00F324D8">
        <w:rPr>
          <w:rFonts w:asciiTheme="minorHAnsi" w:eastAsiaTheme="minorHAnsi" w:hAnsiTheme="minorHAnsi" w:cstheme="minorHAnsi"/>
          <w:noProof/>
          <w:lang w:val="sq-AL"/>
        </w:rPr>
        <w:t xml:space="preserve"> statusi për disa nga projektet kryesore paraqitet si më poshtë: </w:t>
      </w:r>
    </w:p>
    <w:p w14:paraId="7BB7D2D8" w14:textId="4CCDDC1F" w:rsidR="00773810" w:rsidRPr="00141D41" w:rsidRDefault="00773810" w:rsidP="00056DE5">
      <w:pPr>
        <w:pStyle w:val="ListParagraph"/>
        <w:numPr>
          <w:ilvl w:val="0"/>
          <w:numId w:val="56"/>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“Mbeshtetje e BE për menaxhimin efektiv të kufijve të gjelbër, kufijtë blu në Shqipëri - EU4 SAFE ALB” me vlerë plani 50 milionë lekë - eshte mbyllur.</w:t>
      </w:r>
    </w:p>
    <w:p w14:paraId="562092DE" w14:textId="77777777" w:rsidR="00773810" w:rsidRPr="00F324D8" w:rsidRDefault="00773810" w:rsidP="00056DE5">
      <w:pPr>
        <w:pStyle w:val="ListParagraph"/>
        <w:numPr>
          <w:ilvl w:val="0"/>
          <w:numId w:val="56"/>
        </w:numPr>
        <w:contextualSpacing w:val="0"/>
        <w:jc w:val="both"/>
        <w:rPr>
          <w:rFonts w:asciiTheme="minorHAnsi" w:hAnsiTheme="minorHAnsi" w:cstheme="minorHAnsi"/>
          <w:i/>
          <w:noProof/>
          <w:lang w:val="sq-AL"/>
        </w:rPr>
      </w:pPr>
      <w:r w:rsidRPr="00F324D8">
        <w:rPr>
          <w:rFonts w:asciiTheme="minorHAnsi" w:hAnsiTheme="minorHAnsi" w:cstheme="minorHAnsi"/>
          <w:i/>
          <w:noProof/>
          <w:lang w:val="sq-AL"/>
        </w:rPr>
        <w:t>Janë ne proces realizimi projektet:</w:t>
      </w:r>
    </w:p>
    <w:p w14:paraId="3AAF25CA" w14:textId="77777777" w:rsidR="00773810" w:rsidRPr="00141D41" w:rsidRDefault="00773810" w:rsidP="00056DE5">
      <w:pPr>
        <w:pStyle w:val="ListParagraph"/>
        <w:numPr>
          <w:ilvl w:val="0"/>
          <w:numId w:val="58"/>
        </w:numPr>
        <w:ind w:left="990" w:hanging="270"/>
        <w:contextualSpacing w:val="0"/>
        <w:jc w:val="both"/>
        <w:rPr>
          <w:rFonts w:asciiTheme="minorHAnsi" w:hAnsiTheme="minorHAnsi" w:cstheme="minorHAnsi"/>
          <w:i/>
          <w:noProof/>
          <w:sz w:val="22"/>
          <w:lang w:val="sq-AL"/>
        </w:rPr>
      </w:pPr>
      <w:r w:rsidRPr="00141D41">
        <w:rPr>
          <w:rFonts w:asciiTheme="minorHAnsi" w:hAnsiTheme="minorHAnsi" w:cstheme="minorHAnsi"/>
          <w:i/>
          <w:noProof/>
          <w:sz w:val="22"/>
          <w:lang w:val="sq-AL"/>
        </w:rPr>
        <w:t xml:space="preserve">“Blerje pajisje per strukturat e policise dhe asistence teknike” me vlerë plani 147.5 milionë leke; </w:t>
      </w:r>
    </w:p>
    <w:p w14:paraId="6C4999BC" w14:textId="493682C1" w:rsidR="00773810" w:rsidRPr="00141D41" w:rsidRDefault="00773810" w:rsidP="00056DE5">
      <w:pPr>
        <w:pStyle w:val="ListParagraph"/>
        <w:numPr>
          <w:ilvl w:val="0"/>
          <w:numId w:val="58"/>
        </w:numPr>
        <w:ind w:left="990" w:hanging="270"/>
        <w:contextualSpacing w:val="0"/>
        <w:jc w:val="both"/>
        <w:rPr>
          <w:rFonts w:asciiTheme="minorHAnsi" w:hAnsiTheme="minorHAnsi" w:cstheme="minorHAnsi"/>
          <w:i/>
          <w:noProof/>
          <w:sz w:val="22"/>
          <w:lang w:val="sq-AL"/>
        </w:rPr>
      </w:pPr>
      <w:r w:rsidRPr="00141D41">
        <w:rPr>
          <w:rFonts w:asciiTheme="minorHAnsi" w:hAnsiTheme="minorHAnsi" w:cstheme="minorHAnsi"/>
          <w:i/>
          <w:noProof/>
          <w:sz w:val="22"/>
          <w:lang w:val="sq-AL"/>
        </w:rPr>
        <w:t>“Asistence nga Bashkimi Europian per zbatimin e ligjit ne Shqiperi-EU4 LEA" me vlerë plani 140 milionë leke;</w:t>
      </w:r>
    </w:p>
    <w:p w14:paraId="5E9BBBF4" w14:textId="3D6178A9" w:rsidR="00773810" w:rsidRDefault="00773810" w:rsidP="00056DE5">
      <w:pPr>
        <w:pStyle w:val="ListParagraph"/>
        <w:numPr>
          <w:ilvl w:val="0"/>
          <w:numId w:val="58"/>
        </w:numPr>
        <w:ind w:left="990" w:hanging="270"/>
        <w:contextualSpacing w:val="0"/>
        <w:jc w:val="both"/>
        <w:rPr>
          <w:rFonts w:asciiTheme="minorHAnsi" w:hAnsiTheme="minorHAnsi" w:cstheme="minorHAnsi"/>
          <w:i/>
          <w:noProof/>
          <w:sz w:val="22"/>
          <w:lang w:val="sq-AL"/>
        </w:rPr>
      </w:pPr>
      <w:r w:rsidRPr="00141D41">
        <w:rPr>
          <w:rFonts w:asciiTheme="minorHAnsi" w:hAnsiTheme="minorHAnsi" w:cstheme="minorHAnsi"/>
          <w:i/>
          <w:noProof/>
          <w:sz w:val="22"/>
          <w:lang w:val="sq-AL"/>
        </w:rPr>
        <w:t xml:space="preserve">“Ndertim /Rikonstruksion </w:t>
      </w:r>
      <w:r w:rsidR="00141D41">
        <w:rPr>
          <w:rFonts w:asciiTheme="minorHAnsi" w:hAnsiTheme="minorHAnsi" w:cstheme="minorHAnsi"/>
          <w:i/>
          <w:noProof/>
          <w:sz w:val="22"/>
          <w:lang w:val="sq-AL"/>
        </w:rPr>
        <w:t>i</w:t>
      </w:r>
      <w:r w:rsidRPr="00141D41">
        <w:rPr>
          <w:rFonts w:asciiTheme="minorHAnsi" w:hAnsiTheme="minorHAnsi" w:cstheme="minorHAnsi"/>
          <w:i/>
          <w:noProof/>
          <w:sz w:val="22"/>
          <w:lang w:val="sq-AL"/>
        </w:rPr>
        <w:t xml:space="preserve"> godines  se PKK Qafe-Boti (kap.02)” me vlerë plani 52.5 milionë lekë.</w:t>
      </w:r>
    </w:p>
    <w:p w14:paraId="5F5EC322" w14:textId="77777777" w:rsidR="00141D41" w:rsidRPr="00141D41" w:rsidRDefault="00141D41" w:rsidP="00141D41">
      <w:pPr>
        <w:pStyle w:val="ListParagraph"/>
        <w:ind w:left="990"/>
        <w:contextualSpacing w:val="0"/>
        <w:jc w:val="both"/>
        <w:rPr>
          <w:rFonts w:asciiTheme="minorHAnsi" w:hAnsiTheme="minorHAnsi" w:cstheme="minorHAnsi"/>
          <w:i/>
          <w:noProof/>
          <w:sz w:val="22"/>
          <w:lang w:val="sq-AL"/>
        </w:rPr>
      </w:pPr>
    </w:p>
    <w:p w14:paraId="73DA7A31" w14:textId="77777777" w:rsidR="00A42CBF" w:rsidRPr="009647C4" w:rsidRDefault="00A42CBF" w:rsidP="009647C4">
      <w:pPr>
        <w:spacing w:before="240" w:line="276" w:lineRule="auto"/>
        <w:jc w:val="both"/>
        <w:rPr>
          <w:rFonts w:asciiTheme="minorHAnsi" w:hAnsiTheme="minorHAnsi"/>
          <w:b/>
          <w:color w:val="0070C0"/>
          <w:lang w:val="sq-AL"/>
        </w:rPr>
      </w:pPr>
      <w:r w:rsidRPr="009647C4">
        <w:rPr>
          <w:rFonts w:asciiTheme="minorHAnsi" w:hAnsiTheme="minorHAnsi"/>
          <w:b/>
          <w:color w:val="0070C0"/>
          <w:lang w:val="sq-AL"/>
        </w:rPr>
        <w:t>Ministria e Mbrojtjes</w:t>
      </w:r>
    </w:p>
    <w:p w14:paraId="64E6FD8A" w14:textId="0C6FA0F3" w:rsidR="00141D41" w:rsidRPr="00F324D8" w:rsidRDefault="00141D41" w:rsidP="00056DE5">
      <w:pPr>
        <w:pStyle w:val="ListParagraph"/>
        <w:numPr>
          <w:ilvl w:val="0"/>
          <w:numId w:val="54"/>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 xml:space="preserve">Për projektet me financim të brendshëm, realizimi për </w:t>
      </w:r>
      <w:r>
        <w:rPr>
          <w:rFonts w:asciiTheme="minorHAnsi" w:eastAsiaTheme="minorHAnsi" w:hAnsiTheme="minorHAnsi" w:cstheme="minorHAnsi"/>
          <w:noProof/>
          <w:lang w:val="sq-AL"/>
        </w:rPr>
        <w:t>5M</w:t>
      </w:r>
      <w:r w:rsidRPr="00F324D8">
        <w:rPr>
          <w:rFonts w:asciiTheme="minorHAnsi" w:eastAsiaTheme="minorHAnsi" w:hAnsiTheme="minorHAnsi" w:cstheme="minorHAnsi"/>
          <w:noProof/>
          <w:lang w:val="sq-AL"/>
        </w:rPr>
        <w:t xml:space="preserve"> 2023 është 11.9 % </w:t>
      </w:r>
      <w:r>
        <w:rPr>
          <w:rFonts w:asciiTheme="minorHAnsi" w:eastAsiaTheme="minorHAnsi" w:hAnsiTheme="minorHAnsi" w:cstheme="minorHAnsi"/>
          <w:noProof/>
          <w:lang w:val="sq-AL"/>
        </w:rPr>
        <w:t>e</w:t>
      </w:r>
      <w:r w:rsidRPr="00F324D8">
        <w:rPr>
          <w:rFonts w:asciiTheme="minorHAnsi" w:eastAsiaTheme="minorHAnsi" w:hAnsiTheme="minorHAnsi" w:cstheme="minorHAnsi"/>
          <w:noProof/>
          <w:lang w:val="sq-AL"/>
        </w:rPr>
        <w:t xml:space="preserve"> buxhetit fillestar </w:t>
      </w:r>
      <w:r>
        <w:rPr>
          <w:rFonts w:asciiTheme="minorHAnsi" w:eastAsiaTheme="minorHAnsi" w:hAnsiTheme="minorHAnsi" w:cstheme="minorHAnsi"/>
          <w:noProof/>
          <w:lang w:val="sq-AL"/>
        </w:rPr>
        <w:t>ose</w:t>
      </w:r>
      <w:r w:rsidRPr="00F324D8">
        <w:rPr>
          <w:rFonts w:asciiTheme="minorHAnsi" w:eastAsiaTheme="minorHAnsi" w:hAnsiTheme="minorHAnsi" w:cstheme="minorHAnsi"/>
          <w:noProof/>
          <w:lang w:val="sq-AL"/>
        </w:rPr>
        <w:t xml:space="preserve"> 1,413 milionë lekë. Nuk ka realizm për projektet me financim të huaj.</w:t>
      </w:r>
    </w:p>
    <w:p w14:paraId="0C99897A" w14:textId="42DF63A2" w:rsidR="00141D41" w:rsidRPr="00F324D8" w:rsidRDefault="00141D41" w:rsidP="00056DE5">
      <w:pPr>
        <w:pStyle w:val="ListParagraph"/>
        <w:numPr>
          <w:ilvl w:val="0"/>
          <w:numId w:val="54"/>
        </w:numPr>
        <w:spacing w:before="120"/>
        <w:jc w:val="both"/>
        <w:rPr>
          <w:rFonts w:asciiTheme="minorHAnsi" w:eastAsiaTheme="minorHAnsi" w:hAnsiTheme="minorHAnsi" w:cstheme="minorHAnsi"/>
          <w:noProof/>
          <w:lang w:val="sq-AL"/>
        </w:rPr>
      </w:pPr>
      <w:r>
        <w:rPr>
          <w:rFonts w:asciiTheme="minorHAnsi" w:eastAsiaTheme="minorHAnsi" w:hAnsiTheme="minorHAnsi" w:cstheme="minorHAnsi"/>
          <w:noProof/>
          <w:lang w:val="sq-AL"/>
        </w:rPr>
        <w:t>MM</w:t>
      </w:r>
      <w:r w:rsidRPr="00F324D8">
        <w:rPr>
          <w:rFonts w:asciiTheme="minorHAnsi" w:eastAsiaTheme="minorHAnsi" w:hAnsiTheme="minorHAnsi" w:cstheme="minorHAnsi"/>
          <w:noProof/>
          <w:lang w:val="sq-AL"/>
        </w:rPr>
        <w:t xml:space="preserve"> nuk </w:t>
      </w:r>
      <w:r>
        <w:rPr>
          <w:rFonts w:asciiTheme="minorHAnsi" w:eastAsiaTheme="minorHAnsi" w:hAnsiTheme="minorHAnsi" w:cstheme="minorHAnsi"/>
          <w:noProof/>
          <w:lang w:val="sq-AL"/>
        </w:rPr>
        <w:t xml:space="preserve">ka </w:t>
      </w:r>
      <w:r w:rsidRPr="00F324D8">
        <w:rPr>
          <w:rFonts w:asciiTheme="minorHAnsi" w:eastAsiaTheme="minorHAnsi" w:hAnsiTheme="minorHAnsi" w:cstheme="minorHAnsi"/>
          <w:noProof/>
          <w:lang w:val="sq-AL"/>
        </w:rPr>
        <w:t xml:space="preserve">raportuar për problematika të cilat do të ndikojnë në realizimin e projekteve të investimeve me financim të brendshëm. </w:t>
      </w:r>
    </w:p>
    <w:p w14:paraId="44E31A88" w14:textId="77777777" w:rsidR="00141D41" w:rsidRDefault="00141D41" w:rsidP="00056DE5">
      <w:pPr>
        <w:pStyle w:val="ListParagraph"/>
        <w:numPr>
          <w:ilvl w:val="0"/>
          <w:numId w:val="54"/>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Për</w:t>
      </w:r>
      <w:r>
        <w:rPr>
          <w:rFonts w:asciiTheme="minorHAnsi" w:eastAsiaTheme="minorHAnsi" w:hAnsiTheme="minorHAnsi" w:cstheme="minorHAnsi"/>
          <w:noProof/>
          <w:lang w:val="sq-AL"/>
        </w:rPr>
        <w:t xml:space="preserve"> </w:t>
      </w:r>
      <w:r w:rsidRPr="00F324D8">
        <w:rPr>
          <w:rFonts w:asciiTheme="minorHAnsi" w:eastAsiaTheme="minorHAnsi" w:hAnsiTheme="minorHAnsi" w:cstheme="minorHAnsi"/>
          <w:noProof/>
          <w:lang w:val="sq-AL"/>
        </w:rPr>
        <w:t>projekte</w:t>
      </w:r>
      <w:r>
        <w:rPr>
          <w:rFonts w:asciiTheme="minorHAnsi" w:eastAsiaTheme="minorHAnsi" w:hAnsiTheme="minorHAnsi" w:cstheme="minorHAnsi"/>
          <w:noProof/>
          <w:lang w:val="sq-AL"/>
        </w:rPr>
        <w:t xml:space="preserve">t </w:t>
      </w:r>
      <w:r w:rsidRPr="00F324D8">
        <w:rPr>
          <w:rFonts w:asciiTheme="minorHAnsi" w:eastAsiaTheme="minorHAnsi" w:hAnsiTheme="minorHAnsi" w:cstheme="minorHAnsi"/>
          <w:noProof/>
          <w:lang w:val="sq-AL"/>
        </w:rPr>
        <w:t>me financim të brendshëm, programet me realizimin më të lartë paraqiten</w:t>
      </w:r>
      <w:r>
        <w:rPr>
          <w:rFonts w:asciiTheme="minorHAnsi" w:eastAsiaTheme="minorHAnsi" w:hAnsiTheme="minorHAnsi" w:cstheme="minorHAnsi"/>
          <w:noProof/>
          <w:lang w:val="sq-AL"/>
        </w:rPr>
        <w:t>:</w:t>
      </w:r>
    </w:p>
    <w:p w14:paraId="740BFF08" w14:textId="77777777" w:rsidR="00141D41" w:rsidRDefault="00141D41" w:rsidP="00056DE5">
      <w:pPr>
        <w:pStyle w:val="ListParagraph"/>
        <w:numPr>
          <w:ilvl w:val="0"/>
          <w:numId w:val="56"/>
        </w:numPr>
        <w:contextualSpacing w:val="0"/>
        <w:jc w:val="both"/>
        <w:rPr>
          <w:rFonts w:asciiTheme="minorHAnsi" w:hAnsiTheme="minorHAnsi" w:cstheme="minorHAnsi"/>
          <w:i/>
          <w:noProof/>
          <w:lang w:val="sq-AL"/>
        </w:rPr>
      </w:pPr>
      <w:r w:rsidRPr="00141D41">
        <w:rPr>
          <w:rFonts w:asciiTheme="minorHAnsi" w:hAnsiTheme="minorHAnsi" w:cstheme="minorHAnsi"/>
          <w:i/>
          <w:noProof/>
          <w:lang w:val="sq-AL"/>
        </w:rPr>
        <w:t xml:space="preserve">programi “Mbështetja e Luftimit” me realizim 18.3% kundrejt planit prej 1,222 milionë lekë, </w:t>
      </w:r>
    </w:p>
    <w:p w14:paraId="43FE2768" w14:textId="77777777" w:rsidR="00141D41" w:rsidRDefault="00141D41" w:rsidP="00056DE5">
      <w:pPr>
        <w:pStyle w:val="ListParagraph"/>
        <w:numPr>
          <w:ilvl w:val="0"/>
          <w:numId w:val="56"/>
        </w:numPr>
        <w:contextualSpacing w:val="0"/>
        <w:jc w:val="both"/>
        <w:rPr>
          <w:rFonts w:asciiTheme="minorHAnsi" w:hAnsiTheme="minorHAnsi" w:cstheme="minorHAnsi"/>
          <w:i/>
          <w:noProof/>
          <w:lang w:val="sq-AL"/>
        </w:rPr>
      </w:pPr>
      <w:r w:rsidRPr="00141D41">
        <w:rPr>
          <w:rFonts w:asciiTheme="minorHAnsi" w:hAnsiTheme="minorHAnsi" w:cstheme="minorHAnsi"/>
          <w:i/>
          <w:noProof/>
          <w:lang w:val="sq-AL"/>
        </w:rPr>
        <w:t xml:space="preserve">programi “Forca e Luftimit” me realizim 13.1% kundrejt planit prej 7,991 milionë lekë </w:t>
      </w:r>
    </w:p>
    <w:p w14:paraId="793BC7D6" w14:textId="7DFA76AF" w:rsidR="00141D41" w:rsidRPr="00141D41" w:rsidRDefault="00141D41" w:rsidP="00056DE5">
      <w:pPr>
        <w:pStyle w:val="ListParagraph"/>
        <w:numPr>
          <w:ilvl w:val="0"/>
          <w:numId w:val="56"/>
        </w:numPr>
        <w:contextualSpacing w:val="0"/>
        <w:jc w:val="both"/>
        <w:rPr>
          <w:rFonts w:asciiTheme="minorHAnsi" w:hAnsiTheme="minorHAnsi" w:cstheme="minorHAnsi"/>
          <w:i/>
          <w:noProof/>
          <w:lang w:val="sq-AL"/>
        </w:rPr>
      </w:pPr>
      <w:r w:rsidRPr="00141D41">
        <w:rPr>
          <w:rFonts w:asciiTheme="minorHAnsi" w:hAnsiTheme="minorHAnsi" w:cstheme="minorHAnsi"/>
          <w:i/>
          <w:noProof/>
          <w:lang w:val="sq-AL"/>
        </w:rPr>
        <w:t>programi “Mbështetje për Shëndetësinë” me realizim 13.1% kundrejt planit prej 380</w:t>
      </w:r>
      <w:r>
        <w:rPr>
          <w:rFonts w:asciiTheme="minorHAnsi" w:hAnsiTheme="minorHAnsi" w:cstheme="minorHAnsi"/>
          <w:i/>
          <w:noProof/>
          <w:lang w:val="sq-AL"/>
        </w:rPr>
        <w:t>mln</w:t>
      </w:r>
      <w:r w:rsidRPr="00141D41">
        <w:rPr>
          <w:rFonts w:asciiTheme="minorHAnsi" w:hAnsiTheme="minorHAnsi" w:cstheme="minorHAnsi"/>
          <w:i/>
          <w:noProof/>
          <w:lang w:val="sq-AL"/>
        </w:rPr>
        <w:t xml:space="preserve"> lekë.</w:t>
      </w:r>
    </w:p>
    <w:p w14:paraId="4D875017" w14:textId="77777777" w:rsidR="00141D41" w:rsidRPr="00F17724" w:rsidRDefault="00141D41" w:rsidP="00141D41">
      <w:pPr>
        <w:pStyle w:val="ListParagraph"/>
        <w:ind w:left="360"/>
        <w:rPr>
          <w:rFonts w:asciiTheme="minorHAnsi" w:eastAsiaTheme="minorHAnsi" w:hAnsiTheme="minorHAnsi" w:cstheme="minorHAnsi"/>
          <w:noProof/>
          <w:sz w:val="8"/>
          <w:lang w:val="sq-AL"/>
        </w:rPr>
      </w:pPr>
    </w:p>
    <w:p w14:paraId="75246AC4" w14:textId="2D7FEA6A" w:rsidR="00141D41" w:rsidRPr="00F324D8" w:rsidRDefault="00141D41" w:rsidP="00056DE5">
      <w:pPr>
        <w:pStyle w:val="ListParagraph"/>
        <w:numPr>
          <w:ilvl w:val="0"/>
          <w:numId w:val="54"/>
        </w:numPr>
        <w:spacing w:before="120"/>
        <w:jc w:val="both"/>
        <w:rPr>
          <w:rFonts w:asciiTheme="minorHAnsi" w:eastAsiaTheme="minorHAnsi" w:hAnsiTheme="minorHAnsi" w:cstheme="minorHAnsi"/>
          <w:noProof/>
          <w:lang w:val="sq-AL"/>
        </w:rPr>
      </w:pPr>
      <w:r w:rsidRPr="00F324D8">
        <w:rPr>
          <w:rFonts w:asciiTheme="minorHAnsi" w:eastAsiaTheme="minorHAnsi" w:hAnsiTheme="minorHAnsi" w:cstheme="minorHAnsi"/>
          <w:noProof/>
          <w:lang w:val="sq-AL"/>
        </w:rPr>
        <w:t xml:space="preserve">Projektet kryesore të cilat kanë kontribuar në realizimin e  investimeve për </w:t>
      </w:r>
      <w:r>
        <w:rPr>
          <w:rFonts w:asciiTheme="minorHAnsi" w:eastAsiaTheme="minorHAnsi" w:hAnsiTheme="minorHAnsi" w:cstheme="minorHAnsi"/>
          <w:noProof/>
          <w:lang w:val="sq-AL"/>
        </w:rPr>
        <w:t>MM jan</w:t>
      </w:r>
      <w:r w:rsidR="007904C8">
        <w:rPr>
          <w:rFonts w:asciiTheme="minorHAnsi" w:eastAsiaTheme="minorHAnsi" w:hAnsiTheme="minorHAnsi" w:cstheme="minorHAnsi"/>
          <w:noProof/>
          <w:lang w:val="sq-AL"/>
        </w:rPr>
        <w:t>ë</w:t>
      </w:r>
      <w:r w:rsidRPr="00F324D8">
        <w:rPr>
          <w:rFonts w:asciiTheme="minorHAnsi" w:eastAsiaTheme="minorHAnsi" w:hAnsiTheme="minorHAnsi" w:cstheme="minorHAnsi"/>
          <w:noProof/>
          <w:lang w:val="sq-AL"/>
        </w:rPr>
        <w:t>:</w:t>
      </w:r>
    </w:p>
    <w:p w14:paraId="1120D2A6" w14:textId="77777777" w:rsidR="00141D41" w:rsidRPr="00F324D8" w:rsidRDefault="00141D41" w:rsidP="00056DE5">
      <w:pPr>
        <w:pStyle w:val="ListParagraph"/>
        <w:numPr>
          <w:ilvl w:val="0"/>
          <w:numId w:val="60"/>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Ngritja e sistemit të informacionit për gjeografinë dhe infrastrukturën ushtarake në shërbim të IGJIU me vlerë 77 milionë lekë;</w:t>
      </w:r>
    </w:p>
    <w:p w14:paraId="333DDE15" w14:textId="77777777" w:rsidR="00141D41" w:rsidRPr="00F324D8" w:rsidRDefault="00141D41" w:rsidP="00056DE5">
      <w:pPr>
        <w:pStyle w:val="ListParagraph"/>
        <w:numPr>
          <w:ilvl w:val="0"/>
          <w:numId w:val="60"/>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Ndërtim i grupdepo për pajisjet e kërkim shpëtimit me vlerë 59 milionë lekë;</w:t>
      </w:r>
    </w:p>
    <w:p w14:paraId="677D92CF" w14:textId="77777777" w:rsidR="00141D41" w:rsidRPr="00F324D8" w:rsidRDefault="00141D41" w:rsidP="00056DE5">
      <w:pPr>
        <w:pStyle w:val="ListParagraph"/>
        <w:numPr>
          <w:ilvl w:val="0"/>
          <w:numId w:val="60"/>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Fatkeqësi natyrore të menaxhuara me vlerë rreth 27 milionë lekë;</w:t>
      </w:r>
    </w:p>
    <w:p w14:paraId="5775FE77" w14:textId="0711A2CC" w:rsidR="00141D41" w:rsidRDefault="00141D41" w:rsidP="00056DE5">
      <w:pPr>
        <w:pStyle w:val="ListParagraph"/>
        <w:numPr>
          <w:ilvl w:val="0"/>
          <w:numId w:val="60"/>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Sistemi G-A-G (Toke Ajer Toke) me vlerë 16 milionë lekë.</w:t>
      </w:r>
    </w:p>
    <w:p w14:paraId="4A9F25E1" w14:textId="77777777" w:rsidR="00F17724" w:rsidRPr="00F324D8" w:rsidRDefault="00F17724" w:rsidP="00F17724">
      <w:pPr>
        <w:pStyle w:val="ListParagraph"/>
        <w:spacing w:before="120"/>
        <w:jc w:val="both"/>
        <w:rPr>
          <w:rFonts w:asciiTheme="minorHAnsi" w:hAnsiTheme="minorHAnsi" w:cstheme="minorHAnsi"/>
          <w:i/>
          <w:noProof/>
          <w:lang w:val="sq-AL"/>
        </w:rPr>
      </w:pPr>
    </w:p>
    <w:p w14:paraId="64B01151" w14:textId="03C67ABA" w:rsidR="00141D41" w:rsidRPr="00F324D8" w:rsidRDefault="00141D41" w:rsidP="00056DE5">
      <w:pPr>
        <w:pStyle w:val="ListParagraph"/>
        <w:numPr>
          <w:ilvl w:val="0"/>
          <w:numId w:val="59"/>
        </w:numPr>
        <w:spacing w:before="120"/>
        <w:jc w:val="both"/>
        <w:rPr>
          <w:rFonts w:asciiTheme="minorHAnsi" w:hAnsiTheme="minorHAnsi" w:cstheme="minorHAnsi"/>
          <w:noProof/>
          <w:lang w:val="sq-AL"/>
        </w:rPr>
      </w:pPr>
      <w:r w:rsidRPr="00F324D8">
        <w:rPr>
          <w:rFonts w:asciiTheme="minorHAnsi" w:eastAsiaTheme="minorHAnsi" w:hAnsiTheme="minorHAnsi" w:cstheme="minorHAnsi"/>
          <w:noProof/>
          <w:lang w:val="sq-AL"/>
        </w:rPr>
        <w:lastRenderedPageBreak/>
        <w:t xml:space="preserve">Njëkohësisht për periudhën </w:t>
      </w:r>
      <w:r>
        <w:rPr>
          <w:rFonts w:asciiTheme="minorHAnsi" w:eastAsiaTheme="minorHAnsi" w:hAnsiTheme="minorHAnsi" w:cstheme="minorHAnsi"/>
          <w:noProof/>
          <w:lang w:val="sq-AL"/>
        </w:rPr>
        <w:t>5M</w:t>
      </w:r>
      <w:r w:rsidRPr="00F324D8">
        <w:rPr>
          <w:rFonts w:asciiTheme="minorHAnsi" w:eastAsiaTheme="minorHAnsi" w:hAnsiTheme="minorHAnsi" w:cstheme="minorHAnsi"/>
          <w:noProof/>
          <w:lang w:val="sq-AL"/>
        </w:rPr>
        <w:t xml:space="preserve"> 2023 janë mbyllur kontratat e investimeve për projektet:</w:t>
      </w:r>
    </w:p>
    <w:p w14:paraId="51953474" w14:textId="705EF00F" w:rsidR="00141D41" w:rsidRPr="00F324D8" w:rsidRDefault="00141D41" w:rsidP="00056DE5">
      <w:pPr>
        <w:pStyle w:val="ListParagraph"/>
        <w:numPr>
          <w:ilvl w:val="0"/>
          <w:numId w:val="61"/>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Ndërtim i grup</w:t>
      </w:r>
      <w:r>
        <w:rPr>
          <w:rFonts w:asciiTheme="minorHAnsi" w:hAnsiTheme="minorHAnsi" w:cstheme="minorHAnsi"/>
          <w:i/>
          <w:noProof/>
          <w:lang w:val="sq-AL"/>
        </w:rPr>
        <w:t>-</w:t>
      </w:r>
      <w:r w:rsidRPr="00F324D8">
        <w:rPr>
          <w:rFonts w:asciiTheme="minorHAnsi" w:hAnsiTheme="minorHAnsi" w:cstheme="minorHAnsi"/>
          <w:i/>
          <w:noProof/>
          <w:lang w:val="sq-AL"/>
        </w:rPr>
        <w:t>depo për pajisjet e kërkim shpëtimit me vlerë plani prej 59 milionë lekë;</w:t>
      </w:r>
    </w:p>
    <w:p w14:paraId="640A32C9" w14:textId="77777777" w:rsidR="00141D41" w:rsidRPr="00F324D8" w:rsidRDefault="00141D41" w:rsidP="00056DE5">
      <w:pPr>
        <w:pStyle w:val="ListParagraph"/>
        <w:numPr>
          <w:ilvl w:val="0"/>
          <w:numId w:val="61"/>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Blerje pajisje mjeksore me vlerë plani prej 60 milionë lekë;</w:t>
      </w:r>
    </w:p>
    <w:p w14:paraId="764B3164" w14:textId="052C5C06" w:rsidR="00141D41" w:rsidRPr="00F324D8" w:rsidRDefault="00141D41" w:rsidP="00056DE5">
      <w:pPr>
        <w:pStyle w:val="ListParagraph"/>
        <w:numPr>
          <w:ilvl w:val="0"/>
          <w:numId w:val="61"/>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Rikonstruksion i rrethimit të jashtëm/VR dhe postobllokut të DMR Korçë me vlerë plani 22 milionë lekë;</w:t>
      </w:r>
    </w:p>
    <w:p w14:paraId="3DB2CA81" w14:textId="77777777" w:rsidR="00141D41" w:rsidRPr="00F324D8" w:rsidRDefault="00141D41" w:rsidP="00056DE5">
      <w:pPr>
        <w:pStyle w:val="ListParagraph"/>
        <w:numPr>
          <w:ilvl w:val="0"/>
          <w:numId w:val="61"/>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Projekte për mbështetjen me burime ushqimi elektrik BUE me vlerë plani 20 milionë lekë.</w:t>
      </w:r>
    </w:p>
    <w:p w14:paraId="0F0F9666" w14:textId="68B20282" w:rsidR="00141D41" w:rsidRDefault="00141D41" w:rsidP="00056DE5">
      <w:pPr>
        <w:pStyle w:val="ListParagraph"/>
        <w:numPr>
          <w:ilvl w:val="0"/>
          <w:numId w:val="61"/>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Rikonstruksioni i rrethimit të jastëm /VR dhe portës hyrëse në Repartin Ushtarak Nr.4030 me vlerë plani 12 milionë lekë.</w:t>
      </w:r>
    </w:p>
    <w:p w14:paraId="101736A2" w14:textId="77777777" w:rsidR="00141D41" w:rsidRPr="00F324D8" w:rsidRDefault="00141D41" w:rsidP="00141D41">
      <w:pPr>
        <w:pStyle w:val="ListParagraph"/>
        <w:spacing w:before="120"/>
        <w:jc w:val="both"/>
        <w:rPr>
          <w:rFonts w:asciiTheme="minorHAnsi" w:hAnsiTheme="minorHAnsi" w:cstheme="minorHAnsi"/>
          <w:i/>
          <w:noProof/>
          <w:lang w:val="sq-AL"/>
        </w:rPr>
      </w:pPr>
    </w:p>
    <w:p w14:paraId="0B6ACD2B" w14:textId="77777777" w:rsidR="00A42CBF" w:rsidRPr="009647C4" w:rsidRDefault="00A42CBF" w:rsidP="009647C4">
      <w:pPr>
        <w:spacing w:before="240" w:line="276" w:lineRule="auto"/>
        <w:jc w:val="both"/>
        <w:rPr>
          <w:rFonts w:asciiTheme="minorHAnsi" w:hAnsiTheme="minorHAnsi"/>
          <w:b/>
          <w:color w:val="0070C0"/>
          <w:lang w:val="sq-AL"/>
        </w:rPr>
      </w:pPr>
      <w:r w:rsidRPr="009647C4">
        <w:rPr>
          <w:rFonts w:asciiTheme="minorHAnsi" w:hAnsiTheme="minorHAnsi"/>
          <w:b/>
          <w:color w:val="0070C0"/>
          <w:lang w:val="sq-AL"/>
        </w:rPr>
        <w:t>Ministria e Turizmit dhe Turizmit</w:t>
      </w:r>
    </w:p>
    <w:p w14:paraId="061706AA" w14:textId="39466BA0" w:rsidR="00141D41" w:rsidRPr="00F324D8" w:rsidRDefault="00141D41" w:rsidP="00056DE5">
      <w:pPr>
        <w:pStyle w:val="ListParagraph"/>
        <w:numPr>
          <w:ilvl w:val="0"/>
          <w:numId w:val="59"/>
        </w:numPr>
        <w:spacing w:before="120"/>
        <w:jc w:val="both"/>
        <w:rPr>
          <w:rFonts w:asciiTheme="minorHAnsi" w:hAnsiTheme="minorHAnsi" w:cstheme="minorHAnsi"/>
          <w:noProof/>
          <w:lang w:val="sq-AL"/>
        </w:rPr>
      </w:pPr>
      <w:r w:rsidRPr="00F324D8">
        <w:rPr>
          <w:rFonts w:asciiTheme="minorHAnsi" w:hAnsiTheme="minorHAnsi" w:cstheme="minorHAnsi"/>
          <w:noProof/>
          <w:lang w:val="sq-AL"/>
        </w:rPr>
        <w:t xml:space="preserve">Për projektet me financim të brendshëm, realizimi për </w:t>
      </w:r>
      <w:r>
        <w:rPr>
          <w:rFonts w:asciiTheme="minorHAnsi" w:hAnsiTheme="minorHAnsi" w:cstheme="minorHAnsi"/>
          <w:noProof/>
          <w:lang w:val="sq-AL"/>
        </w:rPr>
        <w:t>5M</w:t>
      </w:r>
      <w:r w:rsidRPr="00F324D8">
        <w:rPr>
          <w:rFonts w:asciiTheme="minorHAnsi" w:hAnsiTheme="minorHAnsi" w:cstheme="minorHAnsi"/>
          <w:noProof/>
          <w:lang w:val="sq-AL"/>
        </w:rPr>
        <w:t xml:space="preserve"> 2023 është 27.4% </w:t>
      </w:r>
      <w:r>
        <w:rPr>
          <w:rFonts w:asciiTheme="minorHAnsi" w:hAnsiTheme="minorHAnsi" w:cstheme="minorHAnsi"/>
          <w:noProof/>
          <w:lang w:val="sq-AL"/>
        </w:rPr>
        <w:t>e</w:t>
      </w:r>
      <w:r w:rsidRPr="00F324D8">
        <w:rPr>
          <w:rFonts w:asciiTheme="minorHAnsi" w:hAnsiTheme="minorHAnsi" w:cstheme="minorHAnsi"/>
          <w:noProof/>
          <w:lang w:val="sq-AL"/>
        </w:rPr>
        <w:t xml:space="preserve"> buxhetit fillestar </w:t>
      </w:r>
      <w:r>
        <w:rPr>
          <w:rFonts w:asciiTheme="minorHAnsi" w:hAnsiTheme="minorHAnsi" w:cstheme="minorHAnsi"/>
          <w:noProof/>
          <w:lang w:val="sq-AL"/>
        </w:rPr>
        <w:t>ose</w:t>
      </w:r>
      <w:r w:rsidRPr="00F324D8">
        <w:rPr>
          <w:rFonts w:asciiTheme="minorHAnsi" w:hAnsiTheme="minorHAnsi" w:cstheme="minorHAnsi"/>
          <w:noProof/>
          <w:lang w:val="sq-AL"/>
        </w:rPr>
        <w:t xml:space="preserve"> 115 milionë lekë.</w:t>
      </w:r>
      <w:r>
        <w:rPr>
          <w:rFonts w:asciiTheme="minorHAnsi" w:hAnsiTheme="minorHAnsi" w:cstheme="minorHAnsi"/>
          <w:noProof/>
          <w:lang w:val="sq-AL"/>
        </w:rPr>
        <w:t xml:space="preserve"> </w:t>
      </w:r>
      <w:r w:rsidRPr="00F324D8">
        <w:rPr>
          <w:rFonts w:asciiTheme="minorHAnsi" w:hAnsiTheme="minorHAnsi" w:cstheme="minorHAnsi"/>
          <w:noProof/>
          <w:lang w:val="sq-AL"/>
        </w:rPr>
        <w:t xml:space="preserve">Për projektet me financim të huaj realizimi është 3.1% </w:t>
      </w:r>
      <w:r>
        <w:rPr>
          <w:rFonts w:asciiTheme="minorHAnsi" w:hAnsiTheme="minorHAnsi" w:cstheme="minorHAnsi"/>
          <w:noProof/>
          <w:lang w:val="sq-AL"/>
        </w:rPr>
        <w:t>ose</w:t>
      </w:r>
      <w:r w:rsidRPr="00F324D8">
        <w:rPr>
          <w:rFonts w:asciiTheme="minorHAnsi" w:hAnsiTheme="minorHAnsi" w:cstheme="minorHAnsi"/>
          <w:noProof/>
          <w:lang w:val="sq-AL"/>
        </w:rPr>
        <w:t xml:space="preserve"> 12.2</w:t>
      </w:r>
      <w:r>
        <w:rPr>
          <w:rFonts w:asciiTheme="minorHAnsi" w:hAnsiTheme="minorHAnsi" w:cstheme="minorHAnsi"/>
          <w:noProof/>
          <w:lang w:val="sq-AL"/>
        </w:rPr>
        <w:t>mln</w:t>
      </w:r>
      <w:r w:rsidRPr="00F324D8">
        <w:rPr>
          <w:rFonts w:asciiTheme="minorHAnsi" w:hAnsiTheme="minorHAnsi" w:cstheme="minorHAnsi"/>
          <w:noProof/>
          <w:lang w:val="sq-AL"/>
        </w:rPr>
        <w:t xml:space="preserve"> lekë. </w:t>
      </w:r>
    </w:p>
    <w:p w14:paraId="62D66D78" w14:textId="1E60C521" w:rsidR="00141D41" w:rsidRPr="00141D41" w:rsidRDefault="00141D41" w:rsidP="00056DE5">
      <w:pPr>
        <w:pStyle w:val="ListParagraph"/>
        <w:numPr>
          <w:ilvl w:val="0"/>
          <w:numId w:val="59"/>
        </w:numPr>
        <w:spacing w:before="120"/>
        <w:jc w:val="both"/>
        <w:rPr>
          <w:rFonts w:asciiTheme="minorHAnsi" w:hAnsiTheme="minorHAnsi" w:cstheme="minorHAnsi"/>
          <w:noProof/>
          <w:lang w:val="sq-AL"/>
        </w:rPr>
      </w:pPr>
      <w:r w:rsidRPr="00F324D8">
        <w:rPr>
          <w:rFonts w:asciiTheme="minorHAnsi" w:hAnsiTheme="minorHAnsi" w:cstheme="minorHAnsi"/>
          <w:noProof/>
          <w:lang w:val="sq-AL"/>
        </w:rPr>
        <w:t>Për projekte</w:t>
      </w:r>
      <w:r>
        <w:rPr>
          <w:rFonts w:asciiTheme="minorHAnsi" w:hAnsiTheme="minorHAnsi" w:cstheme="minorHAnsi"/>
          <w:noProof/>
          <w:lang w:val="sq-AL"/>
        </w:rPr>
        <w:t>t</w:t>
      </w:r>
      <w:r w:rsidRPr="00F324D8">
        <w:rPr>
          <w:rFonts w:asciiTheme="minorHAnsi" w:hAnsiTheme="minorHAnsi" w:cstheme="minorHAnsi"/>
          <w:noProof/>
          <w:lang w:val="sq-AL"/>
        </w:rPr>
        <w:t xml:space="preserve"> me financim të brendshëm, programi me realizimin më të lartë </w:t>
      </w:r>
      <w:r w:rsidR="007904C8">
        <w:rPr>
          <w:rFonts w:asciiTheme="minorHAnsi" w:hAnsiTheme="minorHAnsi" w:cstheme="minorHAnsi"/>
          <w:noProof/>
          <w:lang w:val="sq-AL"/>
        </w:rPr>
        <w:t>ë</w:t>
      </w:r>
      <w:r>
        <w:rPr>
          <w:rFonts w:asciiTheme="minorHAnsi" w:hAnsiTheme="minorHAnsi" w:cstheme="minorHAnsi"/>
          <w:noProof/>
          <w:lang w:val="sq-AL"/>
        </w:rPr>
        <w:t>sht</w:t>
      </w:r>
      <w:r w:rsidR="007904C8">
        <w:rPr>
          <w:rFonts w:asciiTheme="minorHAnsi" w:hAnsiTheme="minorHAnsi" w:cstheme="minorHAnsi"/>
          <w:noProof/>
          <w:lang w:val="sq-AL"/>
        </w:rPr>
        <w:t>ë</w:t>
      </w:r>
      <w:r w:rsidRPr="00F324D8">
        <w:rPr>
          <w:rFonts w:asciiTheme="minorHAnsi" w:hAnsiTheme="minorHAnsi" w:cstheme="minorHAnsi"/>
          <w:noProof/>
          <w:lang w:val="sq-AL"/>
        </w:rPr>
        <w:t xml:space="preserve"> “</w:t>
      </w:r>
      <w:r w:rsidRPr="00141D41">
        <w:rPr>
          <w:rFonts w:asciiTheme="minorHAnsi" w:hAnsiTheme="minorHAnsi" w:cstheme="minorHAnsi"/>
          <w:i/>
          <w:noProof/>
          <w:lang w:val="sq-AL"/>
        </w:rPr>
        <w:t>Zhvillimi i Turizmit</w:t>
      </w:r>
      <w:r w:rsidRPr="00F324D8">
        <w:rPr>
          <w:rFonts w:asciiTheme="minorHAnsi" w:hAnsiTheme="minorHAnsi" w:cstheme="minorHAnsi"/>
          <w:noProof/>
          <w:lang w:val="sq-AL"/>
        </w:rPr>
        <w:t>” me 80.7% kundrejt planit prej 137.5 milionë lekë</w:t>
      </w:r>
      <w:r w:rsidR="0033729A">
        <w:rPr>
          <w:rFonts w:asciiTheme="minorHAnsi" w:hAnsiTheme="minorHAnsi" w:cstheme="minorHAnsi"/>
          <w:noProof/>
          <w:lang w:val="sq-AL"/>
        </w:rPr>
        <w:t>.</w:t>
      </w:r>
    </w:p>
    <w:p w14:paraId="57327FAA" w14:textId="5E1ABBAD" w:rsidR="00141D41" w:rsidRPr="00F324D8" w:rsidRDefault="00141D41" w:rsidP="00056DE5">
      <w:pPr>
        <w:pStyle w:val="ListParagraph"/>
        <w:numPr>
          <w:ilvl w:val="0"/>
          <w:numId w:val="59"/>
        </w:numPr>
        <w:spacing w:before="120"/>
        <w:jc w:val="both"/>
        <w:rPr>
          <w:rFonts w:asciiTheme="minorHAnsi" w:hAnsiTheme="minorHAnsi" w:cstheme="minorHAnsi"/>
          <w:noProof/>
          <w:lang w:val="sq-AL"/>
        </w:rPr>
      </w:pPr>
      <w:r w:rsidRPr="00F324D8">
        <w:rPr>
          <w:rFonts w:asciiTheme="minorHAnsi" w:hAnsiTheme="minorHAnsi" w:cstheme="minorHAnsi"/>
          <w:noProof/>
          <w:lang w:val="sq-AL"/>
        </w:rPr>
        <w:t>Statusi për disa nga projektet kryesore me financim të brendshëm paraqitet si mëposhtë:</w:t>
      </w:r>
    </w:p>
    <w:p w14:paraId="47588C40" w14:textId="5E6AAA13" w:rsidR="00141D41" w:rsidRPr="00F324D8" w:rsidRDefault="00141D41" w:rsidP="00056DE5">
      <w:pPr>
        <w:pStyle w:val="ListParagraph"/>
        <w:numPr>
          <w:ilvl w:val="0"/>
          <w:numId w:val="63"/>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 xml:space="preserve">“Mbështetje Financiare Projekti BERZH” në vlerën e 110.5 milionë lekë </w:t>
      </w:r>
      <w:r w:rsidR="0033729A">
        <w:rPr>
          <w:rFonts w:asciiTheme="minorHAnsi" w:hAnsiTheme="minorHAnsi" w:cstheme="minorHAnsi"/>
          <w:i/>
          <w:noProof/>
          <w:lang w:val="sq-AL"/>
        </w:rPr>
        <w:t>-</w:t>
      </w:r>
      <w:r w:rsidRPr="00F324D8">
        <w:rPr>
          <w:rFonts w:asciiTheme="minorHAnsi" w:hAnsiTheme="minorHAnsi" w:cstheme="minorHAnsi"/>
          <w:i/>
          <w:noProof/>
          <w:lang w:val="sq-AL"/>
        </w:rPr>
        <w:t xml:space="preserve"> Realizuar 100%;</w:t>
      </w:r>
    </w:p>
    <w:p w14:paraId="2B0957E1" w14:textId="77777777" w:rsidR="00141D41" w:rsidRPr="00F324D8" w:rsidRDefault="00141D41" w:rsidP="00056DE5">
      <w:pPr>
        <w:pStyle w:val="ListParagraph"/>
        <w:numPr>
          <w:ilvl w:val="0"/>
          <w:numId w:val="63"/>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“Ngritja e infrastruktures turistike me theks tek ajo ujore-EKO-PARK ULZA” në vlerën e 102.9 milionë lekë - Ne pritje te oponences dhe lejes zhvillimore.</w:t>
      </w:r>
    </w:p>
    <w:p w14:paraId="207D2A68" w14:textId="77777777" w:rsidR="00141D41" w:rsidRPr="00F324D8" w:rsidRDefault="00141D41" w:rsidP="00056DE5">
      <w:pPr>
        <w:pStyle w:val="ListParagraph"/>
        <w:numPr>
          <w:ilvl w:val="0"/>
          <w:numId w:val="63"/>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“Vendepozitime te rehabilituara” në vlerën e 50.2 milionë lekë - Kontratë 3 vjeçare në vitin e fundit të zbatimit, ku për vitin 2023 eshte ne proces likuidimi kesti i fundit.</w:t>
      </w:r>
    </w:p>
    <w:p w14:paraId="7CD09F2F" w14:textId="77777777" w:rsidR="00141D41" w:rsidRPr="00F324D8" w:rsidRDefault="00141D41" w:rsidP="00056DE5">
      <w:pPr>
        <w:pStyle w:val="ListParagraph"/>
        <w:numPr>
          <w:ilvl w:val="0"/>
          <w:numId w:val="63"/>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“Rikonstruksion i godines AKM” në vlerën e 24 milionë lekë - Ka perfunduar afati i ankimimit dhe eshte ne faze lidhje kontrate.</w:t>
      </w:r>
    </w:p>
    <w:p w14:paraId="6A77D23F" w14:textId="77777777" w:rsidR="00141D41" w:rsidRPr="0033729A" w:rsidRDefault="00141D41" w:rsidP="00056DE5">
      <w:pPr>
        <w:pStyle w:val="ListParagraph"/>
        <w:numPr>
          <w:ilvl w:val="0"/>
          <w:numId w:val="63"/>
        </w:numPr>
        <w:spacing w:before="120"/>
        <w:jc w:val="both"/>
        <w:rPr>
          <w:rFonts w:asciiTheme="minorHAnsi" w:hAnsiTheme="minorHAnsi" w:cstheme="minorHAnsi"/>
          <w:i/>
          <w:noProof/>
          <w:lang w:val="sq-AL"/>
        </w:rPr>
      </w:pPr>
      <w:r w:rsidRPr="0033729A">
        <w:rPr>
          <w:rFonts w:asciiTheme="minorHAnsi" w:hAnsiTheme="minorHAnsi" w:cstheme="minorHAnsi"/>
          <w:i/>
          <w:noProof/>
          <w:lang w:val="sq-AL"/>
        </w:rPr>
        <w:t>Ndërkohe për pjesën tjetër të projekteve është raportuar se disa janë ne proces hartimi dokumentacioni për procedurën e prokurimit dhe disa të tjera në pritje te faturave per likuidim.</w:t>
      </w:r>
    </w:p>
    <w:p w14:paraId="11C9A49D" w14:textId="54EA854B" w:rsidR="00141D41" w:rsidRPr="00F324D8" w:rsidRDefault="0033729A" w:rsidP="00056DE5">
      <w:pPr>
        <w:pStyle w:val="ListParagraph"/>
        <w:numPr>
          <w:ilvl w:val="0"/>
          <w:numId w:val="62"/>
        </w:numPr>
        <w:spacing w:before="120"/>
        <w:jc w:val="both"/>
        <w:rPr>
          <w:rFonts w:asciiTheme="minorHAnsi" w:hAnsiTheme="minorHAnsi" w:cstheme="minorHAnsi"/>
          <w:noProof/>
          <w:lang w:val="sq-AL"/>
        </w:rPr>
      </w:pPr>
      <w:r>
        <w:rPr>
          <w:rFonts w:asciiTheme="minorHAnsi" w:hAnsiTheme="minorHAnsi" w:cstheme="minorHAnsi"/>
          <w:noProof/>
          <w:lang w:val="sq-AL"/>
        </w:rPr>
        <w:t>MTM</w:t>
      </w:r>
      <w:r w:rsidR="00141D41" w:rsidRPr="00F324D8">
        <w:rPr>
          <w:rFonts w:asciiTheme="minorHAnsi" w:hAnsiTheme="minorHAnsi" w:cstheme="minorHAnsi"/>
          <w:noProof/>
          <w:lang w:val="sq-AL"/>
        </w:rPr>
        <w:t xml:space="preserve"> nuk </w:t>
      </w:r>
      <w:r>
        <w:rPr>
          <w:rFonts w:asciiTheme="minorHAnsi" w:hAnsiTheme="minorHAnsi" w:cstheme="minorHAnsi"/>
          <w:noProof/>
          <w:lang w:val="sq-AL"/>
        </w:rPr>
        <w:t>ka</w:t>
      </w:r>
      <w:r w:rsidR="00141D41" w:rsidRPr="00F324D8">
        <w:rPr>
          <w:rFonts w:asciiTheme="minorHAnsi" w:hAnsiTheme="minorHAnsi" w:cstheme="minorHAnsi"/>
          <w:noProof/>
          <w:lang w:val="sq-AL"/>
        </w:rPr>
        <w:t xml:space="preserve"> raportuar për problematika të cilat do të ndikojnë në realizimin e projekteve të investimeve.</w:t>
      </w:r>
    </w:p>
    <w:p w14:paraId="7FBCD9D2" w14:textId="7BAE9D4A" w:rsidR="00141D41" w:rsidRPr="00F324D8" w:rsidRDefault="00141D41" w:rsidP="00056DE5">
      <w:pPr>
        <w:pStyle w:val="ListParagraph"/>
        <w:numPr>
          <w:ilvl w:val="0"/>
          <w:numId w:val="62"/>
        </w:numPr>
        <w:spacing w:before="120"/>
        <w:jc w:val="both"/>
        <w:rPr>
          <w:rFonts w:asciiTheme="minorHAnsi" w:hAnsiTheme="minorHAnsi" w:cstheme="minorHAnsi"/>
          <w:noProof/>
          <w:lang w:val="sq-AL"/>
        </w:rPr>
      </w:pPr>
      <w:r w:rsidRPr="00F324D8">
        <w:rPr>
          <w:rFonts w:asciiTheme="minorHAnsi" w:hAnsiTheme="minorHAnsi" w:cstheme="minorHAnsi"/>
          <w:noProof/>
          <w:lang w:val="sq-AL"/>
        </w:rPr>
        <w:t xml:space="preserve">Përsa i përket </w:t>
      </w:r>
      <w:r w:rsidRPr="00F324D8">
        <w:rPr>
          <w:rFonts w:asciiTheme="minorHAnsi" w:hAnsiTheme="minorHAnsi" w:cstheme="minorHAnsi"/>
          <w:b/>
          <w:noProof/>
          <w:lang w:val="sq-AL"/>
        </w:rPr>
        <w:t>Financimit të Huaj</w:t>
      </w:r>
      <w:r w:rsidRPr="00F324D8">
        <w:rPr>
          <w:rFonts w:asciiTheme="minorHAnsi" w:hAnsiTheme="minorHAnsi" w:cstheme="minorHAnsi"/>
          <w:noProof/>
          <w:lang w:val="sq-AL"/>
        </w:rPr>
        <w:t xml:space="preserve"> statusi për disa nga projektet kryesore paraqitet si mëposhtë:</w:t>
      </w:r>
    </w:p>
    <w:p w14:paraId="0AFD55BD" w14:textId="77777777" w:rsidR="00141D41" w:rsidRPr="00F324D8" w:rsidRDefault="00141D41" w:rsidP="00056DE5">
      <w:pPr>
        <w:pStyle w:val="ListParagraph"/>
        <w:numPr>
          <w:ilvl w:val="0"/>
          <w:numId w:val="64"/>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“Ekonomia qarkulluese IPA 3” në vlerën e 217 milionë lekë – Eshtë kërkuar shtyrje te projektit nga Lead Partner deri ne Dhjetor 2023;</w:t>
      </w:r>
    </w:p>
    <w:p w14:paraId="33CEDE4C" w14:textId="77777777" w:rsidR="00141D41" w:rsidRPr="00F324D8" w:rsidRDefault="00141D41" w:rsidP="00056DE5">
      <w:pPr>
        <w:pStyle w:val="ListParagraph"/>
        <w:numPr>
          <w:ilvl w:val="0"/>
          <w:numId w:val="64"/>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“Clean and Resilient Enviorenment for Blue Sea Project CARE4BLUESEA” në vlerën e 100 milionë lekë – Eshte në faze negociatash.</w:t>
      </w:r>
    </w:p>
    <w:p w14:paraId="2232CAA6" w14:textId="4848A5F9" w:rsidR="00141D41" w:rsidRPr="00F324D8" w:rsidRDefault="00141D41" w:rsidP="00056DE5">
      <w:pPr>
        <w:pStyle w:val="ListParagraph"/>
        <w:numPr>
          <w:ilvl w:val="0"/>
          <w:numId w:val="64"/>
        </w:numPr>
        <w:spacing w:before="120"/>
        <w:jc w:val="both"/>
        <w:rPr>
          <w:rFonts w:asciiTheme="minorHAnsi" w:hAnsiTheme="minorHAnsi" w:cstheme="minorHAnsi"/>
          <w:i/>
          <w:noProof/>
          <w:lang w:val="sq-AL"/>
        </w:rPr>
      </w:pPr>
      <w:r w:rsidRPr="00F324D8">
        <w:rPr>
          <w:rFonts w:asciiTheme="minorHAnsi" w:hAnsiTheme="minorHAnsi" w:cstheme="minorHAnsi"/>
          <w:i/>
          <w:noProof/>
          <w:lang w:val="sq-AL"/>
        </w:rPr>
        <w:t xml:space="preserve">“Raporte perfomance te hartuara” në vlerën e 31 milionë lekë </w:t>
      </w:r>
      <w:r w:rsidR="009D7C72">
        <w:rPr>
          <w:rFonts w:asciiTheme="minorHAnsi" w:hAnsiTheme="minorHAnsi" w:cstheme="minorHAnsi"/>
          <w:i/>
          <w:noProof/>
          <w:lang w:val="sq-AL"/>
        </w:rPr>
        <w:t>–</w:t>
      </w:r>
      <w:r w:rsidRPr="00F324D8">
        <w:rPr>
          <w:rFonts w:asciiTheme="minorHAnsi" w:hAnsiTheme="minorHAnsi" w:cstheme="minorHAnsi"/>
          <w:i/>
          <w:noProof/>
          <w:lang w:val="sq-AL"/>
        </w:rPr>
        <w:t xml:space="preserve"> Vazhdon</w:t>
      </w:r>
      <w:r w:rsidR="009D7C72">
        <w:rPr>
          <w:rFonts w:asciiTheme="minorHAnsi" w:hAnsiTheme="minorHAnsi" w:cstheme="minorHAnsi"/>
          <w:i/>
          <w:noProof/>
          <w:lang w:val="sq-AL"/>
        </w:rPr>
        <w:t xml:space="preserve"> </w:t>
      </w:r>
      <w:r w:rsidRPr="00F324D8">
        <w:rPr>
          <w:rFonts w:asciiTheme="minorHAnsi" w:hAnsiTheme="minorHAnsi" w:cstheme="minorHAnsi"/>
          <w:i/>
          <w:noProof/>
          <w:lang w:val="sq-AL"/>
        </w:rPr>
        <w:t>zbatimi i aktiviteteve te planifikuara ne menyre intensive duke qene se MTM per kapitullin 27 eshte duke u pergatitur per takim bilateral.</w:t>
      </w:r>
    </w:p>
    <w:p w14:paraId="11950F42" w14:textId="77777777" w:rsidR="00141D41" w:rsidRPr="00F324D8" w:rsidRDefault="00141D41" w:rsidP="00141D41">
      <w:pPr>
        <w:pStyle w:val="ListParagraph"/>
        <w:rPr>
          <w:rFonts w:asciiTheme="minorHAnsi" w:hAnsiTheme="minorHAnsi" w:cstheme="minorHAnsi"/>
          <w:noProof/>
          <w:lang w:val="sq-AL"/>
        </w:rPr>
      </w:pPr>
    </w:p>
    <w:p w14:paraId="5796A156" w14:textId="77777777" w:rsidR="005A1363" w:rsidRPr="0065598A" w:rsidRDefault="005A1363" w:rsidP="009647C4">
      <w:pPr>
        <w:jc w:val="both"/>
        <w:rPr>
          <w:rFonts w:asciiTheme="minorHAnsi" w:hAnsiTheme="minorHAnsi"/>
          <w:color w:val="000000"/>
          <w:lang w:val="sq-AL"/>
        </w:rPr>
      </w:pPr>
    </w:p>
    <w:p w14:paraId="48B84ADD" w14:textId="77777777" w:rsidR="00E22258" w:rsidRDefault="00E22258" w:rsidP="009647C4">
      <w:pPr>
        <w:jc w:val="both"/>
        <w:rPr>
          <w:rFonts w:asciiTheme="minorHAnsi" w:hAnsiTheme="minorHAnsi"/>
          <w:color w:val="000000"/>
          <w:lang w:val="sq-AL"/>
        </w:rPr>
      </w:pPr>
    </w:p>
    <w:sectPr w:rsidR="00E22258" w:rsidSect="0093243B">
      <w:headerReference w:type="default" r:id="rId81"/>
      <w:headerReference w:type="first" r:id="rId82"/>
      <w:pgSz w:w="11907" w:h="16839" w:code="9"/>
      <w:pgMar w:top="1080" w:right="1107" w:bottom="630" w:left="117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35CE66" w14:textId="77777777" w:rsidR="00E3360A" w:rsidRDefault="00E3360A" w:rsidP="00CD61BB">
      <w:r>
        <w:separator/>
      </w:r>
    </w:p>
  </w:endnote>
  <w:endnote w:type="continuationSeparator" w:id="0">
    <w:p w14:paraId="3E046CA3" w14:textId="77777777" w:rsidR="00E3360A" w:rsidRDefault="00E3360A" w:rsidP="00CD6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aramond-Bold">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04350431"/>
      <w:docPartObj>
        <w:docPartGallery w:val="Page Numbers (Bottom of Page)"/>
        <w:docPartUnique/>
      </w:docPartObj>
    </w:sdtPr>
    <w:sdtEndPr>
      <w:rPr>
        <w:noProof/>
      </w:rPr>
    </w:sdtEndPr>
    <w:sdtContent>
      <w:p w14:paraId="1864DD2F" w14:textId="77777777" w:rsidR="000C2868" w:rsidRDefault="000C2868">
        <w:pPr>
          <w:pStyle w:val="Footer"/>
          <w:jc w:val="right"/>
        </w:pPr>
        <w:r>
          <w:fldChar w:fldCharType="begin"/>
        </w:r>
        <w:r>
          <w:instrText xml:space="preserve"> PAGE   \* MERGEFORMAT </w:instrText>
        </w:r>
        <w:r>
          <w:fldChar w:fldCharType="separate"/>
        </w:r>
        <w:r>
          <w:rPr>
            <w:noProof/>
          </w:rPr>
          <w:t>51</w:t>
        </w:r>
        <w:r>
          <w:rPr>
            <w:noProof/>
          </w:rPr>
          <w:fldChar w:fldCharType="end"/>
        </w:r>
      </w:p>
    </w:sdtContent>
  </w:sdt>
  <w:p w14:paraId="7086231F" w14:textId="77777777" w:rsidR="000C2868" w:rsidRDefault="000C28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7109200"/>
      <w:docPartObj>
        <w:docPartGallery w:val="Page Numbers (Bottom of Page)"/>
        <w:docPartUnique/>
      </w:docPartObj>
    </w:sdtPr>
    <w:sdtEndPr>
      <w:rPr>
        <w:noProof/>
      </w:rPr>
    </w:sdtEndPr>
    <w:sdtContent>
      <w:p w14:paraId="0B0ECB80" w14:textId="77777777" w:rsidR="000C2868" w:rsidRDefault="000C286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1A193B6" w14:textId="77777777" w:rsidR="000C2868" w:rsidRDefault="000C28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F7D8A" w14:textId="77777777" w:rsidR="00E3360A" w:rsidRDefault="00E3360A" w:rsidP="00CD61BB">
      <w:r>
        <w:separator/>
      </w:r>
    </w:p>
  </w:footnote>
  <w:footnote w:type="continuationSeparator" w:id="0">
    <w:p w14:paraId="6708EFBA" w14:textId="77777777" w:rsidR="00E3360A" w:rsidRDefault="00E3360A" w:rsidP="00CD61BB">
      <w:r>
        <w:continuationSeparator/>
      </w:r>
    </w:p>
  </w:footnote>
  <w:footnote w:id="1">
    <w:p w14:paraId="2DCA2DBC" w14:textId="77777777" w:rsidR="000C2868" w:rsidRPr="00971C15" w:rsidRDefault="000C2868" w:rsidP="00317567">
      <w:pPr>
        <w:pStyle w:val="FootnoteText"/>
        <w:spacing w:after="0" w:line="240" w:lineRule="auto"/>
        <w:jc w:val="both"/>
        <w:rPr>
          <w:i/>
          <w:sz w:val="18"/>
          <w:lang w:val="en-US"/>
        </w:rPr>
      </w:pPr>
      <w:r w:rsidRPr="00971C15">
        <w:rPr>
          <w:rStyle w:val="FootnoteReference"/>
          <w:i/>
          <w:sz w:val="18"/>
        </w:rPr>
        <w:footnoteRef/>
      </w:r>
      <w:r w:rsidRPr="00971C15">
        <w:rPr>
          <w:i/>
          <w:sz w:val="18"/>
        </w:rPr>
        <w:t xml:space="preserve"> Analiza e zhvillimeve ekonomike n</w:t>
      </w:r>
      <w:r>
        <w:rPr>
          <w:i/>
          <w:sz w:val="18"/>
        </w:rPr>
        <w:t>ë</w:t>
      </w:r>
      <w:r w:rsidRPr="00971C15">
        <w:rPr>
          <w:i/>
          <w:sz w:val="18"/>
        </w:rPr>
        <w:t xml:space="preserve"> ket</w:t>
      </w:r>
      <w:r>
        <w:rPr>
          <w:i/>
          <w:sz w:val="18"/>
        </w:rPr>
        <w:t>ë</w:t>
      </w:r>
      <w:r w:rsidRPr="00971C15">
        <w:rPr>
          <w:i/>
          <w:sz w:val="18"/>
        </w:rPr>
        <w:t xml:space="preserve"> seksion</w:t>
      </w:r>
      <w:r>
        <w:rPr>
          <w:i/>
          <w:sz w:val="18"/>
        </w:rPr>
        <w:t>,</w:t>
      </w:r>
      <w:r w:rsidRPr="00971C15">
        <w:rPr>
          <w:i/>
          <w:sz w:val="18"/>
        </w:rPr>
        <w:t xml:space="preserve"> bazohet n</w:t>
      </w:r>
      <w:r>
        <w:rPr>
          <w:i/>
          <w:sz w:val="18"/>
        </w:rPr>
        <w:t>ë</w:t>
      </w:r>
      <w:r w:rsidRPr="00971C15">
        <w:rPr>
          <w:i/>
          <w:sz w:val="18"/>
        </w:rPr>
        <w:t xml:space="preserve"> statistikat/informacionin m</w:t>
      </w:r>
      <w:r>
        <w:rPr>
          <w:i/>
          <w:sz w:val="18"/>
        </w:rPr>
        <w:t>ë</w:t>
      </w:r>
      <w:r w:rsidRPr="00971C15">
        <w:rPr>
          <w:i/>
          <w:sz w:val="18"/>
        </w:rPr>
        <w:t xml:space="preserve"> t</w:t>
      </w:r>
      <w:r>
        <w:rPr>
          <w:i/>
          <w:sz w:val="18"/>
        </w:rPr>
        <w:t>ë</w:t>
      </w:r>
      <w:r w:rsidRPr="00971C15">
        <w:rPr>
          <w:i/>
          <w:sz w:val="18"/>
        </w:rPr>
        <w:t xml:space="preserve"> fundit </w:t>
      </w:r>
      <w:r>
        <w:rPr>
          <w:i/>
          <w:sz w:val="18"/>
        </w:rPr>
        <w:t xml:space="preserve">zyrtar </w:t>
      </w:r>
      <w:r w:rsidRPr="00971C15">
        <w:rPr>
          <w:i/>
          <w:sz w:val="18"/>
        </w:rPr>
        <w:t>t</w:t>
      </w:r>
      <w:r>
        <w:rPr>
          <w:i/>
          <w:sz w:val="18"/>
        </w:rPr>
        <w:t>ë</w:t>
      </w:r>
      <w:r w:rsidRPr="00971C15">
        <w:rPr>
          <w:i/>
          <w:sz w:val="18"/>
        </w:rPr>
        <w:t xml:space="preserve"> disponuesh</w:t>
      </w:r>
      <w:r>
        <w:rPr>
          <w:i/>
          <w:sz w:val="18"/>
        </w:rPr>
        <w:t>ë</w:t>
      </w:r>
      <w:r w:rsidRPr="00971C15">
        <w:rPr>
          <w:i/>
          <w:sz w:val="18"/>
        </w:rPr>
        <w:t>m</w:t>
      </w:r>
      <w:r>
        <w:rPr>
          <w:i/>
          <w:sz w:val="18"/>
        </w:rPr>
        <w:t>,</w:t>
      </w:r>
      <w:r w:rsidRPr="00971C15">
        <w:rPr>
          <w:i/>
          <w:sz w:val="18"/>
        </w:rPr>
        <w:t xml:space="preserve"> n</w:t>
      </w:r>
      <w:r>
        <w:rPr>
          <w:i/>
          <w:sz w:val="18"/>
        </w:rPr>
        <w:t>ë</w:t>
      </w:r>
      <w:r w:rsidRPr="00971C15">
        <w:rPr>
          <w:i/>
          <w:sz w:val="18"/>
        </w:rPr>
        <w:t xml:space="preserve"> momentin e hartimit t</w:t>
      </w:r>
      <w:r>
        <w:rPr>
          <w:i/>
          <w:sz w:val="18"/>
        </w:rPr>
        <w:t>ë</w:t>
      </w:r>
      <w:r w:rsidRPr="00971C15">
        <w:rPr>
          <w:i/>
          <w:sz w:val="18"/>
        </w:rPr>
        <w:t xml:space="preserve"> k</w:t>
      </w:r>
      <w:r>
        <w:rPr>
          <w:i/>
          <w:sz w:val="18"/>
        </w:rPr>
        <w:t>ë</w:t>
      </w:r>
      <w:r w:rsidRPr="00971C15">
        <w:rPr>
          <w:i/>
          <w:sz w:val="18"/>
        </w:rPr>
        <w:t>tij raporti.</w:t>
      </w:r>
    </w:p>
  </w:footnote>
  <w:footnote w:id="2">
    <w:p w14:paraId="56EB9504" w14:textId="77777777" w:rsidR="000C2868" w:rsidRPr="00FE1BE5" w:rsidRDefault="000C2868" w:rsidP="00FE1BE5">
      <w:pPr>
        <w:pStyle w:val="FootnoteText"/>
        <w:spacing w:after="0" w:line="240" w:lineRule="auto"/>
        <w:ind w:left="720" w:hanging="720"/>
        <w:jc w:val="both"/>
        <w:rPr>
          <w:rFonts w:ascii="Times New Roman" w:hAnsi="Times New Roman"/>
          <w:i/>
          <w:lang w:val="en-US"/>
        </w:rPr>
      </w:pPr>
      <w:r w:rsidRPr="00FE1BE5">
        <w:rPr>
          <w:rStyle w:val="FootnoteReference"/>
          <w:rFonts w:ascii="Times New Roman" w:hAnsi="Times New Roman"/>
          <w:i/>
        </w:rPr>
        <w:t>2</w:t>
      </w:r>
      <w:r w:rsidRPr="00FE1BE5">
        <w:rPr>
          <w:rFonts w:ascii="Times New Roman" w:hAnsi="Times New Roman"/>
          <w:i/>
        </w:rPr>
        <w:t xml:space="preserve"> </w:t>
      </w:r>
      <w:r w:rsidRPr="00FE1BE5">
        <w:rPr>
          <w:rFonts w:ascii="Times New Roman" w:hAnsi="Times New Roman"/>
          <w:i/>
          <w:lang w:val="en-US"/>
        </w:rPr>
        <w:t>I referohet normës mesatare të ponderuar të titujve shtetërorë të emetuar vetëm në tregun primar.</w:t>
      </w:r>
    </w:p>
  </w:footnote>
  <w:footnote w:id="3">
    <w:p w14:paraId="5A047C12" w14:textId="77777777" w:rsidR="000C2868" w:rsidRPr="00C1229F" w:rsidRDefault="000C2868" w:rsidP="00AF2B0E">
      <w:pPr>
        <w:pStyle w:val="FootnoteText"/>
        <w:spacing w:after="0" w:line="240" w:lineRule="auto"/>
        <w:rPr>
          <w:i/>
          <w:sz w:val="18"/>
        </w:rPr>
      </w:pPr>
      <w:r>
        <w:rPr>
          <w:rStyle w:val="FootnoteReference"/>
        </w:rPr>
        <w:footnoteRef/>
      </w:r>
      <w:r>
        <w:t xml:space="preserve"> </w:t>
      </w:r>
      <w:r w:rsidRPr="00C1229F">
        <w:rPr>
          <w:i/>
          <w:sz w:val="18"/>
        </w:rPr>
        <w:t>Pa përfshirë detyrimet e prapambetura të Ujësjellës Kanalizime dhe Universiteteve</w:t>
      </w:r>
    </w:p>
    <w:p w14:paraId="79189DD8" w14:textId="77777777" w:rsidR="000C2868" w:rsidRPr="0093018B" w:rsidRDefault="000C2868" w:rsidP="00AF2B0E">
      <w:pPr>
        <w:pStyle w:val="FootnoteText"/>
        <w:rPr>
          <w:lang w:val="en-US"/>
        </w:rPr>
      </w:pPr>
    </w:p>
  </w:footnote>
  <w:footnote w:id="4">
    <w:p w14:paraId="5C86FB2F" w14:textId="77777777" w:rsidR="000C2868" w:rsidRPr="008B55C6" w:rsidRDefault="000C2868" w:rsidP="008B55C6">
      <w:pPr>
        <w:pStyle w:val="FootnoteText"/>
        <w:spacing w:after="0" w:line="240" w:lineRule="auto"/>
        <w:jc w:val="both"/>
        <w:rPr>
          <w:i/>
          <w:sz w:val="18"/>
          <w:szCs w:val="18"/>
        </w:rPr>
      </w:pPr>
      <w:r w:rsidRPr="008B55C6">
        <w:rPr>
          <w:rStyle w:val="FootnoteReference"/>
          <w:i/>
          <w:sz w:val="18"/>
          <w:szCs w:val="18"/>
        </w:rPr>
        <w:footnoteRef/>
      </w:r>
      <w:r w:rsidRPr="008B55C6">
        <w:rPr>
          <w:i/>
          <w:sz w:val="18"/>
          <w:szCs w:val="18"/>
        </w:rPr>
        <w:t xml:space="preserve"> </w:t>
      </w:r>
      <w:r w:rsidRPr="008B55C6">
        <w:rPr>
          <w:rFonts w:asciiTheme="minorHAnsi" w:hAnsiTheme="minorHAnsi"/>
          <w:i/>
          <w:sz w:val="18"/>
          <w:szCs w:val="18"/>
        </w:rPr>
        <w:t>Në vitin 2022 është lidhur kontrata koncesionare me mbështetje buxhetore “Për projektimin, ndërtimin dhe mirëmbajtjen e "Portit të Integruar" në Triport Vlorë” me kohëzgjatje 10 vjet, lidhur ndërmjet MIE dhe bashkimit të operatorëve ekonomikë “Agbes Construksion” sh.p.k, “Besta” sh.p.k, “Premium Construction &amp; Maintenance” sh.p.k, “ITE GRUP” sh.p.k dhe “Arkonstudio” sh.p.k. Referuar modelit financiar të kontratës, për tre vitet e para nuk parashikohen të kryhen pagesa nga Buxheti i Shtetit.</w:t>
      </w:r>
    </w:p>
    <w:p w14:paraId="415F2167" w14:textId="77777777" w:rsidR="000C2868" w:rsidRPr="00AD417B" w:rsidRDefault="000C2868" w:rsidP="008B55C6">
      <w:pPr>
        <w:pStyle w:val="FootnoteText"/>
      </w:pPr>
    </w:p>
  </w:footnote>
  <w:footnote w:id="5">
    <w:p w14:paraId="19C10E88" w14:textId="77777777" w:rsidR="000C2868" w:rsidRPr="00302A6A" w:rsidRDefault="000C2868" w:rsidP="00150012">
      <w:pPr>
        <w:pStyle w:val="FootnoteText"/>
        <w:spacing w:after="0" w:line="240" w:lineRule="auto"/>
        <w:ind w:left="90" w:hanging="90"/>
        <w:jc w:val="both"/>
        <w:rPr>
          <w:lang w:val="en-US"/>
        </w:rPr>
      </w:pPr>
      <w:r>
        <w:rPr>
          <w:rStyle w:val="FootnoteReference"/>
        </w:rPr>
        <w:footnoteRef/>
      </w:r>
      <w:r>
        <w:t xml:space="preserve"> </w:t>
      </w:r>
      <w:r w:rsidRPr="00302A6A">
        <w:rPr>
          <w:i/>
          <w:sz w:val="18"/>
        </w:rPr>
        <w:t>Analiza e zhvillimeve ekonomike në ketë seksion, bazohet në statistikat/informacionin më të fundit zyrtar të disponueshëm, në momentin e hartimit të këtij raporti</w:t>
      </w:r>
      <w:r w:rsidRPr="00302A6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89" w:type="pct"/>
      <w:tblBorders>
        <w:bottom w:val="single" w:sz="12" w:space="0" w:color="A6A6A6" w:themeColor="background1" w:themeShade="A6"/>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8253"/>
      <w:gridCol w:w="1548"/>
    </w:tblGrid>
    <w:tr w:rsidR="000C2868" w:rsidRPr="008E7E7B" w14:paraId="671F3987" w14:textId="77777777" w:rsidTr="006055DD">
      <w:trPr>
        <w:trHeight w:val="288"/>
      </w:trPr>
      <w:sdt>
        <w:sdtPr>
          <w:rPr>
            <w:rFonts w:asciiTheme="majorHAnsi" w:eastAsiaTheme="majorEastAsia" w:hAnsiTheme="majorHAnsi" w:cstheme="majorBidi"/>
            <w:color w:val="A6A6A6" w:themeColor="background1" w:themeShade="A6"/>
            <w:sz w:val="18"/>
            <w:szCs w:val="18"/>
            <w:lang w:val="sq-AL"/>
          </w:rPr>
          <w:alias w:val="Title"/>
          <w:id w:val="983205663"/>
          <w:dataBinding w:prefixMappings="xmlns:ns0='http://schemas.openxmlformats.org/package/2006/metadata/core-properties' xmlns:ns1='http://purl.org/dc/elements/1.1/'" w:xpath="/ns0:coreProperties[1]/ns1:title[1]" w:storeItemID="{6C3C8BC8-F283-45AE-878A-BAB7291924A1}"/>
          <w:text/>
        </w:sdtPr>
        <w:sdtEndPr/>
        <w:sdtContent>
          <w:tc>
            <w:tcPr>
              <w:tcW w:w="8935" w:type="dxa"/>
              <w:tcBorders>
                <w:right w:val="single" w:sz="12" w:space="0" w:color="A6A6A6" w:themeColor="background1" w:themeShade="A6"/>
              </w:tcBorders>
            </w:tcPr>
            <w:p w14:paraId="5F14727D" w14:textId="77777777" w:rsidR="000C2868" w:rsidRPr="008E7E7B" w:rsidRDefault="000C2868" w:rsidP="006055DD">
              <w:pPr>
                <w:pStyle w:val="Header"/>
                <w:tabs>
                  <w:tab w:val="left" w:pos="360"/>
                  <w:tab w:val="right" w:pos="8243"/>
                </w:tabs>
                <w:jc w:val="right"/>
                <w:rPr>
                  <w:rFonts w:asciiTheme="majorHAnsi" w:eastAsiaTheme="majorEastAsia" w:hAnsiTheme="majorHAnsi" w:cstheme="majorBidi"/>
                  <w:color w:val="A6A6A6" w:themeColor="background1" w:themeShade="A6"/>
                  <w:sz w:val="18"/>
                  <w:szCs w:val="18"/>
                </w:rPr>
              </w:pPr>
              <w:r>
                <w:rPr>
                  <w:rFonts w:asciiTheme="majorHAnsi" w:eastAsiaTheme="majorEastAsia" w:hAnsiTheme="majorHAnsi" w:cstheme="majorBidi"/>
                  <w:color w:val="A6A6A6" w:themeColor="background1" w:themeShade="A6"/>
                  <w:sz w:val="18"/>
                  <w:szCs w:val="18"/>
                  <w:lang w:val="sq-AL"/>
                </w:rPr>
                <w:t>Raporti i Mes-Vitit i Buxhetit</w:t>
              </w:r>
            </w:p>
          </w:tc>
        </w:sdtContent>
      </w:sdt>
      <w:tc>
        <w:tcPr>
          <w:tcW w:w="1620" w:type="dxa"/>
          <w:tcBorders>
            <w:left w:val="single" w:sz="12" w:space="0" w:color="A6A6A6" w:themeColor="background1" w:themeShade="A6"/>
          </w:tcBorders>
        </w:tcPr>
        <w:p w14:paraId="2E7919B3" w14:textId="77777777" w:rsidR="000C2868" w:rsidRDefault="000C2868" w:rsidP="006055DD">
          <w:pPr>
            <w:pStyle w:val="Header"/>
            <w:tabs>
              <w:tab w:val="clear" w:pos="4680"/>
              <w:tab w:val="clear" w:pos="9360"/>
              <w:tab w:val="left" w:pos="939"/>
            </w:tabs>
            <w:rPr>
              <w:rFonts w:asciiTheme="majorHAnsi" w:eastAsiaTheme="majorEastAsia" w:hAnsiTheme="majorHAnsi" w:cstheme="majorBidi"/>
              <w:bCs/>
              <w:color w:val="A6A6A6" w:themeColor="background1" w:themeShade="A6"/>
              <w:sz w:val="18"/>
              <w:szCs w:val="18"/>
            </w:rPr>
          </w:pPr>
          <w:r>
            <w:rPr>
              <w:rFonts w:asciiTheme="majorHAnsi" w:eastAsiaTheme="majorEastAsia" w:hAnsiTheme="majorHAnsi" w:cstheme="majorBidi"/>
              <w:bCs/>
              <w:color w:val="A6A6A6" w:themeColor="background1" w:themeShade="A6"/>
              <w:sz w:val="18"/>
              <w:szCs w:val="18"/>
            </w:rPr>
            <w:t>2023</w:t>
          </w:r>
          <w:r>
            <w:rPr>
              <w:rFonts w:asciiTheme="majorHAnsi" w:eastAsiaTheme="majorEastAsia" w:hAnsiTheme="majorHAnsi" w:cstheme="majorBidi"/>
              <w:bCs/>
              <w:color w:val="A6A6A6" w:themeColor="background1" w:themeShade="A6"/>
              <w:sz w:val="18"/>
              <w:szCs w:val="18"/>
            </w:rPr>
            <w:tab/>
          </w:r>
        </w:p>
        <w:p w14:paraId="76DBBE44" w14:textId="77777777" w:rsidR="000C2868" w:rsidRPr="008E7E7B" w:rsidRDefault="000C2868" w:rsidP="006055DD">
          <w:pPr>
            <w:pStyle w:val="Header"/>
            <w:tabs>
              <w:tab w:val="clear" w:pos="4680"/>
              <w:tab w:val="clear" w:pos="9360"/>
              <w:tab w:val="left" w:pos="939"/>
            </w:tabs>
            <w:rPr>
              <w:rFonts w:asciiTheme="majorHAnsi" w:eastAsiaTheme="majorEastAsia" w:hAnsiTheme="majorHAnsi" w:cstheme="majorBidi"/>
              <w:bCs/>
              <w:color w:val="A6A6A6" w:themeColor="background1" w:themeShade="A6"/>
              <w:sz w:val="18"/>
              <w:szCs w:val="18"/>
            </w:rPr>
          </w:pPr>
        </w:p>
      </w:tc>
    </w:tr>
  </w:tbl>
  <w:p w14:paraId="33EECF94" w14:textId="77777777" w:rsidR="000C2868" w:rsidRDefault="000C28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89" w:type="pct"/>
      <w:tblBorders>
        <w:bottom w:val="single" w:sz="12" w:space="0" w:color="A6A6A6" w:themeColor="background1" w:themeShade="A6"/>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8253"/>
      <w:gridCol w:w="1548"/>
    </w:tblGrid>
    <w:tr w:rsidR="000C2868" w:rsidRPr="008E7E7B" w14:paraId="53ED1A03" w14:textId="77777777" w:rsidTr="006055DD">
      <w:trPr>
        <w:trHeight w:val="288"/>
      </w:trPr>
      <w:sdt>
        <w:sdtPr>
          <w:rPr>
            <w:rFonts w:asciiTheme="majorHAnsi" w:eastAsiaTheme="majorEastAsia" w:hAnsiTheme="majorHAnsi" w:cstheme="majorBidi"/>
            <w:color w:val="A6A6A6" w:themeColor="background1" w:themeShade="A6"/>
            <w:sz w:val="18"/>
            <w:szCs w:val="18"/>
            <w:lang w:val="sq-AL"/>
          </w:rPr>
          <w:alias w:val="Title"/>
          <w:id w:val="-57790424"/>
          <w:dataBinding w:prefixMappings="xmlns:ns0='http://schemas.openxmlformats.org/package/2006/metadata/core-properties' xmlns:ns1='http://purl.org/dc/elements/1.1/'" w:xpath="/ns0:coreProperties[1]/ns1:title[1]" w:storeItemID="{6C3C8BC8-F283-45AE-878A-BAB7291924A1}"/>
          <w:text/>
        </w:sdtPr>
        <w:sdtEndPr/>
        <w:sdtContent>
          <w:tc>
            <w:tcPr>
              <w:tcW w:w="8935" w:type="dxa"/>
              <w:tcBorders>
                <w:right w:val="single" w:sz="12" w:space="0" w:color="A6A6A6" w:themeColor="background1" w:themeShade="A6"/>
              </w:tcBorders>
            </w:tcPr>
            <w:p w14:paraId="2DE25903" w14:textId="77777777" w:rsidR="000C2868" w:rsidRPr="008E7E7B" w:rsidRDefault="000C2868" w:rsidP="00350497">
              <w:pPr>
                <w:pStyle w:val="Header"/>
                <w:tabs>
                  <w:tab w:val="left" w:pos="360"/>
                  <w:tab w:val="right" w:pos="8243"/>
                </w:tabs>
                <w:jc w:val="right"/>
                <w:rPr>
                  <w:rFonts w:asciiTheme="majorHAnsi" w:eastAsiaTheme="majorEastAsia" w:hAnsiTheme="majorHAnsi" w:cstheme="majorBidi"/>
                  <w:color w:val="A6A6A6" w:themeColor="background1" w:themeShade="A6"/>
                  <w:sz w:val="18"/>
                  <w:szCs w:val="18"/>
                </w:rPr>
              </w:pPr>
              <w:r>
                <w:rPr>
                  <w:rFonts w:asciiTheme="majorHAnsi" w:eastAsiaTheme="majorEastAsia" w:hAnsiTheme="majorHAnsi" w:cstheme="majorBidi"/>
                  <w:color w:val="A6A6A6" w:themeColor="background1" w:themeShade="A6"/>
                  <w:sz w:val="18"/>
                  <w:szCs w:val="18"/>
                  <w:lang w:val="sq-AL"/>
                </w:rPr>
                <w:t>Raporti i Mes-Vitit i Buxhetit</w:t>
              </w:r>
            </w:p>
          </w:tc>
        </w:sdtContent>
      </w:sdt>
      <w:tc>
        <w:tcPr>
          <w:tcW w:w="1620" w:type="dxa"/>
          <w:tcBorders>
            <w:left w:val="single" w:sz="12" w:space="0" w:color="A6A6A6" w:themeColor="background1" w:themeShade="A6"/>
          </w:tcBorders>
        </w:tcPr>
        <w:p w14:paraId="5F7D8C7F" w14:textId="77777777" w:rsidR="000C2868" w:rsidRDefault="000C2868" w:rsidP="006055DD">
          <w:pPr>
            <w:pStyle w:val="Header"/>
            <w:tabs>
              <w:tab w:val="clear" w:pos="4680"/>
              <w:tab w:val="clear" w:pos="9360"/>
              <w:tab w:val="left" w:pos="939"/>
            </w:tabs>
            <w:rPr>
              <w:rFonts w:asciiTheme="majorHAnsi" w:eastAsiaTheme="majorEastAsia" w:hAnsiTheme="majorHAnsi" w:cstheme="majorBidi"/>
              <w:bCs/>
              <w:color w:val="A6A6A6" w:themeColor="background1" w:themeShade="A6"/>
              <w:sz w:val="18"/>
              <w:szCs w:val="18"/>
            </w:rPr>
          </w:pPr>
          <w:r>
            <w:rPr>
              <w:rFonts w:asciiTheme="majorHAnsi" w:eastAsiaTheme="majorEastAsia" w:hAnsiTheme="majorHAnsi" w:cstheme="majorBidi"/>
              <w:bCs/>
              <w:color w:val="A6A6A6" w:themeColor="background1" w:themeShade="A6"/>
              <w:sz w:val="18"/>
              <w:szCs w:val="18"/>
            </w:rPr>
            <w:t>2022</w:t>
          </w:r>
          <w:r>
            <w:rPr>
              <w:rFonts w:asciiTheme="majorHAnsi" w:eastAsiaTheme="majorEastAsia" w:hAnsiTheme="majorHAnsi" w:cstheme="majorBidi"/>
              <w:bCs/>
              <w:color w:val="A6A6A6" w:themeColor="background1" w:themeShade="A6"/>
              <w:sz w:val="18"/>
              <w:szCs w:val="18"/>
            </w:rPr>
            <w:tab/>
          </w:r>
        </w:p>
        <w:p w14:paraId="6E83DE1E" w14:textId="77777777" w:rsidR="000C2868" w:rsidRPr="008E7E7B" w:rsidRDefault="000C2868" w:rsidP="006055DD">
          <w:pPr>
            <w:pStyle w:val="Header"/>
            <w:tabs>
              <w:tab w:val="clear" w:pos="4680"/>
              <w:tab w:val="clear" w:pos="9360"/>
              <w:tab w:val="left" w:pos="939"/>
            </w:tabs>
            <w:rPr>
              <w:rFonts w:asciiTheme="majorHAnsi" w:eastAsiaTheme="majorEastAsia" w:hAnsiTheme="majorHAnsi" w:cstheme="majorBidi"/>
              <w:bCs/>
              <w:color w:val="A6A6A6" w:themeColor="background1" w:themeShade="A6"/>
              <w:sz w:val="18"/>
              <w:szCs w:val="18"/>
            </w:rPr>
          </w:pPr>
        </w:p>
      </w:tc>
    </w:tr>
  </w:tbl>
  <w:p w14:paraId="4A0BBB55" w14:textId="77777777" w:rsidR="000C2868" w:rsidRDefault="000C28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24BE4"/>
    <w:multiLevelType w:val="multilevel"/>
    <w:tmpl w:val="608EB5EC"/>
    <w:lvl w:ilvl="0">
      <w:start w:val="7"/>
      <w:numFmt w:val="upperRoman"/>
      <w:lvlText w:val="%1.2"/>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646DD4"/>
    <w:multiLevelType w:val="hybridMultilevel"/>
    <w:tmpl w:val="5FA255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630F69"/>
    <w:multiLevelType w:val="multilevel"/>
    <w:tmpl w:val="C8B2C94E"/>
    <w:lvl w:ilvl="0">
      <w:start w:val="5"/>
      <w:numFmt w:val="upperRoman"/>
      <w:lvlText w:val="%1.4"/>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40F47F9"/>
    <w:multiLevelType w:val="multilevel"/>
    <w:tmpl w:val="BD1E9FFE"/>
    <w:lvl w:ilvl="0">
      <w:start w:val="5"/>
      <w:numFmt w:val="upperRoman"/>
      <w:lvlText w:val="%1.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4F11363"/>
    <w:multiLevelType w:val="hybridMultilevel"/>
    <w:tmpl w:val="005ADEE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73F0941"/>
    <w:multiLevelType w:val="hybridMultilevel"/>
    <w:tmpl w:val="6FF44E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E17363"/>
    <w:multiLevelType w:val="hybridMultilevel"/>
    <w:tmpl w:val="BE5C485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D225916"/>
    <w:multiLevelType w:val="multilevel"/>
    <w:tmpl w:val="0AD62428"/>
    <w:lvl w:ilvl="0">
      <w:start w:val="5"/>
      <w:numFmt w:val="upperRoman"/>
      <w:lvlText w:val="%1.2.2"/>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D63133F"/>
    <w:multiLevelType w:val="hybridMultilevel"/>
    <w:tmpl w:val="124A1334"/>
    <w:lvl w:ilvl="0" w:tplc="04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E2064B"/>
    <w:multiLevelType w:val="hybridMultilevel"/>
    <w:tmpl w:val="532A08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3F76E2"/>
    <w:multiLevelType w:val="multilevel"/>
    <w:tmpl w:val="1F7C2912"/>
    <w:lvl w:ilvl="0">
      <w:start w:val="7"/>
      <w:numFmt w:val="upperRoman"/>
      <w:lvlText w:val="%1.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F4E2561"/>
    <w:multiLevelType w:val="hybridMultilevel"/>
    <w:tmpl w:val="F4B0A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BD41E6"/>
    <w:multiLevelType w:val="hybridMultilevel"/>
    <w:tmpl w:val="CDACC23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CF533E"/>
    <w:multiLevelType w:val="multilevel"/>
    <w:tmpl w:val="30523972"/>
    <w:lvl w:ilvl="0">
      <w:start w:val="7"/>
      <w:numFmt w:val="upperRoman"/>
      <w:lvlText w:val="%1.3"/>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3D43ED6"/>
    <w:multiLevelType w:val="hybridMultilevel"/>
    <w:tmpl w:val="BECACE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EF0789"/>
    <w:multiLevelType w:val="hybridMultilevel"/>
    <w:tmpl w:val="A4A00770"/>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A178C2"/>
    <w:multiLevelType w:val="hybridMultilevel"/>
    <w:tmpl w:val="F81030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EF72D1"/>
    <w:multiLevelType w:val="hybridMultilevel"/>
    <w:tmpl w:val="F34C37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2A3F71A3"/>
    <w:multiLevelType w:val="hybridMultilevel"/>
    <w:tmpl w:val="7572F7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E70FE0"/>
    <w:multiLevelType w:val="hybridMultilevel"/>
    <w:tmpl w:val="71A2D254"/>
    <w:lvl w:ilvl="0" w:tplc="04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0B6926"/>
    <w:multiLevelType w:val="multilevel"/>
    <w:tmpl w:val="5E38171A"/>
    <w:lvl w:ilvl="0">
      <w:start w:val="5"/>
      <w:numFmt w:val="upperRoman"/>
      <w:lvlText w:val="%1.2.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D1376D7"/>
    <w:multiLevelType w:val="hybridMultilevel"/>
    <w:tmpl w:val="535C8A3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E412326"/>
    <w:multiLevelType w:val="hybridMultilevel"/>
    <w:tmpl w:val="1EDA0F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2E5D56D2"/>
    <w:multiLevelType w:val="hybridMultilevel"/>
    <w:tmpl w:val="3AB8386C"/>
    <w:lvl w:ilvl="0" w:tplc="1554A530">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6734AB"/>
    <w:multiLevelType w:val="multilevel"/>
    <w:tmpl w:val="CCC4304A"/>
    <w:lvl w:ilvl="0">
      <w:start w:val="5"/>
      <w:numFmt w:val="upperRoman"/>
      <w:lvlText w:val="%1.3"/>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FE40AF6"/>
    <w:multiLevelType w:val="hybridMultilevel"/>
    <w:tmpl w:val="4064B2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1A36AFF"/>
    <w:multiLevelType w:val="hybridMultilevel"/>
    <w:tmpl w:val="F5AEA9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56647DF"/>
    <w:multiLevelType w:val="multilevel"/>
    <w:tmpl w:val="5A1EC080"/>
    <w:lvl w:ilvl="0">
      <w:start w:val="5"/>
      <w:numFmt w:val="upperRoman"/>
      <w:lvlText w:val="%1.1.2"/>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362D2A37"/>
    <w:multiLevelType w:val="hybridMultilevel"/>
    <w:tmpl w:val="7A5209D6"/>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6DB2B22"/>
    <w:multiLevelType w:val="hybridMultilevel"/>
    <w:tmpl w:val="DAFA3BC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8A54552"/>
    <w:multiLevelType w:val="hybridMultilevel"/>
    <w:tmpl w:val="08F85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7C03FD"/>
    <w:multiLevelType w:val="hybridMultilevel"/>
    <w:tmpl w:val="9FF859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3C1E0145"/>
    <w:multiLevelType w:val="hybridMultilevel"/>
    <w:tmpl w:val="E66663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951BD2"/>
    <w:multiLevelType w:val="hybridMultilevel"/>
    <w:tmpl w:val="79AE96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41812475"/>
    <w:multiLevelType w:val="hybridMultilevel"/>
    <w:tmpl w:val="B34E59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46377A9F"/>
    <w:multiLevelType w:val="hybridMultilevel"/>
    <w:tmpl w:val="CF5C8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6822AD7"/>
    <w:multiLevelType w:val="hybridMultilevel"/>
    <w:tmpl w:val="53E02A18"/>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B3E5562"/>
    <w:multiLevelType w:val="hybridMultilevel"/>
    <w:tmpl w:val="E670EDBC"/>
    <w:lvl w:ilvl="0" w:tplc="E4485122">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CD95764"/>
    <w:multiLevelType w:val="hybridMultilevel"/>
    <w:tmpl w:val="B87861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CED783B"/>
    <w:multiLevelType w:val="hybridMultilevel"/>
    <w:tmpl w:val="79E25BF8"/>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0" w15:restartNumberingAfterBreak="0">
    <w:nsid w:val="4DD64053"/>
    <w:multiLevelType w:val="hybridMultilevel"/>
    <w:tmpl w:val="FF749494"/>
    <w:lvl w:ilvl="0" w:tplc="04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DE17150"/>
    <w:multiLevelType w:val="hybridMultilevel"/>
    <w:tmpl w:val="CC2C2F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316C7E"/>
    <w:multiLevelType w:val="hybridMultilevel"/>
    <w:tmpl w:val="DD0A73F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01D2563"/>
    <w:multiLevelType w:val="hybridMultilevel"/>
    <w:tmpl w:val="FFAAB182"/>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0894BE6"/>
    <w:multiLevelType w:val="hybridMultilevel"/>
    <w:tmpl w:val="FD0AFA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1586DF3"/>
    <w:multiLevelType w:val="hybridMultilevel"/>
    <w:tmpl w:val="5EE877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16F51AF"/>
    <w:multiLevelType w:val="hybridMultilevel"/>
    <w:tmpl w:val="DE52A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3925C0A"/>
    <w:multiLevelType w:val="hybridMultilevel"/>
    <w:tmpl w:val="79B22F3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8" w15:restartNumberingAfterBreak="0">
    <w:nsid w:val="55DB6F50"/>
    <w:multiLevelType w:val="hybridMultilevel"/>
    <w:tmpl w:val="018A65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571E73A1"/>
    <w:multiLevelType w:val="hybridMultilevel"/>
    <w:tmpl w:val="56D465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8D06651"/>
    <w:multiLevelType w:val="hybridMultilevel"/>
    <w:tmpl w:val="F44A70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D9564D"/>
    <w:multiLevelType w:val="hybridMultilevel"/>
    <w:tmpl w:val="2BC465D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9E03C5E"/>
    <w:multiLevelType w:val="hybridMultilevel"/>
    <w:tmpl w:val="447A8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B26070A"/>
    <w:multiLevelType w:val="multilevel"/>
    <w:tmpl w:val="BB401F68"/>
    <w:lvl w:ilvl="0">
      <w:start w:val="5"/>
      <w:numFmt w:val="upperRoman"/>
      <w:lvlText w:val="%1.2"/>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5C351FD1"/>
    <w:multiLevelType w:val="hybridMultilevel"/>
    <w:tmpl w:val="92AE9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FCB4490"/>
    <w:multiLevelType w:val="multilevel"/>
    <w:tmpl w:val="BE98468A"/>
    <w:lvl w:ilvl="0">
      <w:start w:val="5"/>
      <w:numFmt w:val="upperRoman"/>
      <w:lvlText w:val="%1.4.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62FF2DA3"/>
    <w:multiLevelType w:val="hybridMultilevel"/>
    <w:tmpl w:val="ED243E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4B12871"/>
    <w:multiLevelType w:val="hybridMultilevel"/>
    <w:tmpl w:val="AF56EF74"/>
    <w:lvl w:ilvl="0" w:tplc="94B42054">
      <w:start w:val="1"/>
      <w:numFmt w:val="lowerLetter"/>
      <w:lvlText w:val="%1)"/>
      <w:lvlJc w:val="left"/>
      <w:pPr>
        <w:ind w:left="715" w:hanging="375"/>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58" w15:restartNumberingAfterBreak="0">
    <w:nsid w:val="64C409F9"/>
    <w:multiLevelType w:val="multilevel"/>
    <w:tmpl w:val="D8142206"/>
    <w:lvl w:ilvl="0">
      <w:start w:val="5"/>
      <w:numFmt w:val="upperRoman"/>
      <w:lvlText w:val="%1.1.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67D65A72"/>
    <w:multiLevelType w:val="hybridMultilevel"/>
    <w:tmpl w:val="52BA4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C653F55"/>
    <w:multiLevelType w:val="hybridMultilevel"/>
    <w:tmpl w:val="A8C62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3264F2D"/>
    <w:multiLevelType w:val="hybridMultilevel"/>
    <w:tmpl w:val="7A56C7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4431191"/>
    <w:multiLevelType w:val="hybridMultilevel"/>
    <w:tmpl w:val="AB043D40"/>
    <w:lvl w:ilvl="0" w:tplc="7B968B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74C5E8B"/>
    <w:multiLevelType w:val="hybridMultilevel"/>
    <w:tmpl w:val="89CAA120"/>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4" w15:restartNumberingAfterBreak="0">
    <w:nsid w:val="78E2463F"/>
    <w:multiLevelType w:val="hybridMultilevel"/>
    <w:tmpl w:val="2CD68550"/>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79492CFE"/>
    <w:multiLevelType w:val="hybridMultilevel"/>
    <w:tmpl w:val="BDD2AC5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7A474C61"/>
    <w:multiLevelType w:val="hybridMultilevel"/>
    <w:tmpl w:val="DBA608C2"/>
    <w:lvl w:ilvl="0" w:tplc="08090005">
      <w:start w:val="1"/>
      <w:numFmt w:val="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67" w15:restartNumberingAfterBreak="0">
    <w:nsid w:val="7BBF3149"/>
    <w:multiLevelType w:val="hybridMultilevel"/>
    <w:tmpl w:val="D3EED23A"/>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C3713DB"/>
    <w:multiLevelType w:val="hybridMultilevel"/>
    <w:tmpl w:val="FF840A3A"/>
    <w:lvl w:ilvl="0" w:tplc="04090001">
      <w:start w:val="1"/>
      <w:numFmt w:val="bullet"/>
      <w:lvlText w:val=""/>
      <w:lvlJc w:val="left"/>
      <w:pPr>
        <w:ind w:left="1800" w:hanging="360"/>
      </w:pPr>
      <w:rPr>
        <w:rFonts w:ascii="Symbol" w:hAnsi="Symbol" w:hint="default"/>
      </w:rPr>
    </w:lvl>
    <w:lvl w:ilvl="1" w:tplc="0409000D">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9" w15:restartNumberingAfterBreak="0">
    <w:nsid w:val="7E2055A1"/>
    <w:multiLevelType w:val="multilevel"/>
    <w:tmpl w:val="0D26E76A"/>
    <w:lvl w:ilvl="0">
      <w:start w:val="5"/>
      <w:numFmt w:val="upperRoman"/>
      <w:lvlText w:val="%1.4.2"/>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7EE26547"/>
    <w:multiLevelType w:val="hybridMultilevel"/>
    <w:tmpl w:val="31F2977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2"/>
  </w:num>
  <w:num w:numId="2">
    <w:abstractNumId w:val="6"/>
  </w:num>
  <w:num w:numId="3">
    <w:abstractNumId w:val="37"/>
  </w:num>
  <w:num w:numId="4">
    <w:abstractNumId w:val="36"/>
  </w:num>
  <w:num w:numId="5">
    <w:abstractNumId w:val="52"/>
  </w:num>
  <w:num w:numId="6">
    <w:abstractNumId w:val="51"/>
  </w:num>
  <w:num w:numId="7">
    <w:abstractNumId w:val="17"/>
  </w:num>
  <w:num w:numId="8">
    <w:abstractNumId w:val="4"/>
  </w:num>
  <w:num w:numId="9">
    <w:abstractNumId w:val="42"/>
  </w:num>
  <w:num w:numId="10">
    <w:abstractNumId w:val="68"/>
  </w:num>
  <w:num w:numId="11">
    <w:abstractNumId w:val="65"/>
  </w:num>
  <w:num w:numId="12">
    <w:abstractNumId w:val="39"/>
  </w:num>
  <w:num w:numId="13">
    <w:abstractNumId w:val="54"/>
  </w:num>
  <w:num w:numId="14">
    <w:abstractNumId w:val="32"/>
  </w:num>
  <w:num w:numId="15">
    <w:abstractNumId w:val="3"/>
  </w:num>
  <w:num w:numId="16">
    <w:abstractNumId w:val="53"/>
  </w:num>
  <w:num w:numId="17">
    <w:abstractNumId w:val="58"/>
  </w:num>
  <w:num w:numId="18">
    <w:abstractNumId w:val="7"/>
  </w:num>
  <w:num w:numId="19">
    <w:abstractNumId w:val="24"/>
  </w:num>
  <w:num w:numId="20">
    <w:abstractNumId w:val="2"/>
  </w:num>
  <w:num w:numId="21">
    <w:abstractNumId w:val="55"/>
  </w:num>
  <w:num w:numId="22">
    <w:abstractNumId w:val="69"/>
  </w:num>
  <w:num w:numId="23">
    <w:abstractNumId w:val="59"/>
  </w:num>
  <w:num w:numId="24">
    <w:abstractNumId w:val="57"/>
  </w:num>
  <w:num w:numId="25">
    <w:abstractNumId w:val="50"/>
  </w:num>
  <w:num w:numId="26">
    <w:abstractNumId w:val="34"/>
  </w:num>
  <w:num w:numId="27">
    <w:abstractNumId w:val="67"/>
  </w:num>
  <w:num w:numId="28">
    <w:abstractNumId w:val="28"/>
  </w:num>
  <w:num w:numId="29">
    <w:abstractNumId w:val="21"/>
  </w:num>
  <w:num w:numId="30">
    <w:abstractNumId w:val="56"/>
  </w:num>
  <w:num w:numId="31">
    <w:abstractNumId w:val="27"/>
  </w:num>
  <w:num w:numId="32">
    <w:abstractNumId w:val="20"/>
  </w:num>
  <w:num w:numId="33">
    <w:abstractNumId w:val="10"/>
  </w:num>
  <w:num w:numId="34">
    <w:abstractNumId w:val="0"/>
  </w:num>
  <w:num w:numId="35">
    <w:abstractNumId w:val="13"/>
  </w:num>
  <w:num w:numId="36">
    <w:abstractNumId w:val="66"/>
  </w:num>
  <w:num w:numId="37">
    <w:abstractNumId w:val="49"/>
  </w:num>
  <w:num w:numId="38">
    <w:abstractNumId w:val="16"/>
  </w:num>
  <w:num w:numId="39">
    <w:abstractNumId w:val="22"/>
  </w:num>
  <w:num w:numId="40">
    <w:abstractNumId w:val="5"/>
  </w:num>
  <w:num w:numId="41">
    <w:abstractNumId w:val="31"/>
  </w:num>
  <w:num w:numId="42">
    <w:abstractNumId w:val="45"/>
  </w:num>
  <w:num w:numId="43">
    <w:abstractNumId w:val="40"/>
  </w:num>
  <w:num w:numId="44">
    <w:abstractNumId w:val="43"/>
  </w:num>
  <w:num w:numId="45">
    <w:abstractNumId w:val="25"/>
  </w:num>
  <w:num w:numId="46">
    <w:abstractNumId w:val="61"/>
  </w:num>
  <w:num w:numId="47">
    <w:abstractNumId w:val="33"/>
  </w:num>
  <w:num w:numId="48">
    <w:abstractNumId w:val="26"/>
  </w:num>
  <w:num w:numId="49">
    <w:abstractNumId w:val="11"/>
  </w:num>
  <w:num w:numId="50">
    <w:abstractNumId w:val="15"/>
  </w:num>
  <w:num w:numId="51">
    <w:abstractNumId w:val="64"/>
  </w:num>
  <w:num w:numId="52">
    <w:abstractNumId w:val="30"/>
  </w:num>
  <w:num w:numId="53">
    <w:abstractNumId w:val="46"/>
  </w:num>
  <w:num w:numId="54">
    <w:abstractNumId w:val="48"/>
  </w:num>
  <w:num w:numId="55">
    <w:abstractNumId w:val="8"/>
  </w:num>
  <w:num w:numId="56">
    <w:abstractNumId w:val="70"/>
  </w:num>
  <w:num w:numId="57">
    <w:abstractNumId w:val="19"/>
  </w:num>
  <w:num w:numId="58">
    <w:abstractNumId w:val="12"/>
  </w:num>
  <w:num w:numId="59">
    <w:abstractNumId w:val="9"/>
  </w:num>
  <w:num w:numId="60">
    <w:abstractNumId w:val="38"/>
  </w:num>
  <w:num w:numId="61">
    <w:abstractNumId w:val="18"/>
  </w:num>
  <w:num w:numId="62">
    <w:abstractNumId w:val="1"/>
  </w:num>
  <w:num w:numId="63">
    <w:abstractNumId w:val="41"/>
  </w:num>
  <w:num w:numId="64">
    <w:abstractNumId w:val="44"/>
  </w:num>
  <w:num w:numId="65">
    <w:abstractNumId w:val="14"/>
  </w:num>
  <w:num w:numId="66">
    <w:abstractNumId w:val="29"/>
  </w:num>
  <w:num w:numId="67">
    <w:abstractNumId w:val="63"/>
  </w:num>
  <w:num w:numId="68">
    <w:abstractNumId w:val="47"/>
  </w:num>
  <w:num w:numId="69">
    <w:abstractNumId w:val="23"/>
  </w:num>
  <w:num w:numId="70">
    <w:abstractNumId w:val="35"/>
  </w:num>
  <w:num w:numId="71">
    <w:abstractNumId w:val="6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E05"/>
    <w:rsid w:val="000009B4"/>
    <w:rsid w:val="00001086"/>
    <w:rsid w:val="00001847"/>
    <w:rsid w:val="00001B8A"/>
    <w:rsid w:val="0000203C"/>
    <w:rsid w:val="00002903"/>
    <w:rsid w:val="00002985"/>
    <w:rsid w:val="00002BA1"/>
    <w:rsid w:val="000042BE"/>
    <w:rsid w:val="00004591"/>
    <w:rsid w:val="00004BBA"/>
    <w:rsid w:val="000058A5"/>
    <w:rsid w:val="0000625F"/>
    <w:rsid w:val="00006D26"/>
    <w:rsid w:val="00006F4A"/>
    <w:rsid w:val="00007240"/>
    <w:rsid w:val="00007FB3"/>
    <w:rsid w:val="000105BE"/>
    <w:rsid w:val="00010AD1"/>
    <w:rsid w:val="00011DE6"/>
    <w:rsid w:val="00013AAD"/>
    <w:rsid w:val="000146B5"/>
    <w:rsid w:val="00016ECD"/>
    <w:rsid w:val="0002003B"/>
    <w:rsid w:val="00020968"/>
    <w:rsid w:val="00020D0D"/>
    <w:rsid w:val="00021054"/>
    <w:rsid w:val="0002338E"/>
    <w:rsid w:val="00023EC7"/>
    <w:rsid w:val="00024F36"/>
    <w:rsid w:val="00026ECA"/>
    <w:rsid w:val="000278C7"/>
    <w:rsid w:val="00027D74"/>
    <w:rsid w:val="00030821"/>
    <w:rsid w:val="00030AB4"/>
    <w:rsid w:val="000313E1"/>
    <w:rsid w:val="00031696"/>
    <w:rsid w:val="000316EE"/>
    <w:rsid w:val="0003180D"/>
    <w:rsid w:val="00031893"/>
    <w:rsid w:val="000357A0"/>
    <w:rsid w:val="00035841"/>
    <w:rsid w:val="000358B5"/>
    <w:rsid w:val="00036D1F"/>
    <w:rsid w:val="00037512"/>
    <w:rsid w:val="00040FFF"/>
    <w:rsid w:val="0004148F"/>
    <w:rsid w:val="00041651"/>
    <w:rsid w:val="00041A92"/>
    <w:rsid w:val="000431C2"/>
    <w:rsid w:val="000433A3"/>
    <w:rsid w:val="000441DE"/>
    <w:rsid w:val="000447C4"/>
    <w:rsid w:val="000463AC"/>
    <w:rsid w:val="00050790"/>
    <w:rsid w:val="00050FA7"/>
    <w:rsid w:val="00051122"/>
    <w:rsid w:val="00051316"/>
    <w:rsid w:val="00051A5E"/>
    <w:rsid w:val="00052BF2"/>
    <w:rsid w:val="00053402"/>
    <w:rsid w:val="00053BCC"/>
    <w:rsid w:val="00055212"/>
    <w:rsid w:val="000557E1"/>
    <w:rsid w:val="00056DE5"/>
    <w:rsid w:val="00056FAE"/>
    <w:rsid w:val="00060018"/>
    <w:rsid w:val="0006109B"/>
    <w:rsid w:val="00062B2F"/>
    <w:rsid w:val="000631F1"/>
    <w:rsid w:val="00064256"/>
    <w:rsid w:val="0006646C"/>
    <w:rsid w:val="00066E22"/>
    <w:rsid w:val="000675C9"/>
    <w:rsid w:val="00067A97"/>
    <w:rsid w:val="00067F05"/>
    <w:rsid w:val="00070183"/>
    <w:rsid w:val="00070A9E"/>
    <w:rsid w:val="0007318D"/>
    <w:rsid w:val="00074D63"/>
    <w:rsid w:val="00074EFC"/>
    <w:rsid w:val="00075214"/>
    <w:rsid w:val="00075221"/>
    <w:rsid w:val="00075EFB"/>
    <w:rsid w:val="00077720"/>
    <w:rsid w:val="00077ACE"/>
    <w:rsid w:val="00080C58"/>
    <w:rsid w:val="0008211E"/>
    <w:rsid w:val="00082792"/>
    <w:rsid w:val="0008405B"/>
    <w:rsid w:val="0008466E"/>
    <w:rsid w:val="00084AE6"/>
    <w:rsid w:val="0008561F"/>
    <w:rsid w:val="0008790E"/>
    <w:rsid w:val="0009015E"/>
    <w:rsid w:val="000906A2"/>
    <w:rsid w:val="000909B0"/>
    <w:rsid w:val="00091411"/>
    <w:rsid w:val="0009269D"/>
    <w:rsid w:val="00092976"/>
    <w:rsid w:val="00092EF5"/>
    <w:rsid w:val="000935B0"/>
    <w:rsid w:val="00093EC3"/>
    <w:rsid w:val="000946AA"/>
    <w:rsid w:val="00094C85"/>
    <w:rsid w:val="00096062"/>
    <w:rsid w:val="000960BA"/>
    <w:rsid w:val="000972C6"/>
    <w:rsid w:val="00097454"/>
    <w:rsid w:val="000A00F7"/>
    <w:rsid w:val="000A0F68"/>
    <w:rsid w:val="000A105F"/>
    <w:rsid w:val="000A1269"/>
    <w:rsid w:val="000A1A4D"/>
    <w:rsid w:val="000A1DED"/>
    <w:rsid w:val="000A2C2B"/>
    <w:rsid w:val="000A2E8B"/>
    <w:rsid w:val="000A3A65"/>
    <w:rsid w:val="000A47EC"/>
    <w:rsid w:val="000A4DB4"/>
    <w:rsid w:val="000A6BDF"/>
    <w:rsid w:val="000A79C2"/>
    <w:rsid w:val="000B14D4"/>
    <w:rsid w:val="000B2FE1"/>
    <w:rsid w:val="000B3625"/>
    <w:rsid w:val="000B4464"/>
    <w:rsid w:val="000B4D34"/>
    <w:rsid w:val="000B540E"/>
    <w:rsid w:val="000B5856"/>
    <w:rsid w:val="000B5A01"/>
    <w:rsid w:val="000B6C8B"/>
    <w:rsid w:val="000B73D2"/>
    <w:rsid w:val="000B77A5"/>
    <w:rsid w:val="000B7B21"/>
    <w:rsid w:val="000C0515"/>
    <w:rsid w:val="000C0D2E"/>
    <w:rsid w:val="000C2177"/>
    <w:rsid w:val="000C2868"/>
    <w:rsid w:val="000C34A9"/>
    <w:rsid w:val="000C3505"/>
    <w:rsid w:val="000C4EAF"/>
    <w:rsid w:val="000C4F22"/>
    <w:rsid w:val="000C59F7"/>
    <w:rsid w:val="000C638D"/>
    <w:rsid w:val="000C7321"/>
    <w:rsid w:val="000D0537"/>
    <w:rsid w:val="000D0B82"/>
    <w:rsid w:val="000D0FAE"/>
    <w:rsid w:val="000D1054"/>
    <w:rsid w:val="000D1394"/>
    <w:rsid w:val="000D3057"/>
    <w:rsid w:val="000D39D1"/>
    <w:rsid w:val="000D582B"/>
    <w:rsid w:val="000D678C"/>
    <w:rsid w:val="000D725A"/>
    <w:rsid w:val="000D735A"/>
    <w:rsid w:val="000D78D1"/>
    <w:rsid w:val="000D7B83"/>
    <w:rsid w:val="000E0554"/>
    <w:rsid w:val="000E084F"/>
    <w:rsid w:val="000E14D0"/>
    <w:rsid w:val="000E1C80"/>
    <w:rsid w:val="000E2E50"/>
    <w:rsid w:val="000E3075"/>
    <w:rsid w:val="000E3178"/>
    <w:rsid w:val="000E44E0"/>
    <w:rsid w:val="000E4AD3"/>
    <w:rsid w:val="000E55F7"/>
    <w:rsid w:val="000E6782"/>
    <w:rsid w:val="000E6C40"/>
    <w:rsid w:val="000E71CA"/>
    <w:rsid w:val="000E73FC"/>
    <w:rsid w:val="000E7521"/>
    <w:rsid w:val="000E765C"/>
    <w:rsid w:val="000F051F"/>
    <w:rsid w:val="000F1197"/>
    <w:rsid w:val="000F25F3"/>
    <w:rsid w:val="000F2E94"/>
    <w:rsid w:val="000F2F61"/>
    <w:rsid w:val="000F4824"/>
    <w:rsid w:val="000F4D1C"/>
    <w:rsid w:val="000F4E5E"/>
    <w:rsid w:val="000F540A"/>
    <w:rsid w:val="000F606D"/>
    <w:rsid w:val="000F680C"/>
    <w:rsid w:val="000F7B0C"/>
    <w:rsid w:val="000F7EE0"/>
    <w:rsid w:val="001004A6"/>
    <w:rsid w:val="001011D2"/>
    <w:rsid w:val="00102AA3"/>
    <w:rsid w:val="00102D6A"/>
    <w:rsid w:val="00104441"/>
    <w:rsid w:val="00105412"/>
    <w:rsid w:val="00106E18"/>
    <w:rsid w:val="001070FF"/>
    <w:rsid w:val="00107342"/>
    <w:rsid w:val="00107770"/>
    <w:rsid w:val="001105BE"/>
    <w:rsid w:val="0011061C"/>
    <w:rsid w:val="0011081B"/>
    <w:rsid w:val="00110EC0"/>
    <w:rsid w:val="0011178E"/>
    <w:rsid w:val="00112C09"/>
    <w:rsid w:val="001140C9"/>
    <w:rsid w:val="0011462F"/>
    <w:rsid w:val="001147E2"/>
    <w:rsid w:val="0011683A"/>
    <w:rsid w:val="00117B74"/>
    <w:rsid w:val="00117C1E"/>
    <w:rsid w:val="00121650"/>
    <w:rsid w:val="001216A1"/>
    <w:rsid w:val="0012315A"/>
    <w:rsid w:val="00123604"/>
    <w:rsid w:val="00123875"/>
    <w:rsid w:val="00123D3E"/>
    <w:rsid w:val="0012432B"/>
    <w:rsid w:val="00124A22"/>
    <w:rsid w:val="0012547B"/>
    <w:rsid w:val="00125535"/>
    <w:rsid w:val="001256B7"/>
    <w:rsid w:val="00125DA8"/>
    <w:rsid w:val="001269C4"/>
    <w:rsid w:val="00126C04"/>
    <w:rsid w:val="0012733D"/>
    <w:rsid w:val="001273EB"/>
    <w:rsid w:val="00127B95"/>
    <w:rsid w:val="0013043F"/>
    <w:rsid w:val="00130559"/>
    <w:rsid w:val="00131067"/>
    <w:rsid w:val="00132007"/>
    <w:rsid w:val="00132274"/>
    <w:rsid w:val="001325A5"/>
    <w:rsid w:val="00132760"/>
    <w:rsid w:val="00133661"/>
    <w:rsid w:val="001348C2"/>
    <w:rsid w:val="00134BE3"/>
    <w:rsid w:val="00134C45"/>
    <w:rsid w:val="00136F64"/>
    <w:rsid w:val="00137DBA"/>
    <w:rsid w:val="0014189B"/>
    <w:rsid w:val="00141D41"/>
    <w:rsid w:val="0014251C"/>
    <w:rsid w:val="00142974"/>
    <w:rsid w:val="00143F84"/>
    <w:rsid w:val="001445E4"/>
    <w:rsid w:val="0014483A"/>
    <w:rsid w:val="00145A6E"/>
    <w:rsid w:val="00145CF2"/>
    <w:rsid w:val="001460AD"/>
    <w:rsid w:val="00146D79"/>
    <w:rsid w:val="001470C2"/>
    <w:rsid w:val="001472EC"/>
    <w:rsid w:val="00150012"/>
    <w:rsid w:val="00150059"/>
    <w:rsid w:val="00150A21"/>
    <w:rsid w:val="00150CE9"/>
    <w:rsid w:val="00152EE7"/>
    <w:rsid w:val="00152F8F"/>
    <w:rsid w:val="001549DF"/>
    <w:rsid w:val="00155195"/>
    <w:rsid w:val="001554F0"/>
    <w:rsid w:val="0015558C"/>
    <w:rsid w:val="001559DA"/>
    <w:rsid w:val="00157B21"/>
    <w:rsid w:val="00161E02"/>
    <w:rsid w:val="00161F13"/>
    <w:rsid w:val="00162F9F"/>
    <w:rsid w:val="00163C3B"/>
    <w:rsid w:val="001649C0"/>
    <w:rsid w:val="0016643F"/>
    <w:rsid w:val="001664DF"/>
    <w:rsid w:val="0016694D"/>
    <w:rsid w:val="00166D8B"/>
    <w:rsid w:val="001700B3"/>
    <w:rsid w:val="0017076B"/>
    <w:rsid w:val="0017172F"/>
    <w:rsid w:val="00171750"/>
    <w:rsid w:val="001720EB"/>
    <w:rsid w:val="00172EF6"/>
    <w:rsid w:val="00172F07"/>
    <w:rsid w:val="00174442"/>
    <w:rsid w:val="0017449A"/>
    <w:rsid w:val="0017690C"/>
    <w:rsid w:val="00176D77"/>
    <w:rsid w:val="00176D8B"/>
    <w:rsid w:val="0017759D"/>
    <w:rsid w:val="00177EE9"/>
    <w:rsid w:val="00180408"/>
    <w:rsid w:val="00180FE4"/>
    <w:rsid w:val="00181163"/>
    <w:rsid w:val="001813D0"/>
    <w:rsid w:val="00182421"/>
    <w:rsid w:val="001829D2"/>
    <w:rsid w:val="001838EB"/>
    <w:rsid w:val="00184522"/>
    <w:rsid w:val="001850DE"/>
    <w:rsid w:val="0018657C"/>
    <w:rsid w:val="00186C16"/>
    <w:rsid w:val="00186CC4"/>
    <w:rsid w:val="00186F3E"/>
    <w:rsid w:val="00187722"/>
    <w:rsid w:val="001907DA"/>
    <w:rsid w:val="00190FF4"/>
    <w:rsid w:val="00192E38"/>
    <w:rsid w:val="00193047"/>
    <w:rsid w:val="00193214"/>
    <w:rsid w:val="00193217"/>
    <w:rsid w:val="00193698"/>
    <w:rsid w:val="00193978"/>
    <w:rsid w:val="00193AE5"/>
    <w:rsid w:val="00193EF8"/>
    <w:rsid w:val="001945D6"/>
    <w:rsid w:val="0019472E"/>
    <w:rsid w:val="001964A3"/>
    <w:rsid w:val="001978B3"/>
    <w:rsid w:val="00197C2F"/>
    <w:rsid w:val="001A1995"/>
    <w:rsid w:val="001A584B"/>
    <w:rsid w:val="001A6E86"/>
    <w:rsid w:val="001A766B"/>
    <w:rsid w:val="001A77A8"/>
    <w:rsid w:val="001B038E"/>
    <w:rsid w:val="001B1459"/>
    <w:rsid w:val="001B14EA"/>
    <w:rsid w:val="001B168E"/>
    <w:rsid w:val="001B20EB"/>
    <w:rsid w:val="001B35D0"/>
    <w:rsid w:val="001B3B3B"/>
    <w:rsid w:val="001B460B"/>
    <w:rsid w:val="001B5B2F"/>
    <w:rsid w:val="001B65FA"/>
    <w:rsid w:val="001B6694"/>
    <w:rsid w:val="001C1838"/>
    <w:rsid w:val="001C2667"/>
    <w:rsid w:val="001C27C1"/>
    <w:rsid w:val="001C2A41"/>
    <w:rsid w:val="001C2F44"/>
    <w:rsid w:val="001C3D4D"/>
    <w:rsid w:val="001C43B3"/>
    <w:rsid w:val="001C4818"/>
    <w:rsid w:val="001C4FB0"/>
    <w:rsid w:val="001C4FB4"/>
    <w:rsid w:val="001C5822"/>
    <w:rsid w:val="001C7383"/>
    <w:rsid w:val="001C7B59"/>
    <w:rsid w:val="001D44AF"/>
    <w:rsid w:val="001D4F19"/>
    <w:rsid w:val="001D5347"/>
    <w:rsid w:val="001D7392"/>
    <w:rsid w:val="001E0CE8"/>
    <w:rsid w:val="001E18DB"/>
    <w:rsid w:val="001E1912"/>
    <w:rsid w:val="001E1DE3"/>
    <w:rsid w:val="001E2B2F"/>
    <w:rsid w:val="001E2BD8"/>
    <w:rsid w:val="001E4604"/>
    <w:rsid w:val="001E49E7"/>
    <w:rsid w:val="001E6A9B"/>
    <w:rsid w:val="001E701E"/>
    <w:rsid w:val="001E7643"/>
    <w:rsid w:val="001E7F35"/>
    <w:rsid w:val="001F058C"/>
    <w:rsid w:val="001F0604"/>
    <w:rsid w:val="001F063F"/>
    <w:rsid w:val="001F0FC4"/>
    <w:rsid w:val="001F113C"/>
    <w:rsid w:val="001F1309"/>
    <w:rsid w:val="001F142F"/>
    <w:rsid w:val="001F2ADF"/>
    <w:rsid w:val="001F324B"/>
    <w:rsid w:val="001F417D"/>
    <w:rsid w:val="001F5F64"/>
    <w:rsid w:val="001F67C5"/>
    <w:rsid w:val="001F6F5E"/>
    <w:rsid w:val="001F6F95"/>
    <w:rsid w:val="001F6FDF"/>
    <w:rsid w:val="00201FE1"/>
    <w:rsid w:val="0020231A"/>
    <w:rsid w:val="00202F56"/>
    <w:rsid w:val="00203D04"/>
    <w:rsid w:val="00204B73"/>
    <w:rsid w:val="00204F1C"/>
    <w:rsid w:val="00204FA9"/>
    <w:rsid w:val="00205409"/>
    <w:rsid w:val="00205627"/>
    <w:rsid w:val="0020657D"/>
    <w:rsid w:val="00207814"/>
    <w:rsid w:val="002107E2"/>
    <w:rsid w:val="00210AB8"/>
    <w:rsid w:val="00211C3F"/>
    <w:rsid w:val="00211F52"/>
    <w:rsid w:val="002124D1"/>
    <w:rsid w:val="00213209"/>
    <w:rsid w:val="00213C47"/>
    <w:rsid w:val="00215300"/>
    <w:rsid w:val="0021544A"/>
    <w:rsid w:val="00215963"/>
    <w:rsid w:val="002161D1"/>
    <w:rsid w:val="00216E0B"/>
    <w:rsid w:val="00217106"/>
    <w:rsid w:val="0021769C"/>
    <w:rsid w:val="00217FEB"/>
    <w:rsid w:val="002209C4"/>
    <w:rsid w:val="00222429"/>
    <w:rsid w:val="00223C96"/>
    <w:rsid w:val="00224542"/>
    <w:rsid w:val="00224B01"/>
    <w:rsid w:val="002255E1"/>
    <w:rsid w:val="002257B4"/>
    <w:rsid w:val="00225E29"/>
    <w:rsid w:val="00226CC1"/>
    <w:rsid w:val="00227084"/>
    <w:rsid w:val="002278F9"/>
    <w:rsid w:val="0023082A"/>
    <w:rsid w:val="00231E75"/>
    <w:rsid w:val="002323A5"/>
    <w:rsid w:val="002326C7"/>
    <w:rsid w:val="00233485"/>
    <w:rsid w:val="002334F6"/>
    <w:rsid w:val="00233B27"/>
    <w:rsid w:val="00234757"/>
    <w:rsid w:val="002348DF"/>
    <w:rsid w:val="00236654"/>
    <w:rsid w:val="002370D8"/>
    <w:rsid w:val="00237145"/>
    <w:rsid w:val="0023717E"/>
    <w:rsid w:val="002402F8"/>
    <w:rsid w:val="002406D0"/>
    <w:rsid w:val="0024079D"/>
    <w:rsid w:val="00240864"/>
    <w:rsid w:val="00240ABA"/>
    <w:rsid w:val="00240ABC"/>
    <w:rsid w:val="00240E5B"/>
    <w:rsid w:val="00241855"/>
    <w:rsid w:val="00241CE3"/>
    <w:rsid w:val="002423E9"/>
    <w:rsid w:val="002441A5"/>
    <w:rsid w:val="002448DB"/>
    <w:rsid w:val="00244B72"/>
    <w:rsid w:val="00244CEF"/>
    <w:rsid w:val="00245055"/>
    <w:rsid w:val="00245495"/>
    <w:rsid w:val="002454B1"/>
    <w:rsid w:val="00245B8B"/>
    <w:rsid w:val="002460BC"/>
    <w:rsid w:val="002469C1"/>
    <w:rsid w:val="00247209"/>
    <w:rsid w:val="00247778"/>
    <w:rsid w:val="002478D3"/>
    <w:rsid w:val="002503FC"/>
    <w:rsid w:val="00251493"/>
    <w:rsid w:val="0025195D"/>
    <w:rsid w:val="00251AAE"/>
    <w:rsid w:val="00251F46"/>
    <w:rsid w:val="00252196"/>
    <w:rsid w:val="002527CA"/>
    <w:rsid w:val="00252F8E"/>
    <w:rsid w:val="00253CA1"/>
    <w:rsid w:val="00255AEC"/>
    <w:rsid w:val="00255C53"/>
    <w:rsid w:val="00256E9F"/>
    <w:rsid w:val="002570C3"/>
    <w:rsid w:val="002572CD"/>
    <w:rsid w:val="00257744"/>
    <w:rsid w:val="00257EA1"/>
    <w:rsid w:val="00260083"/>
    <w:rsid w:val="00260328"/>
    <w:rsid w:val="00261D6E"/>
    <w:rsid w:val="00262852"/>
    <w:rsid w:val="00263A0A"/>
    <w:rsid w:val="00264A8E"/>
    <w:rsid w:val="00264E3B"/>
    <w:rsid w:val="002651EF"/>
    <w:rsid w:val="00265A7D"/>
    <w:rsid w:val="00265F48"/>
    <w:rsid w:val="00266524"/>
    <w:rsid w:val="00266905"/>
    <w:rsid w:val="00267105"/>
    <w:rsid w:val="0027011A"/>
    <w:rsid w:val="0027240C"/>
    <w:rsid w:val="00272C50"/>
    <w:rsid w:val="00273119"/>
    <w:rsid w:val="002740E3"/>
    <w:rsid w:val="00275310"/>
    <w:rsid w:val="00275E5D"/>
    <w:rsid w:val="00276003"/>
    <w:rsid w:val="002762A9"/>
    <w:rsid w:val="00276794"/>
    <w:rsid w:val="0027683A"/>
    <w:rsid w:val="00277056"/>
    <w:rsid w:val="00277F20"/>
    <w:rsid w:val="00282629"/>
    <w:rsid w:val="00284F57"/>
    <w:rsid w:val="00286D23"/>
    <w:rsid w:val="00286DCC"/>
    <w:rsid w:val="0028760E"/>
    <w:rsid w:val="00291768"/>
    <w:rsid w:val="00291EF6"/>
    <w:rsid w:val="0029315A"/>
    <w:rsid w:val="00297E24"/>
    <w:rsid w:val="002A0C3D"/>
    <w:rsid w:val="002A11B7"/>
    <w:rsid w:val="002A1407"/>
    <w:rsid w:val="002A2247"/>
    <w:rsid w:val="002A228A"/>
    <w:rsid w:val="002A299F"/>
    <w:rsid w:val="002A328E"/>
    <w:rsid w:val="002A38F0"/>
    <w:rsid w:val="002A460C"/>
    <w:rsid w:val="002A461D"/>
    <w:rsid w:val="002A60C3"/>
    <w:rsid w:val="002A6548"/>
    <w:rsid w:val="002A734A"/>
    <w:rsid w:val="002B0043"/>
    <w:rsid w:val="002B0076"/>
    <w:rsid w:val="002B1D29"/>
    <w:rsid w:val="002B2044"/>
    <w:rsid w:val="002B2276"/>
    <w:rsid w:val="002B2B79"/>
    <w:rsid w:val="002B3717"/>
    <w:rsid w:val="002B3AB5"/>
    <w:rsid w:val="002B51BE"/>
    <w:rsid w:val="002B58A8"/>
    <w:rsid w:val="002C04BF"/>
    <w:rsid w:val="002C0E6D"/>
    <w:rsid w:val="002C13CF"/>
    <w:rsid w:val="002C1E64"/>
    <w:rsid w:val="002C1E6C"/>
    <w:rsid w:val="002C2324"/>
    <w:rsid w:val="002C2FBF"/>
    <w:rsid w:val="002C3CA1"/>
    <w:rsid w:val="002C40CB"/>
    <w:rsid w:val="002C4E7B"/>
    <w:rsid w:val="002C5A42"/>
    <w:rsid w:val="002C6745"/>
    <w:rsid w:val="002C681F"/>
    <w:rsid w:val="002D0C56"/>
    <w:rsid w:val="002D2B0D"/>
    <w:rsid w:val="002D2D2D"/>
    <w:rsid w:val="002D38C7"/>
    <w:rsid w:val="002D4B15"/>
    <w:rsid w:val="002D4C35"/>
    <w:rsid w:val="002D5945"/>
    <w:rsid w:val="002D6FC9"/>
    <w:rsid w:val="002D762C"/>
    <w:rsid w:val="002E06CE"/>
    <w:rsid w:val="002E0B92"/>
    <w:rsid w:val="002E2871"/>
    <w:rsid w:val="002E3BD8"/>
    <w:rsid w:val="002E3D93"/>
    <w:rsid w:val="002E4957"/>
    <w:rsid w:val="002E4B00"/>
    <w:rsid w:val="002E5461"/>
    <w:rsid w:val="002E5970"/>
    <w:rsid w:val="002E5A19"/>
    <w:rsid w:val="002E5B8A"/>
    <w:rsid w:val="002E66C3"/>
    <w:rsid w:val="002E7615"/>
    <w:rsid w:val="002E7DE0"/>
    <w:rsid w:val="002F0689"/>
    <w:rsid w:val="002F14DE"/>
    <w:rsid w:val="002F43DA"/>
    <w:rsid w:val="002F4D7C"/>
    <w:rsid w:val="002F5102"/>
    <w:rsid w:val="002F5328"/>
    <w:rsid w:val="002F5474"/>
    <w:rsid w:val="002F57AC"/>
    <w:rsid w:val="002F619B"/>
    <w:rsid w:val="002F6850"/>
    <w:rsid w:val="002F77DE"/>
    <w:rsid w:val="00301175"/>
    <w:rsid w:val="00301253"/>
    <w:rsid w:val="00301600"/>
    <w:rsid w:val="00302A6A"/>
    <w:rsid w:val="00302B52"/>
    <w:rsid w:val="003038BE"/>
    <w:rsid w:val="00303DF2"/>
    <w:rsid w:val="0030407F"/>
    <w:rsid w:val="00306255"/>
    <w:rsid w:val="0030746D"/>
    <w:rsid w:val="00307625"/>
    <w:rsid w:val="0030765D"/>
    <w:rsid w:val="00307698"/>
    <w:rsid w:val="0030779F"/>
    <w:rsid w:val="00312527"/>
    <w:rsid w:val="003134EA"/>
    <w:rsid w:val="003136B7"/>
    <w:rsid w:val="00313B39"/>
    <w:rsid w:val="00314D71"/>
    <w:rsid w:val="00315385"/>
    <w:rsid w:val="003174DD"/>
    <w:rsid w:val="00317567"/>
    <w:rsid w:val="00317891"/>
    <w:rsid w:val="00317905"/>
    <w:rsid w:val="00317E44"/>
    <w:rsid w:val="00321968"/>
    <w:rsid w:val="00321CE3"/>
    <w:rsid w:val="00322986"/>
    <w:rsid w:val="0032510B"/>
    <w:rsid w:val="00325B8D"/>
    <w:rsid w:val="00326976"/>
    <w:rsid w:val="00326E44"/>
    <w:rsid w:val="00327513"/>
    <w:rsid w:val="00327624"/>
    <w:rsid w:val="00327729"/>
    <w:rsid w:val="003301FA"/>
    <w:rsid w:val="0033045F"/>
    <w:rsid w:val="00330B1D"/>
    <w:rsid w:val="00330EE7"/>
    <w:rsid w:val="00330F78"/>
    <w:rsid w:val="003329FF"/>
    <w:rsid w:val="00332B68"/>
    <w:rsid w:val="00332E0A"/>
    <w:rsid w:val="003332A3"/>
    <w:rsid w:val="0033525B"/>
    <w:rsid w:val="003356F7"/>
    <w:rsid w:val="00335DD0"/>
    <w:rsid w:val="00336589"/>
    <w:rsid w:val="00336753"/>
    <w:rsid w:val="0033729A"/>
    <w:rsid w:val="00337792"/>
    <w:rsid w:val="00337F9A"/>
    <w:rsid w:val="00340944"/>
    <w:rsid w:val="00340A19"/>
    <w:rsid w:val="00340D6B"/>
    <w:rsid w:val="00340DDE"/>
    <w:rsid w:val="00341655"/>
    <w:rsid w:val="00341DF7"/>
    <w:rsid w:val="00341E88"/>
    <w:rsid w:val="003428D1"/>
    <w:rsid w:val="00342953"/>
    <w:rsid w:val="00342E35"/>
    <w:rsid w:val="00343167"/>
    <w:rsid w:val="00343879"/>
    <w:rsid w:val="00343B94"/>
    <w:rsid w:val="0034411F"/>
    <w:rsid w:val="00344512"/>
    <w:rsid w:val="00344C59"/>
    <w:rsid w:val="003450A2"/>
    <w:rsid w:val="00345A78"/>
    <w:rsid w:val="00346229"/>
    <w:rsid w:val="0034657E"/>
    <w:rsid w:val="003468EB"/>
    <w:rsid w:val="00346DCC"/>
    <w:rsid w:val="00347DAF"/>
    <w:rsid w:val="0035044A"/>
    <w:rsid w:val="00350497"/>
    <w:rsid w:val="003519B5"/>
    <w:rsid w:val="00352194"/>
    <w:rsid w:val="003537DA"/>
    <w:rsid w:val="00353DB6"/>
    <w:rsid w:val="003552DA"/>
    <w:rsid w:val="00355305"/>
    <w:rsid w:val="00355C74"/>
    <w:rsid w:val="003570A0"/>
    <w:rsid w:val="003575E0"/>
    <w:rsid w:val="00357847"/>
    <w:rsid w:val="00361ABE"/>
    <w:rsid w:val="00362095"/>
    <w:rsid w:val="003621AA"/>
    <w:rsid w:val="003623F3"/>
    <w:rsid w:val="00362A60"/>
    <w:rsid w:val="00362CA4"/>
    <w:rsid w:val="00362D24"/>
    <w:rsid w:val="00365407"/>
    <w:rsid w:val="00365D90"/>
    <w:rsid w:val="00365DAA"/>
    <w:rsid w:val="003661FA"/>
    <w:rsid w:val="00366E24"/>
    <w:rsid w:val="003671F1"/>
    <w:rsid w:val="0036747C"/>
    <w:rsid w:val="00367A15"/>
    <w:rsid w:val="00370C58"/>
    <w:rsid w:val="00371249"/>
    <w:rsid w:val="003718F9"/>
    <w:rsid w:val="00372A3F"/>
    <w:rsid w:val="00372B08"/>
    <w:rsid w:val="00373494"/>
    <w:rsid w:val="00375B6A"/>
    <w:rsid w:val="00376338"/>
    <w:rsid w:val="00376BEC"/>
    <w:rsid w:val="00381CAE"/>
    <w:rsid w:val="00382398"/>
    <w:rsid w:val="00383CB4"/>
    <w:rsid w:val="00384ABC"/>
    <w:rsid w:val="00386111"/>
    <w:rsid w:val="003862DD"/>
    <w:rsid w:val="003864E7"/>
    <w:rsid w:val="00386547"/>
    <w:rsid w:val="0038676C"/>
    <w:rsid w:val="00387104"/>
    <w:rsid w:val="00387F54"/>
    <w:rsid w:val="00391209"/>
    <w:rsid w:val="00392AE6"/>
    <w:rsid w:val="00392D7F"/>
    <w:rsid w:val="00393560"/>
    <w:rsid w:val="003947F2"/>
    <w:rsid w:val="0039490A"/>
    <w:rsid w:val="00394CF9"/>
    <w:rsid w:val="003950C6"/>
    <w:rsid w:val="0039681B"/>
    <w:rsid w:val="00397C3F"/>
    <w:rsid w:val="00397DA3"/>
    <w:rsid w:val="003A02D6"/>
    <w:rsid w:val="003A0994"/>
    <w:rsid w:val="003A1589"/>
    <w:rsid w:val="003A294A"/>
    <w:rsid w:val="003A5D62"/>
    <w:rsid w:val="003A645F"/>
    <w:rsid w:val="003A67D5"/>
    <w:rsid w:val="003A68A0"/>
    <w:rsid w:val="003A719F"/>
    <w:rsid w:val="003A7637"/>
    <w:rsid w:val="003A797D"/>
    <w:rsid w:val="003B08AB"/>
    <w:rsid w:val="003B1519"/>
    <w:rsid w:val="003B165E"/>
    <w:rsid w:val="003B21B2"/>
    <w:rsid w:val="003B2B9B"/>
    <w:rsid w:val="003B52C0"/>
    <w:rsid w:val="003B67ED"/>
    <w:rsid w:val="003B7659"/>
    <w:rsid w:val="003B7685"/>
    <w:rsid w:val="003B7A5E"/>
    <w:rsid w:val="003B7A8E"/>
    <w:rsid w:val="003B7EAE"/>
    <w:rsid w:val="003C125C"/>
    <w:rsid w:val="003C15C5"/>
    <w:rsid w:val="003C20CF"/>
    <w:rsid w:val="003C2780"/>
    <w:rsid w:val="003C2CAD"/>
    <w:rsid w:val="003C42B7"/>
    <w:rsid w:val="003C5935"/>
    <w:rsid w:val="003C5C96"/>
    <w:rsid w:val="003C5F40"/>
    <w:rsid w:val="003C5FC9"/>
    <w:rsid w:val="003C6B6E"/>
    <w:rsid w:val="003D0213"/>
    <w:rsid w:val="003D047F"/>
    <w:rsid w:val="003D071E"/>
    <w:rsid w:val="003D082B"/>
    <w:rsid w:val="003D0989"/>
    <w:rsid w:val="003D0A60"/>
    <w:rsid w:val="003D0C18"/>
    <w:rsid w:val="003D184D"/>
    <w:rsid w:val="003D24A4"/>
    <w:rsid w:val="003D27B0"/>
    <w:rsid w:val="003D2E53"/>
    <w:rsid w:val="003D2F4D"/>
    <w:rsid w:val="003D39A4"/>
    <w:rsid w:val="003D3D34"/>
    <w:rsid w:val="003D3D3B"/>
    <w:rsid w:val="003D3F53"/>
    <w:rsid w:val="003D43A4"/>
    <w:rsid w:val="003D5130"/>
    <w:rsid w:val="003D557E"/>
    <w:rsid w:val="003D5A86"/>
    <w:rsid w:val="003D72D8"/>
    <w:rsid w:val="003D762F"/>
    <w:rsid w:val="003D7725"/>
    <w:rsid w:val="003D7996"/>
    <w:rsid w:val="003E03A1"/>
    <w:rsid w:val="003E03E4"/>
    <w:rsid w:val="003E069C"/>
    <w:rsid w:val="003E1083"/>
    <w:rsid w:val="003E3135"/>
    <w:rsid w:val="003E3E99"/>
    <w:rsid w:val="003E4318"/>
    <w:rsid w:val="003E49E5"/>
    <w:rsid w:val="003E529E"/>
    <w:rsid w:val="003E568F"/>
    <w:rsid w:val="003E5AE7"/>
    <w:rsid w:val="003E6982"/>
    <w:rsid w:val="003E783A"/>
    <w:rsid w:val="003E788A"/>
    <w:rsid w:val="003F09C1"/>
    <w:rsid w:val="003F0C82"/>
    <w:rsid w:val="003F1220"/>
    <w:rsid w:val="003F2272"/>
    <w:rsid w:val="003F2FDB"/>
    <w:rsid w:val="003F38E8"/>
    <w:rsid w:val="003F4DA7"/>
    <w:rsid w:val="003F50B1"/>
    <w:rsid w:val="003F668C"/>
    <w:rsid w:val="003F6B21"/>
    <w:rsid w:val="003F6B7C"/>
    <w:rsid w:val="004008C0"/>
    <w:rsid w:val="00400BF5"/>
    <w:rsid w:val="004010D2"/>
    <w:rsid w:val="0040176D"/>
    <w:rsid w:val="0040263A"/>
    <w:rsid w:val="00402E3B"/>
    <w:rsid w:val="0040348D"/>
    <w:rsid w:val="004049A9"/>
    <w:rsid w:val="00404DBA"/>
    <w:rsid w:val="0040685E"/>
    <w:rsid w:val="00406C97"/>
    <w:rsid w:val="004104AC"/>
    <w:rsid w:val="00412105"/>
    <w:rsid w:val="00412B4B"/>
    <w:rsid w:val="00413F7E"/>
    <w:rsid w:val="00414624"/>
    <w:rsid w:val="00414702"/>
    <w:rsid w:val="004158FA"/>
    <w:rsid w:val="0041642C"/>
    <w:rsid w:val="00417DCB"/>
    <w:rsid w:val="00420C89"/>
    <w:rsid w:val="00421A03"/>
    <w:rsid w:val="0042203E"/>
    <w:rsid w:val="00422501"/>
    <w:rsid w:val="004241A1"/>
    <w:rsid w:val="004243F1"/>
    <w:rsid w:val="004246D4"/>
    <w:rsid w:val="00425D0E"/>
    <w:rsid w:val="00426228"/>
    <w:rsid w:val="0042698C"/>
    <w:rsid w:val="00426C9E"/>
    <w:rsid w:val="0042726F"/>
    <w:rsid w:val="0042741F"/>
    <w:rsid w:val="00430AC8"/>
    <w:rsid w:val="00432288"/>
    <w:rsid w:val="004326B0"/>
    <w:rsid w:val="00433397"/>
    <w:rsid w:val="004335A3"/>
    <w:rsid w:val="004349AE"/>
    <w:rsid w:val="0043587B"/>
    <w:rsid w:val="00435BF2"/>
    <w:rsid w:val="00436982"/>
    <w:rsid w:val="00436B33"/>
    <w:rsid w:val="00436E61"/>
    <w:rsid w:val="00436FFA"/>
    <w:rsid w:val="00437C04"/>
    <w:rsid w:val="004405A7"/>
    <w:rsid w:val="004409F7"/>
    <w:rsid w:val="004426DC"/>
    <w:rsid w:val="00443A81"/>
    <w:rsid w:val="00443CB3"/>
    <w:rsid w:val="00443DBD"/>
    <w:rsid w:val="00443FC6"/>
    <w:rsid w:val="00444289"/>
    <w:rsid w:val="00444766"/>
    <w:rsid w:val="004449DB"/>
    <w:rsid w:val="00444E32"/>
    <w:rsid w:val="00445151"/>
    <w:rsid w:val="00447459"/>
    <w:rsid w:val="0045026B"/>
    <w:rsid w:val="00451135"/>
    <w:rsid w:val="004516AC"/>
    <w:rsid w:val="00451987"/>
    <w:rsid w:val="004529D6"/>
    <w:rsid w:val="00452B0A"/>
    <w:rsid w:val="00453CE5"/>
    <w:rsid w:val="004546A1"/>
    <w:rsid w:val="00454868"/>
    <w:rsid w:val="004552E5"/>
    <w:rsid w:val="00455ECB"/>
    <w:rsid w:val="004563A6"/>
    <w:rsid w:val="00456A13"/>
    <w:rsid w:val="00456A1A"/>
    <w:rsid w:val="0045766D"/>
    <w:rsid w:val="0046055E"/>
    <w:rsid w:val="00460DDA"/>
    <w:rsid w:val="00461120"/>
    <w:rsid w:val="00462131"/>
    <w:rsid w:val="00462432"/>
    <w:rsid w:val="00462B80"/>
    <w:rsid w:val="00463068"/>
    <w:rsid w:val="0046343D"/>
    <w:rsid w:val="004634AF"/>
    <w:rsid w:val="00464239"/>
    <w:rsid w:val="00464997"/>
    <w:rsid w:val="00464C32"/>
    <w:rsid w:val="00465363"/>
    <w:rsid w:val="00465948"/>
    <w:rsid w:val="0046594C"/>
    <w:rsid w:val="0046664E"/>
    <w:rsid w:val="0046789C"/>
    <w:rsid w:val="00467F2A"/>
    <w:rsid w:val="00467F54"/>
    <w:rsid w:val="004710C9"/>
    <w:rsid w:val="00471172"/>
    <w:rsid w:val="004718DA"/>
    <w:rsid w:val="004719C1"/>
    <w:rsid w:val="00472294"/>
    <w:rsid w:val="00474539"/>
    <w:rsid w:val="004748A7"/>
    <w:rsid w:val="0047559A"/>
    <w:rsid w:val="00476597"/>
    <w:rsid w:val="00477292"/>
    <w:rsid w:val="004773DD"/>
    <w:rsid w:val="0048014F"/>
    <w:rsid w:val="00480699"/>
    <w:rsid w:val="00480DDB"/>
    <w:rsid w:val="00482138"/>
    <w:rsid w:val="004823A1"/>
    <w:rsid w:val="00482B98"/>
    <w:rsid w:val="0048344E"/>
    <w:rsid w:val="00483D16"/>
    <w:rsid w:val="00486F2E"/>
    <w:rsid w:val="004872EF"/>
    <w:rsid w:val="004878CE"/>
    <w:rsid w:val="00491932"/>
    <w:rsid w:val="00491995"/>
    <w:rsid w:val="00492A3F"/>
    <w:rsid w:val="004931F1"/>
    <w:rsid w:val="00495067"/>
    <w:rsid w:val="004959D2"/>
    <w:rsid w:val="004965B0"/>
    <w:rsid w:val="004974C9"/>
    <w:rsid w:val="004A010E"/>
    <w:rsid w:val="004A0FE4"/>
    <w:rsid w:val="004A1BCD"/>
    <w:rsid w:val="004A2522"/>
    <w:rsid w:val="004A254F"/>
    <w:rsid w:val="004A3259"/>
    <w:rsid w:val="004A492C"/>
    <w:rsid w:val="004A5D25"/>
    <w:rsid w:val="004A7490"/>
    <w:rsid w:val="004B03D5"/>
    <w:rsid w:val="004B0534"/>
    <w:rsid w:val="004B2482"/>
    <w:rsid w:val="004B3FF3"/>
    <w:rsid w:val="004B403B"/>
    <w:rsid w:val="004B4AD0"/>
    <w:rsid w:val="004B58CA"/>
    <w:rsid w:val="004B6441"/>
    <w:rsid w:val="004B69DB"/>
    <w:rsid w:val="004B6ADA"/>
    <w:rsid w:val="004B6BA3"/>
    <w:rsid w:val="004C0E78"/>
    <w:rsid w:val="004C1174"/>
    <w:rsid w:val="004C12C9"/>
    <w:rsid w:val="004C12F0"/>
    <w:rsid w:val="004C17C5"/>
    <w:rsid w:val="004C219F"/>
    <w:rsid w:val="004C240F"/>
    <w:rsid w:val="004C2653"/>
    <w:rsid w:val="004C285B"/>
    <w:rsid w:val="004C3D1F"/>
    <w:rsid w:val="004C5048"/>
    <w:rsid w:val="004C55B4"/>
    <w:rsid w:val="004C5BEC"/>
    <w:rsid w:val="004C5C81"/>
    <w:rsid w:val="004C6C15"/>
    <w:rsid w:val="004C6F8D"/>
    <w:rsid w:val="004C7BDF"/>
    <w:rsid w:val="004D05F2"/>
    <w:rsid w:val="004D0619"/>
    <w:rsid w:val="004D0A47"/>
    <w:rsid w:val="004D0C06"/>
    <w:rsid w:val="004D1A9D"/>
    <w:rsid w:val="004D1F43"/>
    <w:rsid w:val="004D3A5E"/>
    <w:rsid w:val="004D3ACE"/>
    <w:rsid w:val="004D6D23"/>
    <w:rsid w:val="004D7C64"/>
    <w:rsid w:val="004E0208"/>
    <w:rsid w:val="004E0EF1"/>
    <w:rsid w:val="004E13A4"/>
    <w:rsid w:val="004E1EC8"/>
    <w:rsid w:val="004E3218"/>
    <w:rsid w:val="004E33F6"/>
    <w:rsid w:val="004E355C"/>
    <w:rsid w:val="004E3562"/>
    <w:rsid w:val="004E391D"/>
    <w:rsid w:val="004E43E2"/>
    <w:rsid w:val="004E45D3"/>
    <w:rsid w:val="004E49FE"/>
    <w:rsid w:val="004E4BE3"/>
    <w:rsid w:val="004E4D69"/>
    <w:rsid w:val="004E4E4E"/>
    <w:rsid w:val="004E4EBD"/>
    <w:rsid w:val="004E58EE"/>
    <w:rsid w:val="004E5CD7"/>
    <w:rsid w:val="004E63F7"/>
    <w:rsid w:val="004E67E5"/>
    <w:rsid w:val="004E7C1E"/>
    <w:rsid w:val="004F04D3"/>
    <w:rsid w:val="004F0C7D"/>
    <w:rsid w:val="004F0F4C"/>
    <w:rsid w:val="004F1DEF"/>
    <w:rsid w:val="004F1FA6"/>
    <w:rsid w:val="004F2300"/>
    <w:rsid w:val="004F2CAD"/>
    <w:rsid w:val="004F3E0B"/>
    <w:rsid w:val="004F3F15"/>
    <w:rsid w:val="004F51AF"/>
    <w:rsid w:val="004F5A59"/>
    <w:rsid w:val="004F62A4"/>
    <w:rsid w:val="004F651C"/>
    <w:rsid w:val="004F79E4"/>
    <w:rsid w:val="004F7CCF"/>
    <w:rsid w:val="005008F3"/>
    <w:rsid w:val="00500E6A"/>
    <w:rsid w:val="00501737"/>
    <w:rsid w:val="00501931"/>
    <w:rsid w:val="005031B9"/>
    <w:rsid w:val="00503465"/>
    <w:rsid w:val="0050357E"/>
    <w:rsid w:val="00503636"/>
    <w:rsid w:val="0050393B"/>
    <w:rsid w:val="00503E2F"/>
    <w:rsid w:val="005040AD"/>
    <w:rsid w:val="00504FB2"/>
    <w:rsid w:val="005057C8"/>
    <w:rsid w:val="00505A68"/>
    <w:rsid w:val="00506CBA"/>
    <w:rsid w:val="00506FCD"/>
    <w:rsid w:val="00511809"/>
    <w:rsid w:val="005121C0"/>
    <w:rsid w:val="0051220F"/>
    <w:rsid w:val="00512323"/>
    <w:rsid w:val="0051249B"/>
    <w:rsid w:val="00513A75"/>
    <w:rsid w:val="00513D66"/>
    <w:rsid w:val="00514246"/>
    <w:rsid w:val="00514DA0"/>
    <w:rsid w:val="00515024"/>
    <w:rsid w:val="005156E6"/>
    <w:rsid w:val="00516407"/>
    <w:rsid w:val="00516451"/>
    <w:rsid w:val="00516618"/>
    <w:rsid w:val="00517D8B"/>
    <w:rsid w:val="00521154"/>
    <w:rsid w:val="0052258A"/>
    <w:rsid w:val="00522977"/>
    <w:rsid w:val="0052318E"/>
    <w:rsid w:val="0052359A"/>
    <w:rsid w:val="00523BC9"/>
    <w:rsid w:val="00524EBF"/>
    <w:rsid w:val="0052511B"/>
    <w:rsid w:val="00525451"/>
    <w:rsid w:val="00525A7D"/>
    <w:rsid w:val="005260A8"/>
    <w:rsid w:val="00526AC1"/>
    <w:rsid w:val="00527686"/>
    <w:rsid w:val="00530A99"/>
    <w:rsid w:val="005313BB"/>
    <w:rsid w:val="00532A95"/>
    <w:rsid w:val="00532E02"/>
    <w:rsid w:val="00534682"/>
    <w:rsid w:val="0053516F"/>
    <w:rsid w:val="005353F6"/>
    <w:rsid w:val="00535EA0"/>
    <w:rsid w:val="00540BB0"/>
    <w:rsid w:val="0054100C"/>
    <w:rsid w:val="00543268"/>
    <w:rsid w:val="0054341D"/>
    <w:rsid w:val="00543597"/>
    <w:rsid w:val="00543C48"/>
    <w:rsid w:val="00544DAF"/>
    <w:rsid w:val="00545CF4"/>
    <w:rsid w:val="00545DE5"/>
    <w:rsid w:val="005463E4"/>
    <w:rsid w:val="00546E20"/>
    <w:rsid w:val="0054759A"/>
    <w:rsid w:val="00550C61"/>
    <w:rsid w:val="00551446"/>
    <w:rsid w:val="0055157D"/>
    <w:rsid w:val="005520FD"/>
    <w:rsid w:val="005556D3"/>
    <w:rsid w:val="0055638F"/>
    <w:rsid w:val="005564F1"/>
    <w:rsid w:val="0055673C"/>
    <w:rsid w:val="00560789"/>
    <w:rsid w:val="005607ED"/>
    <w:rsid w:val="005612CA"/>
    <w:rsid w:val="00561C3B"/>
    <w:rsid w:val="00562447"/>
    <w:rsid w:val="005625A1"/>
    <w:rsid w:val="00562780"/>
    <w:rsid w:val="00562E3F"/>
    <w:rsid w:val="00563387"/>
    <w:rsid w:val="0056470D"/>
    <w:rsid w:val="00564887"/>
    <w:rsid w:val="005651CB"/>
    <w:rsid w:val="00565BEB"/>
    <w:rsid w:val="00565D2C"/>
    <w:rsid w:val="0056643D"/>
    <w:rsid w:val="00566B75"/>
    <w:rsid w:val="00566BBB"/>
    <w:rsid w:val="00566D66"/>
    <w:rsid w:val="005670F3"/>
    <w:rsid w:val="0056790E"/>
    <w:rsid w:val="005740A4"/>
    <w:rsid w:val="00574B2E"/>
    <w:rsid w:val="00575CA1"/>
    <w:rsid w:val="00576106"/>
    <w:rsid w:val="0057792F"/>
    <w:rsid w:val="00580297"/>
    <w:rsid w:val="00580324"/>
    <w:rsid w:val="00580916"/>
    <w:rsid w:val="005811FD"/>
    <w:rsid w:val="00581FCB"/>
    <w:rsid w:val="00582D23"/>
    <w:rsid w:val="005836FC"/>
    <w:rsid w:val="00584C75"/>
    <w:rsid w:val="005855D2"/>
    <w:rsid w:val="00585F5C"/>
    <w:rsid w:val="005863E3"/>
    <w:rsid w:val="0058644C"/>
    <w:rsid w:val="005866F7"/>
    <w:rsid w:val="0058673C"/>
    <w:rsid w:val="00586FF5"/>
    <w:rsid w:val="00590D54"/>
    <w:rsid w:val="00590F3B"/>
    <w:rsid w:val="00591367"/>
    <w:rsid w:val="005918CA"/>
    <w:rsid w:val="005927D5"/>
    <w:rsid w:val="00592C8D"/>
    <w:rsid w:val="005935E3"/>
    <w:rsid w:val="00593E6C"/>
    <w:rsid w:val="005946E7"/>
    <w:rsid w:val="00595058"/>
    <w:rsid w:val="005954DD"/>
    <w:rsid w:val="005958E5"/>
    <w:rsid w:val="005964CB"/>
    <w:rsid w:val="005965FC"/>
    <w:rsid w:val="005A0123"/>
    <w:rsid w:val="005A0650"/>
    <w:rsid w:val="005A1363"/>
    <w:rsid w:val="005A1403"/>
    <w:rsid w:val="005A1F94"/>
    <w:rsid w:val="005A29D0"/>
    <w:rsid w:val="005A3D9A"/>
    <w:rsid w:val="005A43B2"/>
    <w:rsid w:val="005A4B21"/>
    <w:rsid w:val="005A5B4E"/>
    <w:rsid w:val="005A62E1"/>
    <w:rsid w:val="005A646A"/>
    <w:rsid w:val="005A68EB"/>
    <w:rsid w:val="005A6913"/>
    <w:rsid w:val="005A6CA7"/>
    <w:rsid w:val="005A7472"/>
    <w:rsid w:val="005A754A"/>
    <w:rsid w:val="005A76AD"/>
    <w:rsid w:val="005B0675"/>
    <w:rsid w:val="005B06C5"/>
    <w:rsid w:val="005B0837"/>
    <w:rsid w:val="005B0F20"/>
    <w:rsid w:val="005B15BE"/>
    <w:rsid w:val="005B1AB0"/>
    <w:rsid w:val="005B1B0D"/>
    <w:rsid w:val="005B2F12"/>
    <w:rsid w:val="005B36C1"/>
    <w:rsid w:val="005B629E"/>
    <w:rsid w:val="005B7D10"/>
    <w:rsid w:val="005C12BA"/>
    <w:rsid w:val="005C140F"/>
    <w:rsid w:val="005C2D29"/>
    <w:rsid w:val="005C33DE"/>
    <w:rsid w:val="005C3F1C"/>
    <w:rsid w:val="005C45FB"/>
    <w:rsid w:val="005C52D1"/>
    <w:rsid w:val="005C53FD"/>
    <w:rsid w:val="005C723F"/>
    <w:rsid w:val="005C7667"/>
    <w:rsid w:val="005C7F92"/>
    <w:rsid w:val="005D04F4"/>
    <w:rsid w:val="005D0EFC"/>
    <w:rsid w:val="005D12E4"/>
    <w:rsid w:val="005D35B0"/>
    <w:rsid w:val="005D3BB5"/>
    <w:rsid w:val="005D423F"/>
    <w:rsid w:val="005D4754"/>
    <w:rsid w:val="005D4A49"/>
    <w:rsid w:val="005D568B"/>
    <w:rsid w:val="005D6734"/>
    <w:rsid w:val="005D6B16"/>
    <w:rsid w:val="005D769F"/>
    <w:rsid w:val="005D786F"/>
    <w:rsid w:val="005D7F8A"/>
    <w:rsid w:val="005E0CF1"/>
    <w:rsid w:val="005E1A02"/>
    <w:rsid w:val="005E2511"/>
    <w:rsid w:val="005E2B17"/>
    <w:rsid w:val="005E36C5"/>
    <w:rsid w:val="005E6211"/>
    <w:rsid w:val="005E6C77"/>
    <w:rsid w:val="005E6CF7"/>
    <w:rsid w:val="005E7110"/>
    <w:rsid w:val="005E76B0"/>
    <w:rsid w:val="005F0A86"/>
    <w:rsid w:val="005F1541"/>
    <w:rsid w:val="005F2324"/>
    <w:rsid w:val="005F249C"/>
    <w:rsid w:val="005F5097"/>
    <w:rsid w:val="005F63A7"/>
    <w:rsid w:val="005F6C67"/>
    <w:rsid w:val="005F6E35"/>
    <w:rsid w:val="005F704A"/>
    <w:rsid w:val="005F7591"/>
    <w:rsid w:val="005F7844"/>
    <w:rsid w:val="00600552"/>
    <w:rsid w:val="00600789"/>
    <w:rsid w:val="00601D83"/>
    <w:rsid w:val="00601EFC"/>
    <w:rsid w:val="00603450"/>
    <w:rsid w:val="00603E68"/>
    <w:rsid w:val="006055DD"/>
    <w:rsid w:val="00605C22"/>
    <w:rsid w:val="006062AB"/>
    <w:rsid w:val="006067E7"/>
    <w:rsid w:val="00606B78"/>
    <w:rsid w:val="00606C9E"/>
    <w:rsid w:val="00606D4E"/>
    <w:rsid w:val="00606EA6"/>
    <w:rsid w:val="00606F60"/>
    <w:rsid w:val="006107B5"/>
    <w:rsid w:val="00610DC5"/>
    <w:rsid w:val="00610F07"/>
    <w:rsid w:val="0061319C"/>
    <w:rsid w:val="0061326B"/>
    <w:rsid w:val="00613E43"/>
    <w:rsid w:val="00615269"/>
    <w:rsid w:val="00616569"/>
    <w:rsid w:val="00616B70"/>
    <w:rsid w:val="00617373"/>
    <w:rsid w:val="00617C1D"/>
    <w:rsid w:val="00617DF6"/>
    <w:rsid w:val="00620191"/>
    <w:rsid w:val="006204D1"/>
    <w:rsid w:val="0062071E"/>
    <w:rsid w:val="00620A40"/>
    <w:rsid w:val="00620E23"/>
    <w:rsid w:val="00621382"/>
    <w:rsid w:val="006217C0"/>
    <w:rsid w:val="00621D97"/>
    <w:rsid w:val="0062222E"/>
    <w:rsid w:val="00622C5D"/>
    <w:rsid w:val="00623064"/>
    <w:rsid w:val="006233E2"/>
    <w:rsid w:val="00623440"/>
    <w:rsid w:val="00624FF9"/>
    <w:rsid w:val="00625180"/>
    <w:rsid w:val="006266F7"/>
    <w:rsid w:val="0062671F"/>
    <w:rsid w:val="00626746"/>
    <w:rsid w:val="00626A33"/>
    <w:rsid w:val="006308E8"/>
    <w:rsid w:val="00630D88"/>
    <w:rsid w:val="00630F48"/>
    <w:rsid w:val="00632245"/>
    <w:rsid w:val="00632747"/>
    <w:rsid w:val="006327FE"/>
    <w:rsid w:val="006352E6"/>
    <w:rsid w:val="00635981"/>
    <w:rsid w:val="00636241"/>
    <w:rsid w:val="00637131"/>
    <w:rsid w:val="00637410"/>
    <w:rsid w:val="0063765A"/>
    <w:rsid w:val="00637779"/>
    <w:rsid w:val="00637FB4"/>
    <w:rsid w:val="00640082"/>
    <w:rsid w:val="00640ED3"/>
    <w:rsid w:val="0064168E"/>
    <w:rsid w:val="00641F3F"/>
    <w:rsid w:val="00643654"/>
    <w:rsid w:val="006459F3"/>
    <w:rsid w:val="00645A66"/>
    <w:rsid w:val="006460B0"/>
    <w:rsid w:val="00646D02"/>
    <w:rsid w:val="00646E90"/>
    <w:rsid w:val="006501A7"/>
    <w:rsid w:val="006502DB"/>
    <w:rsid w:val="006508C0"/>
    <w:rsid w:val="0065154D"/>
    <w:rsid w:val="00651605"/>
    <w:rsid w:val="00652093"/>
    <w:rsid w:val="006528BB"/>
    <w:rsid w:val="00653723"/>
    <w:rsid w:val="0065476E"/>
    <w:rsid w:val="0065598A"/>
    <w:rsid w:val="00657BC2"/>
    <w:rsid w:val="00657E2D"/>
    <w:rsid w:val="00657FAD"/>
    <w:rsid w:val="006609A2"/>
    <w:rsid w:val="006623A3"/>
    <w:rsid w:val="0066387E"/>
    <w:rsid w:val="006638E6"/>
    <w:rsid w:val="0066452D"/>
    <w:rsid w:val="00664B6B"/>
    <w:rsid w:val="006654D7"/>
    <w:rsid w:val="00665A08"/>
    <w:rsid w:val="00666304"/>
    <w:rsid w:val="00666426"/>
    <w:rsid w:val="00666780"/>
    <w:rsid w:val="00666B9F"/>
    <w:rsid w:val="00667097"/>
    <w:rsid w:val="00667871"/>
    <w:rsid w:val="0066798D"/>
    <w:rsid w:val="00670AB7"/>
    <w:rsid w:val="00670AC6"/>
    <w:rsid w:val="006719B5"/>
    <w:rsid w:val="006724F6"/>
    <w:rsid w:val="006730F4"/>
    <w:rsid w:val="00673227"/>
    <w:rsid w:val="006739B0"/>
    <w:rsid w:val="00673BAA"/>
    <w:rsid w:val="00674DBA"/>
    <w:rsid w:val="00675845"/>
    <w:rsid w:val="0067621B"/>
    <w:rsid w:val="006801D3"/>
    <w:rsid w:val="0068071B"/>
    <w:rsid w:val="00680859"/>
    <w:rsid w:val="00680E93"/>
    <w:rsid w:val="00681006"/>
    <w:rsid w:val="0068128A"/>
    <w:rsid w:val="00681D88"/>
    <w:rsid w:val="0068255C"/>
    <w:rsid w:val="00683D76"/>
    <w:rsid w:val="00685193"/>
    <w:rsid w:val="00685257"/>
    <w:rsid w:val="0069085E"/>
    <w:rsid w:val="006922F4"/>
    <w:rsid w:val="0069249A"/>
    <w:rsid w:val="006925BA"/>
    <w:rsid w:val="00692679"/>
    <w:rsid w:val="00692A53"/>
    <w:rsid w:val="00693958"/>
    <w:rsid w:val="00693A38"/>
    <w:rsid w:val="00697120"/>
    <w:rsid w:val="00697E9D"/>
    <w:rsid w:val="006A09D1"/>
    <w:rsid w:val="006A1E00"/>
    <w:rsid w:val="006A206A"/>
    <w:rsid w:val="006A26E4"/>
    <w:rsid w:val="006A36B6"/>
    <w:rsid w:val="006A45A0"/>
    <w:rsid w:val="006A5571"/>
    <w:rsid w:val="006A58F8"/>
    <w:rsid w:val="006A6936"/>
    <w:rsid w:val="006A740D"/>
    <w:rsid w:val="006B1405"/>
    <w:rsid w:val="006B1E99"/>
    <w:rsid w:val="006B2026"/>
    <w:rsid w:val="006B2319"/>
    <w:rsid w:val="006B29A1"/>
    <w:rsid w:val="006B2FB2"/>
    <w:rsid w:val="006B31C3"/>
    <w:rsid w:val="006B4B62"/>
    <w:rsid w:val="006B6CA4"/>
    <w:rsid w:val="006B73BA"/>
    <w:rsid w:val="006B75A4"/>
    <w:rsid w:val="006B78F7"/>
    <w:rsid w:val="006C0FBA"/>
    <w:rsid w:val="006C1598"/>
    <w:rsid w:val="006C245D"/>
    <w:rsid w:val="006C24BA"/>
    <w:rsid w:val="006C2765"/>
    <w:rsid w:val="006C3ADA"/>
    <w:rsid w:val="006C4AD4"/>
    <w:rsid w:val="006C5681"/>
    <w:rsid w:val="006C6319"/>
    <w:rsid w:val="006C655E"/>
    <w:rsid w:val="006C66BA"/>
    <w:rsid w:val="006C739C"/>
    <w:rsid w:val="006C73CF"/>
    <w:rsid w:val="006C77A2"/>
    <w:rsid w:val="006C7949"/>
    <w:rsid w:val="006D045B"/>
    <w:rsid w:val="006D26CB"/>
    <w:rsid w:val="006D3836"/>
    <w:rsid w:val="006D3879"/>
    <w:rsid w:val="006D5036"/>
    <w:rsid w:val="006D5808"/>
    <w:rsid w:val="006D603B"/>
    <w:rsid w:val="006D6632"/>
    <w:rsid w:val="006D6701"/>
    <w:rsid w:val="006D7EC7"/>
    <w:rsid w:val="006E00CC"/>
    <w:rsid w:val="006E072D"/>
    <w:rsid w:val="006E0B03"/>
    <w:rsid w:val="006E0DED"/>
    <w:rsid w:val="006E1377"/>
    <w:rsid w:val="006E1AD9"/>
    <w:rsid w:val="006E1BE5"/>
    <w:rsid w:val="006E34EA"/>
    <w:rsid w:val="006E4755"/>
    <w:rsid w:val="006E5095"/>
    <w:rsid w:val="006E5DD5"/>
    <w:rsid w:val="006E68A7"/>
    <w:rsid w:val="006E6994"/>
    <w:rsid w:val="006F14C5"/>
    <w:rsid w:val="006F15D6"/>
    <w:rsid w:val="006F17F2"/>
    <w:rsid w:val="006F19B3"/>
    <w:rsid w:val="006F25E7"/>
    <w:rsid w:val="006F3FDF"/>
    <w:rsid w:val="006F4B16"/>
    <w:rsid w:val="006F52BB"/>
    <w:rsid w:val="006F5F7D"/>
    <w:rsid w:val="006F60FF"/>
    <w:rsid w:val="006F6305"/>
    <w:rsid w:val="006F6ED4"/>
    <w:rsid w:val="006F6EF6"/>
    <w:rsid w:val="006F7BAA"/>
    <w:rsid w:val="006F7CD6"/>
    <w:rsid w:val="007000D1"/>
    <w:rsid w:val="007009D2"/>
    <w:rsid w:val="0070116C"/>
    <w:rsid w:val="007012FE"/>
    <w:rsid w:val="0070187E"/>
    <w:rsid w:val="00701954"/>
    <w:rsid w:val="00701CFE"/>
    <w:rsid w:val="007030D4"/>
    <w:rsid w:val="00703199"/>
    <w:rsid w:val="00704F6C"/>
    <w:rsid w:val="00706101"/>
    <w:rsid w:val="0070722E"/>
    <w:rsid w:val="0070737F"/>
    <w:rsid w:val="00707EAF"/>
    <w:rsid w:val="00710BEA"/>
    <w:rsid w:val="00710F5F"/>
    <w:rsid w:val="007117C6"/>
    <w:rsid w:val="00711AD9"/>
    <w:rsid w:val="007120EB"/>
    <w:rsid w:val="007123F5"/>
    <w:rsid w:val="0071340F"/>
    <w:rsid w:val="0071361F"/>
    <w:rsid w:val="007138C5"/>
    <w:rsid w:val="00715308"/>
    <w:rsid w:val="007157A0"/>
    <w:rsid w:val="0071751F"/>
    <w:rsid w:val="00717846"/>
    <w:rsid w:val="00721579"/>
    <w:rsid w:val="00721AC3"/>
    <w:rsid w:val="00721DE4"/>
    <w:rsid w:val="00721EE7"/>
    <w:rsid w:val="00721F1A"/>
    <w:rsid w:val="007233A8"/>
    <w:rsid w:val="00723D4C"/>
    <w:rsid w:val="007246EF"/>
    <w:rsid w:val="0072482E"/>
    <w:rsid w:val="00724B4D"/>
    <w:rsid w:val="00724C94"/>
    <w:rsid w:val="00730B1E"/>
    <w:rsid w:val="00730CDC"/>
    <w:rsid w:val="007318FD"/>
    <w:rsid w:val="007319D2"/>
    <w:rsid w:val="00731DD8"/>
    <w:rsid w:val="0073653A"/>
    <w:rsid w:val="007367F1"/>
    <w:rsid w:val="00736B74"/>
    <w:rsid w:val="007412F6"/>
    <w:rsid w:val="00741A23"/>
    <w:rsid w:val="00741D1F"/>
    <w:rsid w:val="00742C7E"/>
    <w:rsid w:val="007433B0"/>
    <w:rsid w:val="007434A1"/>
    <w:rsid w:val="007450DD"/>
    <w:rsid w:val="00745987"/>
    <w:rsid w:val="00746EB0"/>
    <w:rsid w:val="0074740A"/>
    <w:rsid w:val="00747ECC"/>
    <w:rsid w:val="007504CF"/>
    <w:rsid w:val="00751D54"/>
    <w:rsid w:val="00751E91"/>
    <w:rsid w:val="007532D4"/>
    <w:rsid w:val="00754348"/>
    <w:rsid w:val="007544A1"/>
    <w:rsid w:val="007548EF"/>
    <w:rsid w:val="00754A53"/>
    <w:rsid w:val="0075670E"/>
    <w:rsid w:val="00756EAE"/>
    <w:rsid w:val="00760063"/>
    <w:rsid w:val="00761AE5"/>
    <w:rsid w:val="00761F41"/>
    <w:rsid w:val="00762081"/>
    <w:rsid w:val="0076218D"/>
    <w:rsid w:val="0076231C"/>
    <w:rsid w:val="00762694"/>
    <w:rsid w:val="00762C72"/>
    <w:rsid w:val="00764371"/>
    <w:rsid w:val="00765238"/>
    <w:rsid w:val="00765663"/>
    <w:rsid w:val="00765CA3"/>
    <w:rsid w:val="00765D92"/>
    <w:rsid w:val="0076649E"/>
    <w:rsid w:val="007664A4"/>
    <w:rsid w:val="007674ED"/>
    <w:rsid w:val="0076795D"/>
    <w:rsid w:val="00771510"/>
    <w:rsid w:val="00772159"/>
    <w:rsid w:val="007721CE"/>
    <w:rsid w:val="007736F2"/>
    <w:rsid w:val="00773810"/>
    <w:rsid w:val="00773AE8"/>
    <w:rsid w:val="00774337"/>
    <w:rsid w:val="00774444"/>
    <w:rsid w:val="00774D86"/>
    <w:rsid w:val="00774FBE"/>
    <w:rsid w:val="00775016"/>
    <w:rsid w:val="007758CF"/>
    <w:rsid w:val="00777169"/>
    <w:rsid w:val="007775D4"/>
    <w:rsid w:val="00777963"/>
    <w:rsid w:val="007839F4"/>
    <w:rsid w:val="007841E5"/>
    <w:rsid w:val="0078470D"/>
    <w:rsid w:val="0078591D"/>
    <w:rsid w:val="00785D34"/>
    <w:rsid w:val="00786A15"/>
    <w:rsid w:val="00786F06"/>
    <w:rsid w:val="00787992"/>
    <w:rsid w:val="00787AE8"/>
    <w:rsid w:val="007904C8"/>
    <w:rsid w:val="007904FF"/>
    <w:rsid w:val="00790647"/>
    <w:rsid w:val="00791761"/>
    <w:rsid w:val="007922DE"/>
    <w:rsid w:val="0079251A"/>
    <w:rsid w:val="00794876"/>
    <w:rsid w:val="00795EA6"/>
    <w:rsid w:val="00796E6A"/>
    <w:rsid w:val="00797352"/>
    <w:rsid w:val="007976CE"/>
    <w:rsid w:val="00797787"/>
    <w:rsid w:val="00797C25"/>
    <w:rsid w:val="007A09E2"/>
    <w:rsid w:val="007A1A5D"/>
    <w:rsid w:val="007A244A"/>
    <w:rsid w:val="007A31D6"/>
    <w:rsid w:val="007A685C"/>
    <w:rsid w:val="007A7931"/>
    <w:rsid w:val="007B136A"/>
    <w:rsid w:val="007B21A7"/>
    <w:rsid w:val="007B2637"/>
    <w:rsid w:val="007B38FB"/>
    <w:rsid w:val="007B3B58"/>
    <w:rsid w:val="007B3CBB"/>
    <w:rsid w:val="007B4ADF"/>
    <w:rsid w:val="007B562A"/>
    <w:rsid w:val="007B61F5"/>
    <w:rsid w:val="007B72A8"/>
    <w:rsid w:val="007C02CF"/>
    <w:rsid w:val="007C3E85"/>
    <w:rsid w:val="007C4703"/>
    <w:rsid w:val="007C4932"/>
    <w:rsid w:val="007C6039"/>
    <w:rsid w:val="007C6700"/>
    <w:rsid w:val="007C69A7"/>
    <w:rsid w:val="007C7CEB"/>
    <w:rsid w:val="007D0E89"/>
    <w:rsid w:val="007D1EEF"/>
    <w:rsid w:val="007D226B"/>
    <w:rsid w:val="007D2816"/>
    <w:rsid w:val="007D30E4"/>
    <w:rsid w:val="007D35A4"/>
    <w:rsid w:val="007D3DDE"/>
    <w:rsid w:val="007D3FAB"/>
    <w:rsid w:val="007D403A"/>
    <w:rsid w:val="007D4135"/>
    <w:rsid w:val="007D430D"/>
    <w:rsid w:val="007D4804"/>
    <w:rsid w:val="007D5528"/>
    <w:rsid w:val="007D5608"/>
    <w:rsid w:val="007D6211"/>
    <w:rsid w:val="007D62DB"/>
    <w:rsid w:val="007D6B1A"/>
    <w:rsid w:val="007D6E7E"/>
    <w:rsid w:val="007D7BF9"/>
    <w:rsid w:val="007E05FC"/>
    <w:rsid w:val="007E0FDB"/>
    <w:rsid w:val="007E138B"/>
    <w:rsid w:val="007E145D"/>
    <w:rsid w:val="007E14A6"/>
    <w:rsid w:val="007E16D7"/>
    <w:rsid w:val="007E1E88"/>
    <w:rsid w:val="007E20C2"/>
    <w:rsid w:val="007E215E"/>
    <w:rsid w:val="007E293E"/>
    <w:rsid w:val="007E297E"/>
    <w:rsid w:val="007E2E33"/>
    <w:rsid w:val="007E30AA"/>
    <w:rsid w:val="007E3A95"/>
    <w:rsid w:val="007E3C99"/>
    <w:rsid w:val="007E3E6F"/>
    <w:rsid w:val="007E4DD7"/>
    <w:rsid w:val="007E5043"/>
    <w:rsid w:val="007E571D"/>
    <w:rsid w:val="007E6768"/>
    <w:rsid w:val="007E6E48"/>
    <w:rsid w:val="007E6E65"/>
    <w:rsid w:val="007E6EF3"/>
    <w:rsid w:val="007E7559"/>
    <w:rsid w:val="007F0810"/>
    <w:rsid w:val="007F0B61"/>
    <w:rsid w:val="007F224E"/>
    <w:rsid w:val="007F2A1F"/>
    <w:rsid w:val="007F32B7"/>
    <w:rsid w:val="007F3ADC"/>
    <w:rsid w:val="007F3B36"/>
    <w:rsid w:val="007F3B83"/>
    <w:rsid w:val="007F3D7C"/>
    <w:rsid w:val="007F60E0"/>
    <w:rsid w:val="007F6444"/>
    <w:rsid w:val="007F6F2D"/>
    <w:rsid w:val="008021D4"/>
    <w:rsid w:val="00802585"/>
    <w:rsid w:val="008025A2"/>
    <w:rsid w:val="00804B54"/>
    <w:rsid w:val="008051D6"/>
    <w:rsid w:val="0080562A"/>
    <w:rsid w:val="0080615E"/>
    <w:rsid w:val="00806184"/>
    <w:rsid w:val="008066FC"/>
    <w:rsid w:val="00807ABB"/>
    <w:rsid w:val="00807AEE"/>
    <w:rsid w:val="00810192"/>
    <w:rsid w:val="00810B23"/>
    <w:rsid w:val="008110C8"/>
    <w:rsid w:val="00811C4D"/>
    <w:rsid w:val="00812683"/>
    <w:rsid w:val="00813014"/>
    <w:rsid w:val="008133EB"/>
    <w:rsid w:val="008144FF"/>
    <w:rsid w:val="00816793"/>
    <w:rsid w:val="0081768D"/>
    <w:rsid w:val="00817D06"/>
    <w:rsid w:val="00820BFE"/>
    <w:rsid w:val="0082234A"/>
    <w:rsid w:val="00824978"/>
    <w:rsid w:val="00825733"/>
    <w:rsid w:val="0082616E"/>
    <w:rsid w:val="00826923"/>
    <w:rsid w:val="00830150"/>
    <w:rsid w:val="0083048A"/>
    <w:rsid w:val="00830636"/>
    <w:rsid w:val="00831017"/>
    <w:rsid w:val="008316B6"/>
    <w:rsid w:val="00831BD2"/>
    <w:rsid w:val="0083204B"/>
    <w:rsid w:val="00832732"/>
    <w:rsid w:val="0083392C"/>
    <w:rsid w:val="00833A9C"/>
    <w:rsid w:val="00834851"/>
    <w:rsid w:val="00834DE6"/>
    <w:rsid w:val="0083588A"/>
    <w:rsid w:val="00835AFE"/>
    <w:rsid w:val="00835E4D"/>
    <w:rsid w:val="00836E76"/>
    <w:rsid w:val="008371E4"/>
    <w:rsid w:val="00840626"/>
    <w:rsid w:val="00841628"/>
    <w:rsid w:val="00841849"/>
    <w:rsid w:val="00841B21"/>
    <w:rsid w:val="00841ECD"/>
    <w:rsid w:val="0084340E"/>
    <w:rsid w:val="00844ACC"/>
    <w:rsid w:val="00845666"/>
    <w:rsid w:val="00847AC8"/>
    <w:rsid w:val="00847FA6"/>
    <w:rsid w:val="00850082"/>
    <w:rsid w:val="008507F6"/>
    <w:rsid w:val="008510A0"/>
    <w:rsid w:val="00851709"/>
    <w:rsid w:val="0085454B"/>
    <w:rsid w:val="00855B7D"/>
    <w:rsid w:val="00856996"/>
    <w:rsid w:val="00856D42"/>
    <w:rsid w:val="008611A9"/>
    <w:rsid w:val="008620F0"/>
    <w:rsid w:val="00862D36"/>
    <w:rsid w:val="008630B1"/>
    <w:rsid w:val="00863C4C"/>
    <w:rsid w:val="00863C9B"/>
    <w:rsid w:val="008644E9"/>
    <w:rsid w:val="00864A9D"/>
    <w:rsid w:val="00864C51"/>
    <w:rsid w:val="00865682"/>
    <w:rsid w:val="00867E0C"/>
    <w:rsid w:val="008705D0"/>
    <w:rsid w:val="00870BB4"/>
    <w:rsid w:val="00871F68"/>
    <w:rsid w:val="0087282B"/>
    <w:rsid w:val="008728CE"/>
    <w:rsid w:val="00872D37"/>
    <w:rsid w:val="00873C54"/>
    <w:rsid w:val="00874595"/>
    <w:rsid w:val="00874A0B"/>
    <w:rsid w:val="00874B12"/>
    <w:rsid w:val="00877132"/>
    <w:rsid w:val="0088048C"/>
    <w:rsid w:val="00880BDE"/>
    <w:rsid w:val="00880F5F"/>
    <w:rsid w:val="0088114F"/>
    <w:rsid w:val="008815D4"/>
    <w:rsid w:val="008815DA"/>
    <w:rsid w:val="00882A08"/>
    <w:rsid w:val="00883CAE"/>
    <w:rsid w:val="00884C5E"/>
    <w:rsid w:val="0088508A"/>
    <w:rsid w:val="00885999"/>
    <w:rsid w:val="00886397"/>
    <w:rsid w:val="00886D9A"/>
    <w:rsid w:val="008879EF"/>
    <w:rsid w:val="00887C97"/>
    <w:rsid w:val="0089065D"/>
    <w:rsid w:val="00892B12"/>
    <w:rsid w:val="00893D93"/>
    <w:rsid w:val="00894F57"/>
    <w:rsid w:val="00895813"/>
    <w:rsid w:val="00895E84"/>
    <w:rsid w:val="008961BC"/>
    <w:rsid w:val="008961CC"/>
    <w:rsid w:val="008962A3"/>
    <w:rsid w:val="0089630D"/>
    <w:rsid w:val="00896487"/>
    <w:rsid w:val="008972B2"/>
    <w:rsid w:val="008A037E"/>
    <w:rsid w:val="008A1177"/>
    <w:rsid w:val="008A12DA"/>
    <w:rsid w:val="008A1331"/>
    <w:rsid w:val="008A27A7"/>
    <w:rsid w:val="008A299E"/>
    <w:rsid w:val="008A2D28"/>
    <w:rsid w:val="008A3227"/>
    <w:rsid w:val="008A4192"/>
    <w:rsid w:val="008A5ECC"/>
    <w:rsid w:val="008A6131"/>
    <w:rsid w:val="008A63C7"/>
    <w:rsid w:val="008A66E2"/>
    <w:rsid w:val="008A6A15"/>
    <w:rsid w:val="008A6C24"/>
    <w:rsid w:val="008A6ED1"/>
    <w:rsid w:val="008A7464"/>
    <w:rsid w:val="008A750D"/>
    <w:rsid w:val="008A7707"/>
    <w:rsid w:val="008A7B43"/>
    <w:rsid w:val="008B16F3"/>
    <w:rsid w:val="008B29C3"/>
    <w:rsid w:val="008B4293"/>
    <w:rsid w:val="008B4469"/>
    <w:rsid w:val="008B44DD"/>
    <w:rsid w:val="008B453D"/>
    <w:rsid w:val="008B46D3"/>
    <w:rsid w:val="008B55C6"/>
    <w:rsid w:val="008B563E"/>
    <w:rsid w:val="008B6362"/>
    <w:rsid w:val="008B7AC8"/>
    <w:rsid w:val="008C22BF"/>
    <w:rsid w:val="008C2917"/>
    <w:rsid w:val="008C2AEB"/>
    <w:rsid w:val="008C2E67"/>
    <w:rsid w:val="008C365B"/>
    <w:rsid w:val="008C3E8D"/>
    <w:rsid w:val="008C42C5"/>
    <w:rsid w:val="008C512C"/>
    <w:rsid w:val="008C7907"/>
    <w:rsid w:val="008C7FEB"/>
    <w:rsid w:val="008D0120"/>
    <w:rsid w:val="008D02FC"/>
    <w:rsid w:val="008D09D1"/>
    <w:rsid w:val="008D2E6D"/>
    <w:rsid w:val="008D3AA4"/>
    <w:rsid w:val="008D4890"/>
    <w:rsid w:val="008D4A6E"/>
    <w:rsid w:val="008D6101"/>
    <w:rsid w:val="008D7039"/>
    <w:rsid w:val="008E1CF9"/>
    <w:rsid w:val="008E27CD"/>
    <w:rsid w:val="008E2DF6"/>
    <w:rsid w:val="008E31C3"/>
    <w:rsid w:val="008E3446"/>
    <w:rsid w:val="008E3FA6"/>
    <w:rsid w:val="008E422C"/>
    <w:rsid w:val="008E4619"/>
    <w:rsid w:val="008E5551"/>
    <w:rsid w:val="008E5BF0"/>
    <w:rsid w:val="008E5DF4"/>
    <w:rsid w:val="008E65B3"/>
    <w:rsid w:val="008E6D6F"/>
    <w:rsid w:val="008E765B"/>
    <w:rsid w:val="008F01CE"/>
    <w:rsid w:val="008F0207"/>
    <w:rsid w:val="008F03BC"/>
    <w:rsid w:val="008F046C"/>
    <w:rsid w:val="008F18F7"/>
    <w:rsid w:val="008F207A"/>
    <w:rsid w:val="008F2E86"/>
    <w:rsid w:val="008F3223"/>
    <w:rsid w:val="008F38EF"/>
    <w:rsid w:val="008F63B4"/>
    <w:rsid w:val="00900B3D"/>
    <w:rsid w:val="00901AB1"/>
    <w:rsid w:val="00901B93"/>
    <w:rsid w:val="009021AC"/>
    <w:rsid w:val="00902F4E"/>
    <w:rsid w:val="00903C18"/>
    <w:rsid w:val="009051B3"/>
    <w:rsid w:val="0090601E"/>
    <w:rsid w:val="00906FEE"/>
    <w:rsid w:val="00910DF7"/>
    <w:rsid w:val="00911677"/>
    <w:rsid w:val="009119E7"/>
    <w:rsid w:val="009134E9"/>
    <w:rsid w:val="00913979"/>
    <w:rsid w:val="00914118"/>
    <w:rsid w:val="0091448F"/>
    <w:rsid w:val="00916196"/>
    <w:rsid w:val="00916C0E"/>
    <w:rsid w:val="00917259"/>
    <w:rsid w:val="009211E5"/>
    <w:rsid w:val="009216BE"/>
    <w:rsid w:val="00921D94"/>
    <w:rsid w:val="0092202A"/>
    <w:rsid w:val="009222DF"/>
    <w:rsid w:val="009224AF"/>
    <w:rsid w:val="009229E9"/>
    <w:rsid w:val="00923496"/>
    <w:rsid w:val="00923599"/>
    <w:rsid w:val="0092385E"/>
    <w:rsid w:val="0092452B"/>
    <w:rsid w:val="00924E38"/>
    <w:rsid w:val="00924F50"/>
    <w:rsid w:val="00925AC8"/>
    <w:rsid w:val="00926D41"/>
    <w:rsid w:val="009274AD"/>
    <w:rsid w:val="009276CB"/>
    <w:rsid w:val="0092770A"/>
    <w:rsid w:val="00927E64"/>
    <w:rsid w:val="00930173"/>
    <w:rsid w:val="0093018B"/>
    <w:rsid w:val="0093052F"/>
    <w:rsid w:val="00930722"/>
    <w:rsid w:val="00930EB8"/>
    <w:rsid w:val="009312FA"/>
    <w:rsid w:val="00931851"/>
    <w:rsid w:val="00931B98"/>
    <w:rsid w:val="00931F3E"/>
    <w:rsid w:val="0093243B"/>
    <w:rsid w:val="00932560"/>
    <w:rsid w:val="00932C1C"/>
    <w:rsid w:val="00933394"/>
    <w:rsid w:val="00933D99"/>
    <w:rsid w:val="00935F98"/>
    <w:rsid w:val="00936580"/>
    <w:rsid w:val="00936A9D"/>
    <w:rsid w:val="0094007A"/>
    <w:rsid w:val="00940135"/>
    <w:rsid w:val="00940A93"/>
    <w:rsid w:val="00940E6B"/>
    <w:rsid w:val="00941048"/>
    <w:rsid w:val="00941588"/>
    <w:rsid w:val="0094269D"/>
    <w:rsid w:val="0094272C"/>
    <w:rsid w:val="00942C52"/>
    <w:rsid w:val="00942F10"/>
    <w:rsid w:val="0094327D"/>
    <w:rsid w:val="009432E6"/>
    <w:rsid w:val="00945259"/>
    <w:rsid w:val="009453AA"/>
    <w:rsid w:val="0094558D"/>
    <w:rsid w:val="009461B1"/>
    <w:rsid w:val="00946661"/>
    <w:rsid w:val="00947085"/>
    <w:rsid w:val="00947435"/>
    <w:rsid w:val="00947D2B"/>
    <w:rsid w:val="0095022A"/>
    <w:rsid w:val="0095127C"/>
    <w:rsid w:val="00953D96"/>
    <w:rsid w:val="00953EAA"/>
    <w:rsid w:val="00953FB9"/>
    <w:rsid w:val="0095479A"/>
    <w:rsid w:val="0095480B"/>
    <w:rsid w:val="00954E06"/>
    <w:rsid w:val="009553A8"/>
    <w:rsid w:val="009557D7"/>
    <w:rsid w:val="00956F90"/>
    <w:rsid w:val="00957494"/>
    <w:rsid w:val="00960FF7"/>
    <w:rsid w:val="009617F3"/>
    <w:rsid w:val="0096190F"/>
    <w:rsid w:val="00962073"/>
    <w:rsid w:val="0096263C"/>
    <w:rsid w:val="00963740"/>
    <w:rsid w:val="009638F4"/>
    <w:rsid w:val="009640B4"/>
    <w:rsid w:val="00964492"/>
    <w:rsid w:val="009647C4"/>
    <w:rsid w:val="00966810"/>
    <w:rsid w:val="0096689C"/>
    <w:rsid w:val="00970940"/>
    <w:rsid w:val="00971093"/>
    <w:rsid w:val="00971B26"/>
    <w:rsid w:val="00971C15"/>
    <w:rsid w:val="00973A83"/>
    <w:rsid w:val="00974240"/>
    <w:rsid w:val="0097558D"/>
    <w:rsid w:val="009756A5"/>
    <w:rsid w:val="00975932"/>
    <w:rsid w:val="00976438"/>
    <w:rsid w:val="00976A88"/>
    <w:rsid w:val="00977916"/>
    <w:rsid w:val="00977A11"/>
    <w:rsid w:val="00977F68"/>
    <w:rsid w:val="009808EE"/>
    <w:rsid w:val="00980D19"/>
    <w:rsid w:val="00980FC2"/>
    <w:rsid w:val="00982BAC"/>
    <w:rsid w:val="0098410A"/>
    <w:rsid w:val="00984C6E"/>
    <w:rsid w:val="009853E5"/>
    <w:rsid w:val="00986124"/>
    <w:rsid w:val="009864B4"/>
    <w:rsid w:val="00986CAA"/>
    <w:rsid w:val="00986D71"/>
    <w:rsid w:val="00986E85"/>
    <w:rsid w:val="0099009E"/>
    <w:rsid w:val="0099086D"/>
    <w:rsid w:val="00990CDF"/>
    <w:rsid w:val="00992AF4"/>
    <w:rsid w:val="009931DE"/>
    <w:rsid w:val="0099331E"/>
    <w:rsid w:val="009949B2"/>
    <w:rsid w:val="00996855"/>
    <w:rsid w:val="009A0E9E"/>
    <w:rsid w:val="009A2858"/>
    <w:rsid w:val="009A28B3"/>
    <w:rsid w:val="009A2AF7"/>
    <w:rsid w:val="009A3607"/>
    <w:rsid w:val="009A4930"/>
    <w:rsid w:val="009A5867"/>
    <w:rsid w:val="009A65A9"/>
    <w:rsid w:val="009A66E7"/>
    <w:rsid w:val="009A6F16"/>
    <w:rsid w:val="009A711F"/>
    <w:rsid w:val="009A715B"/>
    <w:rsid w:val="009A76CA"/>
    <w:rsid w:val="009A792F"/>
    <w:rsid w:val="009B253E"/>
    <w:rsid w:val="009B471B"/>
    <w:rsid w:val="009B496C"/>
    <w:rsid w:val="009B4B50"/>
    <w:rsid w:val="009B547A"/>
    <w:rsid w:val="009B561B"/>
    <w:rsid w:val="009B62DC"/>
    <w:rsid w:val="009B63E3"/>
    <w:rsid w:val="009B6CFE"/>
    <w:rsid w:val="009B7302"/>
    <w:rsid w:val="009B7CA2"/>
    <w:rsid w:val="009C1E92"/>
    <w:rsid w:val="009C2068"/>
    <w:rsid w:val="009C2312"/>
    <w:rsid w:val="009C2BB6"/>
    <w:rsid w:val="009C2E45"/>
    <w:rsid w:val="009C30A8"/>
    <w:rsid w:val="009C437E"/>
    <w:rsid w:val="009D1864"/>
    <w:rsid w:val="009D1C88"/>
    <w:rsid w:val="009D2FC2"/>
    <w:rsid w:val="009D3421"/>
    <w:rsid w:val="009D47E7"/>
    <w:rsid w:val="009D53EE"/>
    <w:rsid w:val="009D5D32"/>
    <w:rsid w:val="009D626A"/>
    <w:rsid w:val="009D6D6F"/>
    <w:rsid w:val="009D7C72"/>
    <w:rsid w:val="009E0A6E"/>
    <w:rsid w:val="009E0EB0"/>
    <w:rsid w:val="009E15F3"/>
    <w:rsid w:val="009E1DE4"/>
    <w:rsid w:val="009E2EC7"/>
    <w:rsid w:val="009E3086"/>
    <w:rsid w:val="009E4104"/>
    <w:rsid w:val="009E449E"/>
    <w:rsid w:val="009E4504"/>
    <w:rsid w:val="009E4647"/>
    <w:rsid w:val="009E4871"/>
    <w:rsid w:val="009E49EC"/>
    <w:rsid w:val="009E4E95"/>
    <w:rsid w:val="009E5AA0"/>
    <w:rsid w:val="009E66F7"/>
    <w:rsid w:val="009E6A76"/>
    <w:rsid w:val="009E6F00"/>
    <w:rsid w:val="009E716C"/>
    <w:rsid w:val="009F115E"/>
    <w:rsid w:val="009F1E0B"/>
    <w:rsid w:val="009F2131"/>
    <w:rsid w:val="009F2CE1"/>
    <w:rsid w:val="009F53DC"/>
    <w:rsid w:val="009F67D6"/>
    <w:rsid w:val="00A01390"/>
    <w:rsid w:val="00A01593"/>
    <w:rsid w:val="00A01ECA"/>
    <w:rsid w:val="00A03037"/>
    <w:rsid w:val="00A0319B"/>
    <w:rsid w:val="00A03291"/>
    <w:rsid w:val="00A0431A"/>
    <w:rsid w:val="00A067C6"/>
    <w:rsid w:val="00A0687D"/>
    <w:rsid w:val="00A06C7D"/>
    <w:rsid w:val="00A06D78"/>
    <w:rsid w:val="00A0762A"/>
    <w:rsid w:val="00A07F7E"/>
    <w:rsid w:val="00A10922"/>
    <w:rsid w:val="00A10C97"/>
    <w:rsid w:val="00A11476"/>
    <w:rsid w:val="00A11898"/>
    <w:rsid w:val="00A132D0"/>
    <w:rsid w:val="00A1366C"/>
    <w:rsid w:val="00A13D1B"/>
    <w:rsid w:val="00A14825"/>
    <w:rsid w:val="00A14E61"/>
    <w:rsid w:val="00A15D7E"/>
    <w:rsid w:val="00A161CC"/>
    <w:rsid w:val="00A16534"/>
    <w:rsid w:val="00A1655B"/>
    <w:rsid w:val="00A16AA8"/>
    <w:rsid w:val="00A17731"/>
    <w:rsid w:val="00A20671"/>
    <w:rsid w:val="00A20982"/>
    <w:rsid w:val="00A209F7"/>
    <w:rsid w:val="00A21157"/>
    <w:rsid w:val="00A2124B"/>
    <w:rsid w:val="00A21F90"/>
    <w:rsid w:val="00A234C4"/>
    <w:rsid w:val="00A237D9"/>
    <w:rsid w:val="00A238D9"/>
    <w:rsid w:val="00A25454"/>
    <w:rsid w:val="00A255FB"/>
    <w:rsid w:val="00A25C76"/>
    <w:rsid w:val="00A26062"/>
    <w:rsid w:val="00A27156"/>
    <w:rsid w:val="00A27B2B"/>
    <w:rsid w:val="00A308D0"/>
    <w:rsid w:val="00A32748"/>
    <w:rsid w:val="00A33662"/>
    <w:rsid w:val="00A33962"/>
    <w:rsid w:val="00A33C71"/>
    <w:rsid w:val="00A3512B"/>
    <w:rsid w:val="00A35301"/>
    <w:rsid w:val="00A35864"/>
    <w:rsid w:val="00A35EC5"/>
    <w:rsid w:val="00A35FE6"/>
    <w:rsid w:val="00A36950"/>
    <w:rsid w:val="00A40986"/>
    <w:rsid w:val="00A40EC7"/>
    <w:rsid w:val="00A4135D"/>
    <w:rsid w:val="00A41E26"/>
    <w:rsid w:val="00A42656"/>
    <w:rsid w:val="00A42657"/>
    <w:rsid w:val="00A426D6"/>
    <w:rsid w:val="00A42C9F"/>
    <w:rsid w:val="00A42CBF"/>
    <w:rsid w:val="00A433D9"/>
    <w:rsid w:val="00A4451F"/>
    <w:rsid w:val="00A44D27"/>
    <w:rsid w:val="00A45E69"/>
    <w:rsid w:val="00A45F80"/>
    <w:rsid w:val="00A4658F"/>
    <w:rsid w:val="00A47A6D"/>
    <w:rsid w:val="00A51A14"/>
    <w:rsid w:val="00A5376B"/>
    <w:rsid w:val="00A54307"/>
    <w:rsid w:val="00A55825"/>
    <w:rsid w:val="00A56AA7"/>
    <w:rsid w:val="00A604C7"/>
    <w:rsid w:val="00A607B8"/>
    <w:rsid w:val="00A60897"/>
    <w:rsid w:val="00A60CC8"/>
    <w:rsid w:val="00A6158C"/>
    <w:rsid w:val="00A61AD8"/>
    <w:rsid w:val="00A62C4F"/>
    <w:rsid w:val="00A63F6F"/>
    <w:rsid w:val="00A6415C"/>
    <w:rsid w:val="00A64311"/>
    <w:rsid w:val="00A64474"/>
    <w:rsid w:val="00A651B2"/>
    <w:rsid w:val="00A666F4"/>
    <w:rsid w:val="00A70326"/>
    <w:rsid w:val="00A705E0"/>
    <w:rsid w:val="00A7196E"/>
    <w:rsid w:val="00A71D71"/>
    <w:rsid w:val="00A72E14"/>
    <w:rsid w:val="00A74249"/>
    <w:rsid w:val="00A74463"/>
    <w:rsid w:val="00A746F7"/>
    <w:rsid w:val="00A7498E"/>
    <w:rsid w:val="00A766D8"/>
    <w:rsid w:val="00A76852"/>
    <w:rsid w:val="00A76CC1"/>
    <w:rsid w:val="00A779E2"/>
    <w:rsid w:val="00A80BBF"/>
    <w:rsid w:val="00A818BB"/>
    <w:rsid w:val="00A81A44"/>
    <w:rsid w:val="00A8267B"/>
    <w:rsid w:val="00A82857"/>
    <w:rsid w:val="00A82959"/>
    <w:rsid w:val="00A83624"/>
    <w:rsid w:val="00A85103"/>
    <w:rsid w:val="00A85E95"/>
    <w:rsid w:val="00A86511"/>
    <w:rsid w:val="00A872B8"/>
    <w:rsid w:val="00A87308"/>
    <w:rsid w:val="00A902B8"/>
    <w:rsid w:val="00A911A0"/>
    <w:rsid w:val="00A91336"/>
    <w:rsid w:val="00A91862"/>
    <w:rsid w:val="00A91B4D"/>
    <w:rsid w:val="00A92096"/>
    <w:rsid w:val="00A93433"/>
    <w:rsid w:val="00A940B0"/>
    <w:rsid w:val="00A9478D"/>
    <w:rsid w:val="00A962B7"/>
    <w:rsid w:val="00A96904"/>
    <w:rsid w:val="00A97EA0"/>
    <w:rsid w:val="00AA0999"/>
    <w:rsid w:val="00AA15BB"/>
    <w:rsid w:val="00AA15CD"/>
    <w:rsid w:val="00AA20B2"/>
    <w:rsid w:val="00AA2193"/>
    <w:rsid w:val="00AA28B6"/>
    <w:rsid w:val="00AA2C36"/>
    <w:rsid w:val="00AA2D73"/>
    <w:rsid w:val="00AA341D"/>
    <w:rsid w:val="00AA3514"/>
    <w:rsid w:val="00AA4E6E"/>
    <w:rsid w:val="00AA5901"/>
    <w:rsid w:val="00AA6B60"/>
    <w:rsid w:val="00AA6E7B"/>
    <w:rsid w:val="00AB0FEC"/>
    <w:rsid w:val="00AB16C5"/>
    <w:rsid w:val="00AB1DCB"/>
    <w:rsid w:val="00AB20E3"/>
    <w:rsid w:val="00AB2DCA"/>
    <w:rsid w:val="00AB387A"/>
    <w:rsid w:val="00AB44D3"/>
    <w:rsid w:val="00AB4E09"/>
    <w:rsid w:val="00AB5188"/>
    <w:rsid w:val="00AB52BD"/>
    <w:rsid w:val="00AB6874"/>
    <w:rsid w:val="00AB6DE3"/>
    <w:rsid w:val="00AC0151"/>
    <w:rsid w:val="00AC0C8D"/>
    <w:rsid w:val="00AC11E9"/>
    <w:rsid w:val="00AC1CA0"/>
    <w:rsid w:val="00AC402A"/>
    <w:rsid w:val="00AC6E87"/>
    <w:rsid w:val="00AC7E18"/>
    <w:rsid w:val="00AD0C8D"/>
    <w:rsid w:val="00AD162D"/>
    <w:rsid w:val="00AD1E57"/>
    <w:rsid w:val="00AD1FE9"/>
    <w:rsid w:val="00AD388B"/>
    <w:rsid w:val="00AD3B61"/>
    <w:rsid w:val="00AD3EEC"/>
    <w:rsid w:val="00AD3FCB"/>
    <w:rsid w:val="00AD3FCD"/>
    <w:rsid w:val="00AD4301"/>
    <w:rsid w:val="00AD4899"/>
    <w:rsid w:val="00AD4A5C"/>
    <w:rsid w:val="00AD4B93"/>
    <w:rsid w:val="00AD5700"/>
    <w:rsid w:val="00AD5CED"/>
    <w:rsid w:val="00AD5D1E"/>
    <w:rsid w:val="00AD66E2"/>
    <w:rsid w:val="00AE04F9"/>
    <w:rsid w:val="00AE06CF"/>
    <w:rsid w:val="00AE09A7"/>
    <w:rsid w:val="00AE19DC"/>
    <w:rsid w:val="00AE1D18"/>
    <w:rsid w:val="00AE2134"/>
    <w:rsid w:val="00AE2471"/>
    <w:rsid w:val="00AE2D2B"/>
    <w:rsid w:val="00AE2EA2"/>
    <w:rsid w:val="00AE3A83"/>
    <w:rsid w:val="00AE3C1A"/>
    <w:rsid w:val="00AE3C1B"/>
    <w:rsid w:val="00AE4BE6"/>
    <w:rsid w:val="00AE5131"/>
    <w:rsid w:val="00AE51D7"/>
    <w:rsid w:val="00AE61AD"/>
    <w:rsid w:val="00AE7BD8"/>
    <w:rsid w:val="00AE7FCA"/>
    <w:rsid w:val="00AF08C9"/>
    <w:rsid w:val="00AF0DC4"/>
    <w:rsid w:val="00AF1162"/>
    <w:rsid w:val="00AF11C1"/>
    <w:rsid w:val="00AF2015"/>
    <w:rsid w:val="00AF2B0E"/>
    <w:rsid w:val="00AF40CC"/>
    <w:rsid w:val="00AF4709"/>
    <w:rsid w:val="00AF49E0"/>
    <w:rsid w:val="00AF516D"/>
    <w:rsid w:val="00AF54C4"/>
    <w:rsid w:val="00AF5502"/>
    <w:rsid w:val="00AF55B6"/>
    <w:rsid w:val="00AF578C"/>
    <w:rsid w:val="00AF5D77"/>
    <w:rsid w:val="00AF704E"/>
    <w:rsid w:val="00AF7470"/>
    <w:rsid w:val="00B0157D"/>
    <w:rsid w:val="00B0186A"/>
    <w:rsid w:val="00B0206A"/>
    <w:rsid w:val="00B022E9"/>
    <w:rsid w:val="00B02ECC"/>
    <w:rsid w:val="00B0387E"/>
    <w:rsid w:val="00B03E7D"/>
    <w:rsid w:val="00B05381"/>
    <w:rsid w:val="00B0569A"/>
    <w:rsid w:val="00B0575D"/>
    <w:rsid w:val="00B059C7"/>
    <w:rsid w:val="00B071FE"/>
    <w:rsid w:val="00B07B49"/>
    <w:rsid w:val="00B10120"/>
    <w:rsid w:val="00B10752"/>
    <w:rsid w:val="00B11965"/>
    <w:rsid w:val="00B11F06"/>
    <w:rsid w:val="00B13AAA"/>
    <w:rsid w:val="00B13D14"/>
    <w:rsid w:val="00B13F05"/>
    <w:rsid w:val="00B14557"/>
    <w:rsid w:val="00B14D08"/>
    <w:rsid w:val="00B1518A"/>
    <w:rsid w:val="00B15D8B"/>
    <w:rsid w:val="00B16557"/>
    <w:rsid w:val="00B17E1B"/>
    <w:rsid w:val="00B205E9"/>
    <w:rsid w:val="00B20C3D"/>
    <w:rsid w:val="00B21DFC"/>
    <w:rsid w:val="00B22178"/>
    <w:rsid w:val="00B22910"/>
    <w:rsid w:val="00B22AAA"/>
    <w:rsid w:val="00B2326C"/>
    <w:rsid w:val="00B23531"/>
    <w:rsid w:val="00B24B35"/>
    <w:rsid w:val="00B24B3B"/>
    <w:rsid w:val="00B24E3C"/>
    <w:rsid w:val="00B24E62"/>
    <w:rsid w:val="00B25B31"/>
    <w:rsid w:val="00B2606F"/>
    <w:rsid w:val="00B2674D"/>
    <w:rsid w:val="00B26BCE"/>
    <w:rsid w:val="00B270BF"/>
    <w:rsid w:val="00B27C1C"/>
    <w:rsid w:val="00B317CB"/>
    <w:rsid w:val="00B31CF7"/>
    <w:rsid w:val="00B31EF1"/>
    <w:rsid w:val="00B32C14"/>
    <w:rsid w:val="00B32E3D"/>
    <w:rsid w:val="00B33212"/>
    <w:rsid w:val="00B345A4"/>
    <w:rsid w:val="00B363C2"/>
    <w:rsid w:val="00B4075F"/>
    <w:rsid w:val="00B409CD"/>
    <w:rsid w:val="00B416CD"/>
    <w:rsid w:val="00B4223B"/>
    <w:rsid w:val="00B43A1B"/>
    <w:rsid w:val="00B43D40"/>
    <w:rsid w:val="00B4575B"/>
    <w:rsid w:val="00B4583C"/>
    <w:rsid w:val="00B4693B"/>
    <w:rsid w:val="00B507D7"/>
    <w:rsid w:val="00B5116B"/>
    <w:rsid w:val="00B54B34"/>
    <w:rsid w:val="00B54F13"/>
    <w:rsid w:val="00B55813"/>
    <w:rsid w:val="00B55E63"/>
    <w:rsid w:val="00B55E77"/>
    <w:rsid w:val="00B55FF2"/>
    <w:rsid w:val="00B57C1A"/>
    <w:rsid w:val="00B57FE7"/>
    <w:rsid w:val="00B602C6"/>
    <w:rsid w:val="00B604AA"/>
    <w:rsid w:val="00B604AC"/>
    <w:rsid w:val="00B6070F"/>
    <w:rsid w:val="00B60C08"/>
    <w:rsid w:val="00B616CC"/>
    <w:rsid w:val="00B61A54"/>
    <w:rsid w:val="00B63DC7"/>
    <w:rsid w:val="00B66218"/>
    <w:rsid w:val="00B66977"/>
    <w:rsid w:val="00B67C08"/>
    <w:rsid w:val="00B67C0E"/>
    <w:rsid w:val="00B67CB3"/>
    <w:rsid w:val="00B70042"/>
    <w:rsid w:val="00B701C9"/>
    <w:rsid w:val="00B703A6"/>
    <w:rsid w:val="00B715ED"/>
    <w:rsid w:val="00B716F6"/>
    <w:rsid w:val="00B72FA0"/>
    <w:rsid w:val="00B73BFC"/>
    <w:rsid w:val="00B73C04"/>
    <w:rsid w:val="00B74CB3"/>
    <w:rsid w:val="00B7555C"/>
    <w:rsid w:val="00B76518"/>
    <w:rsid w:val="00B770CC"/>
    <w:rsid w:val="00B77708"/>
    <w:rsid w:val="00B80064"/>
    <w:rsid w:val="00B80708"/>
    <w:rsid w:val="00B80F6E"/>
    <w:rsid w:val="00B81595"/>
    <w:rsid w:val="00B81867"/>
    <w:rsid w:val="00B83CED"/>
    <w:rsid w:val="00B83FA6"/>
    <w:rsid w:val="00B8422F"/>
    <w:rsid w:val="00B842C4"/>
    <w:rsid w:val="00B85292"/>
    <w:rsid w:val="00B85434"/>
    <w:rsid w:val="00B85B6E"/>
    <w:rsid w:val="00B8655D"/>
    <w:rsid w:val="00B86837"/>
    <w:rsid w:val="00B868C6"/>
    <w:rsid w:val="00B87B54"/>
    <w:rsid w:val="00B87F38"/>
    <w:rsid w:val="00B910E3"/>
    <w:rsid w:val="00B91350"/>
    <w:rsid w:val="00B92550"/>
    <w:rsid w:val="00B926B8"/>
    <w:rsid w:val="00B929DB"/>
    <w:rsid w:val="00B936E9"/>
    <w:rsid w:val="00B950BA"/>
    <w:rsid w:val="00B95178"/>
    <w:rsid w:val="00B954DA"/>
    <w:rsid w:val="00B95810"/>
    <w:rsid w:val="00B9596F"/>
    <w:rsid w:val="00B96CB1"/>
    <w:rsid w:val="00BA02A7"/>
    <w:rsid w:val="00BA041C"/>
    <w:rsid w:val="00BA2C1B"/>
    <w:rsid w:val="00BA2C90"/>
    <w:rsid w:val="00BA4090"/>
    <w:rsid w:val="00BA4ED4"/>
    <w:rsid w:val="00BA5358"/>
    <w:rsid w:val="00BA64E5"/>
    <w:rsid w:val="00BA6752"/>
    <w:rsid w:val="00BA6C6D"/>
    <w:rsid w:val="00BA6F6C"/>
    <w:rsid w:val="00BA72C3"/>
    <w:rsid w:val="00BA7DAF"/>
    <w:rsid w:val="00BB01B9"/>
    <w:rsid w:val="00BB043F"/>
    <w:rsid w:val="00BB124B"/>
    <w:rsid w:val="00BB19A9"/>
    <w:rsid w:val="00BB19C6"/>
    <w:rsid w:val="00BB1EEC"/>
    <w:rsid w:val="00BB2864"/>
    <w:rsid w:val="00BB2E36"/>
    <w:rsid w:val="00BB323E"/>
    <w:rsid w:val="00BB3634"/>
    <w:rsid w:val="00BB3B8F"/>
    <w:rsid w:val="00BB3F3F"/>
    <w:rsid w:val="00BB5632"/>
    <w:rsid w:val="00BB5756"/>
    <w:rsid w:val="00BB5A40"/>
    <w:rsid w:val="00BB5AA5"/>
    <w:rsid w:val="00BB5D83"/>
    <w:rsid w:val="00BB6402"/>
    <w:rsid w:val="00BC0433"/>
    <w:rsid w:val="00BC0497"/>
    <w:rsid w:val="00BC19B9"/>
    <w:rsid w:val="00BC1FCB"/>
    <w:rsid w:val="00BC2C68"/>
    <w:rsid w:val="00BC2D86"/>
    <w:rsid w:val="00BC3541"/>
    <w:rsid w:val="00BC3E8A"/>
    <w:rsid w:val="00BC47F8"/>
    <w:rsid w:val="00BC53B6"/>
    <w:rsid w:val="00BC6B7C"/>
    <w:rsid w:val="00BD00C8"/>
    <w:rsid w:val="00BD058C"/>
    <w:rsid w:val="00BD070D"/>
    <w:rsid w:val="00BD0863"/>
    <w:rsid w:val="00BD36AE"/>
    <w:rsid w:val="00BD36ED"/>
    <w:rsid w:val="00BD3C50"/>
    <w:rsid w:val="00BD3D49"/>
    <w:rsid w:val="00BD417F"/>
    <w:rsid w:val="00BD4779"/>
    <w:rsid w:val="00BD4EC0"/>
    <w:rsid w:val="00BD567E"/>
    <w:rsid w:val="00BD6445"/>
    <w:rsid w:val="00BD688C"/>
    <w:rsid w:val="00BD69A0"/>
    <w:rsid w:val="00BD71A3"/>
    <w:rsid w:val="00BD74CF"/>
    <w:rsid w:val="00BD7B2B"/>
    <w:rsid w:val="00BD7F36"/>
    <w:rsid w:val="00BE00CC"/>
    <w:rsid w:val="00BE0F04"/>
    <w:rsid w:val="00BE17EF"/>
    <w:rsid w:val="00BE1ED0"/>
    <w:rsid w:val="00BE21E2"/>
    <w:rsid w:val="00BE2CF7"/>
    <w:rsid w:val="00BE3413"/>
    <w:rsid w:val="00BE341C"/>
    <w:rsid w:val="00BE34E5"/>
    <w:rsid w:val="00BE36BB"/>
    <w:rsid w:val="00BE5EB2"/>
    <w:rsid w:val="00BE627C"/>
    <w:rsid w:val="00BE6741"/>
    <w:rsid w:val="00BE6A52"/>
    <w:rsid w:val="00BE7434"/>
    <w:rsid w:val="00BF12EE"/>
    <w:rsid w:val="00BF3686"/>
    <w:rsid w:val="00BF39F3"/>
    <w:rsid w:val="00BF5960"/>
    <w:rsid w:val="00BF59B4"/>
    <w:rsid w:val="00BF59E0"/>
    <w:rsid w:val="00BF7148"/>
    <w:rsid w:val="00BF7B22"/>
    <w:rsid w:val="00BF7B77"/>
    <w:rsid w:val="00C002D9"/>
    <w:rsid w:val="00C01196"/>
    <w:rsid w:val="00C02954"/>
    <w:rsid w:val="00C0295B"/>
    <w:rsid w:val="00C02DD9"/>
    <w:rsid w:val="00C03964"/>
    <w:rsid w:val="00C06A39"/>
    <w:rsid w:val="00C06F47"/>
    <w:rsid w:val="00C07141"/>
    <w:rsid w:val="00C075CB"/>
    <w:rsid w:val="00C07FD5"/>
    <w:rsid w:val="00C1035E"/>
    <w:rsid w:val="00C107A2"/>
    <w:rsid w:val="00C114B0"/>
    <w:rsid w:val="00C12129"/>
    <w:rsid w:val="00C1229F"/>
    <w:rsid w:val="00C12325"/>
    <w:rsid w:val="00C12590"/>
    <w:rsid w:val="00C12BF3"/>
    <w:rsid w:val="00C12D8A"/>
    <w:rsid w:val="00C12E2D"/>
    <w:rsid w:val="00C13AA7"/>
    <w:rsid w:val="00C13F97"/>
    <w:rsid w:val="00C1434D"/>
    <w:rsid w:val="00C1464B"/>
    <w:rsid w:val="00C14B24"/>
    <w:rsid w:val="00C153A9"/>
    <w:rsid w:val="00C154C8"/>
    <w:rsid w:val="00C15E4A"/>
    <w:rsid w:val="00C160A6"/>
    <w:rsid w:val="00C1688F"/>
    <w:rsid w:val="00C16CE3"/>
    <w:rsid w:val="00C16E21"/>
    <w:rsid w:val="00C23C7E"/>
    <w:rsid w:val="00C23F6D"/>
    <w:rsid w:val="00C24265"/>
    <w:rsid w:val="00C24298"/>
    <w:rsid w:val="00C24D04"/>
    <w:rsid w:val="00C27213"/>
    <w:rsid w:val="00C2741B"/>
    <w:rsid w:val="00C3041B"/>
    <w:rsid w:val="00C30B58"/>
    <w:rsid w:val="00C30D96"/>
    <w:rsid w:val="00C30E0A"/>
    <w:rsid w:val="00C31544"/>
    <w:rsid w:val="00C328FF"/>
    <w:rsid w:val="00C342E2"/>
    <w:rsid w:val="00C34452"/>
    <w:rsid w:val="00C34A07"/>
    <w:rsid w:val="00C3564C"/>
    <w:rsid w:val="00C36310"/>
    <w:rsid w:val="00C365B9"/>
    <w:rsid w:val="00C371C2"/>
    <w:rsid w:val="00C376F9"/>
    <w:rsid w:val="00C3796A"/>
    <w:rsid w:val="00C400AF"/>
    <w:rsid w:val="00C40922"/>
    <w:rsid w:val="00C410AA"/>
    <w:rsid w:val="00C411B3"/>
    <w:rsid w:val="00C41879"/>
    <w:rsid w:val="00C419FA"/>
    <w:rsid w:val="00C41D88"/>
    <w:rsid w:val="00C42136"/>
    <w:rsid w:val="00C443FD"/>
    <w:rsid w:val="00C44FC8"/>
    <w:rsid w:val="00C45283"/>
    <w:rsid w:val="00C45390"/>
    <w:rsid w:val="00C4551D"/>
    <w:rsid w:val="00C457A1"/>
    <w:rsid w:val="00C458FF"/>
    <w:rsid w:val="00C47FB7"/>
    <w:rsid w:val="00C50BE1"/>
    <w:rsid w:val="00C514B9"/>
    <w:rsid w:val="00C51B03"/>
    <w:rsid w:val="00C520AD"/>
    <w:rsid w:val="00C52D2B"/>
    <w:rsid w:val="00C5365D"/>
    <w:rsid w:val="00C53A27"/>
    <w:rsid w:val="00C546B2"/>
    <w:rsid w:val="00C55200"/>
    <w:rsid w:val="00C61EA8"/>
    <w:rsid w:val="00C61EAC"/>
    <w:rsid w:val="00C626F8"/>
    <w:rsid w:val="00C6327C"/>
    <w:rsid w:val="00C64A11"/>
    <w:rsid w:val="00C653DB"/>
    <w:rsid w:val="00C65B3F"/>
    <w:rsid w:val="00C65B50"/>
    <w:rsid w:val="00C666E5"/>
    <w:rsid w:val="00C66A73"/>
    <w:rsid w:val="00C66B18"/>
    <w:rsid w:val="00C66DA0"/>
    <w:rsid w:val="00C67E11"/>
    <w:rsid w:val="00C708D3"/>
    <w:rsid w:val="00C70943"/>
    <w:rsid w:val="00C70977"/>
    <w:rsid w:val="00C726DF"/>
    <w:rsid w:val="00C72DF8"/>
    <w:rsid w:val="00C743B0"/>
    <w:rsid w:val="00C74CE2"/>
    <w:rsid w:val="00C74FE0"/>
    <w:rsid w:val="00C7566B"/>
    <w:rsid w:val="00C75D59"/>
    <w:rsid w:val="00C75FE1"/>
    <w:rsid w:val="00C778D1"/>
    <w:rsid w:val="00C80F81"/>
    <w:rsid w:val="00C81111"/>
    <w:rsid w:val="00C819FF"/>
    <w:rsid w:val="00C81BF8"/>
    <w:rsid w:val="00C82070"/>
    <w:rsid w:val="00C8213D"/>
    <w:rsid w:val="00C827F5"/>
    <w:rsid w:val="00C83C78"/>
    <w:rsid w:val="00C86295"/>
    <w:rsid w:val="00C86619"/>
    <w:rsid w:val="00C86833"/>
    <w:rsid w:val="00C90700"/>
    <w:rsid w:val="00C90FA5"/>
    <w:rsid w:val="00C91BD4"/>
    <w:rsid w:val="00C91DB1"/>
    <w:rsid w:val="00C92BF9"/>
    <w:rsid w:val="00C93679"/>
    <w:rsid w:val="00C936AE"/>
    <w:rsid w:val="00C93E27"/>
    <w:rsid w:val="00C94DAD"/>
    <w:rsid w:val="00C94EA4"/>
    <w:rsid w:val="00C94FAF"/>
    <w:rsid w:val="00C94FFB"/>
    <w:rsid w:val="00C96251"/>
    <w:rsid w:val="00C96584"/>
    <w:rsid w:val="00C9664B"/>
    <w:rsid w:val="00CA06B6"/>
    <w:rsid w:val="00CA0EBB"/>
    <w:rsid w:val="00CA154A"/>
    <w:rsid w:val="00CA2345"/>
    <w:rsid w:val="00CA24E5"/>
    <w:rsid w:val="00CA3188"/>
    <w:rsid w:val="00CA3E35"/>
    <w:rsid w:val="00CA45C7"/>
    <w:rsid w:val="00CA470E"/>
    <w:rsid w:val="00CA4883"/>
    <w:rsid w:val="00CA4D55"/>
    <w:rsid w:val="00CA5051"/>
    <w:rsid w:val="00CA52D5"/>
    <w:rsid w:val="00CA560C"/>
    <w:rsid w:val="00CA6598"/>
    <w:rsid w:val="00CA6705"/>
    <w:rsid w:val="00CA6A33"/>
    <w:rsid w:val="00CA740E"/>
    <w:rsid w:val="00CA7AAA"/>
    <w:rsid w:val="00CB058E"/>
    <w:rsid w:val="00CB05CF"/>
    <w:rsid w:val="00CB1190"/>
    <w:rsid w:val="00CB14F3"/>
    <w:rsid w:val="00CB16FC"/>
    <w:rsid w:val="00CB265A"/>
    <w:rsid w:val="00CB285D"/>
    <w:rsid w:val="00CB2925"/>
    <w:rsid w:val="00CB2AA1"/>
    <w:rsid w:val="00CB4095"/>
    <w:rsid w:val="00CB4875"/>
    <w:rsid w:val="00CB4B54"/>
    <w:rsid w:val="00CB4CCE"/>
    <w:rsid w:val="00CB4E18"/>
    <w:rsid w:val="00CB50A8"/>
    <w:rsid w:val="00CB5FBB"/>
    <w:rsid w:val="00CB61AF"/>
    <w:rsid w:val="00CB64CF"/>
    <w:rsid w:val="00CB678B"/>
    <w:rsid w:val="00CB7741"/>
    <w:rsid w:val="00CC133F"/>
    <w:rsid w:val="00CC1495"/>
    <w:rsid w:val="00CC14FE"/>
    <w:rsid w:val="00CC2138"/>
    <w:rsid w:val="00CC2C04"/>
    <w:rsid w:val="00CC2D76"/>
    <w:rsid w:val="00CC3FEF"/>
    <w:rsid w:val="00CC4473"/>
    <w:rsid w:val="00CC7155"/>
    <w:rsid w:val="00CD06A3"/>
    <w:rsid w:val="00CD2295"/>
    <w:rsid w:val="00CD337B"/>
    <w:rsid w:val="00CD367E"/>
    <w:rsid w:val="00CD3B4E"/>
    <w:rsid w:val="00CD3BAD"/>
    <w:rsid w:val="00CD3E32"/>
    <w:rsid w:val="00CD4708"/>
    <w:rsid w:val="00CD4F58"/>
    <w:rsid w:val="00CD5ACC"/>
    <w:rsid w:val="00CD60E0"/>
    <w:rsid w:val="00CD61BB"/>
    <w:rsid w:val="00CD6C86"/>
    <w:rsid w:val="00CD7CF9"/>
    <w:rsid w:val="00CE0E07"/>
    <w:rsid w:val="00CE2A5A"/>
    <w:rsid w:val="00CE3733"/>
    <w:rsid w:val="00CE3F50"/>
    <w:rsid w:val="00CE4F74"/>
    <w:rsid w:val="00CE59D4"/>
    <w:rsid w:val="00CE7299"/>
    <w:rsid w:val="00CE7558"/>
    <w:rsid w:val="00CE7D65"/>
    <w:rsid w:val="00CF019D"/>
    <w:rsid w:val="00CF02E1"/>
    <w:rsid w:val="00CF1781"/>
    <w:rsid w:val="00CF189F"/>
    <w:rsid w:val="00CF1CA2"/>
    <w:rsid w:val="00CF43B7"/>
    <w:rsid w:val="00CF4E39"/>
    <w:rsid w:val="00CF57B7"/>
    <w:rsid w:val="00CF5EC5"/>
    <w:rsid w:val="00CF6041"/>
    <w:rsid w:val="00D00F80"/>
    <w:rsid w:val="00D01EFE"/>
    <w:rsid w:val="00D02393"/>
    <w:rsid w:val="00D02D18"/>
    <w:rsid w:val="00D0437F"/>
    <w:rsid w:val="00D0466B"/>
    <w:rsid w:val="00D05B62"/>
    <w:rsid w:val="00D05E09"/>
    <w:rsid w:val="00D0622E"/>
    <w:rsid w:val="00D06FA5"/>
    <w:rsid w:val="00D076BA"/>
    <w:rsid w:val="00D100B9"/>
    <w:rsid w:val="00D106FA"/>
    <w:rsid w:val="00D10C6D"/>
    <w:rsid w:val="00D12BA8"/>
    <w:rsid w:val="00D14A63"/>
    <w:rsid w:val="00D15B81"/>
    <w:rsid w:val="00D167C2"/>
    <w:rsid w:val="00D16876"/>
    <w:rsid w:val="00D16C66"/>
    <w:rsid w:val="00D16E4B"/>
    <w:rsid w:val="00D17FD3"/>
    <w:rsid w:val="00D20D25"/>
    <w:rsid w:val="00D2161A"/>
    <w:rsid w:val="00D2166D"/>
    <w:rsid w:val="00D217D3"/>
    <w:rsid w:val="00D23F5E"/>
    <w:rsid w:val="00D25385"/>
    <w:rsid w:val="00D25D65"/>
    <w:rsid w:val="00D26EDE"/>
    <w:rsid w:val="00D32394"/>
    <w:rsid w:val="00D327BA"/>
    <w:rsid w:val="00D332AC"/>
    <w:rsid w:val="00D3557A"/>
    <w:rsid w:val="00D3576A"/>
    <w:rsid w:val="00D359B0"/>
    <w:rsid w:val="00D3619E"/>
    <w:rsid w:val="00D3629D"/>
    <w:rsid w:val="00D36378"/>
    <w:rsid w:val="00D36A00"/>
    <w:rsid w:val="00D3708F"/>
    <w:rsid w:val="00D405F2"/>
    <w:rsid w:val="00D414C0"/>
    <w:rsid w:val="00D41FE6"/>
    <w:rsid w:val="00D42552"/>
    <w:rsid w:val="00D433B3"/>
    <w:rsid w:val="00D43A95"/>
    <w:rsid w:val="00D43DF9"/>
    <w:rsid w:val="00D4615C"/>
    <w:rsid w:val="00D4733E"/>
    <w:rsid w:val="00D47C2D"/>
    <w:rsid w:val="00D512E1"/>
    <w:rsid w:val="00D51581"/>
    <w:rsid w:val="00D517B5"/>
    <w:rsid w:val="00D52BEB"/>
    <w:rsid w:val="00D52C14"/>
    <w:rsid w:val="00D53D2C"/>
    <w:rsid w:val="00D546A9"/>
    <w:rsid w:val="00D54AAF"/>
    <w:rsid w:val="00D54ED5"/>
    <w:rsid w:val="00D57893"/>
    <w:rsid w:val="00D57F4F"/>
    <w:rsid w:val="00D60940"/>
    <w:rsid w:val="00D60FBF"/>
    <w:rsid w:val="00D62D0F"/>
    <w:rsid w:val="00D62F7F"/>
    <w:rsid w:val="00D637D2"/>
    <w:rsid w:val="00D6518E"/>
    <w:rsid w:val="00D662F9"/>
    <w:rsid w:val="00D67008"/>
    <w:rsid w:val="00D670BC"/>
    <w:rsid w:val="00D67589"/>
    <w:rsid w:val="00D67B14"/>
    <w:rsid w:val="00D67C19"/>
    <w:rsid w:val="00D71404"/>
    <w:rsid w:val="00D720D9"/>
    <w:rsid w:val="00D72642"/>
    <w:rsid w:val="00D739A4"/>
    <w:rsid w:val="00D74E0B"/>
    <w:rsid w:val="00D7570A"/>
    <w:rsid w:val="00D76167"/>
    <w:rsid w:val="00D765F0"/>
    <w:rsid w:val="00D76A99"/>
    <w:rsid w:val="00D7719B"/>
    <w:rsid w:val="00D773B7"/>
    <w:rsid w:val="00D77D6D"/>
    <w:rsid w:val="00D808F4"/>
    <w:rsid w:val="00D81114"/>
    <w:rsid w:val="00D8280D"/>
    <w:rsid w:val="00D83385"/>
    <w:rsid w:val="00D84F9F"/>
    <w:rsid w:val="00D85320"/>
    <w:rsid w:val="00D859A5"/>
    <w:rsid w:val="00D86716"/>
    <w:rsid w:val="00D9038B"/>
    <w:rsid w:val="00D90476"/>
    <w:rsid w:val="00D90EA6"/>
    <w:rsid w:val="00D90FA1"/>
    <w:rsid w:val="00D92335"/>
    <w:rsid w:val="00D9320F"/>
    <w:rsid w:val="00D95947"/>
    <w:rsid w:val="00D95CBA"/>
    <w:rsid w:val="00D960B7"/>
    <w:rsid w:val="00D96E5B"/>
    <w:rsid w:val="00D978A4"/>
    <w:rsid w:val="00D97956"/>
    <w:rsid w:val="00DA03D6"/>
    <w:rsid w:val="00DA04AF"/>
    <w:rsid w:val="00DA0A56"/>
    <w:rsid w:val="00DA1B5C"/>
    <w:rsid w:val="00DA42C4"/>
    <w:rsid w:val="00DA42D5"/>
    <w:rsid w:val="00DA46AC"/>
    <w:rsid w:val="00DA6051"/>
    <w:rsid w:val="00DA77E8"/>
    <w:rsid w:val="00DA7B3B"/>
    <w:rsid w:val="00DB0E02"/>
    <w:rsid w:val="00DB0FF9"/>
    <w:rsid w:val="00DB1190"/>
    <w:rsid w:val="00DB141C"/>
    <w:rsid w:val="00DB1E67"/>
    <w:rsid w:val="00DB28AB"/>
    <w:rsid w:val="00DB2AAF"/>
    <w:rsid w:val="00DB2F98"/>
    <w:rsid w:val="00DB39B7"/>
    <w:rsid w:val="00DB3ABD"/>
    <w:rsid w:val="00DB3F5C"/>
    <w:rsid w:val="00DB4505"/>
    <w:rsid w:val="00DB4522"/>
    <w:rsid w:val="00DB59C4"/>
    <w:rsid w:val="00DB5AB7"/>
    <w:rsid w:val="00DB5C58"/>
    <w:rsid w:val="00DB5DDB"/>
    <w:rsid w:val="00DB684D"/>
    <w:rsid w:val="00DC015C"/>
    <w:rsid w:val="00DC0A5C"/>
    <w:rsid w:val="00DC361F"/>
    <w:rsid w:val="00DC36FD"/>
    <w:rsid w:val="00DC3821"/>
    <w:rsid w:val="00DC3C17"/>
    <w:rsid w:val="00DC3CA6"/>
    <w:rsid w:val="00DC4139"/>
    <w:rsid w:val="00DC42CF"/>
    <w:rsid w:val="00DC4644"/>
    <w:rsid w:val="00DC4891"/>
    <w:rsid w:val="00DC5DD6"/>
    <w:rsid w:val="00DC5E4A"/>
    <w:rsid w:val="00DC65A4"/>
    <w:rsid w:val="00DC69B5"/>
    <w:rsid w:val="00DC6AB5"/>
    <w:rsid w:val="00DC7403"/>
    <w:rsid w:val="00DD0D25"/>
    <w:rsid w:val="00DD1580"/>
    <w:rsid w:val="00DD1CE1"/>
    <w:rsid w:val="00DD3156"/>
    <w:rsid w:val="00DD62E3"/>
    <w:rsid w:val="00DD66E7"/>
    <w:rsid w:val="00DD6AB2"/>
    <w:rsid w:val="00DD7D3E"/>
    <w:rsid w:val="00DE06E3"/>
    <w:rsid w:val="00DE1C82"/>
    <w:rsid w:val="00DE2307"/>
    <w:rsid w:val="00DE2365"/>
    <w:rsid w:val="00DE30D1"/>
    <w:rsid w:val="00DE4338"/>
    <w:rsid w:val="00DE54E7"/>
    <w:rsid w:val="00DE57B1"/>
    <w:rsid w:val="00DE6806"/>
    <w:rsid w:val="00DE6973"/>
    <w:rsid w:val="00DE7827"/>
    <w:rsid w:val="00DF01E0"/>
    <w:rsid w:val="00DF196D"/>
    <w:rsid w:val="00DF2C7C"/>
    <w:rsid w:val="00DF434E"/>
    <w:rsid w:val="00DF48F0"/>
    <w:rsid w:val="00DF4A09"/>
    <w:rsid w:val="00DF51CA"/>
    <w:rsid w:val="00DF61F6"/>
    <w:rsid w:val="00DF693B"/>
    <w:rsid w:val="00DF6977"/>
    <w:rsid w:val="00DF6D3D"/>
    <w:rsid w:val="00DF7533"/>
    <w:rsid w:val="00DF7C2F"/>
    <w:rsid w:val="00E00C83"/>
    <w:rsid w:val="00E01335"/>
    <w:rsid w:val="00E0196D"/>
    <w:rsid w:val="00E02DC5"/>
    <w:rsid w:val="00E0348D"/>
    <w:rsid w:val="00E0380D"/>
    <w:rsid w:val="00E04AC3"/>
    <w:rsid w:val="00E04E12"/>
    <w:rsid w:val="00E05051"/>
    <w:rsid w:val="00E054C0"/>
    <w:rsid w:val="00E05726"/>
    <w:rsid w:val="00E05ADB"/>
    <w:rsid w:val="00E0682A"/>
    <w:rsid w:val="00E0717E"/>
    <w:rsid w:val="00E079B7"/>
    <w:rsid w:val="00E10258"/>
    <w:rsid w:val="00E10752"/>
    <w:rsid w:val="00E1084C"/>
    <w:rsid w:val="00E10C62"/>
    <w:rsid w:val="00E12795"/>
    <w:rsid w:val="00E12D9E"/>
    <w:rsid w:val="00E12EB4"/>
    <w:rsid w:val="00E14853"/>
    <w:rsid w:val="00E14F0D"/>
    <w:rsid w:val="00E15567"/>
    <w:rsid w:val="00E15AD0"/>
    <w:rsid w:val="00E20207"/>
    <w:rsid w:val="00E214AE"/>
    <w:rsid w:val="00E215F2"/>
    <w:rsid w:val="00E22258"/>
    <w:rsid w:val="00E22CE2"/>
    <w:rsid w:val="00E239E4"/>
    <w:rsid w:val="00E23D84"/>
    <w:rsid w:val="00E24537"/>
    <w:rsid w:val="00E255D7"/>
    <w:rsid w:val="00E25C73"/>
    <w:rsid w:val="00E2618C"/>
    <w:rsid w:val="00E26809"/>
    <w:rsid w:val="00E27968"/>
    <w:rsid w:val="00E327F7"/>
    <w:rsid w:val="00E32ADB"/>
    <w:rsid w:val="00E332D2"/>
    <w:rsid w:val="00E3360A"/>
    <w:rsid w:val="00E33F68"/>
    <w:rsid w:val="00E344D0"/>
    <w:rsid w:val="00E34706"/>
    <w:rsid w:val="00E352C0"/>
    <w:rsid w:val="00E35751"/>
    <w:rsid w:val="00E35C9F"/>
    <w:rsid w:val="00E35F1C"/>
    <w:rsid w:val="00E40045"/>
    <w:rsid w:val="00E405F9"/>
    <w:rsid w:val="00E411E0"/>
    <w:rsid w:val="00E417CE"/>
    <w:rsid w:val="00E417E5"/>
    <w:rsid w:val="00E43A30"/>
    <w:rsid w:val="00E43A6C"/>
    <w:rsid w:val="00E44A68"/>
    <w:rsid w:val="00E45388"/>
    <w:rsid w:val="00E46202"/>
    <w:rsid w:val="00E46BBC"/>
    <w:rsid w:val="00E46D07"/>
    <w:rsid w:val="00E46EBB"/>
    <w:rsid w:val="00E472B3"/>
    <w:rsid w:val="00E479AE"/>
    <w:rsid w:val="00E504CD"/>
    <w:rsid w:val="00E507EB"/>
    <w:rsid w:val="00E50B7A"/>
    <w:rsid w:val="00E51F03"/>
    <w:rsid w:val="00E525CE"/>
    <w:rsid w:val="00E53E4F"/>
    <w:rsid w:val="00E54EB5"/>
    <w:rsid w:val="00E554B7"/>
    <w:rsid w:val="00E55EF3"/>
    <w:rsid w:val="00E56215"/>
    <w:rsid w:val="00E568EB"/>
    <w:rsid w:val="00E56E5B"/>
    <w:rsid w:val="00E5712C"/>
    <w:rsid w:val="00E573DA"/>
    <w:rsid w:val="00E625CA"/>
    <w:rsid w:val="00E628C8"/>
    <w:rsid w:val="00E63B8A"/>
    <w:rsid w:val="00E63D69"/>
    <w:rsid w:val="00E64417"/>
    <w:rsid w:val="00E6481D"/>
    <w:rsid w:val="00E659A9"/>
    <w:rsid w:val="00E66136"/>
    <w:rsid w:val="00E6614B"/>
    <w:rsid w:val="00E66233"/>
    <w:rsid w:val="00E66C55"/>
    <w:rsid w:val="00E66EEB"/>
    <w:rsid w:val="00E67B09"/>
    <w:rsid w:val="00E70ED4"/>
    <w:rsid w:val="00E714CC"/>
    <w:rsid w:val="00E71801"/>
    <w:rsid w:val="00E72667"/>
    <w:rsid w:val="00E72B63"/>
    <w:rsid w:val="00E73BC5"/>
    <w:rsid w:val="00E7447D"/>
    <w:rsid w:val="00E74AAC"/>
    <w:rsid w:val="00E75D71"/>
    <w:rsid w:val="00E7612F"/>
    <w:rsid w:val="00E763C9"/>
    <w:rsid w:val="00E76649"/>
    <w:rsid w:val="00E76E6E"/>
    <w:rsid w:val="00E77918"/>
    <w:rsid w:val="00E77C52"/>
    <w:rsid w:val="00E80A52"/>
    <w:rsid w:val="00E80C37"/>
    <w:rsid w:val="00E812EF"/>
    <w:rsid w:val="00E814ED"/>
    <w:rsid w:val="00E81CA3"/>
    <w:rsid w:val="00E8480E"/>
    <w:rsid w:val="00E87B91"/>
    <w:rsid w:val="00E87C10"/>
    <w:rsid w:val="00E90C4A"/>
    <w:rsid w:val="00E9155E"/>
    <w:rsid w:val="00E922F3"/>
    <w:rsid w:val="00E923F7"/>
    <w:rsid w:val="00E92C25"/>
    <w:rsid w:val="00E92E97"/>
    <w:rsid w:val="00E94C0B"/>
    <w:rsid w:val="00E94F2B"/>
    <w:rsid w:val="00E95B5B"/>
    <w:rsid w:val="00E96764"/>
    <w:rsid w:val="00E97038"/>
    <w:rsid w:val="00E97053"/>
    <w:rsid w:val="00E978F0"/>
    <w:rsid w:val="00E97958"/>
    <w:rsid w:val="00E97A48"/>
    <w:rsid w:val="00E97DCB"/>
    <w:rsid w:val="00EA14F0"/>
    <w:rsid w:val="00EA1672"/>
    <w:rsid w:val="00EA1D2A"/>
    <w:rsid w:val="00EA2B84"/>
    <w:rsid w:val="00EA2E05"/>
    <w:rsid w:val="00EA34B9"/>
    <w:rsid w:val="00EA395F"/>
    <w:rsid w:val="00EA3EDD"/>
    <w:rsid w:val="00EA406C"/>
    <w:rsid w:val="00EA4B27"/>
    <w:rsid w:val="00EA4D0E"/>
    <w:rsid w:val="00EA59AD"/>
    <w:rsid w:val="00EA658F"/>
    <w:rsid w:val="00EA726E"/>
    <w:rsid w:val="00EB0002"/>
    <w:rsid w:val="00EB0587"/>
    <w:rsid w:val="00EB05AA"/>
    <w:rsid w:val="00EB201A"/>
    <w:rsid w:val="00EB280B"/>
    <w:rsid w:val="00EB2B3E"/>
    <w:rsid w:val="00EB3166"/>
    <w:rsid w:val="00EB367C"/>
    <w:rsid w:val="00EB3E13"/>
    <w:rsid w:val="00EB3EBD"/>
    <w:rsid w:val="00EB6117"/>
    <w:rsid w:val="00EB6DA1"/>
    <w:rsid w:val="00EB7BF7"/>
    <w:rsid w:val="00EC085E"/>
    <w:rsid w:val="00EC14FB"/>
    <w:rsid w:val="00EC2D99"/>
    <w:rsid w:val="00EC3A39"/>
    <w:rsid w:val="00EC407D"/>
    <w:rsid w:val="00EC4A78"/>
    <w:rsid w:val="00EC4C7F"/>
    <w:rsid w:val="00EC5E58"/>
    <w:rsid w:val="00EC66EA"/>
    <w:rsid w:val="00EC6DDA"/>
    <w:rsid w:val="00EC7D1A"/>
    <w:rsid w:val="00EC7D92"/>
    <w:rsid w:val="00ED0309"/>
    <w:rsid w:val="00ED27F1"/>
    <w:rsid w:val="00ED2C0C"/>
    <w:rsid w:val="00ED2D3D"/>
    <w:rsid w:val="00ED4641"/>
    <w:rsid w:val="00ED4CF4"/>
    <w:rsid w:val="00ED4DBC"/>
    <w:rsid w:val="00ED50AC"/>
    <w:rsid w:val="00ED6013"/>
    <w:rsid w:val="00ED686E"/>
    <w:rsid w:val="00ED6E89"/>
    <w:rsid w:val="00ED7B47"/>
    <w:rsid w:val="00EE0222"/>
    <w:rsid w:val="00EE1970"/>
    <w:rsid w:val="00EE1B08"/>
    <w:rsid w:val="00EE2069"/>
    <w:rsid w:val="00EE5138"/>
    <w:rsid w:val="00EE5D79"/>
    <w:rsid w:val="00EE6404"/>
    <w:rsid w:val="00EE6D93"/>
    <w:rsid w:val="00EF00AC"/>
    <w:rsid w:val="00EF0954"/>
    <w:rsid w:val="00EF0F32"/>
    <w:rsid w:val="00EF1561"/>
    <w:rsid w:val="00EF2C4D"/>
    <w:rsid w:val="00EF3B73"/>
    <w:rsid w:val="00EF3DE8"/>
    <w:rsid w:val="00EF44BC"/>
    <w:rsid w:val="00EF4B34"/>
    <w:rsid w:val="00EF4B4D"/>
    <w:rsid w:val="00EF4F0D"/>
    <w:rsid w:val="00EF5147"/>
    <w:rsid w:val="00EF54DC"/>
    <w:rsid w:val="00EF7A18"/>
    <w:rsid w:val="00EF7A35"/>
    <w:rsid w:val="00F01315"/>
    <w:rsid w:val="00F02248"/>
    <w:rsid w:val="00F02592"/>
    <w:rsid w:val="00F02D9D"/>
    <w:rsid w:val="00F04826"/>
    <w:rsid w:val="00F04855"/>
    <w:rsid w:val="00F05295"/>
    <w:rsid w:val="00F052E6"/>
    <w:rsid w:val="00F056DF"/>
    <w:rsid w:val="00F057D8"/>
    <w:rsid w:val="00F07364"/>
    <w:rsid w:val="00F07996"/>
    <w:rsid w:val="00F07CB3"/>
    <w:rsid w:val="00F07CFC"/>
    <w:rsid w:val="00F101A8"/>
    <w:rsid w:val="00F10AE1"/>
    <w:rsid w:val="00F11FDC"/>
    <w:rsid w:val="00F12701"/>
    <w:rsid w:val="00F140E4"/>
    <w:rsid w:val="00F141F7"/>
    <w:rsid w:val="00F15D8B"/>
    <w:rsid w:val="00F176B7"/>
    <w:rsid w:val="00F17724"/>
    <w:rsid w:val="00F20612"/>
    <w:rsid w:val="00F20A53"/>
    <w:rsid w:val="00F20E64"/>
    <w:rsid w:val="00F21423"/>
    <w:rsid w:val="00F230E2"/>
    <w:rsid w:val="00F23DF1"/>
    <w:rsid w:val="00F25293"/>
    <w:rsid w:val="00F256DB"/>
    <w:rsid w:val="00F268DF"/>
    <w:rsid w:val="00F272FE"/>
    <w:rsid w:val="00F30139"/>
    <w:rsid w:val="00F30431"/>
    <w:rsid w:val="00F313BC"/>
    <w:rsid w:val="00F325AA"/>
    <w:rsid w:val="00F32864"/>
    <w:rsid w:val="00F32C74"/>
    <w:rsid w:val="00F33205"/>
    <w:rsid w:val="00F33F7E"/>
    <w:rsid w:val="00F34ACF"/>
    <w:rsid w:val="00F35181"/>
    <w:rsid w:val="00F351FE"/>
    <w:rsid w:val="00F36535"/>
    <w:rsid w:val="00F36E8C"/>
    <w:rsid w:val="00F3701B"/>
    <w:rsid w:val="00F37918"/>
    <w:rsid w:val="00F379A6"/>
    <w:rsid w:val="00F37EC8"/>
    <w:rsid w:val="00F40B33"/>
    <w:rsid w:val="00F41127"/>
    <w:rsid w:val="00F42996"/>
    <w:rsid w:val="00F42A84"/>
    <w:rsid w:val="00F43353"/>
    <w:rsid w:val="00F43CE7"/>
    <w:rsid w:val="00F45037"/>
    <w:rsid w:val="00F46C9C"/>
    <w:rsid w:val="00F50F18"/>
    <w:rsid w:val="00F513AA"/>
    <w:rsid w:val="00F51D1B"/>
    <w:rsid w:val="00F52005"/>
    <w:rsid w:val="00F5253C"/>
    <w:rsid w:val="00F52824"/>
    <w:rsid w:val="00F52BF1"/>
    <w:rsid w:val="00F54468"/>
    <w:rsid w:val="00F5471B"/>
    <w:rsid w:val="00F55B92"/>
    <w:rsid w:val="00F56B10"/>
    <w:rsid w:val="00F57B28"/>
    <w:rsid w:val="00F60318"/>
    <w:rsid w:val="00F60DF2"/>
    <w:rsid w:val="00F629C4"/>
    <w:rsid w:val="00F62BEF"/>
    <w:rsid w:val="00F62F99"/>
    <w:rsid w:val="00F63C35"/>
    <w:rsid w:val="00F63C7B"/>
    <w:rsid w:val="00F643F5"/>
    <w:rsid w:val="00F64868"/>
    <w:rsid w:val="00F64B23"/>
    <w:rsid w:val="00F66498"/>
    <w:rsid w:val="00F665E8"/>
    <w:rsid w:val="00F66E8A"/>
    <w:rsid w:val="00F66EB3"/>
    <w:rsid w:val="00F67B4E"/>
    <w:rsid w:val="00F70B04"/>
    <w:rsid w:val="00F70E24"/>
    <w:rsid w:val="00F70EAA"/>
    <w:rsid w:val="00F720EE"/>
    <w:rsid w:val="00F72E51"/>
    <w:rsid w:val="00F73BC3"/>
    <w:rsid w:val="00F7499E"/>
    <w:rsid w:val="00F74F2F"/>
    <w:rsid w:val="00F75D11"/>
    <w:rsid w:val="00F770CF"/>
    <w:rsid w:val="00F80A28"/>
    <w:rsid w:val="00F810AD"/>
    <w:rsid w:val="00F82918"/>
    <w:rsid w:val="00F82FE7"/>
    <w:rsid w:val="00F83A9B"/>
    <w:rsid w:val="00F83ED6"/>
    <w:rsid w:val="00F84F60"/>
    <w:rsid w:val="00F85389"/>
    <w:rsid w:val="00F90334"/>
    <w:rsid w:val="00F9095D"/>
    <w:rsid w:val="00F918ED"/>
    <w:rsid w:val="00F928F0"/>
    <w:rsid w:val="00F93D06"/>
    <w:rsid w:val="00F9617B"/>
    <w:rsid w:val="00F96281"/>
    <w:rsid w:val="00F96AD8"/>
    <w:rsid w:val="00F978F5"/>
    <w:rsid w:val="00FA0302"/>
    <w:rsid w:val="00FA0AEA"/>
    <w:rsid w:val="00FA2630"/>
    <w:rsid w:val="00FA2FFA"/>
    <w:rsid w:val="00FA41DB"/>
    <w:rsid w:val="00FA4974"/>
    <w:rsid w:val="00FA4B51"/>
    <w:rsid w:val="00FA6E70"/>
    <w:rsid w:val="00FA7107"/>
    <w:rsid w:val="00FB02B6"/>
    <w:rsid w:val="00FB059F"/>
    <w:rsid w:val="00FB083E"/>
    <w:rsid w:val="00FB14CF"/>
    <w:rsid w:val="00FB4888"/>
    <w:rsid w:val="00FB4DB9"/>
    <w:rsid w:val="00FB5353"/>
    <w:rsid w:val="00FB69D4"/>
    <w:rsid w:val="00FB705E"/>
    <w:rsid w:val="00FB7161"/>
    <w:rsid w:val="00FB742E"/>
    <w:rsid w:val="00FC01D0"/>
    <w:rsid w:val="00FC06F6"/>
    <w:rsid w:val="00FC1177"/>
    <w:rsid w:val="00FC154E"/>
    <w:rsid w:val="00FC19C8"/>
    <w:rsid w:val="00FC23AC"/>
    <w:rsid w:val="00FC337D"/>
    <w:rsid w:val="00FC35B1"/>
    <w:rsid w:val="00FC35D3"/>
    <w:rsid w:val="00FC3C5D"/>
    <w:rsid w:val="00FC3C87"/>
    <w:rsid w:val="00FC4F80"/>
    <w:rsid w:val="00FC51D0"/>
    <w:rsid w:val="00FC564A"/>
    <w:rsid w:val="00FC6855"/>
    <w:rsid w:val="00FC6A7C"/>
    <w:rsid w:val="00FC6E77"/>
    <w:rsid w:val="00FC7007"/>
    <w:rsid w:val="00FC76FF"/>
    <w:rsid w:val="00FD050F"/>
    <w:rsid w:val="00FD06C0"/>
    <w:rsid w:val="00FD0DF8"/>
    <w:rsid w:val="00FD1898"/>
    <w:rsid w:val="00FD280C"/>
    <w:rsid w:val="00FD3343"/>
    <w:rsid w:val="00FD3DF0"/>
    <w:rsid w:val="00FD45C9"/>
    <w:rsid w:val="00FD4D84"/>
    <w:rsid w:val="00FD6006"/>
    <w:rsid w:val="00FD668F"/>
    <w:rsid w:val="00FD7719"/>
    <w:rsid w:val="00FD7B3F"/>
    <w:rsid w:val="00FE1AD7"/>
    <w:rsid w:val="00FE1BE5"/>
    <w:rsid w:val="00FE3719"/>
    <w:rsid w:val="00FE64E9"/>
    <w:rsid w:val="00FE70F8"/>
    <w:rsid w:val="00FE7976"/>
    <w:rsid w:val="00FE7C32"/>
    <w:rsid w:val="00FF00CF"/>
    <w:rsid w:val="00FF0336"/>
    <w:rsid w:val="00FF056B"/>
    <w:rsid w:val="00FF1FE6"/>
    <w:rsid w:val="00FF48DF"/>
    <w:rsid w:val="00FF4AD5"/>
    <w:rsid w:val="00FF4B9F"/>
    <w:rsid w:val="00FF4F46"/>
    <w:rsid w:val="00FF65C9"/>
    <w:rsid w:val="00FF6BC9"/>
    <w:rsid w:val="00FF6C7C"/>
    <w:rsid w:val="00FF78D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190B5C"/>
  <w15:docId w15:val="{F0639358-8DC0-4941-BADA-779E0B20E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A2E05"/>
    <w:rPr>
      <w:rFonts w:eastAsia="Times New Roman"/>
      <w:sz w:val="24"/>
      <w:szCs w:val="24"/>
    </w:rPr>
  </w:style>
  <w:style w:type="paragraph" w:styleId="Heading1">
    <w:name w:val="heading 1"/>
    <w:basedOn w:val="Normal"/>
    <w:next w:val="Normal"/>
    <w:link w:val="Heading1Char"/>
    <w:uiPriority w:val="9"/>
    <w:qFormat/>
    <w:rsid w:val="004719C1"/>
    <w:pPr>
      <w:keepNext/>
      <w:keepLines/>
      <w:spacing w:before="480"/>
      <w:outlineLvl w:val="0"/>
    </w:pPr>
    <w:rPr>
      <w:rFonts w:asciiTheme="minorHAnsi" w:eastAsiaTheme="majorEastAsia" w:hAnsiTheme="minorHAnsi" w:cstheme="majorBidi"/>
      <w:b/>
      <w:bCs/>
      <w:noProof/>
      <w:color w:val="365F91" w:themeColor="accent1" w:themeShade="BF"/>
      <w:u w:val="single"/>
      <w:lang w:val="sq-AL"/>
    </w:rPr>
  </w:style>
  <w:style w:type="paragraph" w:styleId="Heading2">
    <w:name w:val="heading 2"/>
    <w:basedOn w:val="Normal"/>
    <w:next w:val="Normal"/>
    <w:link w:val="Heading2Char"/>
    <w:uiPriority w:val="9"/>
    <w:unhideWhenUsed/>
    <w:qFormat/>
    <w:rsid w:val="002334F6"/>
    <w:pPr>
      <w:keepNext/>
      <w:keepLines/>
      <w:spacing w:before="200" w:line="276" w:lineRule="auto"/>
      <w:ind w:left="720" w:hanging="720"/>
      <w:outlineLvl w:val="1"/>
    </w:pPr>
    <w:rPr>
      <w:rFonts w:asciiTheme="minorHAnsi" w:eastAsiaTheme="majorEastAsia" w:hAnsiTheme="minorHAnsi" w:cstheme="majorBidi"/>
      <w:b/>
      <w:bCs/>
      <w:noProof/>
      <w:color w:val="4F81BD" w:themeColor="accent1"/>
      <w:sz w:val="28"/>
      <w:lang w:val="sq-AL"/>
    </w:rPr>
  </w:style>
  <w:style w:type="paragraph" w:styleId="Heading3">
    <w:name w:val="heading 3"/>
    <w:basedOn w:val="Normal"/>
    <w:next w:val="Normal"/>
    <w:link w:val="Heading3Char"/>
    <w:autoRedefine/>
    <w:unhideWhenUsed/>
    <w:qFormat/>
    <w:rsid w:val="006F52BB"/>
    <w:pPr>
      <w:keepNext/>
      <w:keepLines/>
      <w:tabs>
        <w:tab w:val="left" w:pos="426"/>
        <w:tab w:val="left" w:pos="540"/>
      </w:tabs>
      <w:spacing w:before="200" w:line="276" w:lineRule="auto"/>
      <w:ind w:left="2700" w:hanging="2700"/>
      <w:jc w:val="both"/>
      <w:outlineLvl w:val="2"/>
    </w:pPr>
    <w:rPr>
      <w:rFonts w:asciiTheme="minorHAnsi" w:eastAsiaTheme="majorEastAsia" w:hAnsiTheme="minorHAnsi" w:cstheme="majorBidi"/>
      <w:bCs/>
      <w:i/>
      <w:u w:val="single"/>
      <w:lang w:val="sq-AL"/>
    </w:rPr>
  </w:style>
  <w:style w:type="paragraph" w:styleId="Heading4">
    <w:name w:val="heading 4"/>
    <w:basedOn w:val="Normal"/>
    <w:next w:val="Normal"/>
    <w:link w:val="Heading4Char"/>
    <w:unhideWhenUsed/>
    <w:qFormat/>
    <w:rsid w:val="00155195"/>
    <w:pPr>
      <w:keepNext/>
      <w:keepLines/>
      <w:spacing w:before="200"/>
      <w:outlineLvl w:val="3"/>
    </w:pPr>
    <w:rPr>
      <w:rFonts w:asciiTheme="majorHAnsi" w:eastAsiaTheme="majorEastAsia" w:hAnsiTheme="majorHAnsi" w:cstheme="majorBidi"/>
      <w:bCs/>
      <w:i/>
      <w:iCs/>
    </w:rPr>
  </w:style>
  <w:style w:type="paragraph" w:styleId="Heading5">
    <w:name w:val="heading 5"/>
    <w:basedOn w:val="Normal"/>
    <w:next w:val="Normal"/>
    <w:link w:val="Heading5Char"/>
    <w:uiPriority w:val="9"/>
    <w:semiHidden/>
    <w:unhideWhenUsed/>
    <w:qFormat/>
    <w:rsid w:val="00527686"/>
    <w:pPr>
      <w:keepNext/>
      <w:keepLines/>
      <w:spacing w:before="40"/>
      <w:outlineLvl w:val="4"/>
    </w:pPr>
    <w:rPr>
      <w:rFonts w:ascii="Calibri" w:eastAsia="MS Gothic" w:hAnsi="Calibri"/>
      <w:color w:val="365F91"/>
      <w:sz w:val="20"/>
      <w:szCs w:val="20"/>
    </w:rPr>
  </w:style>
  <w:style w:type="paragraph" w:styleId="Heading6">
    <w:name w:val="heading 6"/>
    <w:basedOn w:val="Normal"/>
    <w:next w:val="Normal"/>
    <w:link w:val="Heading6Char"/>
    <w:uiPriority w:val="9"/>
    <w:semiHidden/>
    <w:unhideWhenUsed/>
    <w:qFormat/>
    <w:rsid w:val="00527686"/>
    <w:pPr>
      <w:keepNext/>
      <w:keepLines/>
      <w:spacing w:before="40"/>
      <w:outlineLvl w:val="5"/>
    </w:pPr>
    <w:rPr>
      <w:rFonts w:ascii="Calibri" w:eastAsia="MS Gothic" w:hAnsi="Calibri"/>
      <w:color w:val="243F60"/>
      <w:sz w:val="20"/>
      <w:szCs w:val="20"/>
    </w:rPr>
  </w:style>
  <w:style w:type="paragraph" w:styleId="Heading7">
    <w:name w:val="heading 7"/>
    <w:basedOn w:val="Normal"/>
    <w:next w:val="Normal"/>
    <w:link w:val="Heading7Char"/>
    <w:uiPriority w:val="9"/>
    <w:semiHidden/>
    <w:unhideWhenUsed/>
    <w:qFormat/>
    <w:rsid w:val="00527686"/>
    <w:pPr>
      <w:keepNext/>
      <w:keepLines/>
      <w:spacing w:before="40"/>
      <w:outlineLvl w:val="6"/>
    </w:pPr>
    <w:rPr>
      <w:rFonts w:ascii="Calibri" w:eastAsia="MS Gothic" w:hAnsi="Calibri"/>
      <w:i/>
      <w:iCs/>
      <w:color w:val="243F60"/>
      <w:sz w:val="20"/>
      <w:szCs w:val="20"/>
    </w:rPr>
  </w:style>
  <w:style w:type="paragraph" w:styleId="Heading8">
    <w:name w:val="heading 8"/>
    <w:basedOn w:val="Normal"/>
    <w:next w:val="Normal"/>
    <w:link w:val="Heading8Char"/>
    <w:uiPriority w:val="9"/>
    <w:semiHidden/>
    <w:unhideWhenUsed/>
    <w:qFormat/>
    <w:rsid w:val="00527686"/>
    <w:pPr>
      <w:keepNext/>
      <w:keepLines/>
      <w:spacing w:before="40"/>
      <w:outlineLvl w:val="7"/>
    </w:pPr>
    <w:rPr>
      <w:rFonts w:ascii="Calibri" w:eastAsia="MS Gothic" w:hAnsi="Calibri"/>
      <w:color w:val="272727"/>
      <w:sz w:val="21"/>
      <w:szCs w:val="21"/>
    </w:rPr>
  </w:style>
  <w:style w:type="paragraph" w:styleId="Heading9">
    <w:name w:val="heading 9"/>
    <w:basedOn w:val="Normal"/>
    <w:next w:val="Normal"/>
    <w:link w:val="Heading9Char"/>
    <w:uiPriority w:val="9"/>
    <w:semiHidden/>
    <w:unhideWhenUsed/>
    <w:qFormat/>
    <w:rsid w:val="00527686"/>
    <w:pPr>
      <w:keepNext/>
      <w:keepLines/>
      <w:spacing w:before="40"/>
      <w:outlineLvl w:val="8"/>
    </w:pPr>
    <w:rPr>
      <w:rFonts w:ascii="Calibri" w:eastAsia="MS Gothic" w:hAnsi="Calibr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9C1"/>
    <w:rPr>
      <w:rFonts w:asciiTheme="minorHAnsi" w:eastAsiaTheme="majorEastAsia" w:hAnsiTheme="minorHAnsi" w:cstheme="majorBidi"/>
      <w:b/>
      <w:bCs/>
      <w:noProof/>
      <w:color w:val="365F91" w:themeColor="accent1" w:themeShade="BF"/>
      <w:sz w:val="24"/>
      <w:szCs w:val="24"/>
      <w:u w:val="single"/>
      <w:lang w:val="sq-AL"/>
    </w:rPr>
  </w:style>
  <w:style w:type="character" w:customStyle="1" w:styleId="Heading2Char">
    <w:name w:val="Heading 2 Char"/>
    <w:basedOn w:val="DefaultParagraphFont"/>
    <w:link w:val="Heading2"/>
    <w:uiPriority w:val="9"/>
    <w:rsid w:val="002334F6"/>
    <w:rPr>
      <w:rFonts w:asciiTheme="minorHAnsi" w:eastAsiaTheme="majorEastAsia" w:hAnsiTheme="minorHAnsi" w:cstheme="majorBidi"/>
      <w:b/>
      <w:bCs/>
      <w:noProof/>
      <w:color w:val="4F81BD" w:themeColor="accent1"/>
      <w:sz w:val="28"/>
      <w:szCs w:val="24"/>
      <w:lang w:val="sq-AL"/>
    </w:rPr>
  </w:style>
  <w:style w:type="character" w:customStyle="1" w:styleId="Heading3Char">
    <w:name w:val="Heading 3 Char"/>
    <w:basedOn w:val="DefaultParagraphFont"/>
    <w:link w:val="Heading3"/>
    <w:rsid w:val="006F52BB"/>
    <w:rPr>
      <w:rFonts w:asciiTheme="minorHAnsi" w:eastAsiaTheme="majorEastAsia" w:hAnsiTheme="minorHAnsi" w:cstheme="majorBidi"/>
      <w:bCs/>
      <w:i/>
      <w:sz w:val="24"/>
      <w:szCs w:val="24"/>
      <w:u w:val="single"/>
      <w:lang w:val="sq-AL"/>
    </w:rPr>
  </w:style>
  <w:style w:type="character" w:customStyle="1" w:styleId="Heading4Char">
    <w:name w:val="Heading 4 Char"/>
    <w:basedOn w:val="DefaultParagraphFont"/>
    <w:link w:val="Heading4"/>
    <w:rsid w:val="00155195"/>
    <w:rPr>
      <w:rFonts w:asciiTheme="majorHAnsi" w:eastAsiaTheme="majorEastAsia" w:hAnsiTheme="majorHAnsi" w:cstheme="majorBidi"/>
      <w:bCs/>
      <w:i/>
      <w:iCs/>
      <w:sz w:val="24"/>
      <w:szCs w:val="24"/>
    </w:rPr>
  </w:style>
  <w:style w:type="paragraph" w:customStyle="1" w:styleId="Default">
    <w:name w:val="Default"/>
    <w:rsid w:val="00EA2E05"/>
    <w:pPr>
      <w:autoSpaceDE w:val="0"/>
      <w:autoSpaceDN w:val="0"/>
      <w:adjustRightInd w:val="0"/>
    </w:pPr>
    <w:rPr>
      <w:rFonts w:eastAsia="Batang"/>
      <w:color w:val="000000"/>
      <w:sz w:val="24"/>
      <w:szCs w:val="24"/>
      <w:lang w:eastAsia="ko-KR"/>
    </w:rPr>
  </w:style>
  <w:style w:type="paragraph" w:styleId="BalloonText">
    <w:name w:val="Balloon Text"/>
    <w:basedOn w:val="Normal"/>
    <w:link w:val="BalloonTextChar"/>
    <w:uiPriority w:val="99"/>
    <w:rsid w:val="00CA3188"/>
    <w:rPr>
      <w:rFonts w:ascii="Tahoma" w:hAnsi="Tahoma" w:cs="Tahoma"/>
      <w:sz w:val="16"/>
      <w:szCs w:val="16"/>
    </w:rPr>
  </w:style>
  <w:style w:type="character" w:customStyle="1" w:styleId="BalloonTextChar">
    <w:name w:val="Balloon Text Char"/>
    <w:basedOn w:val="DefaultParagraphFont"/>
    <w:link w:val="BalloonText"/>
    <w:uiPriority w:val="99"/>
    <w:rsid w:val="00CA3188"/>
    <w:rPr>
      <w:rFonts w:ascii="Tahoma" w:eastAsia="Times New Roman" w:hAnsi="Tahoma" w:cs="Tahoma"/>
      <w:sz w:val="16"/>
      <w:szCs w:val="16"/>
    </w:rPr>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Graphic,L"/>
    <w:basedOn w:val="Normal"/>
    <w:link w:val="ListParagraphChar"/>
    <w:uiPriority w:val="34"/>
    <w:qFormat/>
    <w:rsid w:val="0076649E"/>
    <w:pPr>
      <w:ind w:left="720"/>
      <w:contextualSpacing/>
    </w:pPr>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uiPriority w:val="34"/>
    <w:qFormat/>
    <w:locked/>
    <w:rsid w:val="004C12C9"/>
    <w:rPr>
      <w:rFonts w:eastAsia="Times New Roman"/>
      <w:sz w:val="24"/>
      <w:szCs w:val="24"/>
    </w:rPr>
  </w:style>
  <w:style w:type="paragraph" w:styleId="Subtitle">
    <w:name w:val="Subtitle"/>
    <w:basedOn w:val="Normal"/>
    <w:next w:val="Normal"/>
    <w:link w:val="SubtitleChar"/>
    <w:qFormat/>
    <w:rsid w:val="00476597"/>
    <w:pPr>
      <w:numPr>
        <w:ilvl w:val="1"/>
      </w:numPr>
    </w:pPr>
    <w:rPr>
      <w:rFonts w:eastAsiaTheme="majorEastAsia" w:cstheme="majorBidi"/>
      <w:i/>
      <w:iCs/>
      <w:spacing w:val="15"/>
    </w:rPr>
  </w:style>
  <w:style w:type="character" w:customStyle="1" w:styleId="SubtitleChar">
    <w:name w:val="Subtitle Char"/>
    <w:basedOn w:val="DefaultParagraphFont"/>
    <w:link w:val="Subtitle"/>
    <w:rsid w:val="00476597"/>
    <w:rPr>
      <w:rFonts w:eastAsiaTheme="majorEastAsia" w:cstheme="majorBidi"/>
      <w:i/>
      <w:iCs/>
      <w:spacing w:val="15"/>
      <w:sz w:val="24"/>
      <w:szCs w:val="24"/>
    </w:rPr>
  </w:style>
  <w:style w:type="paragraph" w:styleId="FootnoteText">
    <w:name w:val="footnote text"/>
    <w:aliases w:val="single space,fn,FOOTNOTES,Fußnotentext Char,ADB,Footnote text,ft,Footnote Text Char1,Footnote Text Char2 Char,Footnote Text Char1 Char Char,Footnote Text Char2 Char Char Char,Footnote Text Char1 Char,Footn,footnote text,Fußnote,Geneva 9,f"/>
    <w:basedOn w:val="Normal"/>
    <w:link w:val="FootnoteTextChar"/>
    <w:uiPriority w:val="99"/>
    <w:unhideWhenUsed/>
    <w:qFormat/>
    <w:rsid w:val="00CD61BB"/>
    <w:pPr>
      <w:spacing w:after="200" w:line="276" w:lineRule="auto"/>
    </w:pPr>
    <w:rPr>
      <w:rFonts w:ascii="Calibri" w:eastAsia="Calibri" w:hAnsi="Calibri"/>
      <w:sz w:val="20"/>
      <w:szCs w:val="20"/>
      <w:lang w:val="sq-AL"/>
    </w:rPr>
  </w:style>
  <w:style w:type="character" w:customStyle="1" w:styleId="FootnoteTextChar">
    <w:name w:val="Footnote Text Char"/>
    <w:aliases w:val="single space Char,fn Char,FOOTNOTES Char,Fußnotentext Char Char,ADB Char,Footnote text Char,ft Char,Footnote Text Char1 Char1,Footnote Text Char2 Char Char,Footnote Text Char1 Char Char Char,Footnote Text Char2 Char Char Char Char"/>
    <w:basedOn w:val="DefaultParagraphFont"/>
    <w:link w:val="FootnoteText"/>
    <w:uiPriority w:val="99"/>
    <w:rsid w:val="00CD61BB"/>
    <w:rPr>
      <w:rFonts w:ascii="Calibri" w:eastAsia="Calibri" w:hAnsi="Calibri"/>
      <w:lang w:val="sq-AL"/>
    </w:rPr>
  </w:style>
  <w:style w:type="character" w:styleId="FootnoteReference">
    <w:name w:val="footnote reference"/>
    <w:aliases w:val="ftref,BVI fnr,16 Point,Superscript 6 Point,fr,Footnote symbol,Footnote Reference Arial,nota pié di pagina,Footnote reference number,Times 10 Point,Exposant 3 Point,EN Footnote Reference,note TESI,Footnote Reference Char Char Char,R"/>
    <w:link w:val="BVIfnrCarCarCarCarChar"/>
    <w:uiPriority w:val="99"/>
    <w:unhideWhenUsed/>
    <w:qFormat/>
    <w:rsid w:val="00CD61BB"/>
    <w:rPr>
      <w:vertAlign w:val="superscript"/>
    </w:rPr>
  </w:style>
  <w:style w:type="paragraph" w:styleId="Header">
    <w:name w:val="header"/>
    <w:basedOn w:val="Normal"/>
    <w:link w:val="HeaderChar"/>
    <w:uiPriority w:val="99"/>
    <w:rsid w:val="00AC402A"/>
    <w:pPr>
      <w:tabs>
        <w:tab w:val="center" w:pos="4680"/>
        <w:tab w:val="right" w:pos="9360"/>
      </w:tabs>
    </w:pPr>
  </w:style>
  <w:style w:type="character" w:customStyle="1" w:styleId="HeaderChar">
    <w:name w:val="Header Char"/>
    <w:basedOn w:val="DefaultParagraphFont"/>
    <w:link w:val="Header"/>
    <w:uiPriority w:val="99"/>
    <w:rsid w:val="00AC402A"/>
    <w:rPr>
      <w:rFonts w:eastAsia="Times New Roman"/>
      <w:sz w:val="24"/>
      <w:szCs w:val="24"/>
    </w:rPr>
  </w:style>
  <w:style w:type="paragraph" w:styleId="Footer">
    <w:name w:val="footer"/>
    <w:basedOn w:val="Normal"/>
    <w:link w:val="FooterChar"/>
    <w:uiPriority w:val="99"/>
    <w:rsid w:val="00AC402A"/>
    <w:pPr>
      <w:tabs>
        <w:tab w:val="center" w:pos="4680"/>
        <w:tab w:val="right" w:pos="9360"/>
      </w:tabs>
    </w:pPr>
  </w:style>
  <w:style w:type="character" w:customStyle="1" w:styleId="FooterChar">
    <w:name w:val="Footer Char"/>
    <w:basedOn w:val="DefaultParagraphFont"/>
    <w:link w:val="Footer"/>
    <w:uiPriority w:val="99"/>
    <w:rsid w:val="00AC402A"/>
    <w:rPr>
      <w:rFonts w:eastAsia="Times New Roman"/>
      <w:sz w:val="24"/>
      <w:szCs w:val="24"/>
    </w:rPr>
  </w:style>
  <w:style w:type="paragraph" w:styleId="EndnoteText">
    <w:name w:val="endnote text"/>
    <w:basedOn w:val="Normal"/>
    <w:link w:val="EndnoteTextChar"/>
    <w:rsid w:val="00AC402A"/>
    <w:rPr>
      <w:sz w:val="20"/>
      <w:szCs w:val="20"/>
    </w:rPr>
  </w:style>
  <w:style w:type="character" w:customStyle="1" w:styleId="EndnoteTextChar">
    <w:name w:val="Endnote Text Char"/>
    <w:basedOn w:val="DefaultParagraphFont"/>
    <w:link w:val="EndnoteText"/>
    <w:rsid w:val="00AC402A"/>
    <w:rPr>
      <w:rFonts w:eastAsia="Times New Roman"/>
    </w:rPr>
  </w:style>
  <w:style w:type="character" w:styleId="EndnoteReference">
    <w:name w:val="endnote reference"/>
    <w:basedOn w:val="DefaultParagraphFont"/>
    <w:rsid w:val="00AC402A"/>
    <w:rPr>
      <w:vertAlign w:val="superscript"/>
    </w:rPr>
  </w:style>
  <w:style w:type="paragraph" w:styleId="TOCHeading">
    <w:name w:val="TOC Heading"/>
    <w:basedOn w:val="Heading1"/>
    <w:next w:val="Normal"/>
    <w:uiPriority w:val="39"/>
    <w:unhideWhenUsed/>
    <w:qFormat/>
    <w:rsid w:val="00887C97"/>
    <w:pPr>
      <w:spacing w:line="276" w:lineRule="auto"/>
      <w:outlineLvl w:val="9"/>
    </w:pPr>
    <w:rPr>
      <w:rFonts w:asciiTheme="majorHAnsi" w:hAnsiTheme="majorHAnsi"/>
      <w:sz w:val="28"/>
    </w:rPr>
  </w:style>
  <w:style w:type="paragraph" w:styleId="TOC1">
    <w:name w:val="toc 1"/>
    <w:basedOn w:val="Normal"/>
    <w:next w:val="Normal"/>
    <w:autoRedefine/>
    <w:uiPriority w:val="39"/>
    <w:qFormat/>
    <w:rsid w:val="0016694D"/>
    <w:pPr>
      <w:tabs>
        <w:tab w:val="left" w:pos="480"/>
        <w:tab w:val="right" w:leader="dot" w:pos="9450"/>
      </w:tabs>
      <w:spacing w:before="240" w:line="360" w:lineRule="auto"/>
    </w:pPr>
    <w:rPr>
      <w:b/>
      <w:noProof/>
      <w:sz w:val="20"/>
      <w:szCs w:val="20"/>
    </w:rPr>
  </w:style>
  <w:style w:type="paragraph" w:styleId="TOC2">
    <w:name w:val="toc 2"/>
    <w:basedOn w:val="Normal"/>
    <w:next w:val="Normal"/>
    <w:autoRedefine/>
    <w:uiPriority w:val="39"/>
    <w:qFormat/>
    <w:rsid w:val="0016694D"/>
    <w:pPr>
      <w:tabs>
        <w:tab w:val="left" w:pos="880"/>
        <w:tab w:val="right" w:leader="dot" w:pos="9450"/>
      </w:tabs>
      <w:spacing w:after="100"/>
      <w:ind w:left="240" w:right="-360"/>
    </w:pPr>
  </w:style>
  <w:style w:type="paragraph" w:styleId="TOC3">
    <w:name w:val="toc 3"/>
    <w:basedOn w:val="Normal"/>
    <w:next w:val="Normal"/>
    <w:autoRedefine/>
    <w:uiPriority w:val="39"/>
    <w:qFormat/>
    <w:rsid w:val="00887C97"/>
    <w:pPr>
      <w:spacing w:after="100"/>
      <w:ind w:left="480"/>
    </w:pPr>
  </w:style>
  <w:style w:type="character" w:styleId="Hyperlink">
    <w:name w:val="Hyperlink"/>
    <w:basedOn w:val="DefaultParagraphFont"/>
    <w:uiPriority w:val="99"/>
    <w:unhideWhenUsed/>
    <w:rsid w:val="00887C97"/>
    <w:rPr>
      <w:color w:val="0000FF" w:themeColor="hyperlink"/>
      <w:u w:val="single"/>
    </w:rPr>
  </w:style>
  <w:style w:type="paragraph" w:styleId="TOC4">
    <w:name w:val="toc 4"/>
    <w:basedOn w:val="Normal"/>
    <w:next w:val="Normal"/>
    <w:autoRedefine/>
    <w:uiPriority w:val="39"/>
    <w:rsid w:val="00236654"/>
    <w:pPr>
      <w:spacing w:after="100"/>
      <w:ind w:left="720"/>
    </w:pPr>
  </w:style>
  <w:style w:type="paragraph" w:styleId="NormalWeb">
    <w:name w:val="Normal (Web)"/>
    <w:basedOn w:val="Normal"/>
    <w:uiPriority w:val="99"/>
    <w:rsid w:val="000F540A"/>
    <w:pPr>
      <w:spacing w:before="100" w:beforeAutospacing="1" w:after="100" w:afterAutospacing="1"/>
    </w:pPr>
  </w:style>
  <w:style w:type="paragraph" w:styleId="NoSpacing">
    <w:name w:val="No Spacing"/>
    <w:uiPriority w:val="1"/>
    <w:qFormat/>
    <w:rsid w:val="000F540A"/>
    <w:rPr>
      <w:rFonts w:asciiTheme="minorHAnsi" w:hAnsiTheme="minorHAnsi" w:cstheme="minorBidi"/>
      <w:sz w:val="22"/>
      <w:szCs w:val="22"/>
    </w:rPr>
  </w:style>
  <w:style w:type="character" w:customStyle="1" w:styleId="MessageHeaderLabel">
    <w:name w:val="Message Header Label"/>
    <w:uiPriority w:val="99"/>
    <w:rsid w:val="004C12C9"/>
    <w:rPr>
      <w:rFonts w:ascii="Arial Black" w:hAnsi="Arial Black" w:cs="Arial Black"/>
      <w:spacing w:val="-10"/>
      <w:sz w:val="18"/>
      <w:szCs w:val="18"/>
    </w:rPr>
  </w:style>
  <w:style w:type="character" w:customStyle="1" w:styleId="hps">
    <w:name w:val="hps"/>
    <w:basedOn w:val="DefaultParagraphFont"/>
    <w:uiPriority w:val="99"/>
    <w:rsid w:val="00CE3733"/>
  </w:style>
  <w:style w:type="table" w:customStyle="1" w:styleId="TableGridLight1">
    <w:name w:val="Table Grid Light1"/>
    <w:basedOn w:val="TableNormal"/>
    <w:uiPriority w:val="40"/>
    <w:rsid w:val="00CE3733"/>
    <w:rPr>
      <w:rFonts w:ascii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B03E7D"/>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65FC"/>
    <w:rPr>
      <w:sz w:val="16"/>
      <w:szCs w:val="16"/>
    </w:rPr>
  </w:style>
  <w:style w:type="paragraph" w:styleId="CommentText">
    <w:name w:val="annotation text"/>
    <w:basedOn w:val="Normal"/>
    <w:link w:val="CommentTextChar"/>
    <w:uiPriority w:val="99"/>
    <w:semiHidden/>
    <w:unhideWhenUsed/>
    <w:rsid w:val="005965FC"/>
    <w:rPr>
      <w:sz w:val="20"/>
      <w:szCs w:val="20"/>
    </w:rPr>
  </w:style>
  <w:style w:type="character" w:customStyle="1" w:styleId="CommentTextChar">
    <w:name w:val="Comment Text Char"/>
    <w:basedOn w:val="DefaultParagraphFont"/>
    <w:link w:val="CommentText"/>
    <w:uiPriority w:val="99"/>
    <w:semiHidden/>
    <w:rsid w:val="005965FC"/>
    <w:rPr>
      <w:rFonts w:eastAsia="Times New Roman"/>
    </w:rPr>
  </w:style>
  <w:style w:type="character" w:styleId="Strong">
    <w:name w:val="Strong"/>
    <w:basedOn w:val="DefaultParagraphFont"/>
    <w:uiPriority w:val="22"/>
    <w:qFormat/>
    <w:rsid w:val="00F67B4E"/>
    <w:rPr>
      <w:b/>
      <w:bCs/>
    </w:rPr>
  </w:style>
  <w:style w:type="table" w:customStyle="1" w:styleId="GridTable1Light1">
    <w:name w:val="Grid Table 1 Light1"/>
    <w:basedOn w:val="TableNormal"/>
    <w:uiPriority w:val="46"/>
    <w:rsid w:val="00291EF6"/>
    <w:rPr>
      <w:rFonts w:ascii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aption">
    <w:name w:val="caption"/>
    <w:basedOn w:val="Normal"/>
    <w:next w:val="Normal"/>
    <w:uiPriority w:val="35"/>
    <w:unhideWhenUsed/>
    <w:qFormat/>
    <w:rsid w:val="004719C1"/>
    <w:pPr>
      <w:spacing w:after="200"/>
    </w:pPr>
    <w:rPr>
      <w:b/>
      <w:bCs/>
      <w:color w:val="4F81BD" w:themeColor="accent1"/>
      <w:sz w:val="18"/>
      <w:szCs w:val="18"/>
    </w:rPr>
  </w:style>
  <w:style w:type="paragraph" w:styleId="TableofFigures">
    <w:name w:val="table of figures"/>
    <w:aliases w:val="Grafiku"/>
    <w:basedOn w:val="Normal"/>
    <w:next w:val="Normal"/>
    <w:uiPriority w:val="99"/>
    <w:unhideWhenUsed/>
    <w:rsid w:val="00070183"/>
  </w:style>
  <w:style w:type="table" w:customStyle="1" w:styleId="GridTable4-Accent11">
    <w:name w:val="Grid Table 4 - Accent 11"/>
    <w:basedOn w:val="TableNormal"/>
    <w:uiPriority w:val="49"/>
    <w:rsid w:val="00562780"/>
    <w:rPr>
      <w:rFonts w:asciiTheme="minorHAnsi" w:eastAsiaTheme="minorEastAsia" w:hAnsiTheme="minorHAnsi" w:cstheme="minorBidi"/>
      <w:sz w:val="24"/>
      <w:szCs w:val="24"/>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1720EB"/>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Heading51">
    <w:name w:val="Heading 51"/>
    <w:basedOn w:val="Normal"/>
    <w:next w:val="Normal"/>
    <w:uiPriority w:val="9"/>
    <w:semiHidden/>
    <w:unhideWhenUsed/>
    <w:qFormat/>
    <w:rsid w:val="00527686"/>
    <w:pPr>
      <w:keepNext/>
      <w:keepLines/>
      <w:spacing w:before="40"/>
      <w:ind w:left="3600" w:hanging="360"/>
      <w:outlineLvl w:val="4"/>
    </w:pPr>
    <w:rPr>
      <w:rFonts w:ascii="Calibri" w:eastAsia="MS Gothic" w:hAnsi="Calibri"/>
      <w:color w:val="365F91"/>
    </w:rPr>
  </w:style>
  <w:style w:type="paragraph" w:customStyle="1" w:styleId="Heading61">
    <w:name w:val="Heading 61"/>
    <w:basedOn w:val="Normal"/>
    <w:next w:val="Normal"/>
    <w:uiPriority w:val="9"/>
    <w:semiHidden/>
    <w:unhideWhenUsed/>
    <w:qFormat/>
    <w:rsid w:val="00527686"/>
    <w:pPr>
      <w:keepNext/>
      <w:keepLines/>
      <w:spacing w:before="40"/>
      <w:ind w:left="4320" w:hanging="360"/>
      <w:outlineLvl w:val="5"/>
    </w:pPr>
    <w:rPr>
      <w:rFonts w:ascii="Calibri" w:eastAsia="MS Gothic" w:hAnsi="Calibri"/>
      <w:color w:val="243F60"/>
    </w:rPr>
  </w:style>
  <w:style w:type="paragraph" w:customStyle="1" w:styleId="Heading71">
    <w:name w:val="Heading 71"/>
    <w:basedOn w:val="Normal"/>
    <w:next w:val="Normal"/>
    <w:uiPriority w:val="9"/>
    <w:semiHidden/>
    <w:unhideWhenUsed/>
    <w:qFormat/>
    <w:rsid w:val="00527686"/>
    <w:pPr>
      <w:keepNext/>
      <w:keepLines/>
      <w:spacing w:before="40"/>
      <w:ind w:left="5040" w:hanging="360"/>
      <w:outlineLvl w:val="6"/>
    </w:pPr>
    <w:rPr>
      <w:rFonts w:ascii="Calibri" w:eastAsia="MS Gothic" w:hAnsi="Calibri"/>
      <w:i/>
      <w:iCs/>
      <w:color w:val="243F60"/>
    </w:rPr>
  </w:style>
  <w:style w:type="paragraph" w:customStyle="1" w:styleId="Heading81">
    <w:name w:val="Heading 81"/>
    <w:basedOn w:val="Normal"/>
    <w:next w:val="Normal"/>
    <w:uiPriority w:val="9"/>
    <w:semiHidden/>
    <w:unhideWhenUsed/>
    <w:qFormat/>
    <w:rsid w:val="00527686"/>
    <w:pPr>
      <w:keepNext/>
      <w:keepLines/>
      <w:spacing w:before="40"/>
      <w:ind w:left="5760" w:hanging="360"/>
      <w:outlineLvl w:val="7"/>
    </w:pPr>
    <w:rPr>
      <w:rFonts w:ascii="Calibri" w:eastAsia="MS Gothic" w:hAnsi="Calibri"/>
      <w:color w:val="272727"/>
      <w:sz w:val="21"/>
      <w:szCs w:val="21"/>
    </w:rPr>
  </w:style>
  <w:style w:type="paragraph" w:customStyle="1" w:styleId="Heading91">
    <w:name w:val="Heading 91"/>
    <w:basedOn w:val="Normal"/>
    <w:next w:val="Normal"/>
    <w:uiPriority w:val="9"/>
    <w:semiHidden/>
    <w:unhideWhenUsed/>
    <w:qFormat/>
    <w:rsid w:val="00527686"/>
    <w:pPr>
      <w:keepNext/>
      <w:keepLines/>
      <w:spacing w:before="40"/>
      <w:ind w:left="6480" w:hanging="360"/>
      <w:outlineLvl w:val="8"/>
    </w:pPr>
    <w:rPr>
      <w:rFonts w:ascii="Calibri" w:eastAsia="MS Gothic" w:hAnsi="Calibri"/>
      <w:i/>
      <w:iCs/>
      <w:color w:val="272727"/>
      <w:sz w:val="21"/>
      <w:szCs w:val="21"/>
    </w:rPr>
  </w:style>
  <w:style w:type="numbering" w:customStyle="1" w:styleId="NoList1">
    <w:name w:val="No List1"/>
    <w:next w:val="NoList"/>
    <w:uiPriority w:val="99"/>
    <w:semiHidden/>
    <w:unhideWhenUsed/>
    <w:rsid w:val="00527686"/>
  </w:style>
  <w:style w:type="character" w:customStyle="1" w:styleId="tlid-translation">
    <w:name w:val="tlid-translation"/>
    <w:basedOn w:val="DefaultParagraphFont"/>
    <w:rsid w:val="00527686"/>
  </w:style>
  <w:style w:type="paragraph" w:customStyle="1" w:styleId="Normal1">
    <w:name w:val="Normal1"/>
    <w:basedOn w:val="Normal"/>
    <w:rsid w:val="00527686"/>
    <w:rPr>
      <w:rFonts w:eastAsia="Cambria"/>
    </w:rPr>
  </w:style>
  <w:style w:type="paragraph" w:customStyle="1" w:styleId="Quote1">
    <w:name w:val="Quote1"/>
    <w:basedOn w:val="Normal"/>
    <w:next w:val="Normal"/>
    <w:uiPriority w:val="29"/>
    <w:qFormat/>
    <w:rsid w:val="00527686"/>
    <w:rPr>
      <w:i/>
      <w:iCs/>
      <w:color w:val="000000"/>
    </w:rPr>
  </w:style>
  <w:style w:type="character" w:customStyle="1" w:styleId="QuoteChar">
    <w:name w:val="Quote Char"/>
    <w:basedOn w:val="DefaultParagraphFont"/>
    <w:link w:val="Quote"/>
    <w:uiPriority w:val="29"/>
    <w:rsid w:val="00527686"/>
    <w:rPr>
      <w:rFonts w:ascii="Times New Roman" w:eastAsia="Times New Roman" w:hAnsi="Times New Roman" w:cs="Times New Roman"/>
      <w:i/>
      <w:iCs/>
      <w:color w:val="000000"/>
    </w:rPr>
  </w:style>
  <w:style w:type="character" w:customStyle="1" w:styleId="Heading5Char">
    <w:name w:val="Heading 5 Char"/>
    <w:basedOn w:val="DefaultParagraphFont"/>
    <w:link w:val="Heading5"/>
    <w:uiPriority w:val="9"/>
    <w:semiHidden/>
    <w:rsid w:val="00527686"/>
    <w:rPr>
      <w:rFonts w:ascii="Calibri" w:eastAsia="MS Gothic" w:hAnsi="Calibri" w:cs="Times New Roman"/>
      <w:color w:val="365F91"/>
    </w:rPr>
  </w:style>
  <w:style w:type="character" w:customStyle="1" w:styleId="Heading6Char">
    <w:name w:val="Heading 6 Char"/>
    <w:basedOn w:val="DefaultParagraphFont"/>
    <w:link w:val="Heading6"/>
    <w:uiPriority w:val="9"/>
    <w:semiHidden/>
    <w:rsid w:val="00527686"/>
    <w:rPr>
      <w:rFonts w:ascii="Calibri" w:eastAsia="MS Gothic" w:hAnsi="Calibri" w:cs="Times New Roman"/>
      <w:color w:val="243F60"/>
    </w:rPr>
  </w:style>
  <w:style w:type="character" w:customStyle="1" w:styleId="Heading7Char">
    <w:name w:val="Heading 7 Char"/>
    <w:basedOn w:val="DefaultParagraphFont"/>
    <w:link w:val="Heading7"/>
    <w:uiPriority w:val="9"/>
    <w:semiHidden/>
    <w:rsid w:val="00527686"/>
    <w:rPr>
      <w:rFonts w:ascii="Calibri" w:eastAsia="MS Gothic" w:hAnsi="Calibri" w:cs="Times New Roman"/>
      <w:i/>
      <w:iCs/>
      <w:color w:val="243F60"/>
    </w:rPr>
  </w:style>
  <w:style w:type="character" w:customStyle="1" w:styleId="Heading8Char">
    <w:name w:val="Heading 8 Char"/>
    <w:basedOn w:val="DefaultParagraphFont"/>
    <w:link w:val="Heading8"/>
    <w:uiPriority w:val="9"/>
    <w:semiHidden/>
    <w:rsid w:val="00527686"/>
    <w:rPr>
      <w:rFonts w:ascii="Calibri" w:eastAsia="MS Gothic" w:hAnsi="Calibri" w:cs="Times New Roman"/>
      <w:color w:val="272727"/>
      <w:sz w:val="21"/>
      <w:szCs w:val="21"/>
    </w:rPr>
  </w:style>
  <w:style w:type="character" w:customStyle="1" w:styleId="Heading9Char">
    <w:name w:val="Heading 9 Char"/>
    <w:basedOn w:val="DefaultParagraphFont"/>
    <w:link w:val="Heading9"/>
    <w:uiPriority w:val="9"/>
    <w:semiHidden/>
    <w:rsid w:val="00527686"/>
    <w:rPr>
      <w:rFonts w:ascii="Calibri" w:eastAsia="MS Gothic" w:hAnsi="Calibri" w:cs="Times New Roman"/>
      <w:i/>
      <w:iCs/>
      <w:color w:val="272727"/>
      <w:sz w:val="21"/>
      <w:szCs w:val="21"/>
    </w:rPr>
  </w:style>
  <w:style w:type="table" w:customStyle="1" w:styleId="TableGrid1">
    <w:name w:val="Table Grid1"/>
    <w:basedOn w:val="TableNormal"/>
    <w:next w:val="TableGrid"/>
    <w:uiPriority w:val="59"/>
    <w:rsid w:val="00527686"/>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527686"/>
    <w:rPr>
      <w:rFonts w:ascii="Cambria" w:eastAsia="MS Mincho" w:hAnsi="Cambria"/>
      <w:b/>
      <w:bCs/>
    </w:rPr>
  </w:style>
  <w:style w:type="character" w:customStyle="1" w:styleId="CommentSubjectChar">
    <w:name w:val="Comment Subject Char"/>
    <w:basedOn w:val="CommentTextChar"/>
    <w:link w:val="CommentSubject"/>
    <w:uiPriority w:val="99"/>
    <w:semiHidden/>
    <w:rsid w:val="00527686"/>
    <w:rPr>
      <w:rFonts w:ascii="Cambria" w:eastAsia="MS Mincho" w:hAnsi="Cambria"/>
      <w:b/>
      <w:bCs/>
    </w:rPr>
  </w:style>
  <w:style w:type="table" w:customStyle="1" w:styleId="GridTable4-Accent111">
    <w:name w:val="Grid Table 4 - Accent 111"/>
    <w:basedOn w:val="TableNormal"/>
    <w:uiPriority w:val="49"/>
    <w:rsid w:val="00527686"/>
    <w:rPr>
      <w:rFonts w:ascii="Cambria" w:hAnsi="Cambria"/>
      <w:sz w:val="24"/>
      <w:szCs w:val="24"/>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ListTable3-Accent51">
    <w:name w:val="List Table 3 - Accent 51"/>
    <w:basedOn w:val="TableNormal"/>
    <w:next w:val="ListTable3-Accent52"/>
    <w:uiPriority w:val="48"/>
    <w:rsid w:val="00527686"/>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52">
    <w:name w:val="List Table 3 - Accent 52"/>
    <w:basedOn w:val="TableNormal"/>
    <w:uiPriority w:val="48"/>
    <w:rsid w:val="00527686"/>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leGridLight11">
    <w:name w:val="Table Grid Light11"/>
    <w:basedOn w:val="TableNormal"/>
    <w:uiPriority w:val="40"/>
    <w:rsid w:val="00527686"/>
    <w:rPr>
      <w:rFonts w:ascii="Cambria" w:hAnsi="Cambr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itle1">
    <w:name w:val="Title1"/>
    <w:basedOn w:val="Normal"/>
    <w:next w:val="Normal"/>
    <w:uiPriority w:val="10"/>
    <w:qFormat/>
    <w:rsid w:val="00527686"/>
    <w:pPr>
      <w:pBdr>
        <w:top w:val="nil"/>
        <w:left w:val="nil"/>
        <w:bottom w:val="single" w:sz="8" w:space="4" w:color="4F81BD"/>
        <w:right w:val="nil"/>
        <w:between w:val="nil"/>
        <w:bar w:val="nil"/>
      </w:pBdr>
      <w:spacing w:after="300"/>
      <w:contextualSpacing/>
    </w:pPr>
    <w:rPr>
      <w:rFonts w:ascii="Calibri" w:eastAsia="MS Gothic" w:hAnsi="Calibri"/>
      <w:color w:val="17365D"/>
      <w:spacing w:val="5"/>
      <w:kern w:val="28"/>
      <w:sz w:val="52"/>
      <w:szCs w:val="52"/>
      <w:bdr w:val="nil"/>
      <w:lang w:val="hr-HR"/>
    </w:rPr>
  </w:style>
  <w:style w:type="character" w:customStyle="1" w:styleId="TitleChar">
    <w:name w:val="Title Char"/>
    <w:basedOn w:val="DefaultParagraphFont"/>
    <w:link w:val="Title"/>
    <w:uiPriority w:val="10"/>
    <w:rsid w:val="00527686"/>
    <w:rPr>
      <w:rFonts w:ascii="Calibri" w:eastAsia="MS Gothic" w:hAnsi="Calibri" w:cs="Times New Roman"/>
      <w:color w:val="17365D"/>
      <w:spacing w:val="5"/>
      <w:kern w:val="28"/>
      <w:sz w:val="52"/>
      <w:szCs w:val="52"/>
      <w:bdr w:val="nil"/>
      <w:lang w:val="hr-HR"/>
    </w:rPr>
  </w:style>
  <w:style w:type="table" w:customStyle="1" w:styleId="PlainTable11">
    <w:name w:val="Plain Table 11"/>
    <w:basedOn w:val="TableNormal"/>
    <w:uiPriority w:val="41"/>
    <w:rsid w:val="00527686"/>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Revision">
    <w:name w:val="Revision"/>
    <w:hidden/>
    <w:uiPriority w:val="99"/>
    <w:semiHidden/>
    <w:rsid w:val="00527686"/>
    <w:rPr>
      <w:rFonts w:eastAsia="Times New Roman"/>
      <w:sz w:val="24"/>
      <w:szCs w:val="24"/>
    </w:rPr>
  </w:style>
  <w:style w:type="table" w:customStyle="1" w:styleId="ListTable3-Accent11">
    <w:name w:val="List Table 3 - Accent 11"/>
    <w:basedOn w:val="TableNormal"/>
    <w:uiPriority w:val="48"/>
    <w:rsid w:val="00527686"/>
    <w:rPr>
      <w:rFonts w:ascii="Cambria" w:hAnsi="Cambria"/>
      <w:sz w:val="24"/>
      <w:szCs w:val="24"/>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GridTable5Dark-Accent11">
    <w:name w:val="Grid Table 5 Dark - Accent 11"/>
    <w:basedOn w:val="TableNormal"/>
    <w:uiPriority w:val="50"/>
    <w:rsid w:val="00527686"/>
    <w:rPr>
      <w:rFonts w:ascii="Cambria" w:hAnsi="Cambria"/>
      <w:sz w:val="24"/>
      <w:szCs w:val="24"/>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GridTable1Light-Accent11">
    <w:name w:val="Grid Table 1 Light - Accent 11"/>
    <w:basedOn w:val="TableNormal"/>
    <w:uiPriority w:val="46"/>
    <w:rsid w:val="00527686"/>
    <w:rPr>
      <w:rFonts w:ascii="Cambria" w:hAnsi="Cambria"/>
      <w:sz w:val="24"/>
      <w:szCs w:val="24"/>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GridTable4-Accent51">
    <w:name w:val="Grid Table 4 - Accent 51"/>
    <w:basedOn w:val="TableNormal"/>
    <w:uiPriority w:val="49"/>
    <w:rsid w:val="00527686"/>
    <w:rPr>
      <w:rFonts w:ascii="Cambria" w:hAnsi="Cambria"/>
      <w:sz w:val="24"/>
      <w:szCs w:val="24"/>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Heading4Char1">
    <w:name w:val="Heading 4 Char1"/>
    <w:basedOn w:val="DefaultParagraphFont"/>
    <w:uiPriority w:val="9"/>
    <w:semiHidden/>
    <w:rsid w:val="00527686"/>
    <w:rPr>
      <w:rFonts w:ascii="Calibri" w:eastAsia="MS Gothic" w:hAnsi="Calibri" w:cs="Times New Roman"/>
      <w:i/>
      <w:iCs/>
      <w:color w:val="365F91"/>
    </w:rPr>
  </w:style>
  <w:style w:type="table" w:customStyle="1" w:styleId="TableGridLight111">
    <w:name w:val="Table Grid Light111"/>
    <w:basedOn w:val="TableNormal"/>
    <w:next w:val="TableNormal"/>
    <w:uiPriority w:val="40"/>
    <w:rsid w:val="00527686"/>
    <w:rPr>
      <w:rFonts w:ascii="Cambria" w:hAnsi="Cambr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2">
    <w:name w:val="Table Grid Light12"/>
    <w:basedOn w:val="TableNormal"/>
    <w:next w:val="TableNormal"/>
    <w:uiPriority w:val="40"/>
    <w:rsid w:val="00527686"/>
    <w:rPr>
      <w:rFonts w:ascii="Cambria" w:hAnsi="Cambr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3">
    <w:name w:val="Table Grid Light13"/>
    <w:basedOn w:val="TableNormal"/>
    <w:next w:val="TableNormal"/>
    <w:uiPriority w:val="40"/>
    <w:rsid w:val="00527686"/>
    <w:rPr>
      <w:rFonts w:ascii="Cambria" w:hAnsi="Cambr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4">
    <w:name w:val="Table Grid Light14"/>
    <w:basedOn w:val="TableNormal"/>
    <w:next w:val="TableNormal"/>
    <w:uiPriority w:val="40"/>
    <w:rsid w:val="00527686"/>
    <w:rPr>
      <w:rFonts w:ascii="Cambria" w:hAnsi="Cambr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5">
    <w:name w:val="Table Grid Light15"/>
    <w:basedOn w:val="TableNormal"/>
    <w:next w:val="TableNormal"/>
    <w:uiPriority w:val="40"/>
    <w:rsid w:val="00527686"/>
    <w:rPr>
      <w:rFonts w:ascii="Cambria" w:hAnsi="Cambr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Quote">
    <w:name w:val="Quote"/>
    <w:basedOn w:val="Normal"/>
    <w:next w:val="Normal"/>
    <w:link w:val="QuoteChar"/>
    <w:uiPriority w:val="29"/>
    <w:qFormat/>
    <w:rsid w:val="00527686"/>
    <w:pPr>
      <w:spacing w:before="200" w:after="160"/>
      <w:ind w:left="864" w:right="864"/>
      <w:jc w:val="center"/>
    </w:pPr>
    <w:rPr>
      <w:i/>
      <w:iCs/>
      <w:color w:val="000000"/>
      <w:sz w:val="20"/>
      <w:szCs w:val="20"/>
    </w:rPr>
  </w:style>
  <w:style w:type="character" w:customStyle="1" w:styleId="QuoteChar1">
    <w:name w:val="Quote Char1"/>
    <w:basedOn w:val="DefaultParagraphFont"/>
    <w:uiPriority w:val="29"/>
    <w:rsid w:val="00527686"/>
    <w:rPr>
      <w:rFonts w:eastAsia="Times New Roman"/>
      <w:i/>
      <w:iCs/>
      <w:color w:val="404040" w:themeColor="text1" w:themeTint="BF"/>
      <w:sz w:val="24"/>
      <w:szCs w:val="24"/>
    </w:rPr>
  </w:style>
  <w:style w:type="character" w:customStyle="1" w:styleId="Heading5Char1">
    <w:name w:val="Heading 5 Char1"/>
    <w:basedOn w:val="DefaultParagraphFont"/>
    <w:semiHidden/>
    <w:rsid w:val="00527686"/>
    <w:rPr>
      <w:rFonts w:asciiTheme="majorHAnsi" w:eastAsiaTheme="majorEastAsia" w:hAnsiTheme="majorHAnsi" w:cstheme="majorBidi"/>
      <w:color w:val="365F91" w:themeColor="accent1" w:themeShade="BF"/>
      <w:sz w:val="24"/>
      <w:szCs w:val="24"/>
    </w:rPr>
  </w:style>
  <w:style w:type="character" w:customStyle="1" w:styleId="Heading6Char1">
    <w:name w:val="Heading 6 Char1"/>
    <w:basedOn w:val="DefaultParagraphFont"/>
    <w:semiHidden/>
    <w:rsid w:val="00527686"/>
    <w:rPr>
      <w:rFonts w:asciiTheme="majorHAnsi" w:eastAsiaTheme="majorEastAsia" w:hAnsiTheme="majorHAnsi" w:cstheme="majorBidi"/>
      <w:color w:val="243F60" w:themeColor="accent1" w:themeShade="7F"/>
      <w:sz w:val="24"/>
      <w:szCs w:val="24"/>
    </w:rPr>
  </w:style>
  <w:style w:type="character" w:customStyle="1" w:styleId="Heading7Char1">
    <w:name w:val="Heading 7 Char1"/>
    <w:basedOn w:val="DefaultParagraphFont"/>
    <w:semiHidden/>
    <w:rsid w:val="00527686"/>
    <w:rPr>
      <w:rFonts w:asciiTheme="majorHAnsi" w:eastAsiaTheme="majorEastAsia" w:hAnsiTheme="majorHAnsi" w:cstheme="majorBidi"/>
      <w:i/>
      <w:iCs/>
      <w:color w:val="243F60" w:themeColor="accent1" w:themeShade="7F"/>
      <w:sz w:val="24"/>
      <w:szCs w:val="24"/>
    </w:rPr>
  </w:style>
  <w:style w:type="character" w:customStyle="1" w:styleId="Heading8Char1">
    <w:name w:val="Heading 8 Char1"/>
    <w:basedOn w:val="DefaultParagraphFont"/>
    <w:semiHidden/>
    <w:rsid w:val="00527686"/>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semiHidden/>
    <w:rsid w:val="00527686"/>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527686"/>
    <w:pPr>
      <w:contextualSpacing/>
    </w:pPr>
    <w:rPr>
      <w:rFonts w:ascii="Calibri" w:eastAsia="MS Gothic" w:hAnsi="Calibri"/>
      <w:color w:val="17365D"/>
      <w:spacing w:val="5"/>
      <w:kern w:val="28"/>
      <w:sz w:val="52"/>
      <w:szCs w:val="52"/>
      <w:bdr w:val="nil"/>
      <w:lang w:val="hr-HR"/>
    </w:rPr>
  </w:style>
  <w:style w:type="character" w:customStyle="1" w:styleId="TitleChar1">
    <w:name w:val="Title Char1"/>
    <w:basedOn w:val="DefaultParagraphFont"/>
    <w:rsid w:val="00527686"/>
    <w:rPr>
      <w:rFonts w:asciiTheme="majorHAnsi" w:eastAsiaTheme="majorEastAsia" w:hAnsiTheme="majorHAnsi" w:cstheme="majorBidi"/>
      <w:spacing w:val="-10"/>
      <w:kern w:val="28"/>
      <w:sz w:val="56"/>
      <w:szCs w:val="56"/>
    </w:rPr>
  </w:style>
  <w:style w:type="table" w:customStyle="1" w:styleId="GridTable1Light-Accent51">
    <w:name w:val="Grid Table 1 Light - Accent 51"/>
    <w:basedOn w:val="TableNormal"/>
    <w:uiPriority w:val="46"/>
    <w:rsid w:val="00527686"/>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rsid w:val="00DB450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7Colorful-Accent11">
    <w:name w:val="Grid Table 7 Colorful - Accent 11"/>
    <w:basedOn w:val="TableNormal"/>
    <w:uiPriority w:val="52"/>
    <w:rsid w:val="006D7EC7"/>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2">
    <w:name w:val="Grid Table 4 - Accent 52"/>
    <w:basedOn w:val="TableNormal"/>
    <w:uiPriority w:val="49"/>
    <w:rsid w:val="006D7EC7"/>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1Light2">
    <w:name w:val="Grid Table 1 Light2"/>
    <w:basedOn w:val="TableNormal"/>
    <w:uiPriority w:val="46"/>
    <w:rsid w:val="00B13AAA"/>
    <w:rPr>
      <w:rFonts w:ascii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Light16">
    <w:name w:val="Table Grid Light16"/>
    <w:basedOn w:val="TableNormal"/>
    <w:uiPriority w:val="40"/>
    <w:rsid w:val="006308E8"/>
    <w:rPr>
      <w:rFonts w:asciiTheme="minorHAnsi" w:hAnsiTheme="minorHAnsi" w:cstheme="minorBid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3-Accent521">
    <w:name w:val="List Table 3 - Accent 521"/>
    <w:basedOn w:val="TableNormal"/>
    <w:uiPriority w:val="48"/>
    <w:rsid w:val="006308E8"/>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522">
    <w:name w:val="List Table 3 - Accent 522"/>
    <w:basedOn w:val="TableNormal"/>
    <w:uiPriority w:val="48"/>
    <w:rsid w:val="006308E8"/>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523">
    <w:name w:val="List Table 3 - Accent 523"/>
    <w:basedOn w:val="TableNormal"/>
    <w:uiPriority w:val="48"/>
    <w:rsid w:val="006308E8"/>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524">
    <w:name w:val="List Table 3 - Accent 524"/>
    <w:basedOn w:val="TableNormal"/>
    <w:uiPriority w:val="48"/>
    <w:rsid w:val="00990CDF"/>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525">
    <w:name w:val="List Table 3 - Accent 525"/>
    <w:basedOn w:val="TableNormal"/>
    <w:uiPriority w:val="48"/>
    <w:rsid w:val="00990CDF"/>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526">
    <w:name w:val="List Table 3 - Accent 526"/>
    <w:basedOn w:val="TableNormal"/>
    <w:uiPriority w:val="48"/>
    <w:rsid w:val="00990CDF"/>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leGridLight112">
    <w:name w:val="Table Grid Light112"/>
    <w:basedOn w:val="TableNormal"/>
    <w:uiPriority w:val="40"/>
    <w:rsid w:val="00990CDF"/>
    <w:rPr>
      <w:rFonts w:ascii="Cambria" w:hAnsi="Cambr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3-Accent5251">
    <w:name w:val="List Table 3 - Accent 5251"/>
    <w:basedOn w:val="TableNormal"/>
    <w:uiPriority w:val="48"/>
    <w:rsid w:val="00346DCC"/>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5261">
    <w:name w:val="List Table 3 - Accent 5261"/>
    <w:basedOn w:val="TableNormal"/>
    <w:uiPriority w:val="48"/>
    <w:rsid w:val="00C82070"/>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leGridLight1121">
    <w:name w:val="Table Grid Light1121"/>
    <w:basedOn w:val="TableNormal"/>
    <w:uiPriority w:val="40"/>
    <w:rsid w:val="00FF1FE6"/>
    <w:rPr>
      <w:rFonts w:ascii="Cambria" w:eastAsia="Calibri" w:hAnsi="Cambria"/>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ListTable3-Accent527">
    <w:name w:val="List Table 3 - Accent 527"/>
    <w:basedOn w:val="TableNormal"/>
    <w:uiPriority w:val="48"/>
    <w:rsid w:val="00FC35D3"/>
    <w:rPr>
      <w:rFonts w:ascii="Cambria" w:hAnsi="Cambria"/>
      <w:sz w:val="24"/>
      <w:szCs w:val="24"/>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leGrid2">
    <w:name w:val="Table Grid2"/>
    <w:basedOn w:val="TableNormal"/>
    <w:uiPriority w:val="59"/>
    <w:rsid w:val="00BF5960"/>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arCarCarCarChar">
    <w:name w:val="BVI fnr Car Car Car Car Char"/>
    <w:basedOn w:val="Normal"/>
    <w:link w:val="FootnoteReference"/>
    <w:uiPriority w:val="99"/>
    <w:rsid w:val="00F07CB3"/>
    <w:pPr>
      <w:spacing w:after="160" w:line="240" w:lineRule="exact"/>
      <w:jc w:val="both"/>
    </w:pPr>
    <w:rPr>
      <w:rFonts w:eastAsiaTheme="minorHAnsi"/>
      <w:sz w:val="20"/>
      <w:szCs w:val="20"/>
      <w:vertAlign w:val="superscript"/>
    </w:rPr>
  </w:style>
  <w:style w:type="table" w:customStyle="1" w:styleId="GridTable4-Accent112">
    <w:name w:val="Grid Table 4 - Accent 112"/>
    <w:basedOn w:val="TableNormal"/>
    <w:uiPriority w:val="49"/>
    <w:rsid w:val="00F07CB3"/>
    <w:rPr>
      <w:rFonts w:ascii="Cambria" w:hAnsi="Cambria"/>
      <w:sz w:val="24"/>
      <w:szCs w:val="24"/>
    </w:r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character" w:customStyle="1" w:styleId="fontstyle01">
    <w:name w:val="fontstyle01"/>
    <w:basedOn w:val="DefaultParagraphFont"/>
    <w:rsid w:val="0093018B"/>
    <w:rPr>
      <w:rFonts w:ascii="Garamond-Bold" w:hAnsi="Garamond-Bold" w:hint="default"/>
      <w:b/>
      <w:bCs/>
      <w:i w:val="0"/>
      <w:iCs w:val="0"/>
      <w:color w:val="000000"/>
    </w:rPr>
  </w:style>
  <w:style w:type="character" w:customStyle="1" w:styleId="contentpasted0">
    <w:name w:val="contentpasted0"/>
    <w:basedOn w:val="DefaultParagraphFont"/>
    <w:rsid w:val="0025195D"/>
  </w:style>
  <w:style w:type="paragraph" w:customStyle="1" w:styleId="xmsonormal">
    <w:name w:val="x_msonormal"/>
    <w:basedOn w:val="Normal"/>
    <w:rsid w:val="00773810"/>
    <w:rPr>
      <w:rFonts w:ascii="Calibri" w:eastAsiaTheme="minorHAnsi" w:hAnsi="Calibri" w:cs="Calibri"/>
      <w:sz w:val="22"/>
      <w:szCs w:val="22"/>
      <w:lang w:val="en-GB" w:eastAsia="en-GB"/>
    </w:rPr>
  </w:style>
  <w:style w:type="paragraph" w:customStyle="1" w:styleId="Heading11">
    <w:name w:val="Heading 11"/>
    <w:basedOn w:val="Normal"/>
    <w:next w:val="Normal"/>
    <w:uiPriority w:val="9"/>
    <w:qFormat/>
    <w:rsid w:val="00741D1F"/>
    <w:pPr>
      <w:keepNext/>
      <w:keepLines/>
      <w:spacing w:before="480"/>
      <w:outlineLvl w:val="0"/>
    </w:pPr>
    <w:rPr>
      <w:rFonts w:asciiTheme="minorHAnsi" w:hAnsiTheme="minorHAnsi"/>
      <w:b/>
      <w:bCs/>
      <w:noProof/>
      <w:color w:val="365F91"/>
      <w:u w:val="single"/>
      <w:lang w:val="sq-AL"/>
    </w:rPr>
  </w:style>
  <w:style w:type="paragraph" w:customStyle="1" w:styleId="Heading21">
    <w:name w:val="Heading 21"/>
    <w:basedOn w:val="Normal"/>
    <w:next w:val="Normal"/>
    <w:uiPriority w:val="9"/>
    <w:unhideWhenUsed/>
    <w:qFormat/>
    <w:rsid w:val="00741D1F"/>
    <w:pPr>
      <w:keepNext/>
      <w:keepLines/>
      <w:spacing w:before="200" w:line="276" w:lineRule="auto"/>
      <w:ind w:left="720" w:hanging="720"/>
      <w:outlineLvl w:val="1"/>
    </w:pPr>
    <w:rPr>
      <w:rFonts w:asciiTheme="minorHAnsi" w:hAnsiTheme="minorHAnsi"/>
      <w:b/>
      <w:bCs/>
      <w:noProof/>
      <w:color w:val="4F81BD"/>
      <w:sz w:val="28"/>
      <w:lang w:val="sq-AL"/>
    </w:rPr>
  </w:style>
  <w:style w:type="paragraph" w:customStyle="1" w:styleId="Heading31">
    <w:name w:val="Heading 31"/>
    <w:basedOn w:val="Normal"/>
    <w:next w:val="Normal"/>
    <w:autoRedefine/>
    <w:unhideWhenUsed/>
    <w:qFormat/>
    <w:rsid w:val="00741D1F"/>
    <w:pPr>
      <w:keepNext/>
      <w:keepLines/>
      <w:tabs>
        <w:tab w:val="left" w:pos="426"/>
        <w:tab w:val="left" w:pos="540"/>
      </w:tabs>
      <w:spacing w:before="200" w:line="276" w:lineRule="auto"/>
      <w:ind w:left="2700" w:hanging="2700"/>
      <w:jc w:val="both"/>
      <w:outlineLvl w:val="2"/>
    </w:pPr>
    <w:rPr>
      <w:rFonts w:asciiTheme="minorHAnsi" w:hAnsiTheme="minorHAnsi"/>
      <w:bCs/>
      <w:i/>
      <w:u w:val="single"/>
      <w:lang w:val="sq-AL"/>
    </w:rPr>
  </w:style>
  <w:style w:type="paragraph" w:customStyle="1" w:styleId="Heading41">
    <w:name w:val="Heading 41"/>
    <w:basedOn w:val="Normal"/>
    <w:next w:val="Normal"/>
    <w:unhideWhenUsed/>
    <w:qFormat/>
    <w:rsid w:val="00741D1F"/>
    <w:pPr>
      <w:keepNext/>
      <w:keepLines/>
      <w:spacing w:before="200"/>
      <w:outlineLvl w:val="3"/>
    </w:pPr>
    <w:rPr>
      <w:rFonts w:ascii="Cambria" w:hAnsi="Cambria"/>
      <w:bCs/>
      <w:i/>
      <w:iCs/>
    </w:rPr>
  </w:style>
  <w:style w:type="paragraph" w:customStyle="1" w:styleId="Subtitle1">
    <w:name w:val="Subtitle1"/>
    <w:basedOn w:val="Normal"/>
    <w:next w:val="Normal"/>
    <w:qFormat/>
    <w:rsid w:val="00741D1F"/>
    <w:pPr>
      <w:numPr>
        <w:ilvl w:val="1"/>
      </w:numPr>
    </w:pPr>
    <w:rPr>
      <w:i/>
      <w:iCs/>
      <w:spacing w:val="15"/>
    </w:rPr>
  </w:style>
  <w:style w:type="paragraph" w:customStyle="1" w:styleId="TOCHeading1">
    <w:name w:val="TOC Heading1"/>
    <w:basedOn w:val="Heading1"/>
    <w:next w:val="Normal"/>
    <w:uiPriority w:val="39"/>
    <w:unhideWhenUsed/>
    <w:qFormat/>
    <w:rsid w:val="00741D1F"/>
    <w:pPr>
      <w:spacing w:before="240" w:line="259" w:lineRule="auto"/>
    </w:pPr>
    <w:rPr>
      <w:rFonts w:ascii="Calibri" w:eastAsia="Times New Roman" w:hAnsi="Calibri" w:cs="Times New Roman"/>
      <w:color w:val="365F91"/>
    </w:rPr>
  </w:style>
  <w:style w:type="character" w:customStyle="1" w:styleId="Hyperlink1">
    <w:name w:val="Hyperlink1"/>
    <w:basedOn w:val="DefaultParagraphFont"/>
    <w:uiPriority w:val="99"/>
    <w:unhideWhenUsed/>
    <w:rsid w:val="00741D1F"/>
    <w:rPr>
      <w:color w:val="0000FF"/>
      <w:u w:val="single"/>
    </w:rPr>
  </w:style>
  <w:style w:type="paragraph" w:customStyle="1" w:styleId="NoSpacing1">
    <w:name w:val="No Spacing1"/>
    <w:next w:val="NoSpacing"/>
    <w:uiPriority w:val="1"/>
    <w:qFormat/>
    <w:rsid w:val="00741D1F"/>
    <w:rPr>
      <w:rFonts w:asciiTheme="minorHAnsi" w:eastAsiaTheme="minorHAnsi" w:hAnsiTheme="minorHAnsi" w:cstheme="minorBidi"/>
      <w:sz w:val="22"/>
      <w:szCs w:val="22"/>
    </w:rPr>
  </w:style>
  <w:style w:type="paragraph" w:customStyle="1" w:styleId="Caption1">
    <w:name w:val="Caption1"/>
    <w:basedOn w:val="Normal"/>
    <w:next w:val="Normal"/>
    <w:uiPriority w:val="35"/>
    <w:unhideWhenUsed/>
    <w:qFormat/>
    <w:rsid w:val="00741D1F"/>
    <w:pPr>
      <w:spacing w:after="200"/>
    </w:pPr>
    <w:rPr>
      <w:b/>
      <w:bCs/>
      <w:color w:val="4F81BD"/>
      <w:sz w:val="18"/>
      <w:szCs w:val="18"/>
    </w:rPr>
  </w:style>
  <w:style w:type="numbering" w:customStyle="1" w:styleId="NoList11">
    <w:name w:val="No List11"/>
    <w:next w:val="NoList"/>
    <w:uiPriority w:val="99"/>
    <w:semiHidden/>
    <w:unhideWhenUsed/>
    <w:rsid w:val="00741D1F"/>
  </w:style>
  <w:style w:type="table" w:customStyle="1" w:styleId="TableGrid11">
    <w:name w:val="Table Grid11"/>
    <w:basedOn w:val="TableNormal"/>
    <w:next w:val="TableGrid"/>
    <w:uiPriority w:val="59"/>
    <w:rsid w:val="00741D1F"/>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741D1F"/>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uiPriority w:val="9"/>
    <w:semiHidden/>
    <w:rsid w:val="00741D1F"/>
    <w:rPr>
      <w:rFonts w:asciiTheme="majorHAnsi" w:eastAsiaTheme="majorEastAsia" w:hAnsiTheme="majorHAnsi" w:cstheme="majorBidi"/>
      <w:color w:val="365F91" w:themeColor="accent1" w:themeShade="BF"/>
      <w:sz w:val="26"/>
      <w:szCs w:val="26"/>
    </w:rPr>
  </w:style>
  <w:style w:type="character" w:customStyle="1" w:styleId="Heading3Char1">
    <w:name w:val="Heading 3 Char1"/>
    <w:basedOn w:val="DefaultParagraphFont"/>
    <w:uiPriority w:val="9"/>
    <w:semiHidden/>
    <w:rsid w:val="00741D1F"/>
    <w:rPr>
      <w:rFonts w:asciiTheme="majorHAnsi" w:eastAsiaTheme="majorEastAsia" w:hAnsiTheme="majorHAnsi" w:cstheme="majorBidi"/>
      <w:color w:val="243F60" w:themeColor="accent1" w:themeShade="7F"/>
      <w:sz w:val="24"/>
      <w:szCs w:val="24"/>
    </w:rPr>
  </w:style>
  <w:style w:type="character" w:customStyle="1" w:styleId="Heading4Char2">
    <w:name w:val="Heading 4 Char2"/>
    <w:basedOn w:val="DefaultParagraphFont"/>
    <w:uiPriority w:val="9"/>
    <w:semiHidden/>
    <w:rsid w:val="00741D1F"/>
    <w:rPr>
      <w:rFonts w:asciiTheme="majorHAnsi" w:eastAsiaTheme="majorEastAsia" w:hAnsiTheme="majorHAnsi" w:cstheme="majorBidi"/>
      <w:i/>
      <w:iCs/>
      <w:color w:val="365F91" w:themeColor="accent1" w:themeShade="BF"/>
    </w:rPr>
  </w:style>
  <w:style w:type="character" w:customStyle="1" w:styleId="SubtitleChar1">
    <w:name w:val="Subtitle Char1"/>
    <w:basedOn w:val="DefaultParagraphFont"/>
    <w:uiPriority w:val="11"/>
    <w:rsid w:val="00741D1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3300">
      <w:bodyDiv w:val="1"/>
      <w:marLeft w:val="0"/>
      <w:marRight w:val="0"/>
      <w:marTop w:val="0"/>
      <w:marBottom w:val="0"/>
      <w:divBdr>
        <w:top w:val="none" w:sz="0" w:space="0" w:color="auto"/>
        <w:left w:val="none" w:sz="0" w:space="0" w:color="auto"/>
        <w:bottom w:val="none" w:sz="0" w:space="0" w:color="auto"/>
        <w:right w:val="none" w:sz="0" w:space="0" w:color="auto"/>
      </w:divBdr>
    </w:div>
    <w:div w:id="92478611">
      <w:bodyDiv w:val="1"/>
      <w:marLeft w:val="0"/>
      <w:marRight w:val="0"/>
      <w:marTop w:val="0"/>
      <w:marBottom w:val="0"/>
      <w:divBdr>
        <w:top w:val="none" w:sz="0" w:space="0" w:color="auto"/>
        <w:left w:val="none" w:sz="0" w:space="0" w:color="auto"/>
        <w:bottom w:val="none" w:sz="0" w:space="0" w:color="auto"/>
        <w:right w:val="none" w:sz="0" w:space="0" w:color="auto"/>
      </w:divBdr>
    </w:div>
    <w:div w:id="179397677">
      <w:bodyDiv w:val="1"/>
      <w:marLeft w:val="0"/>
      <w:marRight w:val="0"/>
      <w:marTop w:val="0"/>
      <w:marBottom w:val="0"/>
      <w:divBdr>
        <w:top w:val="none" w:sz="0" w:space="0" w:color="auto"/>
        <w:left w:val="none" w:sz="0" w:space="0" w:color="auto"/>
        <w:bottom w:val="none" w:sz="0" w:space="0" w:color="auto"/>
        <w:right w:val="none" w:sz="0" w:space="0" w:color="auto"/>
      </w:divBdr>
    </w:div>
    <w:div w:id="242960594">
      <w:bodyDiv w:val="1"/>
      <w:marLeft w:val="0"/>
      <w:marRight w:val="0"/>
      <w:marTop w:val="0"/>
      <w:marBottom w:val="0"/>
      <w:divBdr>
        <w:top w:val="none" w:sz="0" w:space="0" w:color="auto"/>
        <w:left w:val="none" w:sz="0" w:space="0" w:color="auto"/>
        <w:bottom w:val="none" w:sz="0" w:space="0" w:color="auto"/>
        <w:right w:val="none" w:sz="0" w:space="0" w:color="auto"/>
      </w:divBdr>
    </w:div>
    <w:div w:id="281302082">
      <w:bodyDiv w:val="1"/>
      <w:marLeft w:val="0"/>
      <w:marRight w:val="0"/>
      <w:marTop w:val="0"/>
      <w:marBottom w:val="0"/>
      <w:divBdr>
        <w:top w:val="none" w:sz="0" w:space="0" w:color="auto"/>
        <w:left w:val="none" w:sz="0" w:space="0" w:color="auto"/>
        <w:bottom w:val="none" w:sz="0" w:space="0" w:color="auto"/>
        <w:right w:val="none" w:sz="0" w:space="0" w:color="auto"/>
      </w:divBdr>
    </w:div>
    <w:div w:id="350648787">
      <w:bodyDiv w:val="1"/>
      <w:marLeft w:val="0"/>
      <w:marRight w:val="0"/>
      <w:marTop w:val="0"/>
      <w:marBottom w:val="0"/>
      <w:divBdr>
        <w:top w:val="none" w:sz="0" w:space="0" w:color="auto"/>
        <w:left w:val="none" w:sz="0" w:space="0" w:color="auto"/>
        <w:bottom w:val="none" w:sz="0" w:space="0" w:color="auto"/>
        <w:right w:val="none" w:sz="0" w:space="0" w:color="auto"/>
      </w:divBdr>
    </w:div>
    <w:div w:id="472870282">
      <w:bodyDiv w:val="1"/>
      <w:marLeft w:val="0"/>
      <w:marRight w:val="0"/>
      <w:marTop w:val="0"/>
      <w:marBottom w:val="0"/>
      <w:divBdr>
        <w:top w:val="none" w:sz="0" w:space="0" w:color="auto"/>
        <w:left w:val="none" w:sz="0" w:space="0" w:color="auto"/>
        <w:bottom w:val="none" w:sz="0" w:space="0" w:color="auto"/>
        <w:right w:val="none" w:sz="0" w:space="0" w:color="auto"/>
      </w:divBdr>
    </w:div>
    <w:div w:id="485627726">
      <w:bodyDiv w:val="1"/>
      <w:marLeft w:val="0"/>
      <w:marRight w:val="0"/>
      <w:marTop w:val="0"/>
      <w:marBottom w:val="0"/>
      <w:divBdr>
        <w:top w:val="none" w:sz="0" w:space="0" w:color="auto"/>
        <w:left w:val="none" w:sz="0" w:space="0" w:color="auto"/>
        <w:bottom w:val="none" w:sz="0" w:space="0" w:color="auto"/>
        <w:right w:val="none" w:sz="0" w:space="0" w:color="auto"/>
      </w:divBdr>
    </w:div>
    <w:div w:id="504365511">
      <w:bodyDiv w:val="1"/>
      <w:marLeft w:val="0"/>
      <w:marRight w:val="0"/>
      <w:marTop w:val="0"/>
      <w:marBottom w:val="0"/>
      <w:divBdr>
        <w:top w:val="none" w:sz="0" w:space="0" w:color="auto"/>
        <w:left w:val="none" w:sz="0" w:space="0" w:color="auto"/>
        <w:bottom w:val="none" w:sz="0" w:space="0" w:color="auto"/>
        <w:right w:val="none" w:sz="0" w:space="0" w:color="auto"/>
      </w:divBdr>
    </w:div>
    <w:div w:id="605620984">
      <w:bodyDiv w:val="1"/>
      <w:marLeft w:val="0"/>
      <w:marRight w:val="0"/>
      <w:marTop w:val="0"/>
      <w:marBottom w:val="0"/>
      <w:divBdr>
        <w:top w:val="none" w:sz="0" w:space="0" w:color="auto"/>
        <w:left w:val="none" w:sz="0" w:space="0" w:color="auto"/>
        <w:bottom w:val="none" w:sz="0" w:space="0" w:color="auto"/>
        <w:right w:val="none" w:sz="0" w:space="0" w:color="auto"/>
      </w:divBdr>
    </w:div>
    <w:div w:id="680546287">
      <w:bodyDiv w:val="1"/>
      <w:marLeft w:val="0"/>
      <w:marRight w:val="0"/>
      <w:marTop w:val="0"/>
      <w:marBottom w:val="0"/>
      <w:divBdr>
        <w:top w:val="none" w:sz="0" w:space="0" w:color="auto"/>
        <w:left w:val="none" w:sz="0" w:space="0" w:color="auto"/>
        <w:bottom w:val="none" w:sz="0" w:space="0" w:color="auto"/>
        <w:right w:val="none" w:sz="0" w:space="0" w:color="auto"/>
      </w:divBdr>
    </w:div>
    <w:div w:id="711541834">
      <w:bodyDiv w:val="1"/>
      <w:marLeft w:val="0"/>
      <w:marRight w:val="0"/>
      <w:marTop w:val="0"/>
      <w:marBottom w:val="0"/>
      <w:divBdr>
        <w:top w:val="none" w:sz="0" w:space="0" w:color="auto"/>
        <w:left w:val="none" w:sz="0" w:space="0" w:color="auto"/>
        <w:bottom w:val="none" w:sz="0" w:space="0" w:color="auto"/>
        <w:right w:val="none" w:sz="0" w:space="0" w:color="auto"/>
      </w:divBdr>
    </w:div>
    <w:div w:id="766313720">
      <w:bodyDiv w:val="1"/>
      <w:marLeft w:val="0"/>
      <w:marRight w:val="0"/>
      <w:marTop w:val="0"/>
      <w:marBottom w:val="0"/>
      <w:divBdr>
        <w:top w:val="none" w:sz="0" w:space="0" w:color="auto"/>
        <w:left w:val="none" w:sz="0" w:space="0" w:color="auto"/>
        <w:bottom w:val="none" w:sz="0" w:space="0" w:color="auto"/>
        <w:right w:val="none" w:sz="0" w:space="0" w:color="auto"/>
      </w:divBdr>
    </w:div>
    <w:div w:id="789740096">
      <w:bodyDiv w:val="1"/>
      <w:marLeft w:val="0"/>
      <w:marRight w:val="0"/>
      <w:marTop w:val="0"/>
      <w:marBottom w:val="0"/>
      <w:divBdr>
        <w:top w:val="none" w:sz="0" w:space="0" w:color="auto"/>
        <w:left w:val="none" w:sz="0" w:space="0" w:color="auto"/>
        <w:bottom w:val="none" w:sz="0" w:space="0" w:color="auto"/>
        <w:right w:val="none" w:sz="0" w:space="0" w:color="auto"/>
      </w:divBdr>
    </w:div>
    <w:div w:id="855584910">
      <w:bodyDiv w:val="1"/>
      <w:marLeft w:val="0"/>
      <w:marRight w:val="0"/>
      <w:marTop w:val="0"/>
      <w:marBottom w:val="0"/>
      <w:divBdr>
        <w:top w:val="none" w:sz="0" w:space="0" w:color="auto"/>
        <w:left w:val="none" w:sz="0" w:space="0" w:color="auto"/>
        <w:bottom w:val="none" w:sz="0" w:space="0" w:color="auto"/>
        <w:right w:val="none" w:sz="0" w:space="0" w:color="auto"/>
      </w:divBdr>
    </w:div>
    <w:div w:id="1033649556">
      <w:bodyDiv w:val="1"/>
      <w:marLeft w:val="0"/>
      <w:marRight w:val="0"/>
      <w:marTop w:val="0"/>
      <w:marBottom w:val="0"/>
      <w:divBdr>
        <w:top w:val="none" w:sz="0" w:space="0" w:color="auto"/>
        <w:left w:val="none" w:sz="0" w:space="0" w:color="auto"/>
        <w:bottom w:val="none" w:sz="0" w:space="0" w:color="auto"/>
        <w:right w:val="none" w:sz="0" w:space="0" w:color="auto"/>
      </w:divBdr>
    </w:div>
    <w:div w:id="1074666893">
      <w:bodyDiv w:val="1"/>
      <w:marLeft w:val="0"/>
      <w:marRight w:val="0"/>
      <w:marTop w:val="0"/>
      <w:marBottom w:val="0"/>
      <w:divBdr>
        <w:top w:val="none" w:sz="0" w:space="0" w:color="auto"/>
        <w:left w:val="none" w:sz="0" w:space="0" w:color="auto"/>
        <w:bottom w:val="none" w:sz="0" w:space="0" w:color="auto"/>
        <w:right w:val="none" w:sz="0" w:space="0" w:color="auto"/>
      </w:divBdr>
    </w:div>
    <w:div w:id="1142236599">
      <w:bodyDiv w:val="1"/>
      <w:marLeft w:val="0"/>
      <w:marRight w:val="0"/>
      <w:marTop w:val="0"/>
      <w:marBottom w:val="0"/>
      <w:divBdr>
        <w:top w:val="none" w:sz="0" w:space="0" w:color="auto"/>
        <w:left w:val="none" w:sz="0" w:space="0" w:color="auto"/>
        <w:bottom w:val="none" w:sz="0" w:space="0" w:color="auto"/>
        <w:right w:val="none" w:sz="0" w:space="0" w:color="auto"/>
      </w:divBdr>
    </w:div>
    <w:div w:id="1225524160">
      <w:bodyDiv w:val="1"/>
      <w:marLeft w:val="0"/>
      <w:marRight w:val="0"/>
      <w:marTop w:val="0"/>
      <w:marBottom w:val="0"/>
      <w:divBdr>
        <w:top w:val="none" w:sz="0" w:space="0" w:color="auto"/>
        <w:left w:val="none" w:sz="0" w:space="0" w:color="auto"/>
        <w:bottom w:val="none" w:sz="0" w:space="0" w:color="auto"/>
        <w:right w:val="none" w:sz="0" w:space="0" w:color="auto"/>
      </w:divBdr>
    </w:div>
    <w:div w:id="1277564277">
      <w:bodyDiv w:val="1"/>
      <w:marLeft w:val="0"/>
      <w:marRight w:val="0"/>
      <w:marTop w:val="0"/>
      <w:marBottom w:val="0"/>
      <w:divBdr>
        <w:top w:val="none" w:sz="0" w:space="0" w:color="auto"/>
        <w:left w:val="none" w:sz="0" w:space="0" w:color="auto"/>
        <w:bottom w:val="none" w:sz="0" w:space="0" w:color="auto"/>
        <w:right w:val="none" w:sz="0" w:space="0" w:color="auto"/>
      </w:divBdr>
    </w:div>
    <w:div w:id="1367873379">
      <w:bodyDiv w:val="1"/>
      <w:marLeft w:val="0"/>
      <w:marRight w:val="0"/>
      <w:marTop w:val="0"/>
      <w:marBottom w:val="0"/>
      <w:divBdr>
        <w:top w:val="none" w:sz="0" w:space="0" w:color="auto"/>
        <w:left w:val="none" w:sz="0" w:space="0" w:color="auto"/>
        <w:bottom w:val="none" w:sz="0" w:space="0" w:color="auto"/>
        <w:right w:val="none" w:sz="0" w:space="0" w:color="auto"/>
      </w:divBdr>
    </w:div>
    <w:div w:id="1429614223">
      <w:bodyDiv w:val="1"/>
      <w:marLeft w:val="0"/>
      <w:marRight w:val="0"/>
      <w:marTop w:val="0"/>
      <w:marBottom w:val="0"/>
      <w:divBdr>
        <w:top w:val="none" w:sz="0" w:space="0" w:color="auto"/>
        <w:left w:val="none" w:sz="0" w:space="0" w:color="auto"/>
        <w:bottom w:val="none" w:sz="0" w:space="0" w:color="auto"/>
        <w:right w:val="none" w:sz="0" w:space="0" w:color="auto"/>
      </w:divBdr>
    </w:div>
    <w:div w:id="1456631641">
      <w:bodyDiv w:val="1"/>
      <w:marLeft w:val="0"/>
      <w:marRight w:val="0"/>
      <w:marTop w:val="0"/>
      <w:marBottom w:val="0"/>
      <w:divBdr>
        <w:top w:val="none" w:sz="0" w:space="0" w:color="auto"/>
        <w:left w:val="none" w:sz="0" w:space="0" w:color="auto"/>
        <w:bottom w:val="none" w:sz="0" w:space="0" w:color="auto"/>
        <w:right w:val="none" w:sz="0" w:space="0" w:color="auto"/>
      </w:divBdr>
    </w:div>
    <w:div w:id="1738631158">
      <w:bodyDiv w:val="1"/>
      <w:marLeft w:val="0"/>
      <w:marRight w:val="0"/>
      <w:marTop w:val="0"/>
      <w:marBottom w:val="0"/>
      <w:divBdr>
        <w:top w:val="none" w:sz="0" w:space="0" w:color="auto"/>
        <w:left w:val="none" w:sz="0" w:space="0" w:color="auto"/>
        <w:bottom w:val="none" w:sz="0" w:space="0" w:color="auto"/>
        <w:right w:val="none" w:sz="0" w:space="0" w:color="auto"/>
      </w:divBdr>
    </w:div>
    <w:div w:id="1743023422">
      <w:bodyDiv w:val="1"/>
      <w:marLeft w:val="0"/>
      <w:marRight w:val="0"/>
      <w:marTop w:val="0"/>
      <w:marBottom w:val="0"/>
      <w:divBdr>
        <w:top w:val="none" w:sz="0" w:space="0" w:color="auto"/>
        <w:left w:val="none" w:sz="0" w:space="0" w:color="auto"/>
        <w:bottom w:val="none" w:sz="0" w:space="0" w:color="auto"/>
        <w:right w:val="none" w:sz="0" w:space="0" w:color="auto"/>
      </w:divBdr>
    </w:div>
    <w:div w:id="1798183540">
      <w:bodyDiv w:val="1"/>
      <w:marLeft w:val="0"/>
      <w:marRight w:val="0"/>
      <w:marTop w:val="0"/>
      <w:marBottom w:val="0"/>
      <w:divBdr>
        <w:top w:val="none" w:sz="0" w:space="0" w:color="auto"/>
        <w:left w:val="none" w:sz="0" w:space="0" w:color="auto"/>
        <w:bottom w:val="none" w:sz="0" w:space="0" w:color="auto"/>
        <w:right w:val="none" w:sz="0" w:space="0" w:color="auto"/>
      </w:divBdr>
      <w:divsChild>
        <w:div w:id="408158981">
          <w:marLeft w:val="0"/>
          <w:marRight w:val="0"/>
          <w:marTop w:val="0"/>
          <w:marBottom w:val="0"/>
          <w:divBdr>
            <w:top w:val="none" w:sz="0" w:space="0" w:color="auto"/>
            <w:left w:val="none" w:sz="0" w:space="0" w:color="auto"/>
            <w:bottom w:val="none" w:sz="0" w:space="0" w:color="auto"/>
            <w:right w:val="none" w:sz="0" w:space="0" w:color="auto"/>
          </w:divBdr>
        </w:div>
        <w:div w:id="1600601018">
          <w:marLeft w:val="0"/>
          <w:marRight w:val="0"/>
          <w:marTop w:val="0"/>
          <w:marBottom w:val="0"/>
          <w:divBdr>
            <w:top w:val="none" w:sz="0" w:space="0" w:color="auto"/>
            <w:left w:val="none" w:sz="0" w:space="0" w:color="auto"/>
            <w:bottom w:val="none" w:sz="0" w:space="0" w:color="auto"/>
            <w:right w:val="none" w:sz="0" w:space="0" w:color="auto"/>
          </w:divBdr>
        </w:div>
        <w:div w:id="1698891052">
          <w:marLeft w:val="0"/>
          <w:marRight w:val="0"/>
          <w:marTop w:val="0"/>
          <w:marBottom w:val="0"/>
          <w:divBdr>
            <w:top w:val="none" w:sz="0" w:space="0" w:color="auto"/>
            <w:left w:val="none" w:sz="0" w:space="0" w:color="auto"/>
            <w:bottom w:val="none" w:sz="0" w:space="0" w:color="auto"/>
            <w:right w:val="none" w:sz="0" w:space="0" w:color="auto"/>
          </w:divBdr>
        </w:div>
        <w:div w:id="2002930170">
          <w:marLeft w:val="0"/>
          <w:marRight w:val="0"/>
          <w:marTop w:val="0"/>
          <w:marBottom w:val="0"/>
          <w:divBdr>
            <w:top w:val="none" w:sz="0" w:space="0" w:color="auto"/>
            <w:left w:val="none" w:sz="0" w:space="0" w:color="auto"/>
            <w:bottom w:val="none" w:sz="0" w:space="0" w:color="auto"/>
            <w:right w:val="none" w:sz="0" w:space="0" w:color="auto"/>
          </w:divBdr>
        </w:div>
      </w:divsChild>
    </w:div>
    <w:div w:id="1932198397">
      <w:bodyDiv w:val="1"/>
      <w:marLeft w:val="0"/>
      <w:marRight w:val="0"/>
      <w:marTop w:val="0"/>
      <w:marBottom w:val="0"/>
      <w:divBdr>
        <w:top w:val="none" w:sz="0" w:space="0" w:color="auto"/>
        <w:left w:val="none" w:sz="0" w:space="0" w:color="auto"/>
        <w:bottom w:val="none" w:sz="0" w:space="0" w:color="auto"/>
        <w:right w:val="none" w:sz="0" w:space="0" w:color="auto"/>
      </w:divBdr>
    </w:div>
    <w:div w:id="1977640142">
      <w:bodyDiv w:val="1"/>
      <w:marLeft w:val="0"/>
      <w:marRight w:val="0"/>
      <w:marTop w:val="0"/>
      <w:marBottom w:val="0"/>
      <w:divBdr>
        <w:top w:val="none" w:sz="0" w:space="0" w:color="auto"/>
        <w:left w:val="none" w:sz="0" w:space="0" w:color="auto"/>
        <w:bottom w:val="none" w:sz="0" w:space="0" w:color="auto"/>
        <w:right w:val="none" w:sz="0" w:space="0" w:color="auto"/>
      </w:divBdr>
      <w:divsChild>
        <w:div w:id="709644162">
          <w:marLeft w:val="0"/>
          <w:marRight w:val="0"/>
          <w:marTop w:val="0"/>
          <w:marBottom w:val="0"/>
          <w:divBdr>
            <w:top w:val="none" w:sz="0" w:space="0" w:color="auto"/>
            <w:left w:val="none" w:sz="0" w:space="0" w:color="auto"/>
            <w:bottom w:val="none" w:sz="0" w:space="0" w:color="auto"/>
            <w:right w:val="none" w:sz="0" w:space="0" w:color="auto"/>
          </w:divBdr>
        </w:div>
        <w:div w:id="1162937723">
          <w:marLeft w:val="0"/>
          <w:marRight w:val="0"/>
          <w:marTop w:val="0"/>
          <w:marBottom w:val="0"/>
          <w:divBdr>
            <w:top w:val="none" w:sz="0" w:space="0" w:color="auto"/>
            <w:left w:val="none" w:sz="0" w:space="0" w:color="auto"/>
            <w:bottom w:val="none" w:sz="0" w:space="0" w:color="auto"/>
            <w:right w:val="none" w:sz="0" w:space="0" w:color="auto"/>
          </w:divBdr>
        </w:div>
        <w:div w:id="1163593441">
          <w:marLeft w:val="0"/>
          <w:marRight w:val="0"/>
          <w:marTop w:val="0"/>
          <w:marBottom w:val="0"/>
          <w:divBdr>
            <w:top w:val="none" w:sz="0" w:space="0" w:color="auto"/>
            <w:left w:val="none" w:sz="0" w:space="0" w:color="auto"/>
            <w:bottom w:val="none" w:sz="0" w:space="0" w:color="auto"/>
            <w:right w:val="none" w:sz="0" w:space="0" w:color="auto"/>
          </w:divBdr>
        </w:div>
        <w:div w:id="1259948859">
          <w:marLeft w:val="0"/>
          <w:marRight w:val="0"/>
          <w:marTop w:val="0"/>
          <w:marBottom w:val="0"/>
          <w:divBdr>
            <w:top w:val="none" w:sz="0" w:space="0" w:color="auto"/>
            <w:left w:val="none" w:sz="0" w:space="0" w:color="auto"/>
            <w:bottom w:val="none" w:sz="0" w:space="0" w:color="auto"/>
            <w:right w:val="none" w:sz="0" w:space="0" w:color="auto"/>
          </w:divBdr>
        </w:div>
      </w:divsChild>
    </w:div>
    <w:div w:id="211990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chart" Target="charts/chart10.xml"/><Relationship Id="rId42" Type="http://schemas.openxmlformats.org/officeDocument/2006/relationships/chart" Target="charts/chart13.xml"/><Relationship Id="rId47" Type="http://schemas.openxmlformats.org/officeDocument/2006/relationships/image" Target="media/image21.emf"/><Relationship Id="rId63" Type="http://schemas.openxmlformats.org/officeDocument/2006/relationships/chart" Target="charts/chart32.xml"/><Relationship Id="rId68" Type="http://schemas.openxmlformats.org/officeDocument/2006/relationships/image" Target="media/image25.emf"/><Relationship Id="rId84" Type="http://schemas.openxmlformats.org/officeDocument/2006/relationships/theme" Target="theme/theme1.xml"/><Relationship Id="rId16" Type="http://schemas.openxmlformats.org/officeDocument/2006/relationships/chart" Target="charts/chart5.xml"/><Relationship Id="rId11" Type="http://schemas.openxmlformats.org/officeDocument/2006/relationships/chart" Target="charts/chart1.xml"/><Relationship Id="rId32" Type="http://schemas.openxmlformats.org/officeDocument/2006/relationships/image" Target="media/image12.png"/><Relationship Id="rId37" Type="http://schemas.openxmlformats.org/officeDocument/2006/relationships/image" Target="media/image17.png"/><Relationship Id="rId53" Type="http://schemas.openxmlformats.org/officeDocument/2006/relationships/chart" Target="charts/chart23.xml"/><Relationship Id="rId58" Type="http://schemas.openxmlformats.org/officeDocument/2006/relationships/chart" Target="charts/chart28.xml"/><Relationship Id="rId74" Type="http://schemas.openxmlformats.org/officeDocument/2006/relationships/image" Target="media/image31.emf"/><Relationship Id="rId79" Type="http://schemas.openxmlformats.org/officeDocument/2006/relationships/image" Target="media/image36.png"/><Relationship Id="rId5" Type="http://schemas.openxmlformats.org/officeDocument/2006/relationships/webSettings" Target="webSettings.xml"/><Relationship Id="rId61" Type="http://schemas.openxmlformats.org/officeDocument/2006/relationships/chart" Target="charts/chart30.xml"/><Relationship Id="rId82" Type="http://schemas.openxmlformats.org/officeDocument/2006/relationships/header" Target="header2.xml"/><Relationship Id="rId19" Type="http://schemas.openxmlformats.org/officeDocument/2006/relationships/chart" Target="charts/chart8.xml"/><Relationship Id="rId14" Type="http://schemas.openxmlformats.org/officeDocument/2006/relationships/chart" Target="charts/chart4.xml"/><Relationship Id="rId22" Type="http://schemas.openxmlformats.org/officeDocument/2006/relationships/chart" Target="charts/chart11.xm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chart" Target="charts/chart14.xml"/><Relationship Id="rId48" Type="http://schemas.openxmlformats.org/officeDocument/2006/relationships/chart" Target="charts/chart18.xml"/><Relationship Id="rId56" Type="http://schemas.openxmlformats.org/officeDocument/2006/relationships/chart" Target="charts/chart26.xml"/><Relationship Id="rId64" Type="http://schemas.openxmlformats.org/officeDocument/2006/relationships/chart" Target="charts/chart33.xml"/><Relationship Id="rId69" Type="http://schemas.openxmlformats.org/officeDocument/2006/relationships/image" Target="media/image26.emf"/><Relationship Id="rId77" Type="http://schemas.openxmlformats.org/officeDocument/2006/relationships/image" Target="media/image34.emf"/><Relationship Id="rId8" Type="http://schemas.openxmlformats.org/officeDocument/2006/relationships/image" Target="media/image1.png"/><Relationship Id="rId51" Type="http://schemas.openxmlformats.org/officeDocument/2006/relationships/chart" Target="charts/chart21.xml"/><Relationship Id="rId72" Type="http://schemas.openxmlformats.org/officeDocument/2006/relationships/image" Target="media/image29.emf"/><Relationship Id="rId80"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chart" Target="charts/chart17.xml"/><Relationship Id="rId59" Type="http://schemas.openxmlformats.org/officeDocument/2006/relationships/chart" Target="charts/chart29.xml"/><Relationship Id="rId67" Type="http://schemas.openxmlformats.org/officeDocument/2006/relationships/image" Target="media/image24.emf"/><Relationship Id="rId20" Type="http://schemas.openxmlformats.org/officeDocument/2006/relationships/chart" Target="charts/chart9.xml"/><Relationship Id="rId41" Type="http://schemas.openxmlformats.org/officeDocument/2006/relationships/chart" Target="charts/chart12.xml"/><Relationship Id="rId54" Type="http://schemas.openxmlformats.org/officeDocument/2006/relationships/chart" Target="charts/chart24.xml"/><Relationship Id="rId62" Type="http://schemas.openxmlformats.org/officeDocument/2006/relationships/chart" Target="charts/chart31.xml"/><Relationship Id="rId70" Type="http://schemas.openxmlformats.org/officeDocument/2006/relationships/image" Target="media/image27.emf"/><Relationship Id="rId75" Type="http://schemas.openxmlformats.org/officeDocument/2006/relationships/image" Target="media/image32.e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3.emf"/><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chart" Target="charts/chart19.xml"/><Relationship Id="rId57" Type="http://schemas.openxmlformats.org/officeDocument/2006/relationships/chart" Target="charts/chart27.xml"/><Relationship Id="rId10" Type="http://schemas.openxmlformats.org/officeDocument/2006/relationships/footer" Target="footer2.xml"/><Relationship Id="rId31" Type="http://schemas.openxmlformats.org/officeDocument/2006/relationships/image" Target="media/image11.png"/><Relationship Id="rId44" Type="http://schemas.openxmlformats.org/officeDocument/2006/relationships/chart" Target="charts/chart15.xml"/><Relationship Id="rId52" Type="http://schemas.openxmlformats.org/officeDocument/2006/relationships/chart" Target="charts/chart22.xml"/><Relationship Id="rId60" Type="http://schemas.openxmlformats.org/officeDocument/2006/relationships/image" Target="media/image22.png"/><Relationship Id="rId65" Type="http://schemas.openxmlformats.org/officeDocument/2006/relationships/chart" Target="charts/chart34.xml"/><Relationship Id="rId73" Type="http://schemas.openxmlformats.org/officeDocument/2006/relationships/image" Target="media/image30.emf"/><Relationship Id="rId78" Type="http://schemas.openxmlformats.org/officeDocument/2006/relationships/image" Target="media/image35.emf"/><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chart" Target="charts/chart3.xml"/><Relationship Id="rId18" Type="http://schemas.openxmlformats.org/officeDocument/2006/relationships/chart" Target="charts/chart7.xml"/><Relationship Id="rId39" Type="http://schemas.openxmlformats.org/officeDocument/2006/relationships/image" Target="media/image19.png"/><Relationship Id="rId34" Type="http://schemas.openxmlformats.org/officeDocument/2006/relationships/image" Target="media/image14.png"/><Relationship Id="rId50" Type="http://schemas.openxmlformats.org/officeDocument/2006/relationships/chart" Target="charts/chart20.xml"/><Relationship Id="rId55" Type="http://schemas.openxmlformats.org/officeDocument/2006/relationships/chart" Target="charts/chart25.xml"/><Relationship Id="rId76" Type="http://schemas.openxmlformats.org/officeDocument/2006/relationships/image" Target="media/image33.emf"/><Relationship Id="rId7" Type="http://schemas.openxmlformats.org/officeDocument/2006/relationships/endnotes" Target="endnotes.xml"/><Relationship Id="rId71" Type="http://schemas.openxmlformats.org/officeDocument/2006/relationships/image" Target="media/image28.emf"/><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image" Target="media/image4.emf"/><Relationship Id="rId40" Type="http://schemas.openxmlformats.org/officeDocument/2006/relationships/image" Target="media/image20.png"/><Relationship Id="rId45" Type="http://schemas.openxmlformats.org/officeDocument/2006/relationships/chart" Target="charts/chart16.xml"/><Relationship Id="rId66" Type="http://schemas.openxmlformats.org/officeDocument/2006/relationships/image" Target="media/image23.emf"/></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ardita.xhyheri\Desktop\Ardita%20Xhyheri\Desktop\djathtas\2023\Rap%20mes%20vitit%202023\analiza%20rap%205m%202023.xlsx" TargetMode="External"/><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1" Type="http://schemas.openxmlformats.org/officeDocument/2006/relationships/oleObject" Target="file:///C:\Users\ardita.xhyheri\Desktop\Ardita%20Xhyheri\Desktop\djathtas\2023\Rap%20mes%20vitit%202023\analiza%20rap%205m%202023.xlsx" TargetMode="External"/></Relationships>
</file>

<file path=word/charts/_rels/chart14.xml.rels><?xml version="1.0" encoding="UTF-8" standalone="yes"?>
<Relationships xmlns="http://schemas.openxmlformats.org/package/2006/relationships"><Relationship Id="rId2" Type="http://schemas.openxmlformats.org/officeDocument/2006/relationships/oleObject" Target="file:///C:\Users\ardita.xhyheri\Desktop\Ardita%20Xhyheri\Desktop\djathtas\2023\Rap%20mes%20vitit%202023\analiza%20rap%205m%202023.xlsx" TargetMode="External"/><Relationship Id="rId1" Type="http://schemas.openxmlformats.org/officeDocument/2006/relationships/themeOverride" Target="../theme/themeOverride11.xml"/></Relationships>
</file>

<file path=word/charts/_rels/chart15.xml.rels><?xml version="1.0" encoding="UTF-8" standalone="yes"?>
<Relationships xmlns="http://schemas.openxmlformats.org/package/2006/relationships"><Relationship Id="rId2" Type="http://schemas.openxmlformats.org/officeDocument/2006/relationships/oleObject" Target="file:///C:\Users\ardita.xhyheri\Desktop\Ardita%20Xhyheri\Desktop\djathtas\2023\Rap%20mes%20vitit%202023\analiza%20rap%205m%202023.xlsx" TargetMode="External"/><Relationship Id="rId1" Type="http://schemas.openxmlformats.org/officeDocument/2006/relationships/themeOverride" Target="../theme/themeOverride12.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ardita.xhyheri\Desktop\Ardita%20Xhyheri\Desktop\djathtas\2023\Rap%20mes%20vitit%202023\analiza%20rap%205m%202023.xlsx" TargetMode="External"/><Relationship Id="rId1" Type="http://schemas.openxmlformats.org/officeDocument/2006/relationships/themeOverride" Target="../theme/themeOverride13.xml"/></Relationships>
</file>

<file path=word/charts/_rels/chart17.xml.rels><?xml version="1.0" encoding="UTF-8" standalone="yes"?>
<Relationships xmlns="http://schemas.openxmlformats.org/package/2006/relationships"><Relationship Id="rId1" Type="http://schemas.openxmlformats.org/officeDocument/2006/relationships/oleObject" Target="file:///C:\Users\ardita.xhyheri\Desktop\Ardita%20Xhyheri\Desktop\djathtas\2023\Rap%20mes%20vitit%202023\analiza%20rap%205m%202023.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9.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11.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12.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3.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4.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5.xlsx"/></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16.xlsx"/></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7.xlsx"/></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8.xlsx"/></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9.xlsx"/></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20.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32.xml.rels><?xml version="1.0" encoding="UTF-8" standalone="yes"?>
<Relationships xmlns="http://schemas.openxmlformats.org/package/2006/relationships"><Relationship Id="rId2" Type="http://schemas.openxmlformats.org/officeDocument/2006/relationships/package" Target="../embeddings/Microsoft_Excel_Worksheet23.xlsx"/><Relationship Id="rId1" Type="http://schemas.openxmlformats.org/officeDocument/2006/relationships/themeOverride" Target="../theme/themeOverride26.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24.xlsx"/><Relationship Id="rId1" Type="http://schemas.openxmlformats.org/officeDocument/2006/relationships/themeOverride" Target="../theme/themeOverride27.xm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25.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271817221268563E-2"/>
          <c:y val="0.11408815903197926"/>
          <c:w val="0.90889144740846251"/>
          <c:h val="0.7266261509878249"/>
        </c:manualLayout>
      </c:layout>
      <c:barChart>
        <c:barDir val="col"/>
        <c:grouping val="stacked"/>
        <c:varyColors val="0"/>
        <c:ser>
          <c:idx val="0"/>
          <c:order val="0"/>
          <c:tx>
            <c:strRef>
              <c:f>'[Chart in Microsoft Word]Tatimet+Doganat'!$B$3</c:f>
              <c:strCache>
                <c:ptCount val="1"/>
                <c:pt idx="0">
                  <c:v>Realizimi Total</c:v>
                </c:pt>
              </c:strCache>
            </c:strRef>
          </c:tx>
          <c:spPr>
            <a:solidFill>
              <a:schemeClr val="bg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ED40-4115-84D5-4203B18CDC27}"/>
              </c:ext>
            </c:extLst>
          </c:dPt>
          <c:dPt>
            <c:idx val="10"/>
            <c:invertIfNegative val="0"/>
            <c:bubble3D val="0"/>
            <c:spPr>
              <a:solidFill>
                <a:schemeClr val="accent4">
                  <a:lumMod val="75000"/>
                </a:schemeClr>
              </a:solidFill>
              <a:ln>
                <a:noFill/>
              </a:ln>
              <a:effectLst/>
            </c:spPr>
            <c:extLst>
              <c:ext xmlns:c16="http://schemas.microsoft.com/office/drawing/2014/chart" uri="{C3380CC4-5D6E-409C-BE32-E72D297353CC}">
                <c16:uniqueId val="{00000003-ED40-4115-84D5-4203B18CDC27}"/>
              </c:ext>
            </c:extLst>
          </c:dPt>
          <c:dPt>
            <c:idx val="11"/>
            <c:invertIfNegative val="0"/>
            <c:bubble3D val="0"/>
            <c:spPr>
              <a:solidFill>
                <a:schemeClr val="accent6"/>
              </a:solidFill>
              <a:ln>
                <a:noFill/>
              </a:ln>
              <a:effectLst/>
            </c:spPr>
            <c:extLst>
              <c:ext xmlns:c16="http://schemas.microsoft.com/office/drawing/2014/chart" uri="{C3380CC4-5D6E-409C-BE32-E72D297353CC}">
                <c16:uniqueId val="{00000005-ED40-4115-84D5-4203B18CDC27}"/>
              </c:ext>
            </c:extLst>
          </c:dPt>
          <c:dLbls>
            <c:dLbl>
              <c:idx val="0"/>
              <c:layout>
                <c:manualLayout>
                  <c:x val="2.0768431983385254E-3"/>
                  <c:y val="-0.239699501847983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D40-4115-84D5-4203B18CDC27}"/>
                </c:ext>
              </c:extLst>
            </c:dLbl>
            <c:dLbl>
              <c:idx val="1"/>
              <c:delete val="1"/>
              <c:extLst>
                <c:ext xmlns:c15="http://schemas.microsoft.com/office/drawing/2012/chart" uri="{CE6537A1-D6FC-4f65-9D91-7224C49458BB}"/>
                <c:ext xmlns:c16="http://schemas.microsoft.com/office/drawing/2014/chart" uri="{C3380CC4-5D6E-409C-BE32-E72D297353CC}">
                  <c16:uniqueId val="{00000007-BAA5-477C-813D-47B92B15C442}"/>
                </c:ext>
              </c:extLst>
            </c:dLbl>
            <c:dLbl>
              <c:idx val="2"/>
              <c:delete val="1"/>
              <c:extLst>
                <c:ext xmlns:c15="http://schemas.microsoft.com/office/drawing/2012/chart" uri="{CE6537A1-D6FC-4f65-9D91-7224C49458BB}"/>
                <c:ext xmlns:c16="http://schemas.microsoft.com/office/drawing/2014/chart" uri="{C3380CC4-5D6E-409C-BE32-E72D297353CC}">
                  <c16:uniqueId val="{00000008-BAA5-477C-813D-47B92B15C442}"/>
                </c:ext>
              </c:extLst>
            </c:dLbl>
            <c:dLbl>
              <c:idx val="3"/>
              <c:delete val="1"/>
              <c:extLst>
                <c:ext xmlns:c15="http://schemas.microsoft.com/office/drawing/2012/chart" uri="{CE6537A1-D6FC-4f65-9D91-7224C49458BB}"/>
                <c:ext xmlns:c16="http://schemas.microsoft.com/office/drawing/2014/chart" uri="{C3380CC4-5D6E-409C-BE32-E72D297353CC}">
                  <c16:uniqueId val="{00000009-BAA5-477C-813D-47B92B15C442}"/>
                </c:ext>
              </c:extLst>
            </c:dLbl>
            <c:dLbl>
              <c:idx val="4"/>
              <c:delete val="1"/>
              <c:extLst>
                <c:ext xmlns:c15="http://schemas.microsoft.com/office/drawing/2012/chart" uri="{CE6537A1-D6FC-4f65-9D91-7224C49458BB}"/>
                <c:ext xmlns:c16="http://schemas.microsoft.com/office/drawing/2014/chart" uri="{C3380CC4-5D6E-409C-BE32-E72D297353CC}">
                  <c16:uniqueId val="{0000000A-BAA5-477C-813D-47B92B15C442}"/>
                </c:ext>
              </c:extLst>
            </c:dLbl>
            <c:dLbl>
              <c:idx val="5"/>
              <c:delete val="1"/>
              <c:extLst>
                <c:ext xmlns:c15="http://schemas.microsoft.com/office/drawing/2012/chart" uri="{CE6537A1-D6FC-4f65-9D91-7224C49458BB}"/>
                <c:ext xmlns:c16="http://schemas.microsoft.com/office/drawing/2014/chart" uri="{C3380CC4-5D6E-409C-BE32-E72D297353CC}">
                  <c16:uniqueId val="{0000000B-BAA5-477C-813D-47B92B15C442}"/>
                </c:ext>
              </c:extLst>
            </c:dLbl>
            <c:dLbl>
              <c:idx val="6"/>
              <c:delete val="1"/>
              <c:extLst>
                <c:ext xmlns:c15="http://schemas.microsoft.com/office/drawing/2012/chart" uri="{CE6537A1-D6FC-4f65-9D91-7224C49458BB}"/>
                <c:ext xmlns:c16="http://schemas.microsoft.com/office/drawing/2014/chart" uri="{C3380CC4-5D6E-409C-BE32-E72D297353CC}">
                  <c16:uniqueId val="{0000000C-BAA5-477C-813D-47B92B15C442}"/>
                </c:ext>
              </c:extLst>
            </c:dLbl>
            <c:dLbl>
              <c:idx val="7"/>
              <c:delete val="1"/>
              <c:extLst>
                <c:ext xmlns:c15="http://schemas.microsoft.com/office/drawing/2012/chart" uri="{CE6537A1-D6FC-4f65-9D91-7224C49458BB}"/>
                <c:ext xmlns:c16="http://schemas.microsoft.com/office/drawing/2014/chart" uri="{C3380CC4-5D6E-409C-BE32-E72D297353CC}">
                  <c16:uniqueId val="{0000000D-BAA5-477C-813D-47B92B15C442}"/>
                </c:ext>
              </c:extLst>
            </c:dLbl>
            <c:dLbl>
              <c:idx val="8"/>
              <c:delete val="1"/>
              <c:extLst>
                <c:ext xmlns:c15="http://schemas.microsoft.com/office/drawing/2012/chart" uri="{CE6537A1-D6FC-4f65-9D91-7224C49458BB}"/>
                <c:ext xmlns:c16="http://schemas.microsoft.com/office/drawing/2014/chart" uri="{C3380CC4-5D6E-409C-BE32-E72D297353CC}">
                  <c16:uniqueId val="{0000000E-BAA5-477C-813D-47B92B15C442}"/>
                </c:ext>
              </c:extLst>
            </c:dLbl>
            <c:dLbl>
              <c:idx val="9"/>
              <c:delete val="1"/>
              <c:extLst>
                <c:ext xmlns:c15="http://schemas.microsoft.com/office/drawing/2012/chart" uri="{CE6537A1-D6FC-4f65-9D91-7224C49458BB}"/>
                <c:ext xmlns:c16="http://schemas.microsoft.com/office/drawing/2014/chart" uri="{C3380CC4-5D6E-409C-BE32-E72D297353CC}">
                  <c16:uniqueId val="{0000000F-BAA5-477C-813D-47B92B15C442}"/>
                </c:ext>
              </c:extLst>
            </c:dLbl>
            <c:dLbl>
              <c:idx val="10"/>
              <c:layout>
                <c:manualLayout>
                  <c:x val="-1.1224360582074727E-16"/>
                  <c:y val="-0.361683079677708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D40-4115-84D5-4203B18CDC27}"/>
                </c:ext>
              </c:extLst>
            </c:dLbl>
            <c:dLbl>
              <c:idx val="11"/>
              <c:layout>
                <c:manualLayout>
                  <c:x val="1.5306123063879766E-3"/>
                  <c:y val="-0.322291853178155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D40-4115-84D5-4203B18CDC2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'[Chart in Microsoft Word]Tatimet+Doganat'!$A$4:$A$15</c:f>
              <c:strCache>
                <c:ptCount val="12"/>
                <c:pt idx="0">
                  <c:v>Fakt 2021</c:v>
                </c:pt>
                <c:pt idx="1">
                  <c:v>TVSH import</c:v>
                </c:pt>
                <c:pt idx="2">
                  <c:v>TVSH Neto</c:v>
                </c:pt>
                <c:pt idx="3">
                  <c:v>Tatim Fitimi</c:v>
                </c:pt>
                <c:pt idx="4">
                  <c:v>Akciza</c:v>
                </c:pt>
                <c:pt idx="5">
                  <c:v>TAP</c:v>
                </c:pt>
                <c:pt idx="6">
                  <c:v>T. Nacionale</c:v>
                </c:pt>
                <c:pt idx="7">
                  <c:v>R. Minerare</c:v>
                </c:pt>
                <c:pt idx="8">
                  <c:v>T. Doganore</c:v>
                </c:pt>
                <c:pt idx="9">
                  <c:v>Kontributet </c:v>
                </c:pt>
                <c:pt idx="10">
                  <c:v>Fakt 2022</c:v>
                </c:pt>
                <c:pt idx="11">
                  <c:v>Plan 2022</c:v>
                </c:pt>
              </c:strCache>
            </c:strRef>
          </c:cat>
          <c:val>
            <c:numRef>
              <c:f>'[Chart in Microsoft Word]Tatimet+Doganat'!$B$4:$B$15</c:f>
              <c:numCache>
                <c:formatCode>_(* #,##0_);_(* \(#,##0\);_(* "-"??_);_(@_)</c:formatCode>
                <c:ptCount val="12"/>
                <c:pt idx="0">
                  <c:v>166624</c:v>
                </c:pt>
                <c:pt idx="1">
                  <c:v>180137</c:v>
                </c:pt>
                <c:pt idx="2">
                  <c:v>187331</c:v>
                </c:pt>
                <c:pt idx="3">
                  <c:v>192962</c:v>
                </c:pt>
                <c:pt idx="4">
                  <c:v>194145</c:v>
                </c:pt>
                <c:pt idx="5">
                  <c:v>196405</c:v>
                </c:pt>
                <c:pt idx="6">
                  <c:v>198994</c:v>
                </c:pt>
                <c:pt idx="7">
                  <c:v>199825</c:v>
                </c:pt>
                <c:pt idx="8">
                  <c:v>200278</c:v>
                </c:pt>
                <c:pt idx="9">
                  <c:v>204714</c:v>
                </c:pt>
                <c:pt idx="10">
                  <c:v>204714</c:v>
                </c:pt>
                <c:pt idx="11">
                  <c:v>192378</c:v>
                </c:pt>
              </c:numCache>
            </c:numRef>
          </c:val>
          <c:extLst>
            <c:ext xmlns:c16="http://schemas.microsoft.com/office/drawing/2014/chart" uri="{C3380CC4-5D6E-409C-BE32-E72D297353CC}">
              <c16:uniqueId val="{00000006-ED40-4115-84D5-4203B18CDC27}"/>
            </c:ext>
          </c:extLst>
        </c:ser>
        <c:ser>
          <c:idx val="1"/>
          <c:order val="1"/>
          <c:tx>
            <c:strRef>
              <c:f>'[Chart in Microsoft Word]Tatimet+Doganat'!$C$3</c:f>
              <c:strCache>
                <c:ptCount val="1"/>
                <c:pt idx="0">
                  <c:v>Rënie</c:v>
                </c:pt>
              </c:strCache>
            </c:strRef>
          </c:tx>
          <c:spPr>
            <a:solidFill>
              <a:srgbClr val="C00000"/>
            </a:solidFill>
            <a:ln>
              <a:noFill/>
            </a:ln>
            <a:effectLst/>
          </c:spPr>
          <c:invertIfNegative val="0"/>
          <c:cat>
            <c:strRef>
              <c:f>'[Chart in Microsoft Word]Tatimet+Doganat'!$A$4:$A$15</c:f>
              <c:strCache>
                <c:ptCount val="12"/>
                <c:pt idx="0">
                  <c:v>Fakt 2021</c:v>
                </c:pt>
                <c:pt idx="1">
                  <c:v>TVSH import</c:v>
                </c:pt>
                <c:pt idx="2">
                  <c:v>TVSH Neto</c:v>
                </c:pt>
                <c:pt idx="3">
                  <c:v>Tatim Fitimi</c:v>
                </c:pt>
                <c:pt idx="4">
                  <c:v>Akciza</c:v>
                </c:pt>
                <c:pt idx="5">
                  <c:v>TAP</c:v>
                </c:pt>
                <c:pt idx="6">
                  <c:v>T. Nacionale</c:v>
                </c:pt>
                <c:pt idx="7">
                  <c:v>R. Minerare</c:v>
                </c:pt>
                <c:pt idx="8">
                  <c:v>T. Doganore</c:v>
                </c:pt>
                <c:pt idx="9">
                  <c:v>Kontributet </c:v>
                </c:pt>
                <c:pt idx="10">
                  <c:v>Fakt 2022</c:v>
                </c:pt>
                <c:pt idx="11">
                  <c:v>Plan 2022</c:v>
                </c:pt>
              </c:strCache>
            </c:strRef>
          </c:cat>
          <c:val>
            <c:numRef>
              <c:f>'[Chart in Microsoft Word]Tatimet+Doganat'!$C$4:$C$15</c:f>
              <c:numCache>
                <c:formatCode>_(* #,##0_);_(* \(#,##0\);_(* "-"??_);_(@_)</c:formatCode>
                <c:ptCount val="12"/>
                <c:pt idx="1">
                  <c:v>0</c:v>
                </c:pt>
                <c:pt idx="2">
                  <c:v>0</c:v>
                </c:pt>
                <c:pt idx="3">
                  <c:v>0</c:v>
                </c:pt>
                <c:pt idx="4">
                  <c:v>0</c:v>
                </c:pt>
                <c:pt idx="5">
                  <c:v>0</c:v>
                </c:pt>
                <c:pt idx="6">
                  <c:v>0</c:v>
                </c:pt>
                <c:pt idx="7">
                  <c:v>0</c:v>
                </c:pt>
                <c:pt idx="8">
                  <c:v>0</c:v>
                </c:pt>
                <c:pt idx="9">
                  <c:v>0</c:v>
                </c:pt>
              </c:numCache>
            </c:numRef>
          </c:val>
          <c:extLst>
            <c:ext xmlns:c16="http://schemas.microsoft.com/office/drawing/2014/chart" uri="{C3380CC4-5D6E-409C-BE32-E72D297353CC}">
              <c16:uniqueId val="{00000007-ED40-4115-84D5-4203B18CDC27}"/>
            </c:ext>
          </c:extLst>
        </c:ser>
        <c:ser>
          <c:idx val="2"/>
          <c:order val="2"/>
          <c:tx>
            <c:strRef>
              <c:f>'[Chart in Microsoft Word]Tatimet+Doganat'!$D$3</c:f>
              <c:strCache>
                <c:ptCount val="1"/>
                <c:pt idx="0">
                  <c:v>Rritje</c:v>
                </c:pt>
              </c:strCache>
            </c:strRef>
          </c:tx>
          <c:spPr>
            <a:solidFill>
              <a:srgbClr val="002060"/>
            </a:solidFill>
            <a:ln>
              <a:noFill/>
            </a:ln>
            <a:effectLst/>
          </c:spPr>
          <c:invertIfNegative val="0"/>
          <c:cat>
            <c:strRef>
              <c:f>'[Chart in Microsoft Word]Tatimet+Doganat'!$A$4:$A$15</c:f>
              <c:strCache>
                <c:ptCount val="12"/>
                <c:pt idx="0">
                  <c:v>Fakt 2021</c:v>
                </c:pt>
                <c:pt idx="1">
                  <c:v>TVSH import</c:v>
                </c:pt>
                <c:pt idx="2">
                  <c:v>TVSH Neto</c:v>
                </c:pt>
                <c:pt idx="3">
                  <c:v>Tatim Fitimi</c:v>
                </c:pt>
                <c:pt idx="4">
                  <c:v>Akciza</c:v>
                </c:pt>
                <c:pt idx="5">
                  <c:v>TAP</c:v>
                </c:pt>
                <c:pt idx="6">
                  <c:v>T. Nacionale</c:v>
                </c:pt>
                <c:pt idx="7">
                  <c:v>R. Minerare</c:v>
                </c:pt>
                <c:pt idx="8">
                  <c:v>T. Doganore</c:v>
                </c:pt>
                <c:pt idx="9">
                  <c:v>Kontributet </c:v>
                </c:pt>
                <c:pt idx="10">
                  <c:v>Fakt 2022</c:v>
                </c:pt>
                <c:pt idx="11">
                  <c:v>Plan 2022</c:v>
                </c:pt>
              </c:strCache>
            </c:strRef>
          </c:cat>
          <c:val>
            <c:numRef>
              <c:f>'[Chart in Microsoft Word]Tatimet+Doganat'!$D$4:$D$15</c:f>
              <c:numCache>
                <c:formatCode>_(* #,##0_);_(* \(#,##0\);_(* "-"??_);_(@_)</c:formatCode>
                <c:ptCount val="12"/>
                <c:pt idx="1">
                  <c:v>13513</c:v>
                </c:pt>
                <c:pt idx="2">
                  <c:v>7194</c:v>
                </c:pt>
                <c:pt idx="3">
                  <c:v>5631</c:v>
                </c:pt>
                <c:pt idx="4">
                  <c:v>1183</c:v>
                </c:pt>
                <c:pt idx="5">
                  <c:v>2260</c:v>
                </c:pt>
                <c:pt idx="6">
                  <c:v>2589</c:v>
                </c:pt>
                <c:pt idx="7">
                  <c:v>831</c:v>
                </c:pt>
                <c:pt idx="8">
                  <c:v>453</c:v>
                </c:pt>
                <c:pt idx="9">
                  <c:v>4437</c:v>
                </c:pt>
              </c:numCache>
            </c:numRef>
          </c:val>
          <c:extLst>
            <c:ext xmlns:c16="http://schemas.microsoft.com/office/drawing/2014/chart" uri="{C3380CC4-5D6E-409C-BE32-E72D297353CC}">
              <c16:uniqueId val="{00000008-ED40-4115-84D5-4203B18CDC27}"/>
            </c:ext>
          </c:extLst>
        </c:ser>
        <c:dLbls>
          <c:showLegendKey val="0"/>
          <c:showVal val="0"/>
          <c:showCatName val="0"/>
          <c:showSerName val="0"/>
          <c:showPercent val="0"/>
          <c:showBubbleSize val="0"/>
        </c:dLbls>
        <c:gapWidth val="50"/>
        <c:overlap val="100"/>
        <c:axId val="1548328624"/>
        <c:axId val="1548326992"/>
      </c:barChart>
      <c:catAx>
        <c:axId val="1548328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1" i="0" u="none" strike="noStrike" kern="1200" baseline="0">
                <a:solidFill>
                  <a:schemeClr val="tx1">
                    <a:lumMod val="65000"/>
                    <a:lumOff val="35000"/>
                  </a:schemeClr>
                </a:solidFill>
                <a:latin typeface="+mn-lt"/>
                <a:ea typeface="+mn-ea"/>
                <a:cs typeface="+mn-cs"/>
              </a:defRPr>
            </a:pPr>
            <a:endParaRPr lang="en-US"/>
          </a:p>
        </c:txPr>
        <c:crossAx val="1548326992"/>
        <c:crosses val="autoZero"/>
        <c:auto val="1"/>
        <c:lblAlgn val="ctr"/>
        <c:lblOffset val="100"/>
        <c:noMultiLvlLbl val="0"/>
      </c:catAx>
      <c:valAx>
        <c:axId val="1548326992"/>
        <c:scaling>
          <c:orientation val="minMax"/>
          <c:min val="100000"/>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8328624"/>
        <c:crosses val="autoZero"/>
        <c:crossBetween val="between"/>
      </c:valAx>
      <c:spPr>
        <a:noFill/>
        <a:ln>
          <a:noFill/>
        </a:ln>
        <a:effectLst/>
      </c:spPr>
    </c:plotArea>
    <c:legend>
      <c:legendPos val="b"/>
      <c:legendEntry>
        <c:idx val="0"/>
        <c:delete val="1"/>
      </c:legendEntry>
      <c:layout>
        <c:manualLayout>
          <c:xMode val="edge"/>
          <c:yMode val="edge"/>
          <c:x val="0.22074864473716485"/>
          <c:y val="3.9325434363919713E-2"/>
          <c:w val="0.52715725954816395"/>
          <c:h val="5.8340944201335253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Sheet3!$E$53</c:f>
              <c:strCache>
                <c:ptCount val="1"/>
                <c:pt idx="0">
                  <c:v>Plan</c:v>
                </c:pt>
              </c:strCache>
            </c:strRef>
          </c:tx>
          <c:spPr>
            <a:solidFill>
              <a:srgbClr val="00B0F0"/>
            </a:solidFill>
            <a:ln>
              <a:noFill/>
            </a:ln>
            <a:effectLst/>
          </c:spPr>
          <c:invertIfNegative val="0"/>
          <c:dLbls>
            <c:dLbl>
              <c:idx val="0"/>
              <c:layout>
                <c:manualLayout>
                  <c:x val="4.1907875582798213E-3"/>
                  <c:y val="9.7046692692825155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34-474B-8963-7F73810007A8}"/>
                </c:ext>
              </c:extLst>
            </c:dLbl>
            <c:dLbl>
              <c:idx val="1"/>
              <c:layout>
                <c:manualLayout>
                  <c:x val="2.0948989211270557E-3"/>
                  <c:y val="2.1008403361344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934-474B-8963-7F73810007A8}"/>
                </c:ext>
              </c:extLst>
            </c:dLbl>
            <c:dLbl>
              <c:idx val="2"/>
              <c:layout>
                <c:manualLayout>
                  <c:x val="2.0948989211270557E-3"/>
                  <c:y val="2.80112044817927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934-474B-8963-7F73810007A8}"/>
                </c:ext>
              </c:extLst>
            </c:dLbl>
            <c:dLbl>
              <c:idx val="5"/>
              <c:layout>
                <c:manualLayout>
                  <c:x val="-7.6812073101702269E-17"/>
                  <c:y val="2.10084033613445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934-474B-8963-7F73810007A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Sheet3!$C$54:$C$63</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Sheet3!$E$54:$E$63</c:f>
              <c:numCache>
                <c:formatCode>#,##0</c:formatCode>
                <c:ptCount val="10"/>
                <c:pt idx="0">
                  <c:v>10500</c:v>
                </c:pt>
                <c:pt idx="1">
                  <c:v>12259</c:v>
                </c:pt>
                <c:pt idx="2">
                  <c:v>13405</c:v>
                </c:pt>
                <c:pt idx="3">
                  <c:v>12600</c:v>
                </c:pt>
                <c:pt idx="4">
                  <c:v>13810</c:v>
                </c:pt>
                <c:pt idx="5">
                  <c:v>14876.330361230224</c:v>
                </c:pt>
                <c:pt idx="6">
                  <c:v>11586</c:v>
                </c:pt>
                <c:pt idx="7">
                  <c:v>14006.389494673647</c:v>
                </c:pt>
                <c:pt idx="8">
                  <c:v>17410</c:v>
                </c:pt>
                <c:pt idx="9">
                  <c:v>18800</c:v>
                </c:pt>
              </c:numCache>
            </c:numRef>
          </c:val>
          <c:extLst>
            <c:ext xmlns:c16="http://schemas.microsoft.com/office/drawing/2014/chart" uri="{C3380CC4-5D6E-409C-BE32-E72D297353CC}">
              <c16:uniqueId val="{00000004-E934-474B-8963-7F73810007A8}"/>
            </c:ext>
          </c:extLst>
        </c:ser>
        <c:dLbls>
          <c:showLegendKey val="0"/>
          <c:showVal val="0"/>
          <c:showCatName val="0"/>
          <c:showSerName val="0"/>
          <c:showPercent val="0"/>
          <c:showBubbleSize val="0"/>
        </c:dLbls>
        <c:gapWidth val="150"/>
        <c:axId val="1290935936"/>
        <c:axId val="1290944096"/>
      </c:barChart>
      <c:lineChart>
        <c:grouping val="standard"/>
        <c:varyColors val="0"/>
        <c:ser>
          <c:idx val="0"/>
          <c:order val="0"/>
          <c:tx>
            <c:strRef>
              <c:f>Sheet3!$D$53</c:f>
              <c:strCache>
                <c:ptCount val="1"/>
                <c:pt idx="0">
                  <c:v>Fakt</c:v>
                </c:pt>
              </c:strCache>
            </c:strRef>
          </c:tx>
          <c:spPr>
            <a:ln w="28575" cap="rnd">
              <a:solidFill>
                <a:srgbClr val="FF0000"/>
              </a:solidFill>
              <a:round/>
            </a:ln>
            <a:effectLst/>
          </c:spPr>
          <c:marker>
            <c:symbol val="none"/>
          </c:marker>
          <c:dLbls>
            <c:dLbl>
              <c:idx val="0"/>
              <c:layout>
                <c:manualLayout>
                  <c:x val="-4.1897978422541129E-2"/>
                  <c:y val="7.70308123249299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934-474B-8963-7F73810007A8}"/>
                </c:ext>
              </c:extLst>
            </c:dLbl>
            <c:dLbl>
              <c:idx val="1"/>
              <c:layout>
                <c:manualLayout>
                  <c:x val="-4.1897978422541116E-2"/>
                  <c:y val="0.112044817927170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934-474B-8963-7F73810007A8}"/>
                </c:ext>
              </c:extLst>
            </c:dLbl>
            <c:dLbl>
              <c:idx val="2"/>
              <c:layout>
                <c:manualLayout>
                  <c:x val="-4.3992877343668205E-2"/>
                  <c:y val="0.1610644257703080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934-474B-8963-7F73810007A8}"/>
                </c:ext>
              </c:extLst>
            </c:dLbl>
            <c:dLbl>
              <c:idx val="3"/>
              <c:layout>
                <c:manualLayout>
                  <c:x val="-5.0277574107049333E-2"/>
                  <c:y val="0.2871148459383753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934-474B-8963-7F73810007A8}"/>
                </c:ext>
              </c:extLst>
            </c:dLbl>
            <c:dLbl>
              <c:idx val="4"/>
              <c:layout>
                <c:manualLayout>
                  <c:x val="-5.0277574107049333E-2"/>
                  <c:y val="0.217086834733893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934-474B-8963-7F73810007A8}"/>
                </c:ext>
              </c:extLst>
            </c:dLbl>
            <c:dLbl>
              <c:idx val="5"/>
              <c:layout>
                <c:manualLayout>
                  <c:x val="-4.6087776264795148E-2"/>
                  <c:y val="0.18207282913165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934-474B-8963-7F73810007A8}"/>
                </c:ext>
              </c:extLst>
            </c:dLbl>
            <c:dLbl>
              <c:idx val="6"/>
              <c:layout>
                <c:manualLayout>
                  <c:x val="-4.8182675185922202E-2"/>
                  <c:y val="0.140056022408963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934-474B-8963-7F73810007A8}"/>
                </c:ext>
              </c:extLst>
            </c:dLbl>
            <c:dLbl>
              <c:idx val="7"/>
              <c:layout>
                <c:manualLayout>
                  <c:x val="-4.6109220112019358E-2"/>
                  <c:y val="0.227455943007124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934-474B-8963-7F73810007A8}"/>
                </c:ext>
              </c:extLst>
            </c:dLbl>
            <c:dLbl>
              <c:idx val="8"/>
              <c:layout>
                <c:manualLayout>
                  <c:x val="-5.0291430131409548E-2"/>
                  <c:y val="0.307146716954498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934-474B-8963-7F73810007A8}"/>
                </c:ext>
              </c:extLst>
            </c:dLbl>
            <c:dLbl>
              <c:idx val="9"/>
              <c:layout>
                <c:manualLayout>
                  <c:x val="-3.5614766233198543E-2"/>
                  <c:y val="0.222226449634972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934-474B-8963-7F73810007A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Sheet3!$C$54:$C$63</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Sheet3!$D$54:$D$63</c:f>
              <c:numCache>
                <c:formatCode>#,##0</c:formatCode>
                <c:ptCount val="10"/>
                <c:pt idx="0">
                  <c:v>9419</c:v>
                </c:pt>
                <c:pt idx="1">
                  <c:v>10505</c:v>
                </c:pt>
                <c:pt idx="2">
                  <c:v>12384</c:v>
                </c:pt>
                <c:pt idx="3">
                  <c:v>16407</c:v>
                </c:pt>
                <c:pt idx="4">
                  <c:v>14192.954</c:v>
                </c:pt>
                <c:pt idx="5">
                  <c:v>13059</c:v>
                </c:pt>
                <c:pt idx="6">
                  <c:v>11585</c:v>
                </c:pt>
                <c:pt idx="7">
                  <c:v>14820</c:v>
                </c:pt>
                <c:pt idx="8">
                  <c:v>17409</c:v>
                </c:pt>
                <c:pt idx="9">
                  <c:v>14341.25</c:v>
                </c:pt>
              </c:numCache>
            </c:numRef>
          </c:val>
          <c:smooth val="0"/>
          <c:extLst>
            <c:ext xmlns:c16="http://schemas.microsoft.com/office/drawing/2014/chart" uri="{C3380CC4-5D6E-409C-BE32-E72D297353CC}">
              <c16:uniqueId val="{0000000F-E934-474B-8963-7F73810007A8}"/>
            </c:ext>
          </c:extLst>
        </c:ser>
        <c:dLbls>
          <c:showLegendKey val="0"/>
          <c:showVal val="0"/>
          <c:showCatName val="0"/>
          <c:showSerName val="0"/>
          <c:showPercent val="0"/>
          <c:showBubbleSize val="0"/>
        </c:dLbls>
        <c:marker val="1"/>
        <c:smooth val="0"/>
        <c:axId val="1290935936"/>
        <c:axId val="1290944096"/>
      </c:lineChart>
      <c:catAx>
        <c:axId val="1290935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290944096"/>
        <c:crosses val="autoZero"/>
        <c:auto val="1"/>
        <c:lblAlgn val="ctr"/>
        <c:lblOffset val="100"/>
        <c:noMultiLvlLbl val="0"/>
      </c:catAx>
      <c:valAx>
        <c:axId val="12909440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935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1"/>
          <c:tx>
            <c:strRef>
              <c:f>Sheet3!$E$69</c:f>
              <c:strCache>
                <c:ptCount val="1"/>
                <c:pt idx="0">
                  <c:v>Plan</c:v>
                </c:pt>
              </c:strCache>
            </c:strRef>
          </c:tx>
          <c:spPr>
            <a:solidFill>
              <a:srgbClr val="00B0F0"/>
            </a:solidFill>
            <a:ln>
              <a:noFill/>
            </a:ln>
            <a:effectLst/>
          </c:spPr>
          <c:invertIfNegative val="0"/>
          <c:dLbls>
            <c:dLbl>
              <c:idx val="0"/>
              <c:layout>
                <c:manualLayout>
                  <c:x val="-4.1705765822124905E-3"/>
                  <c:y val="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8AE-491B-BDA0-27212494D99D}"/>
                </c:ext>
              </c:extLst>
            </c:dLbl>
            <c:dLbl>
              <c:idx val="1"/>
              <c:layout>
                <c:manualLayout>
                  <c:x val="-2.0852882911062453E-3"/>
                  <c:y val="0.20833333333333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AE-491B-BDA0-27212494D99D}"/>
                </c:ext>
              </c:extLst>
            </c:dLbl>
            <c:dLbl>
              <c:idx val="2"/>
              <c:layout>
                <c:manualLayout>
                  <c:x val="-3.82298437025311E-17"/>
                  <c:y val="0.241666666666666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8AE-491B-BDA0-27212494D99D}"/>
                </c:ext>
              </c:extLst>
            </c:dLbl>
            <c:dLbl>
              <c:idx val="3"/>
              <c:layout>
                <c:manualLayout>
                  <c:x val="0"/>
                  <c:y val="0.258333333333333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8AE-491B-BDA0-27212494D99D}"/>
                </c:ext>
              </c:extLst>
            </c:dLbl>
            <c:dLbl>
              <c:idx val="4"/>
              <c:layout>
                <c:manualLayout>
                  <c:x val="0"/>
                  <c:y val="0.275000000000000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8AE-491B-BDA0-27212494D99D}"/>
                </c:ext>
              </c:extLst>
            </c:dLbl>
            <c:dLbl>
              <c:idx val="5"/>
              <c:layout>
                <c:manualLayout>
                  <c:x val="4.1705765822124142E-3"/>
                  <c:y val="0.31666666666666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8AE-491B-BDA0-27212494D99D}"/>
                </c:ext>
              </c:extLst>
            </c:dLbl>
            <c:dLbl>
              <c:idx val="6"/>
              <c:layout>
                <c:manualLayout>
                  <c:x val="-2.0852882911063983E-3"/>
                  <c:y val="0.299999999999999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8AE-491B-BDA0-27212494D99D}"/>
                </c:ext>
              </c:extLst>
            </c:dLbl>
            <c:dLbl>
              <c:idx val="7"/>
              <c:layout>
                <c:manualLayout>
                  <c:x val="0"/>
                  <c:y val="0.341666666666666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8AE-491B-BDA0-27212494D99D}"/>
                </c:ext>
              </c:extLst>
            </c:dLbl>
            <c:dLbl>
              <c:idx val="8"/>
              <c:layout>
                <c:manualLayout>
                  <c:x val="0"/>
                  <c:y val="0.3833333333333333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8AE-491B-BDA0-27212494D99D}"/>
                </c:ext>
              </c:extLst>
            </c:dLbl>
            <c:dLbl>
              <c:idx val="9"/>
              <c:layout>
                <c:manualLayout>
                  <c:x val="-1.529193748101244E-16"/>
                  <c:y val="0.416666666666666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8AE-491B-BDA0-27212494D99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Sheet3!$C$70:$C$79</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Sheet3!$E$70:$E$79</c:f>
              <c:numCache>
                <c:formatCode>#,##0</c:formatCode>
                <c:ptCount val="10"/>
                <c:pt idx="0">
                  <c:v>24900</c:v>
                </c:pt>
                <c:pt idx="1">
                  <c:v>26628</c:v>
                </c:pt>
                <c:pt idx="2">
                  <c:v>30370</c:v>
                </c:pt>
                <c:pt idx="3">
                  <c:v>32072</c:v>
                </c:pt>
                <c:pt idx="4">
                  <c:v>34000</c:v>
                </c:pt>
                <c:pt idx="5">
                  <c:v>39072.053028849296</c:v>
                </c:pt>
                <c:pt idx="6">
                  <c:v>38270</c:v>
                </c:pt>
                <c:pt idx="7">
                  <c:v>41859.943384240374</c:v>
                </c:pt>
                <c:pt idx="8">
                  <c:v>47643</c:v>
                </c:pt>
                <c:pt idx="9">
                  <c:v>51023</c:v>
                </c:pt>
              </c:numCache>
            </c:numRef>
          </c:val>
          <c:extLst>
            <c:ext xmlns:c16="http://schemas.microsoft.com/office/drawing/2014/chart" uri="{C3380CC4-5D6E-409C-BE32-E72D297353CC}">
              <c16:uniqueId val="{0000000A-F8AE-491B-BDA0-27212494D99D}"/>
            </c:ext>
          </c:extLst>
        </c:ser>
        <c:dLbls>
          <c:showLegendKey val="0"/>
          <c:showVal val="0"/>
          <c:showCatName val="0"/>
          <c:showSerName val="0"/>
          <c:showPercent val="0"/>
          <c:showBubbleSize val="0"/>
        </c:dLbls>
        <c:gapWidth val="219"/>
        <c:axId val="1290933216"/>
        <c:axId val="1290934848"/>
      </c:barChart>
      <c:lineChart>
        <c:grouping val="standard"/>
        <c:varyColors val="0"/>
        <c:ser>
          <c:idx val="0"/>
          <c:order val="0"/>
          <c:tx>
            <c:strRef>
              <c:f>Sheet3!$D$69</c:f>
              <c:strCache>
                <c:ptCount val="1"/>
                <c:pt idx="0">
                  <c:v>Fakt</c:v>
                </c:pt>
              </c:strCache>
            </c:strRef>
          </c:tx>
          <c:spPr>
            <a:ln w="28575" cap="rnd">
              <a:solidFill>
                <a:srgbClr val="FF0000"/>
              </a:solidFill>
              <a:round/>
            </a:ln>
            <a:effectLst/>
          </c:spPr>
          <c:marker>
            <c:symbol val="none"/>
          </c:marker>
          <c:dLbls>
            <c:dLbl>
              <c:idx val="0"/>
              <c:layout>
                <c:manualLayout>
                  <c:x val="-3.9620477531018661E-2"/>
                  <c:y val="-7.50000000000000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8AE-491B-BDA0-27212494D99D}"/>
                </c:ext>
              </c:extLst>
            </c:dLbl>
            <c:dLbl>
              <c:idx val="1"/>
              <c:layout>
                <c:manualLayout>
                  <c:x val="-3.9620477531018661E-2"/>
                  <c:y val="-5.00000000000000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8AE-491B-BDA0-27212494D99D}"/>
                </c:ext>
              </c:extLst>
            </c:dLbl>
            <c:dLbl>
              <c:idx val="2"/>
              <c:layout>
                <c:manualLayout>
                  <c:x val="-4.5876342404337397E-2"/>
                  <c:y val="-5.83333333333333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8AE-491B-BDA0-27212494D99D}"/>
                </c:ext>
              </c:extLst>
            </c:dLbl>
            <c:dLbl>
              <c:idx val="3"/>
              <c:layout>
                <c:manualLayout>
                  <c:x val="-3.753518923991242E-2"/>
                  <c:y val="-5.83333333333333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8AE-491B-BDA0-27212494D99D}"/>
                </c:ext>
              </c:extLst>
            </c:dLbl>
            <c:dLbl>
              <c:idx val="4"/>
              <c:layout>
                <c:manualLayout>
                  <c:x val="-3.9620477531018661E-2"/>
                  <c:y val="-5.83333333333333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8AE-491B-BDA0-27212494D99D}"/>
                </c:ext>
              </c:extLst>
            </c:dLbl>
            <c:dLbl>
              <c:idx val="5"/>
              <c:layout>
                <c:manualLayout>
                  <c:x val="-4.3791054113231156E-2"/>
                  <c:y val="-6.6666666666666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F8AE-491B-BDA0-27212494D99D}"/>
                </c:ext>
              </c:extLst>
            </c:dLbl>
            <c:dLbl>
              <c:idx val="6"/>
              <c:layout>
                <c:manualLayout>
                  <c:x val="-3.9620477531018737E-2"/>
                  <c:y val="-6.66666666666667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8AE-491B-BDA0-27212494D99D}"/>
                </c:ext>
              </c:extLst>
            </c:dLbl>
            <c:dLbl>
              <c:idx val="7"/>
              <c:layout>
                <c:manualLayout>
                  <c:x val="-4.3791054113231156E-2"/>
                  <c:y val="-6.66666666666666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F8AE-491B-BDA0-27212494D99D}"/>
                </c:ext>
              </c:extLst>
            </c:dLbl>
            <c:dLbl>
              <c:idx val="8"/>
              <c:layout>
                <c:manualLayout>
                  <c:x val="-4.3791054113231156E-2"/>
                  <c:y val="-7.49999999999999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8AE-491B-BDA0-27212494D99D}"/>
                </c:ext>
              </c:extLst>
            </c:dLbl>
            <c:dLbl>
              <c:idx val="9"/>
              <c:layout>
                <c:manualLayout>
                  <c:x val="-3.3331116688299633E-2"/>
                  <c:y val="-7.51351706036745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F8AE-491B-BDA0-27212494D99D}"/>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Sheet3!$C$70:$C$79</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Sheet3!$D$70:$D$79</c:f>
              <c:numCache>
                <c:formatCode>#,##0</c:formatCode>
                <c:ptCount val="10"/>
                <c:pt idx="0">
                  <c:v>25000</c:v>
                </c:pt>
                <c:pt idx="1">
                  <c:v>27398</c:v>
                </c:pt>
                <c:pt idx="2">
                  <c:v>31168</c:v>
                </c:pt>
                <c:pt idx="3">
                  <c:v>33544</c:v>
                </c:pt>
                <c:pt idx="4">
                  <c:v>36840.514990999996</c:v>
                </c:pt>
                <c:pt idx="5">
                  <c:v>39049.779000000002</c:v>
                </c:pt>
                <c:pt idx="6">
                  <c:v>38361</c:v>
                </c:pt>
                <c:pt idx="7">
                  <c:v>43406.316959999996</c:v>
                </c:pt>
                <c:pt idx="8">
                  <c:v>47843</c:v>
                </c:pt>
                <c:pt idx="9">
                  <c:v>55018</c:v>
                </c:pt>
              </c:numCache>
            </c:numRef>
          </c:val>
          <c:smooth val="0"/>
          <c:extLst>
            <c:ext xmlns:c16="http://schemas.microsoft.com/office/drawing/2014/chart" uri="{C3380CC4-5D6E-409C-BE32-E72D297353CC}">
              <c16:uniqueId val="{00000015-F8AE-491B-BDA0-27212494D99D}"/>
            </c:ext>
          </c:extLst>
        </c:ser>
        <c:dLbls>
          <c:showLegendKey val="0"/>
          <c:showVal val="0"/>
          <c:showCatName val="0"/>
          <c:showSerName val="0"/>
          <c:showPercent val="0"/>
          <c:showBubbleSize val="0"/>
        </c:dLbls>
        <c:marker val="1"/>
        <c:smooth val="0"/>
        <c:axId val="1290933216"/>
        <c:axId val="1290934848"/>
      </c:lineChart>
      <c:catAx>
        <c:axId val="1290933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290934848"/>
        <c:crosses val="autoZero"/>
        <c:auto val="1"/>
        <c:lblAlgn val="ctr"/>
        <c:lblOffset val="100"/>
        <c:noMultiLvlLbl val="0"/>
      </c:catAx>
      <c:valAx>
        <c:axId val="1290934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933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139910403434132E-2"/>
          <c:y val="3.3732831588822482E-2"/>
          <c:w val="0.8426474178015948"/>
          <c:h val="0.655070738108956"/>
        </c:manualLayout>
      </c:layout>
      <c:barChart>
        <c:barDir val="col"/>
        <c:grouping val="clustered"/>
        <c:varyColors val="0"/>
        <c:ser>
          <c:idx val="1"/>
          <c:order val="0"/>
          <c:tx>
            <c:strRef>
              <c:f>'Te ardhurat 2023'!$C$4</c:f>
              <c:strCache>
                <c:ptCount val="1"/>
                <c:pt idx="0">
                  <c:v>Të ardhurat e Pushtetit Vendor</c:v>
                </c:pt>
              </c:strCache>
            </c:strRef>
          </c:tx>
          <c:spPr>
            <a:solidFill>
              <a:srgbClr val="C0504D">
                <a:lumMod val="60000"/>
                <a:lumOff val="40000"/>
              </a:srgbClr>
            </a:solidFill>
            <a:ln>
              <a:noFill/>
            </a:ln>
          </c:spPr>
          <c:invertIfNegative val="0"/>
          <c:dLbls>
            <c:numFmt formatCode="#,##0.0" sourceLinked="0"/>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'Te ardhurat 2023'!$L$3:$V$3</c:f>
              <c:strCache>
                <c:ptCount val="11"/>
                <c:pt idx="0">
                  <c:v>5M-2013</c:v>
                </c:pt>
                <c:pt idx="1">
                  <c:v>5M-2014</c:v>
                </c:pt>
                <c:pt idx="2">
                  <c:v>5M-2015</c:v>
                </c:pt>
                <c:pt idx="3">
                  <c:v>5M-2016</c:v>
                </c:pt>
                <c:pt idx="4">
                  <c:v>5M-2017</c:v>
                </c:pt>
                <c:pt idx="5">
                  <c:v>5M-2018</c:v>
                </c:pt>
                <c:pt idx="6">
                  <c:v>5M-2019</c:v>
                </c:pt>
                <c:pt idx="7">
                  <c:v>5M-2020</c:v>
                </c:pt>
                <c:pt idx="8">
                  <c:v>5M-2021</c:v>
                </c:pt>
                <c:pt idx="9">
                  <c:v>5M-2022</c:v>
                </c:pt>
                <c:pt idx="10">
                  <c:v>5M-2023</c:v>
                </c:pt>
              </c:strCache>
            </c:strRef>
          </c:cat>
          <c:val>
            <c:numRef>
              <c:f>'Te ardhurat 2023'!$L$4:$V$4</c:f>
              <c:numCache>
                <c:formatCode>#,##0</c:formatCode>
                <c:ptCount val="11"/>
                <c:pt idx="0">
                  <c:v>5047</c:v>
                </c:pt>
                <c:pt idx="1">
                  <c:v>5448</c:v>
                </c:pt>
                <c:pt idx="2">
                  <c:v>5783</c:v>
                </c:pt>
                <c:pt idx="3">
                  <c:v>6784</c:v>
                </c:pt>
                <c:pt idx="4">
                  <c:v>9341</c:v>
                </c:pt>
                <c:pt idx="5">
                  <c:v>8816.09</c:v>
                </c:pt>
                <c:pt idx="6">
                  <c:v>11348.6</c:v>
                </c:pt>
                <c:pt idx="7">
                  <c:v>6994.9</c:v>
                </c:pt>
                <c:pt idx="8">
                  <c:v>10961.04</c:v>
                </c:pt>
                <c:pt idx="9">
                  <c:v>14098.12</c:v>
                </c:pt>
                <c:pt idx="10">
                  <c:v>12438.900000000001</c:v>
                </c:pt>
              </c:numCache>
            </c:numRef>
          </c:val>
          <c:extLst>
            <c:ext xmlns:c16="http://schemas.microsoft.com/office/drawing/2014/chart" uri="{C3380CC4-5D6E-409C-BE32-E72D297353CC}">
              <c16:uniqueId val="{00000000-0122-4606-8B5C-C1E43572B3D3}"/>
            </c:ext>
          </c:extLst>
        </c:ser>
        <c:dLbls>
          <c:showLegendKey val="0"/>
          <c:showVal val="0"/>
          <c:showCatName val="0"/>
          <c:showSerName val="0"/>
          <c:showPercent val="0"/>
          <c:showBubbleSize val="0"/>
        </c:dLbls>
        <c:gapWidth val="40"/>
        <c:axId val="100758656"/>
        <c:axId val="100760192"/>
      </c:barChart>
      <c:lineChart>
        <c:grouping val="standard"/>
        <c:varyColors val="0"/>
        <c:ser>
          <c:idx val="0"/>
          <c:order val="1"/>
          <c:tx>
            <c:strRef>
              <c:f>'Te ardhurat 2023'!$C$5</c:f>
              <c:strCache>
                <c:ptCount val="1"/>
                <c:pt idx="0">
                  <c:v>Ritmi i rritjes</c:v>
                </c:pt>
              </c:strCache>
            </c:strRef>
          </c:tx>
          <c:spPr>
            <a:ln w="31750">
              <a:solidFill>
                <a:srgbClr val="002060"/>
              </a:solidFill>
            </a:ln>
          </c:spPr>
          <c:marker>
            <c:symbol val="square"/>
            <c:size val="5"/>
            <c:spPr>
              <a:ln>
                <a:solidFill>
                  <a:srgbClr val="002060"/>
                </a:solidFill>
              </a:ln>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'Te ardhurat 2023'!$L$3:$V$3</c:f>
              <c:strCache>
                <c:ptCount val="11"/>
                <c:pt idx="0">
                  <c:v>5M-2013</c:v>
                </c:pt>
                <c:pt idx="1">
                  <c:v>5M-2014</c:v>
                </c:pt>
                <c:pt idx="2">
                  <c:v>5M-2015</c:v>
                </c:pt>
                <c:pt idx="3">
                  <c:v>5M-2016</c:v>
                </c:pt>
                <c:pt idx="4">
                  <c:v>5M-2017</c:v>
                </c:pt>
                <c:pt idx="5">
                  <c:v>5M-2018</c:v>
                </c:pt>
                <c:pt idx="6">
                  <c:v>5M-2019</c:v>
                </c:pt>
                <c:pt idx="7">
                  <c:v>5M-2020</c:v>
                </c:pt>
                <c:pt idx="8">
                  <c:v>5M-2021</c:v>
                </c:pt>
                <c:pt idx="9">
                  <c:v>5M-2022</c:v>
                </c:pt>
                <c:pt idx="10">
                  <c:v>5M-2023</c:v>
                </c:pt>
              </c:strCache>
            </c:strRef>
          </c:cat>
          <c:val>
            <c:numRef>
              <c:f>'Te ardhurat 2023'!$L$5:$V$5</c:f>
              <c:numCache>
                <c:formatCode>0%</c:formatCode>
                <c:ptCount val="11"/>
                <c:pt idx="0">
                  <c:v>-0.12408885803540437</c:v>
                </c:pt>
                <c:pt idx="1">
                  <c:v>7.945314047949277E-2</c:v>
                </c:pt>
                <c:pt idx="2">
                  <c:v>6.1490455212922172E-2</c:v>
                </c:pt>
                <c:pt idx="3">
                  <c:v>0.17309355006052221</c:v>
                </c:pt>
                <c:pt idx="4">
                  <c:v>0.37691627358490565</c:v>
                </c:pt>
                <c:pt idx="5">
                  <c:v>-5.6194197623380779E-2</c:v>
                </c:pt>
                <c:pt idx="6">
                  <c:v>0.28725999848005185</c:v>
                </c:pt>
                <c:pt idx="7">
                  <c:v>-0.38363322348131051</c:v>
                </c:pt>
                <c:pt idx="8">
                  <c:v>0.56700453187322208</c:v>
                </c:pt>
                <c:pt idx="9">
                  <c:v>0.28620276908030623</c:v>
                </c:pt>
                <c:pt idx="10">
                  <c:v>-0.11769086942088727</c:v>
                </c:pt>
              </c:numCache>
            </c:numRef>
          </c:val>
          <c:smooth val="1"/>
          <c:extLst>
            <c:ext xmlns:c16="http://schemas.microsoft.com/office/drawing/2014/chart" uri="{C3380CC4-5D6E-409C-BE32-E72D297353CC}">
              <c16:uniqueId val="{00000001-0122-4606-8B5C-C1E43572B3D3}"/>
            </c:ext>
          </c:extLst>
        </c:ser>
        <c:dLbls>
          <c:showLegendKey val="0"/>
          <c:showVal val="0"/>
          <c:showCatName val="0"/>
          <c:showSerName val="0"/>
          <c:showPercent val="0"/>
          <c:showBubbleSize val="0"/>
        </c:dLbls>
        <c:marker val="1"/>
        <c:smooth val="0"/>
        <c:axId val="100779136"/>
        <c:axId val="100780672"/>
      </c:lineChart>
      <c:catAx>
        <c:axId val="100758656"/>
        <c:scaling>
          <c:orientation val="minMax"/>
        </c:scaling>
        <c:delete val="0"/>
        <c:axPos val="b"/>
        <c:numFmt formatCode="General" sourceLinked="1"/>
        <c:majorTickMark val="cross"/>
        <c:minorTickMark val="none"/>
        <c:tickLblPos val="nextTo"/>
        <c:txPr>
          <a:bodyPr rot="0" vert="horz"/>
          <a:lstStyle/>
          <a:p>
            <a:pPr>
              <a:defRPr sz="800"/>
            </a:pPr>
            <a:endParaRPr lang="en-US"/>
          </a:p>
        </c:txPr>
        <c:crossAx val="100760192"/>
        <c:crosses val="autoZero"/>
        <c:auto val="0"/>
        <c:lblAlgn val="ctr"/>
        <c:lblOffset val="100"/>
        <c:tickLblSkip val="1"/>
        <c:tickMarkSkip val="1"/>
        <c:noMultiLvlLbl val="0"/>
      </c:catAx>
      <c:valAx>
        <c:axId val="100760192"/>
        <c:scaling>
          <c:orientation val="minMax"/>
        </c:scaling>
        <c:delete val="0"/>
        <c:axPos val="l"/>
        <c:title>
          <c:tx>
            <c:rich>
              <a:bodyPr/>
              <a:lstStyle/>
              <a:p>
                <a:pPr>
                  <a:defRPr/>
                </a:pPr>
                <a:r>
                  <a:rPr lang="sq-AL"/>
                  <a:t>Në miliardë</a:t>
                </a:r>
              </a:p>
            </c:rich>
          </c:tx>
          <c:layout>
            <c:manualLayout>
              <c:xMode val="edge"/>
              <c:yMode val="edge"/>
              <c:x val="1.7894865903335128E-3"/>
              <c:y val="3.0062867112214649E-3"/>
            </c:manualLayout>
          </c:layout>
          <c:overlay val="0"/>
        </c:title>
        <c:numFmt formatCode="#,##0.0" sourceLinked="0"/>
        <c:majorTickMark val="cross"/>
        <c:minorTickMark val="none"/>
        <c:tickLblPos val="nextTo"/>
        <c:txPr>
          <a:bodyPr rot="0" vert="horz"/>
          <a:lstStyle/>
          <a:p>
            <a:pPr>
              <a:defRPr/>
            </a:pPr>
            <a:endParaRPr lang="en-US"/>
          </a:p>
        </c:txPr>
        <c:crossAx val="100758656"/>
        <c:crosses val="autoZero"/>
        <c:crossBetween val="between"/>
        <c:dispUnits>
          <c:builtInUnit val="thousands"/>
        </c:dispUnits>
      </c:valAx>
      <c:catAx>
        <c:axId val="100779136"/>
        <c:scaling>
          <c:orientation val="minMax"/>
        </c:scaling>
        <c:delete val="1"/>
        <c:axPos val="b"/>
        <c:numFmt formatCode="General" sourceLinked="1"/>
        <c:majorTickMark val="out"/>
        <c:minorTickMark val="none"/>
        <c:tickLblPos val="nextTo"/>
        <c:crossAx val="100780672"/>
        <c:crosses val="autoZero"/>
        <c:auto val="0"/>
        <c:lblAlgn val="ctr"/>
        <c:lblOffset val="100"/>
        <c:noMultiLvlLbl val="0"/>
      </c:catAx>
      <c:valAx>
        <c:axId val="100780672"/>
        <c:scaling>
          <c:orientation val="minMax"/>
        </c:scaling>
        <c:delete val="0"/>
        <c:axPos val="r"/>
        <c:numFmt formatCode="0%" sourceLinked="0"/>
        <c:majorTickMark val="cross"/>
        <c:minorTickMark val="none"/>
        <c:tickLblPos val="nextTo"/>
        <c:txPr>
          <a:bodyPr rot="0" vert="horz"/>
          <a:lstStyle/>
          <a:p>
            <a:pPr>
              <a:defRPr/>
            </a:pPr>
            <a:endParaRPr lang="en-US"/>
          </a:p>
        </c:txPr>
        <c:crossAx val="100779136"/>
        <c:crosses val="max"/>
        <c:crossBetween val="between"/>
      </c:valAx>
      <c:spPr>
        <a:solidFill>
          <a:sysClr val="window" lastClr="FFFFFF"/>
        </a:solidFill>
      </c:spPr>
    </c:plotArea>
    <c:legend>
      <c:legendPos val="b"/>
      <c:layout>
        <c:manualLayout>
          <c:xMode val="edge"/>
          <c:yMode val="edge"/>
          <c:x val="0.12804501837270343"/>
          <c:y val="0.90470457859434239"/>
          <c:w val="0.70631528201831917"/>
          <c:h val="9.0301689816862818E-2"/>
        </c:manualLayout>
      </c:layout>
      <c:overlay val="0"/>
    </c:legend>
    <c:plotVisOnly val="1"/>
    <c:dispBlanksAs val="gap"/>
    <c:showDLblsOverMax val="0"/>
  </c:chart>
  <c:spPr>
    <a:solidFill>
      <a:srgbClr val="4F81BD">
        <a:lumMod val="20000"/>
        <a:lumOff val="80000"/>
      </a:srgbClr>
    </a:solidFill>
  </c:spPr>
  <c:txPr>
    <a:bodyPr/>
    <a:lstStyle/>
    <a:p>
      <a:pPr>
        <a:defRPr sz="9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00851996304201E-2"/>
          <c:y val="3.3707419296095067E-2"/>
          <c:w val="0.86791996794793169"/>
          <c:h val="0.61948426765379427"/>
        </c:manualLayout>
      </c:layout>
      <c:barChart>
        <c:barDir val="col"/>
        <c:grouping val="clustered"/>
        <c:varyColors val="0"/>
        <c:ser>
          <c:idx val="2"/>
          <c:order val="0"/>
          <c:tx>
            <c:strRef>
              <c:f>'Te ardhurat 2023'!$C$6</c:f>
              <c:strCache>
                <c:ptCount val="1"/>
                <c:pt idx="0">
                  <c:v>Taksë mbi Pasurinë (ndërtesat)</c:v>
                </c:pt>
              </c:strCache>
            </c:strRef>
          </c:tx>
          <c:spPr>
            <a:solidFill>
              <a:schemeClr val="accent2"/>
            </a:solidFill>
          </c:spPr>
          <c:invertIfNegative val="0"/>
          <c:dLbls>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'Te ardhurat 2023'!$L$3:$V$3</c:f>
              <c:strCache>
                <c:ptCount val="11"/>
                <c:pt idx="0">
                  <c:v>5M-2013</c:v>
                </c:pt>
                <c:pt idx="1">
                  <c:v>5M-2014</c:v>
                </c:pt>
                <c:pt idx="2">
                  <c:v>5M-2015</c:v>
                </c:pt>
                <c:pt idx="3">
                  <c:v>5M-2016</c:v>
                </c:pt>
                <c:pt idx="4">
                  <c:v>5M-2017</c:v>
                </c:pt>
                <c:pt idx="5">
                  <c:v>5M-2018</c:v>
                </c:pt>
                <c:pt idx="6">
                  <c:v>5M-2019</c:v>
                </c:pt>
                <c:pt idx="7">
                  <c:v>5M-2020</c:v>
                </c:pt>
                <c:pt idx="8">
                  <c:v>5M-2021</c:v>
                </c:pt>
                <c:pt idx="9">
                  <c:v>5M-2022</c:v>
                </c:pt>
                <c:pt idx="10">
                  <c:v>5M-2023</c:v>
                </c:pt>
              </c:strCache>
            </c:strRef>
          </c:cat>
          <c:val>
            <c:numRef>
              <c:f>'Te ardhurat 2023'!$L$6:$V$6</c:f>
              <c:numCache>
                <c:formatCode>#,##0</c:formatCode>
                <c:ptCount val="11"/>
                <c:pt idx="0">
                  <c:v>1346</c:v>
                </c:pt>
                <c:pt idx="1">
                  <c:v>1931</c:v>
                </c:pt>
                <c:pt idx="2">
                  <c:v>2101</c:v>
                </c:pt>
                <c:pt idx="3">
                  <c:v>2316</c:v>
                </c:pt>
                <c:pt idx="4">
                  <c:v>2535</c:v>
                </c:pt>
                <c:pt idx="5">
                  <c:v>2197.4</c:v>
                </c:pt>
                <c:pt idx="6">
                  <c:v>2665.3</c:v>
                </c:pt>
                <c:pt idx="7">
                  <c:v>1408.9</c:v>
                </c:pt>
                <c:pt idx="8">
                  <c:v>2788.8</c:v>
                </c:pt>
                <c:pt idx="9">
                  <c:v>2958.09</c:v>
                </c:pt>
                <c:pt idx="10">
                  <c:v>2728.6</c:v>
                </c:pt>
              </c:numCache>
            </c:numRef>
          </c:val>
          <c:extLst>
            <c:ext xmlns:c16="http://schemas.microsoft.com/office/drawing/2014/chart" uri="{C3380CC4-5D6E-409C-BE32-E72D297353CC}">
              <c16:uniqueId val="{00000000-0AD6-4DD0-A3B9-221E9BAE399E}"/>
            </c:ext>
          </c:extLst>
        </c:ser>
        <c:ser>
          <c:idx val="0"/>
          <c:order val="1"/>
          <c:tx>
            <c:strRef>
              <c:f>'Te ardhurat 2023'!$C$8</c:f>
              <c:strCache>
                <c:ptCount val="1"/>
                <c:pt idx="0">
                  <c:v>Taksë mbi Biznesin e vogël</c:v>
                </c:pt>
              </c:strCache>
            </c:strRef>
          </c:tx>
          <c:spPr>
            <a:solidFill>
              <a:schemeClr val="accent2">
                <a:lumMod val="60000"/>
                <a:lumOff val="40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'Te ardhurat 2023'!$L$3:$V$3</c:f>
              <c:strCache>
                <c:ptCount val="11"/>
                <c:pt idx="0">
                  <c:v>5M-2013</c:v>
                </c:pt>
                <c:pt idx="1">
                  <c:v>5M-2014</c:v>
                </c:pt>
                <c:pt idx="2">
                  <c:v>5M-2015</c:v>
                </c:pt>
                <c:pt idx="3">
                  <c:v>5M-2016</c:v>
                </c:pt>
                <c:pt idx="4">
                  <c:v>5M-2017</c:v>
                </c:pt>
                <c:pt idx="5">
                  <c:v>5M-2018</c:v>
                </c:pt>
                <c:pt idx="6">
                  <c:v>5M-2019</c:v>
                </c:pt>
                <c:pt idx="7">
                  <c:v>5M-2020</c:v>
                </c:pt>
                <c:pt idx="8">
                  <c:v>5M-2021</c:v>
                </c:pt>
                <c:pt idx="9">
                  <c:v>5M-2022</c:v>
                </c:pt>
                <c:pt idx="10">
                  <c:v>5M-2023</c:v>
                </c:pt>
              </c:strCache>
            </c:strRef>
          </c:cat>
          <c:val>
            <c:numRef>
              <c:f>'Te ardhurat 2023'!$L$8:$V$8</c:f>
              <c:numCache>
                <c:formatCode>#,##0</c:formatCode>
                <c:ptCount val="11"/>
                <c:pt idx="0">
                  <c:v>1082</c:v>
                </c:pt>
                <c:pt idx="1">
                  <c:v>612</c:v>
                </c:pt>
                <c:pt idx="2">
                  <c:v>730</c:v>
                </c:pt>
                <c:pt idx="3">
                  <c:v>519</c:v>
                </c:pt>
                <c:pt idx="4">
                  <c:v>220</c:v>
                </c:pt>
                <c:pt idx="5">
                  <c:v>258.36</c:v>
                </c:pt>
                <c:pt idx="6">
                  <c:v>282.3</c:v>
                </c:pt>
                <c:pt idx="7">
                  <c:v>306</c:v>
                </c:pt>
                <c:pt idx="8">
                  <c:v>278.04000000000002</c:v>
                </c:pt>
                <c:pt idx="9">
                  <c:v>38.24</c:v>
                </c:pt>
                <c:pt idx="10">
                  <c:v>26.6</c:v>
                </c:pt>
              </c:numCache>
            </c:numRef>
          </c:val>
          <c:extLst>
            <c:ext xmlns:c16="http://schemas.microsoft.com/office/drawing/2014/chart" uri="{C3380CC4-5D6E-409C-BE32-E72D297353CC}">
              <c16:uniqueId val="{00000001-0AD6-4DD0-A3B9-221E9BAE399E}"/>
            </c:ext>
          </c:extLst>
        </c:ser>
        <c:ser>
          <c:idx val="1"/>
          <c:order val="2"/>
          <c:tx>
            <c:strRef>
              <c:f>'Te ardhurat 2023'!$C$10</c:f>
              <c:strCache>
                <c:ptCount val="1"/>
                <c:pt idx="0">
                  <c:v>Taksa Lokale</c:v>
                </c:pt>
              </c:strCache>
            </c:strRef>
          </c:tx>
          <c:spPr>
            <a:solidFill>
              <a:schemeClr val="accent2">
                <a:lumMod val="40000"/>
                <a:lumOff val="60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'Te ardhurat 2023'!$L$3:$V$3</c:f>
              <c:strCache>
                <c:ptCount val="11"/>
                <c:pt idx="0">
                  <c:v>5M-2013</c:v>
                </c:pt>
                <c:pt idx="1">
                  <c:v>5M-2014</c:v>
                </c:pt>
                <c:pt idx="2">
                  <c:v>5M-2015</c:v>
                </c:pt>
                <c:pt idx="3">
                  <c:v>5M-2016</c:v>
                </c:pt>
                <c:pt idx="4">
                  <c:v>5M-2017</c:v>
                </c:pt>
                <c:pt idx="5">
                  <c:v>5M-2018</c:v>
                </c:pt>
                <c:pt idx="6">
                  <c:v>5M-2019</c:v>
                </c:pt>
                <c:pt idx="7">
                  <c:v>5M-2020</c:v>
                </c:pt>
                <c:pt idx="8">
                  <c:v>5M-2021</c:v>
                </c:pt>
                <c:pt idx="9">
                  <c:v>5M-2022</c:v>
                </c:pt>
                <c:pt idx="10">
                  <c:v>5M-2023</c:v>
                </c:pt>
              </c:strCache>
            </c:strRef>
          </c:cat>
          <c:val>
            <c:numRef>
              <c:f>'Te ardhurat 2023'!$L$10:$V$10</c:f>
              <c:numCache>
                <c:formatCode>#,##0</c:formatCode>
                <c:ptCount val="11"/>
                <c:pt idx="0">
                  <c:v>2619</c:v>
                </c:pt>
                <c:pt idx="1">
                  <c:v>2905</c:v>
                </c:pt>
                <c:pt idx="2">
                  <c:v>2952</c:v>
                </c:pt>
                <c:pt idx="3">
                  <c:v>3949</c:v>
                </c:pt>
                <c:pt idx="4">
                  <c:v>6586</c:v>
                </c:pt>
                <c:pt idx="5">
                  <c:v>6360.33</c:v>
                </c:pt>
                <c:pt idx="6">
                  <c:v>8401</c:v>
                </c:pt>
                <c:pt idx="7">
                  <c:v>5280</c:v>
                </c:pt>
                <c:pt idx="8">
                  <c:v>7894.2</c:v>
                </c:pt>
                <c:pt idx="9">
                  <c:v>11101.79</c:v>
                </c:pt>
                <c:pt idx="10">
                  <c:v>9683.7000000000007</c:v>
                </c:pt>
              </c:numCache>
            </c:numRef>
          </c:val>
          <c:extLst>
            <c:ext xmlns:c16="http://schemas.microsoft.com/office/drawing/2014/chart" uri="{C3380CC4-5D6E-409C-BE32-E72D297353CC}">
              <c16:uniqueId val="{00000002-0AD6-4DD0-A3B9-221E9BAE399E}"/>
            </c:ext>
          </c:extLst>
        </c:ser>
        <c:dLbls>
          <c:dLblPos val="outEnd"/>
          <c:showLegendKey val="0"/>
          <c:showVal val="1"/>
          <c:showCatName val="0"/>
          <c:showSerName val="0"/>
          <c:showPercent val="0"/>
          <c:showBubbleSize val="0"/>
        </c:dLbls>
        <c:gapWidth val="150"/>
        <c:axId val="101257600"/>
        <c:axId val="101259136"/>
      </c:barChart>
      <c:catAx>
        <c:axId val="101257600"/>
        <c:scaling>
          <c:orientation val="minMax"/>
        </c:scaling>
        <c:delete val="0"/>
        <c:axPos val="b"/>
        <c:numFmt formatCode="General" sourceLinked="0"/>
        <c:majorTickMark val="out"/>
        <c:minorTickMark val="none"/>
        <c:tickLblPos val="nextTo"/>
        <c:crossAx val="101259136"/>
        <c:crosses val="autoZero"/>
        <c:auto val="1"/>
        <c:lblAlgn val="ctr"/>
        <c:lblOffset val="100"/>
        <c:noMultiLvlLbl val="0"/>
      </c:catAx>
      <c:valAx>
        <c:axId val="101259136"/>
        <c:scaling>
          <c:orientation val="minMax"/>
        </c:scaling>
        <c:delete val="0"/>
        <c:axPos val="l"/>
        <c:title>
          <c:tx>
            <c:rich>
              <a:bodyPr rot="-5400000" vert="horz"/>
              <a:lstStyle/>
              <a:p>
                <a:pPr>
                  <a:defRPr/>
                </a:pPr>
                <a:r>
                  <a:rPr lang="en-US"/>
                  <a:t>Në milion leke</a:t>
                </a:r>
              </a:p>
            </c:rich>
          </c:tx>
          <c:layout>
            <c:manualLayout>
              <c:xMode val="edge"/>
              <c:yMode val="edge"/>
              <c:x val="0"/>
              <c:y val="4.1342228054826484E-3"/>
            </c:manualLayout>
          </c:layout>
          <c:overlay val="0"/>
        </c:title>
        <c:numFmt formatCode="#,##0" sourceLinked="1"/>
        <c:majorTickMark val="out"/>
        <c:minorTickMark val="none"/>
        <c:tickLblPos val="nextTo"/>
        <c:crossAx val="101257600"/>
        <c:crosses val="autoZero"/>
        <c:crossBetween val="between"/>
      </c:valAx>
    </c:plotArea>
    <c:legend>
      <c:legendPos val="r"/>
      <c:layout>
        <c:manualLayout>
          <c:xMode val="edge"/>
          <c:yMode val="edge"/>
          <c:x val="0.17465171993687706"/>
          <c:y val="0.89648645489904011"/>
          <c:w val="0.69667181789192234"/>
          <c:h val="6.5430976016634557E-2"/>
        </c:manualLayout>
      </c:layout>
      <c:overlay val="0"/>
    </c:legend>
    <c:plotVisOnly val="1"/>
    <c:dispBlanksAs val="gap"/>
    <c:showDLblsOverMax val="0"/>
  </c:chart>
  <c:spPr>
    <a:solidFill>
      <a:schemeClr val="accent1">
        <a:lumMod val="20000"/>
        <a:lumOff val="80000"/>
      </a:schemeClr>
    </a:solidFill>
  </c:spPr>
  <c:txPr>
    <a:bodyPr/>
    <a:lstStyle/>
    <a:p>
      <a:pPr>
        <a:defRPr sz="800"/>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7766061298552758E-2"/>
          <c:y val="8.5580047520832356E-2"/>
          <c:w val="0.83307651595842147"/>
          <c:h val="0.56364396460751687"/>
        </c:manualLayout>
      </c:layout>
      <c:barChart>
        <c:barDir val="col"/>
        <c:grouping val="clustered"/>
        <c:varyColors val="0"/>
        <c:ser>
          <c:idx val="1"/>
          <c:order val="0"/>
          <c:tx>
            <c:strRef>
              <c:f>'Te ardhurat 2023'!$C$10</c:f>
              <c:strCache>
                <c:ptCount val="1"/>
                <c:pt idx="0">
                  <c:v>Taksa Lokale</c:v>
                </c:pt>
              </c:strCache>
            </c:strRef>
          </c:tx>
          <c:spPr>
            <a:solidFill>
              <a:srgbClr val="C0504D">
                <a:lumMod val="40000"/>
                <a:lumOff val="60000"/>
              </a:srgbClr>
            </a:solidFill>
            <a:ln>
              <a:solidFill>
                <a:schemeClr val="bg1">
                  <a:lumMod val="65000"/>
                </a:schemeClr>
              </a:solidFill>
            </a:ln>
          </c:spPr>
          <c:invertIfNegative val="0"/>
          <c:dLbls>
            <c:numFmt formatCode="#,##0.0" sourceLinked="0"/>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'Te ardhurat 2023'!$L$3:$V$3</c:f>
              <c:strCache>
                <c:ptCount val="11"/>
                <c:pt idx="0">
                  <c:v>5M-2013</c:v>
                </c:pt>
                <c:pt idx="1">
                  <c:v>5M-2014</c:v>
                </c:pt>
                <c:pt idx="2">
                  <c:v>5M-2015</c:v>
                </c:pt>
                <c:pt idx="3">
                  <c:v>5M-2016</c:v>
                </c:pt>
                <c:pt idx="4">
                  <c:v>5M-2017</c:v>
                </c:pt>
                <c:pt idx="5">
                  <c:v>5M-2018</c:v>
                </c:pt>
                <c:pt idx="6">
                  <c:v>5M-2019</c:v>
                </c:pt>
                <c:pt idx="7">
                  <c:v>5M-2020</c:v>
                </c:pt>
                <c:pt idx="8">
                  <c:v>5M-2021</c:v>
                </c:pt>
                <c:pt idx="9">
                  <c:v>5M-2022</c:v>
                </c:pt>
                <c:pt idx="10">
                  <c:v>5M-2023</c:v>
                </c:pt>
              </c:strCache>
            </c:strRef>
          </c:cat>
          <c:val>
            <c:numRef>
              <c:f>'Te ardhurat 2023'!$L$10:$V$10</c:f>
              <c:numCache>
                <c:formatCode>#,##0</c:formatCode>
                <c:ptCount val="11"/>
                <c:pt idx="0">
                  <c:v>2619</c:v>
                </c:pt>
                <c:pt idx="1">
                  <c:v>2905</c:v>
                </c:pt>
                <c:pt idx="2">
                  <c:v>2952</c:v>
                </c:pt>
                <c:pt idx="3">
                  <c:v>3949</c:v>
                </c:pt>
                <c:pt idx="4">
                  <c:v>6586</c:v>
                </c:pt>
                <c:pt idx="5">
                  <c:v>6360.33</c:v>
                </c:pt>
                <c:pt idx="6">
                  <c:v>8401</c:v>
                </c:pt>
                <c:pt idx="7">
                  <c:v>5280</c:v>
                </c:pt>
                <c:pt idx="8">
                  <c:v>7894.2</c:v>
                </c:pt>
                <c:pt idx="9">
                  <c:v>11101.79</c:v>
                </c:pt>
                <c:pt idx="10">
                  <c:v>9683.7000000000007</c:v>
                </c:pt>
              </c:numCache>
            </c:numRef>
          </c:val>
          <c:extLst>
            <c:ext xmlns:c16="http://schemas.microsoft.com/office/drawing/2014/chart" uri="{C3380CC4-5D6E-409C-BE32-E72D297353CC}">
              <c16:uniqueId val="{00000000-87DA-41CD-BE62-612FE692DB17}"/>
            </c:ext>
          </c:extLst>
        </c:ser>
        <c:dLbls>
          <c:showLegendKey val="0"/>
          <c:showVal val="0"/>
          <c:showCatName val="0"/>
          <c:showSerName val="0"/>
          <c:showPercent val="0"/>
          <c:showBubbleSize val="0"/>
        </c:dLbls>
        <c:gapWidth val="40"/>
        <c:axId val="100973184"/>
        <c:axId val="100979072"/>
      </c:barChart>
      <c:lineChart>
        <c:grouping val="standard"/>
        <c:varyColors val="0"/>
        <c:ser>
          <c:idx val="0"/>
          <c:order val="1"/>
          <c:tx>
            <c:strRef>
              <c:f>'Te ardhurat 2023'!$C$11</c:f>
              <c:strCache>
                <c:ptCount val="1"/>
                <c:pt idx="0">
                  <c:v>Ritmi i rritjes</c:v>
                </c:pt>
              </c:strCache>
            </c:strRef>
          </c:tx>
          <c:spPr>
            <a:ln w="31750">
              <a:solidFill>
                <a:srgbClr val="002060"/>
              </a:solidFill>
            </a:ln>
          </c:spPr>
          <c:marker>
            <c:symbol val="square"/>
            <c:size val="5"/>
            <c:spPr>
              <a:ln>
                <a:solidFill>
                  <a:srgbClr val="002060"/>
                </a:solidFill>
              </a:ln>
            </c:spPr>
          </c:marker>
          <c:dLbls>
            <c:dLbl>
              <c:idx val="3"/>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7DA-41CD-BE62-612FE692DB17}"/>
                </c:ext>
              </c:extLst>
            </c:dLbl>
            <c:dLbl>
              <c:idx val="7"/>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7DA-41CD-BE62-612FE692DB17}"/>
                </c:ext>
              </c:extLst>
            </c:dLbl>
            <c:dLbl>
              <c:idx val="8"/>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7DA-41CD-BE62-612FE692DB17}"/>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'Te ardhurat 2023'!$L$3:$V$3</c:f>
              <c:strCache>
                <c:ptCount val="11"/>
                <c:pt idx="0">
                  <c:v>5M-2013</c:v>
                </c:pt>
                <c:pt idx="1">
                  <c:v>5M-2014</c:v>
                </c:pt>
                <c:pt idx="2">
                  <c:v>5M-2015</c:v>
                </c:pt>
                <c:pt idx="3">
                  <c:v>5M-2016</c:v>
                </c:pt>
                <c:pt idx="4">
                  <c:v>5M-2017</c:v>
                </c:pt>
                <c:pt idx="5">
                  <c:v>5M-2018</c:v>
                </c:pt>
                <c:pt idx="6">
                  <c:v>5M-2019</c:v>
                </c:pt>
                <c:pt idx="7">
                  <c:v>5M-2020</c:v>
                </c:pt>
                <c:pt idx="8">
                  <c:v>5M-2021</c:v>
                </c:pt>
                <c:pt idx="9">
                  <c:v>5M-2022</c:v>
                </c:pt>
                <c:pt idx="10">
                  <c:v>5M-2023</c:v>
                </c:pt>
              </c:strCache>
            </c:strRef>
          </c:cat>
          <c:val>
            <c:numRef>
              <c:f>'Te ardhurat 2023'!$L$11:$V$11</c:f>
              <c:numCache>
                <c:formatCode>0%</c:formatCode>
                <c:ptCount val="11"/>
                <c:pt idx="0">
                  <c:v>-0.19191607528540575</c:v>
                </c:pt>
                <c:pt idx="1">
                  <c:v>0.10920198549064529</c:v>
                </c:pt>
                <c:pt idx="2">
                  <c:v>1.6179001721170396E-2</c:v>
                </c:pt>
                <c:pt idx="3">
                  <c:v>0.3377371273712737</c:v>
                </c:pt>
                <c:pt idx="4">
                  <c:v>0.66776399088376803</c:v>
                </c:pt>
                <c:pt idx="5">
                  <c:v>-3.4265107804433662E-2</c:v>
                </c:pt>
                <c:pt idx="6">
                  <c:v>0.32084341535737926</c:v>
                </c:pt>
                <c:pt idx="7">
                  <c:v>-0.37150339245327935</c:v>
                </c:pt>
                <c:pt idx="8">
                  <c:v>0.49511363636363631</c:v>
                </c:pt>
                <c:pt idx="9">
                  <c:v>0.40632236325403476</c:v>
                </c:pt>
                <c:pt idx="10">
                  <c:v>-0.12773525710718722</c:v>
                </c:pt>
              </c:numCache>
            </c:numRef>
          </c:val>
          <c:smooth val="1"/>
          <c:extLst>
            <c:ext xmlns:c16="http://schemas.microsoft.com/office/drawing/2014/chart" uri="{C3380CC4-5D6E-409C-BE32-E72D297353CC}">
              <c16:uniqueId val="{00000004-87DA-41CD-BE62-612FE692DB17}"/>
            </c:ext>
          </c:extLst>
        </c:ser>
        <c:dLbls>
          <c:showLegendKey val="0"/>
          <c:showVal val="0"/>
          <c:showCatName val="0"/>
          <c:showSerName val="0"/>
          <c:showPercent val="0"/>
          <c:showBubbleSize val="0"/>
        </c:dLbls>
        <c:marker val="1"/>
        <c:smooth val="0"/>
        <c:axId val="100981376"/>
        <c:axId val="100987264"/>
      </c:lineChart>
      <c:catAx>
        <c:axId val="100973184"/>
        <c:scaling>
          <c:orientation val="minMax"/>
        </c:scaling>
        <c:delete val="0"/>
        <c:axPos val="b"/>
        <c:numFmt formatCode="General" sourceLinked="1"/>
        <c:majorTickMark val="cross"/>
        <c:minorTickMark val="none"/>
        <c:tickLblPos val="nextTo"/>
        <c:txPr>
          <a:bodyPr rot="0" vert="horz"/>
          <a:lstStyle/>
          <a:p>
            <a:pPr>
              <a:defRPr sz="800"/>
            </a:pPr>
            <a:endParaRPr lang="en-US"/>
          </a:p>
        </c:txPr>
        <c:crossAx val="100979072"/>
        <c:crosses val="autoZero"/>
        <c:auto val="0"/>
        <c:lblAlgn val="ctr"/>
        <c:lblOffset val="100"/>
        <c:tickLblSkip val="1"/>
        <c:tickMarkSkip val="1"/>
        <c:noMultiLvlLbl val="0"/>
      </c:catAx>
      <c:valAx>
        <c:axId val="100979072"/>
        <c:scaling>
          <c:orientation val="minMax"/>
        </c:scaling>
        <c:delete val="0"/>
        <c:axPos val="l"/>
        <c:title>
          <c:tx>
            <c:rich>
              <a:bodyPr/>
              <a:lstStyle/>
              <a:p>
                <a:pPr>
                  <a:defRPr/>
                </a:pPr>
                <a:r>
                  <a:rPr lang="sq-AL"/>
                  <a:t>Në miliardë</a:t>
                </a:r>
              </a:p>
            </c:rich>
          </c:tx>
          <c:layout>
            <c:manualLayout>
              <c:xMode val="edge"/>
              <c:yMode val="edge"/>
              <c:x val="8.8449305651924705E-4"/>
              <c:y val="2.11290788527817E-3"/>
            </c:manualLayout>
          </c:layout>
          <c:overlay val="0"/>
        </c:title>
        <c:numFmt formatCode="#,##0.0" sourceLinked="0"/>
        <c:majorTickMark val="cross"/>
        <c:minorTickMark val="none"/>
        <c:tickLblPos val="nextTo"/>
        <c:txPr>
          <a:bodyPr rot="0" vert="horz"/>
          <a:lstStyle/>
          <a:p>
            <a:pPr>
              <a:defRPr/>
            </a:pPr>
            <a:endParaRPr lang="en-US"/>
          </a:p>
        </c:txPr>
        <c:crossAx val="100973184"/>
        <c:crosses val="autoZero"/>
        <c:crossBetween val="between"/>
        <c:dispUnits>
          <c:builtInUnit val="thousands"/>
        </c:dispUnits>
      </c:valAx>
      <c:catAx>
        <c:axId val="100981376"/>
        <c:scaling>
          <c:orientation val="minMax"/>
        </c:scaling>
        <c:delete val="1"/>
        <c:axPos val="b"/>
        <c:numFmt formatCode="General" sourceLinked="1"/>
        <c:majorTickMark val="out"/>
        <c:minorTickMark val="none"/>
        <c:tickLblPos val="nextTo"/>
        <c:crossAx val="100987264"/>
        <c:crosses val="autoZero"/>
        <c:auto val="0"/>
        <c:lblAlgn val="ctr"/>
        <c:lblOffset val="100"/>
        <c:noMultiLvlLbl val="0"/>
      </c:catAx>
      <c:valAx>
        <c:axId val="100987264"/>
        <c:scaling>
          <c:orientation val="minMax"/>
        </c:scaling>
        <c:delete val="0"/>
        <c:axPos val="r"/>
        <c:numFmt formatCode="0%" sourceLinked="0"/>
        <c:majorTickMark val="cross"/>
        <c:minorTickMark val="none"/>
        <c:tickLblPos val="nextTo"/>
        <c:txPr>
          <a:bodyPr rot="0" vert="horz"/>
          <a:lstStyle/>
          <a:p>
            <a:pPr>
              <a:defRPr/>
            </a:pPr>
            <a:endParaRPr lang="en-US"/>
          </a:p>
        </c:txPr>
        <c:crossAx val="100981376"/>
        <c:crosses val="max"/>
        <c:crossBetween val="between"/>
      </c:valAx>
      <c:spPr>
        <a:solidFill>
          <a:sysClr val="window" lastClr="FFFFFF"/>
        </a:solidFill>
      </c:spPr>
    </c:plotArea>
    <c:legend>
      <c:legendPos val="b"/>
      <c:layout>
        <c:manualLayout>
          <c:xMode val="edge"/>
          <c:yMode val="edge"/>
          <c:x val="0.2241377520117678"/>
          <c:y val="0.83928314165776585"/>
          <c:w val="0.54032888746049612"/>
          <c:h val="9.0301689816862818E-2"/>
        </c:manualLayout>
      </c:layout>
      <c:overlay val="0"/>
    </c:legend>
    <c:plotVisOnly val="1"/>
    <c:dispBlanksAs val="gap"/>
    <c:showDLblsOverMax val="0"/>
  </c:chart>
  <c:spPr>
    <a:solidFill>
      <a:srgbClr val="4F81BD">
        <a:lumMod val="20000"/>
        <a:lumOff val="80000"/>
      </a:srgbClr>
    </a:solidFill>
  </c:spPr>
  <c:txPr>
    <a:bodyPr/>
    <a:lstStyle/>
    <a:p>
      <a:pPr>
        <a:defRPr sz="9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361407355726104E-2"/>
          <c:y val="8.2477788867940799E-2"/>
          <c:w val="0.83236918170038876"/>
          <c:h val="0.5724691886340294"/>
        </c:manualLayout>
      </c:layout>
      <c:barChart>
        <c:barDir val="col"/>
        <c:grouping val="clustered"/>
        <c:varyColors val="0"/>
        <c:ser>
          <c:idx val="1"/>
          <c:order val="0"/>
          <c:tx>
            <c:strRef>
              <c:f>'Te ardhurat 2023'!$C$6</c:f>
              <c:strCache>
                <c:ptCount val="1"/>
                <c:pt idx="0">
                  <c:v>Taksë mbi Pasurinë (ndërtesat)</c:v>
                </c:pt>
              </c:strCache>
            </c:strRef>
          </c:tx>
          <c:spPr>
            <a:solidFill>
              <a:srgbClr val="C0504D">
                <a:lumMod val="40000"/>
                <a:lumOff val="60000"/>
              </a:srgbClr>
            </a:solidFill>
            <a:ln>
              <a:solidFill>
                <a:schemeClr val="bg1">
                  <a:lumMod val="65000"/>
                </a:schemeClr>
              </a:solidFill>
            </a:ln>
          </c:spPr>
          <c:invertIfNegative val="0"/>
          <c:dLbls>
            <c:numFmt formatCode="#,##0.0" sourceLinked="0"/>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'Te ardhurat 2023'!$L$3:$V$3</c:f>
              <c:strCache>
                <c:ptCount val="11"/>
                <c:pt idx="0">
                  <c:v>5M-2013</c:v>
                </c:pt>
                <c:pt idx="1">
                  <c:v>5M-2014</c:v>
                </c:pt>
                <c:pt idx="2">
                  <c:v>5M-2015</c:v>
                </c:pt>
                <c:pt idx="3">
                  <c:v>5M-2016</c:v>
                </c:pt>
                <c:pt idx="4">
                  <c:v>5M-2017</c:v>
                </c:pt>
                <c:pt idx="5">
                  <c:v>5M-2018</c:v>
                </c:pt>
                <c:pt idx="6">
                  <c:v>5M-2019</c:v>
                </c:pt>
                <c:pt idx="7">
                  <c:v>5M-2020</c:v>
                </c:pt>
                <c:pt idx="8">
                  <c:v>5M-2021</c:v>
                </c:pt>
                <c:pt idx="9">
                  <c:v>5M-2022</c:v>
                </c:pt>
                <c:pt idx="10">
                  <c:v>5M-2023</c:v>
                </c:pt>
              </c:strCache>
            </c:strRef>
          </c:cat>
          <c:val>
            <c:numRef>
              <c:f>'Te ardhurat 2023'!$L$6:$V$6</c:f>
              <c:numCache>
                <c:formatCode>#,##0</c:formatCode>
                <c:ptCount val="11"/>
                <c:pt idx="0">
                  <c:v>1346</c:v>
                </c:pt>
                <c:pt idx="1">
                  <c:v>1931</c:v>
                </c:pt>
                <c:pt idx="2">
                  <c:v>2101</c:v>
                </c:pt>
                <c:pt idx="3">
                  <c:v>2316</c:v>
                </c:pt>
                <c:pt idx="4">
                  <c:v>2535</c:v>
                </c:pt>
                <c:pt idx="5">
                  <c:v>2197.4</c:v>
                </c:pt>
                <c:pt idx="6">
                  <c:v>2665.3</c:v>
                </c:pt>
                <c:pt idx="7">
                  <c:v>1408.9</c:v>
                </c:pt>
                <c:pt idx="8">
                  <c:v>2788.8</c:v>
                </c:pt>
                <c:pt idx="9">
                  <c:v>2958.09</c:v>
                </c:pt>
                <c:pt idx="10">
                  <c:v>2728.6</c:v>
                </c:pt>
              </c:numCache>
            </c:numRef>
          </c:val>
          <c:extLst>
            <c:ext xmlns:c16="http://schemas.microsoft.com/office/drawing/2014/chart" uri="{C3380CC4-5D6E-409C-BE32-E72D297353CC}">
              <c16:uniqueId val="{00000000-A102-4E33-BF7B-1648137628E7}"/>
            </c:ext>
          </c:extLst>
        </c:ser>
        <c:dLbls>
          <c:showLegendKey val="0"/>
          <c:showVal val="0"/>
          <c:showCatName val="0"/>
          <c:showSerName val="0"/>
          <c:showPercent val="0"/>
          <c:showBubbleSize val="0"/>
        </c:dLbls>
        <c:gapWidth val="40"/>
        <c:axId val="100833152"/>
        <c:axId val="100834688"/>
      </c:barChart>
      <c:lineChart>
        <c:grouping val="standard"/>
        <c:varyColors val="0"/>
        <c:ser>
          <c:idx val="0"/>
          <c:order val="1"/>
          <c:tx>
            <c:strRef>
              <c:f>'Te ardhurat 2023'!$C$7</c:f>
              <c:strCache>
                <c:ptCount val="1"/>
                <c:pt idx="0">
                  <c:v>Ritmi i rritjes</c:v>
                </c:pt>
              </c:strCache>
            </c:strRef>
          </c:tx>
          <c:spPr>
            <a:ln w="31750">
              <a:solidFill>
                <a:srgbClr val="002060"/>
              </a:solidFill>
            </a:ln>
          </c:spPr>
          <c:marker>
            <c:symbol val="square"/>
            <c:size val="5"/>
            <c:spPr>
              <a:ln>
                <a:solidFill>
                  <a:srgbClr val="002060"/>
                </a:solidFill>
              </a:ln>
            </c:spPr>
          </c:marker>
          <c:dLbls>
            <c:dLbl>
              <c:idx val="3"/>
              <c:layout>
                <c:manualLayout>
                  <c:x val="-4.9938829074937068E-2"/>
                  <c:y val="-3.54686563056022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102-4E33-BF7B-1648137628E7}"/>
                </c:ext>
              </c:extLst>
            </c:dLbl>
            <c:dLbl>
              <c:idx val="7"/>
              <c:layout>
                <c:manualLayout>
                  <c:x val="-5.0784935703700781E-2"/>
                  <c:y val="-8.6888493776987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102-4E33-BF7B-1648137628E7}"/>
                </c:ext>
              </c:extLst>
            </c:dLbl>
            <c:dLbl>
              <c:idx val="8"/>
              <c:layout>
                <c:manualLayout>
                  <c:x val="-4.5604526305281098E-2"/>
                  <c:y val="-8.4149944966556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102-4E33-BF7B-1648137628E7}"/>
                </c:ext>
              </c:extLst>
            </c:dLbl>
            <c:dLbl>
              <c:idx val="9"/>
              <c:layout>
                <c:manualLayout>
                  <c:x val="-3.1283339628770578E-2"/>
                  <c:y val="-0.1237384870563328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102-4E33-BF7B-1648137628E7}"/>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'Te ardhurat 2023'!$L$3:$V$3</c:f>
              <c:strCache>
                <c:ptCount val="11"/>
                <c:pt idx="0">
                  <c:v>5M-2013</c:v>
                </c:pt>
                <c:pt idx="1">
                  <c:v>5M-2014</c:v>
                </c:pt>
                <c:pt idx="2">
                  <c:v>5M-2015</c:v>
                </c:pt>
                <c:pt idx="3">
                  <c:v>5M-2016</c:v>
                </c:pt>
                <c:pt idx="4">
                  <c:v>5M-2017</c:v>
                </c:pt>
                <c:pt idx="5">
                  <c:v>5M-2018</c:v>
                </c:pt>
                <c:pt idx="6">
                  <c:v>5M-2019</c:v>
                </c:pt>
                <c:pt idx="7">
                  <c:v>5M-2020</c:v>
                </c:pt>
                <c:pt idx="8">
                  <c:v>5M-2021</c:v>
                </c:pt>
                <c:pt idx="9">
                  <c:v>5M-2022</c:v>
                </c:pt>
                <c:pt idx="10">
                  <c:v>5M-2023</c:v>
                </c:pt>
              </c:strCache>
            </c:strRef>
          </c:cat>
          <c:val>
            <c:numRef>
              <c:f>'Te ardhurat 2023'!$L$7:$V$7</c:f>
              <c:numCache>
                <c:formatCode>0%</c:formatCode>
                <c:ptCount val="11"/>
                <c:pt idx="0">
                  <c:v>-5.0775740479548657E-2</c:v>
                </c:pt>
                <c:pt idx="1">
                  <c:v>0.43462109955423478</c:v>
                </c:pt>
                <c:pt idx="2">
                  <c:v>8.8037286380113933E-2</c:v>
                </c:pt>
                <c:pt idx="3">
                  <c:v>0.10233222275107091</c:v>
                </c:pt>
                <c:pt idx="4">
                  <c:v>9.4559585492227982E-2</c:v>
                </c:pt>
                <c:pt idx="5">
                  <c:v>-0.1331755424063116</c:v>
                </c:pt>
                <c:pt idx="6">
                  <c:v>0.2129334668244289</c:v>
                </c:pt>
                <c:pt idx="7">
                  <c:v>-0.47139158818894683</c:v>
                </c:pt>
                <c:pt idx="8">
                  <c:v>0.97941656611540917</c:v>
                </c:pt>
                <c:pt idx="9">
                  <c:v>6.0703528399311514E-2</c:v>
                </c:pt>
                <c:pt idx="10">
                  <c:v>-7.7580465773522858E-2</c:v>
                </c:pt>
              </c:numCache>
            </c:numRef>
          </c:val>
          <c:smooth val="1"/>
          <c:extLst>
            <c:ext xmlns:c16="http://schemas.microsoft.com/office/drawing/2014/chart" uri="{C3380CC4-5D6E-409C-BE32-E72D297353CC}">
              <c16:uniqueId val="{00000005-A102-4E33-BF7B-1648137628E7}"/>
            </c:ext>
          </c:extLst>
        </c:ser>
        <c:dLbls>
          <c:showLegendKey val="0"/>
          <c:showVal val="0"/>
          <c:showCatName val="0"/>
          <c:showSerName val="0"/>
          <c:showPercent val="0"/>
          <c:showBubbleSize val="0"/>
        </c:dLbls>
        <c:marker val="1"/>
        <c:smooth val="0"/>
        <c:axId val="100846976"/>
        <c:axId val="100845440"/>
      </c:lineChart>
      <c:catAx>
        <c:axId val="100833152"/>
        <c:scaling>
          <c:orientation val="minMax"/>
        </c:scaling>
        <c:delete val="0"/>
        <c:axPos val="b"/>
        <c:numFmt formatCode="General" sourceLinked="1"/>
        <c:majorTickMark val="cross"/>
        <c:minorTickMark val="none"/>
        <c:tickLblPos val="nextTo"/>
        <c:txPr>
          <a:bodyPr rot="0" vert="horz"/>
          <a:lstStyle/>
          <a:p>
            <a:pPr>
              <a:defRPr sz="800"/>
            </a:pPr>
            <a:endParaRPr lang="en-US"/>
          </a:p>
        </c:txPr>
        <c:crossAx val="100834688"/>
        <c:crosses val="autoZero"/>
        <c:auto val="0"/>
        <c:lblAlgn val="ctr"/>
        <c:lblOffset val="100"/>
        <c:tickLblSkip val="1"/>
        <c:tickMarkSkip val="1"/>
        <c:noMultiLvlLbl val="0"/>
      </c:catAx>
      <c:valAx>
        <c:axId val="100834688"/>
        <c:scaling>
          <c:orientation val="minMax"/>
        </c:scaling>
        <c:delete val="0"/>
        <c:axPos val="l"/>
        <c:title>
          <c:tx>
            <c:rich>
              <a:bodyPr/>
              <a:lstStyle/>
              <a:p>
                <a:pPr>
                  <a:defRPr/>
                </a:pPr>
                <a:r>
                  <a:rPr lang="sq-AL"/>
                  <a:t>Në miliardë</a:t>
                </a:r>
              </a:p>
            </c:rich>
          </c:tx>
          <c:layout>
            <c:manualLayout>
              <c:xMode val="edge"/>
              <c:yMode val="edge"/>
              <c:x val="3.724210106648061E-3"/>
              <c:y val="2.9557502495286696E-2"/>
            </c:manualLayout>
          </c:layout>
          <c:overlay val="0"/>
        </c:title>
        <c:numFmt formatCode="#,##0.0" sourceLinked="0"/>
        <c:majorTickMark val="cross"/>
        <c:minorTickMark val="none"/>
        <c:tickLblPos val="nextTo"/>
        <c:txPr>
          <a:bodyPr rot="0" vert="horz"/>
          <a:lstStyle/>
          <a:p>
            <a:pPr>
              <a:defRPr/>
            </a:pPr>
            <a:endParaRPr lang="en-US"/>
          </a:p>
        </c:txPr>
        <c:crossAx val="100833152"/>
        <c:crosses val="autoZero"/>
        <c:crossBetween val="between"/>
        <c:dispUnits>
          <c:builtInUnit val="thousands"/>
        </c:dispUnits>
      </c:valAx>
      <c:valAx>
        <c:axId val="100845440"/>
        <c:scaling>
          <c:orientation val="minMax"/>
        </c:scaling>
        <c:delete val="0"/>
        <c:axPos val="r"/>
        <c:numFmt formatCode="0%" sourceLinked="1"/>
        <c:majorTickMark val="out"/>
        <c:minorTickMark val="none"/>
        <c:tickLblPos val="nextTo"/>
        <c:crossAx val="100846976"/>
        <c:crosses val="max"/>
        <c:crossBetween val="between"/>
      </c:valAx>
      <c:catAx>
        <c:axId val="100846976"/>
        <c:scaling>
          <c:orientation val="minMax"/>
        </c:scaling>
        <c:delete val="1"/>
        <c:axPos val="b"/>
        <c:numFmt formatCode="General" sourceLinked="1"/>
        <c:majorTickMark val="out"/>
        <c:minorTickMark val="none"/>
        <c:tickLblPos val="nextTo"/>
        <c:crossAx val="100845440"/>
        <c:crosses val="autoZero"/>
        <c:auto val="0"/>
        <c:lblAlgn val="ctr"/>
        <c:lblOffset val="100"/>
        <c:noMultiLvlLbl val="0"/>
      </c:catAx>
      <c:spPr>
        <a:solidFill>
          <a:sysClr val="window" lastClr="FFFFFF"/>
        </a:solidFill>
      </c:spPr>
    </c:plotArea>
    <c:legend>
      <c:legendPos val="b"/>
      <c:layout>
        <c:manualLayout>
          <c:xMode val="edge"/>
          <c:yMode val="edge"/>
          <c:x val="0.11312369181700389"/>
          <c:y val="0.85483909619993148"/>
          <c:w val="0.79066902351491775"/>
          <c:h val="9.0301689816862818E-2"/>
        </c:manualLayout>
      </c:layout>
      <c:overlay val="0"/>
    </c:legend>
    <c:plotVisOnly val="1"/>
    <c:dispBlanksAs val="gap"/>
    <c:showDLblsOverMax val="0"/>
  </c:chart>
  <c:spPr>
    <a:solidFill>
      <a:srgbClr val="4F81BD">
        <a:lumMod val="20000"/>
        <a:lumOff val="80000"/>
      </a:srgbClr>
    </a:solidFill>
  </c:spPr>
  <c:txPr>
    <a:bodyPr/>
    <a:lstStyle/>
    <a:p>
      <a:pPr>
        <a:defRPr sz="9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011430814138891E-2"/>
          <c:y val="2.7156011799801913E-2"/>
          <c:w val="0.85334510756248927"/>
          <c:h val="0.66108267716535429"/>
        </c:manualLayout>
      </c:layout>
      <c:barChart>
        <c:barDir val="col"/>
        <c:grouping val="clustered"/>
        <c:varyColors val="0"/>
        <c:ser>
          <c:idx val="1"/>
          <c:order val="0"/>
          <c:tx>
            <c:strRef>
              <c:f>'Shpenzimet 2023'!$B$5</c:f>
              <c:strCache>
                <c:ptCount val="1"/>
                <c:pt idx="0">
                  <c:v>Buxheti lokal </c:v>
                </c:pt>
              </c:strCache>
            </c:strRef>
          </c:tx>
          <c:spPr>
            <a:solidFill>
              <a:srgbClr val="C0504D">
                <a:lumMod val="40000"/>
                <a:lumOff val="60000"/>
              </a:srgbClr>
            </a:solidFill>
            <a:ln>
              <a:noFill/>
            </a:ln>
          </c:spPr>
          <c:invertIfNegative val="0"/>
          <c:dLbls>
            <c:numFmt formatCode="#,##0.0" sourceLinked="0"/>
            <c:spPr>
              <a:noFill/>
              <a:ln>
                <a:noFill/>
              </a:ln>
              <a:effectLst/>
            </c:sp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'Shpenzimet 2023'!$L$4:$V$4</c:f>
              <c:strCache>
                <c:ptCount val="11"/>
                <c:pt idx="0">
                  <c:v>5M-2013</c:v>
                </c:pt>
                <c:pt idx="1">
                  <c:v>5M-2014</c:v>
                </c:pt>
                <c:pt idx="2">
                  <c:v>5M-2015</c:v>
                </c:pt>
                <c:pt idx="3">
                  <c:v>5M-2016</c:v>
                </c:pt>
                <c:pt idx="4">
                  <c:v>5M-2017</c:v>
                </c:pt>
                <c:pt idx="5">
                  <c:v>5M-2018</c:v>
                </c:pt>
                <c:pt idx="6">
                  <c:v>5M-2019</c:v>
                </c:pt>
                <c:pt idx="7">
                  <c:v>5M-2020</c:v>
                </c:pt>
                <c:pt idx="8">
                  <c:v>5M-2021</c:v>
                </c:pt>
                <c:pt idx="9">
                  <c:v>5M-2022</c:v>
                </c:pt>
                <c:pt idx="10">
                  <c:v>5M-2023</c:v>
                </c:pt>
              </c:strCache>
            </c:strRef>
          </c:cat>
          <c:val>
            <c:numRef>
              <c:f>'Shpenzimet 2023'!$L$5:$V$5</c:f>
              <c:numCache>
                <c:formatCode>#,##0</c:formatCode>
                <c:ptCount val="11"/>
                <c:pt idx="0">
                  <c:v>12437</c:v>
                </c:pt>
                <c:pt idx="1">
                  <c:v>9927</c:v>
                </c:pt>
                <c:pt idx="2">
                  <c:v>12467</c:v>
                </c:pt>
                <c:pt idx="3">
                  <c:v>11761</c:v>
                </c:pt>
                <c:pt idx="4">
                  <c:v>18816</c:v>
                </c:pt>
                <c:pt idx="5">
                  <c:v>21813.61</c:v>
                </c:pt>
                <c:pt idx="6">
                  <c:v>23652</c:v>
                </c:pt>
                <c:pt idx="7">
                  <c:v>17202</c:v>
                </c:pt>
                <c:pt idx="8">
                  <c:v>19809</c:v>
                </c:pt>
                <c:pt idx="9">
                  <c:v>24478.78</c:v>
                </c:pt>
                <c:pt idx="10">
                  <c:v>23753</c:v>
                </c:pt>
              </c:numCache>
            </c:numRef>
          </c:val>
          <c:extLst>
            <c:ext xmlns:c16="http://schemas.microsoft.com/office/drawing/2014/chart" uri="{C3380CC4-5D6E-409C-BE32-E72D297353CC}">
              <c16:uniqueId val="{00000000-3BEA-4C06-A737-D93D5ACB2A71}"/>
            </c:ext>
          </c:extLst>
        </c:ser>
        <c:dLbls>
          <c:showLegendKey val="0"/>
          <c:showVal val="0"/>
          <c:showCatName val="0"/>
          <c:showSerName val="0"/>
          <c:showPercent val="0"/>
          <c:showBubbleSize val="0"/>
        </c:dLbls>
        <c:gapWidth val="40"/>
        <c:axId val="100124928"/>
        <c:axId val="100130816"/>
      </c:barChart>
      <c:lineChart>
        <c:grouping val="standard"/>
        <c:varyColors val="0"/>
        <c:ser>
          <c:idx val="0"/>
          <c:order val="1"/>
          <c:tx>
            <c:strRef>
              <c:f>'Shpenzimet 2023'!$B$6</c:f>
              <c:strCache>
                <c:ptCount val="1"/>
                <c:pt idx="0">
                  <c:v>Ritmi i rritjes</c:v>
                </c:pt>
              </c:strCache>
            </c:strRef>
          </c:tx>
          <c:spPr>
            <a:ln w="31750">
              <a:solidFill>
                <a:srgbClr val="002060"/>
              </a:solidFill>
            </a:ln>
          </c:spPr>
          <c:marker>
            <c:symbol val="square"/>
            <c:size val="5"/>
            <c:spPr>
              <a:ln>
                <a:solidFill>
                  <a:srgbClr val="002060"/>
                </a:solidFill>
              </a:ln>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'Shpenzimet 2023'!$L$4:$V$4</c:f>
              <c:strCache>
                <c:ptCount val="11"/>
                <c:pt idx="0">
                  <c:v>5M-2013</c:v>
                </c:pt>
                <c:pt idx="1">
                  <c:v>5M-2014</c:v>
                </c:pt>
                <c:pt idx="2">
                  <c:v>5M-2015</c:v>
                </c:pt>
                <c:pt idx="3">
                  <c:v>5M-2016</c:v>
                </c:pt>
                <c:pt idx="4">
                  <c:v>5M-2017</c:v>
                </c:pt>
                <c:pt idx="5">
                  <c:v>5M-2018</c:v>
                </c:pt>
                <c:pt idx="6">
                  <c:v>5M-2019</c:v>
                </c:pt>
                <c:pt idx="7">
                  <c:v>5M-2020</c:v>
                </c:pt>
                <c:pt idx="8">
                  <c:v>5M-2021</c:v>
                </c:pt>
                <c:pt idx="9">
                  <c:v>5M-2022</c:v>
                </c:pt>
                <c:pt idx="10">
                  <c:v>5M-2023</c:v>
                </c:pt>
              </c:strCache>
            </c:strRef>
          </c:cat>
          <c:val>
            <c:numRef>
              <c:f>'Shpenzimet 2023'!$L$6:$V$6</c:f>
              <c:numCache>
                <c:formatCode>0%</c:formatCode>
                <c:ptCount val="11"/>
                <c:pt idx="0">
                  <c:v>0.13600657654366094</c:v>
                </c:pt>
                <c:pt idx="1">
                  <c:v>-0.2018171584787328</c:v>
                </c:pt>
                <c:pt idx="2">
                  <c:v>0.25586783519693762</c:v>
                </c:pt>
                <c:pt idx="3">
                  <c:v>-5.6629501884976341E-2</c:v>
                </c:pt>
                <c:pt idx="4">
                  <c:v>0.5998639571465012</c:v>
                </c:pt>
                <c:pt idx="5">
                  <c:v>0.15931175595238098</c:v>
                </c:pt>
                <c:pt idx="6">
                  <c:v>8.4277201251878958E-2</c:v>
                </c:pt>
                <c:pt idx="7">
                  <c:v>-0.27270421106037546</c:v>
                </c:pt>
                <c:pt idx="8">
                  <c:v>0.15155214509940704</c:v>
                </c:pt>
                <c:pt idx="9" formatCode="0.0%">
                  <c:v>0.23574032005653989</c:v>
                </c:pt>
                <c:pt idx="10" formatCode="0.0%">
                  <c:v>-2.9649353439999825E-2</c:v>
                </c:pt>
              </c:numCache>
            </c:numRef>
          </c:val>
          <c:smooth val="1"/>
          <c:extLst>
            <c:ext xmlns:c16="http://schemas.microsoft.com/office/drawing/2014/chart" uri="{C3380CC4-5D6E-409C-BE32-E72D297353CC}">
              <c16:uniqueId val="{00000001-3BEA-4C06-A737-D93D5ACB2A71}"/>
            </c:ext>
          </c:extLst>
        </c:ser>
        <c:dLbls>
          <c:showLegendKey val="0"/>
          <c:showVal val="0"/>
          <c:showCatName val="0"/>
          <c:showSerName val="0"/>
          <c:showPercent val="0"/>
          <c:showBubbleSize val="0"/>
        </c:dLbls>
        <c:marker val="1"/>
        <c:smooth val="0"/>
        <c:axId val="411139888"/>
        <c:axId val="411143824"/>
      </c:lineChart>
      <c:catAx>
        <c:axId val="100124928"/>
        <c:scaling>
          <c:orientation val="minMax"/>
        </c:scaling>
        <c:delete val="0"/>
        <c:axPos val="b"/>
        <c:numFmt formatCode="General" sourceLinked="1"/>
        <c:majorTickMark val="cross"/>
        <c:minorTickMark val="none"/>
        <c:tickLblPos val="nextTo"/>
        <c:txPr>
          <a:bodyPr rot="0" vert="horz"/>
          <a:lstStyle/>
          <a:p>
            <a:pPr>
              <a:defRPr/>
            </a:pPr>
            <a:endParaRPr lang="en-US"/>
          </a:p>
        </c:txPr>
        <c:crossAx val="100130816"/>
        <c:crosses val="autoZero"/>
        <c:auto val="0"/>
        <c:lblAlgn val="ctr"/>
        <c:lblOffset val="100"/>
        <c:tickLblSkip val="1"/>
        <c:tickMarkSkip val="1"/>
        <c:noMultiLvlLbl val="0"/>
      </c:catAx>
      <c:valAx>
        <c:axId val="100130816"/>
        <c:scaling>
          <c:orientation val="minMax"/>
        </c:scaling>
        <c:delete val="0"/>
        <c:axPos val="l"/>
        <c:title>
          <c:tx>
            <c:rich>
              <a:bodyPr/>
              <a:lstStyle/>
              <a:p>
                <a:pPr>
                  <a:defRPr/>
                </a:pPr>
                <a:r>
                  <a:rPr lang="sq-AL"/>
                  <a:t>Në miliardë</a:t>
                </a:r>
              </a:p>
            </c:rich>
          </c:tx>
          <c:layout>
            <c:manualLayout>
              <c:xMode val="edge"/>
              <c:yMode val="edge"/>
              <c:x val="2.7269719515383105E-4"/>
              <c:y val="5.0643145636942395E-2"/>
            </c:manualLayout>
          </c:layout>
          <c:overlay val="0"/>
        </c:title>
        <c:numFmt formatCode="#,##0.0" sourceLinked="0"/>
        <c:majorTickMark val="cross"/>
        <c:minorTickMark val="none"/>
        <c:tickLblPos val="nextTo"/>
        <c:txPr>
          <a:bodyPr rot="0" vert="horz"/>
          <a:lstStyle/>
          <a:p>
            <a:pPr>
              <a:defRPr/>
            </a:pPr>
            <a:endParaRPr lang="en-US"/>
          </a:p>
        </c:txPr>
        <c:crossAx val="100124928"/>
        <c:crosses val="autoZero"/>
        <c:crossBetween val="between"/>
        <c:dispUnits>
          <c:builtInUnit val="thousands"/>
        </c:dispUnits>
      </c:valAx>
      <c:valAx>
        <c:axId val="411143824"/>
        <c:scaling>
          <c:orientation val="minMax"/>
        </c:scaling>
        <c:delete val="0"/>
        <c:axPos val="r"/>
        <c:numFmt formatCode="0%" sourceLinked="1"/>
        <c:majorTickMark val="out"/>
        <c:minorTickMark val="none"/>
        <c:tickLblPos val="nextTo"/>
        <c:crossAx val="411139888"/>
        <c:crosses val="max"/>
        <c:crossBetween val="between"/>
      </c:valAx>
      <c:catAx>
        <c:axId val="411139888"/>
        <c:scaling>
          <c:orientation val="minMax"/>
        </c:scaling>
        <c:delete val="1"/>
        <c:axPos val="b"/>
        <c:numFmt formatCode="General" sourceLinked="1"/>
        <c:majorTickMark val="out"/>
        <c:minorTickMark val="none"/>
        <c:tickLblPos val="nextTo"/>
        <c:crossAx val="411143824"/>
        <c:crosses val="autoZero"/>
        <c:auto val="0"/>
        <c:lblAlgn val="ctr"/>
        <c:lblOffset val="100"/>
        <c:noMultiLvlLbl val="0"/>
      </c:catAx>
      <c:spPr>
        <a:solidFill>
          <a:sysClr val="window" lastClr="FFFFFF"/>
        </a:solidFill>
      </c:spPr>
    </c:plotArea>
    <c:legend>
      <c:legendPos val="b"/>
      <c:layout>
        <c:manualLayout>
          <c:xMode val="edge"/>
          <c:yMode val="edge"/>
          <c:x val="0.1852472910159973"/>
          <c:y val="0.90908113446894179"/>
          <c:w val="0.61611846940185111"/>
          <c:h val="9.0301689816862818E-2"/>
        </c:manualLayout>
      </c:layout>
      <c:overlay val="0"/>
    </c:legend>
    <c:plotVisOnly val="1"/>
    <c:dispBlanksAs val="gap"/>
    <c:showDLblsOverMax val="0"/>
  </c:chart>
  <c:spPr>
    <a:solidFill>
      <a:srgbClr val="4F81BD">
        <a:lumMod val="20000"/>
        <a:lumOff val="80000"/>
      </a:srgbClr>
    </a:solidFill>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133889999501357E-2"/>
          <c:y val="6.3476908690406994E-2"/>
          <c:w val="0.88960257230972706"/>
          <c:h val="0.64982098089756712"/>
        </c:manualLayout>
      </c:layout>
      <c:barChart>
        <c:barDir val="col"/>
        <c:grouping val="clustered"/>
        <c:varyColors val="0"/>
        <c:ser>
          <c:idx val="0"/>
          <c:order val="0"/>
          <c:tx>
            <c:strRef>
              <c:f>'Shpenzimet 2023'!$C$26</c:f>
              <c:strCache>
                <c:ptCount val="1"/>
                <c:pt idx="0">
                  <c:v> 5 mujori 2023</c:v>
                </c:pt>
              </c:strCache>
            </c:strRef>
          </c:tx>
          <c:spPr>
            <a:solidFill>
              <a:schemeClr val="accent2">
                <a:lumMod val="40000"/>
                <a:lumOff val="60000"/>
              </a:scheme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'Shpenzimet 2023'!$D$25:$I$25</c:f>
              <c:strCache>
                <c:ptCount val="6"/>
                <c:pt idx="0">
                  <c:v>Paga</c:v>
                </c:pt>
                <c:pt idx="1">
                  <c:v>Sigurime</c:v>
                </c:pt>
                <c:pt idx="2">
                  <c:v>Operative</c:v>
                </c:pt>
                <c:pt idx="3">
                  <c:v>Subvencione</c:v>
                </c:pt>
                <c:pt idx="4">
                  <c:v>Te tjera</c:v>
                </c:pt>
                <c:pt idx="5">
                  <c:v>Shpenzime Kapitale</c:v>
                </c:pt>
              </c:strCache>
            </c:strRef>
          </c:cat>
          <c:val>
            <c:numRef>
              <c:f>'Shpenzimet 2023'!$D$26:$I$26</c:f>
              <c:numCache>
                <c:formatCode>#,##0</c:formatCode>
                <c:ptCount val="6"/>
                <c:pt idx="0">
                  <c:v>9922.2999999999993</c:v>
                </c:pt>
                <c:pt idx="1">
                  <c:v>1658.93</c:v>
                </c:pt>
                <c:pt idx="2">
                  <c:v>6343.8145000000004</c:v>
                </c:pt>
                <c:pt idx="3">
                  <c:v>194.77681999999999</c:v>
                </c:pt>
                <c:pt idx="4">
                  <c:v>676.18499999999995</c:v>
                </c:pt>
                <c:pt idx="5">
                  <c:v>4957.4690810000002</c:v>
                </c:pt>
              </c:numCache>
            </c:numRef>
          </c:val>
          <c:extLst>
            <c:ext xmlns:c16="http://schemas.microsoft.com/office/drawing/2014/chart" uri="{C3380CC4-5D6E-409C-BE32-E72D297353CC}">
              <c16:uniqueId val="{00000000-EFC2-4C64-A179-0F558D394F50}"/>
            </c:ext>
          </c:extLst>
        </c:ser>
        <c:ser>
          <c:idx val="1"/>
          <c:order val="1"/>
          <c:tx>
            <c:strRef>
              <c:f>'Shpenzimet 2023'!$C$27</c:f>
              <c:strCache>
                <c:ptCount val="1"/>
                <c:pt idx="0">
                  <c:v> 5 mujori 2022</c:v>
                </c:pt>
              </c:strCache>
            </c:strRef>
          </c:tx>
          <c:spPr>
            <a:solidFill>
              <a:schemeClr val="accent4">
                <a:lumMod val="60000"/>
                <a:lumOff val="40000"/>
              </a:schemeClr>
            </a:solidFill>
          </c:spPr>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'Shpenzimet 2023'!$D$25:$I$25</c:f>
              <c:strCache>
                <c:ptCount val="6"/>
                <c:pt idx="0">
                  <c:v>Paga</c:v>
                </c:pt>
                <c:pt idx="1">
                  <c:v>Sigurime</c:v>
                </c:pt>
                <c:pt idx="2">
                  <c:v>Operative</c:v>
                </c:pt>
                <c:pt idx="3">
                  <c:v>Subvencione</c:v>
                </c:pt>
                <c:pt idx="4">
                  <c:v>Te tjera</c:v>
                </c:pt>
                <c:pt idx="5">
                  <c:v>Shpenzime Kapitale</c:v>
                </c:pt>
              </c:strCache>
            </c:strRef>
          </c:cat>
          <c:val>
            <c:numRef>
              <c:f>'Shpenzimet 2023'!$D$27:$I$27</c:f>
              <c:numCache>
                <c:formatCode>#,##0</c:formatCode>
                <c:ptCount val="6"/>
                <c:pt idx="0">
                  <c:v>8660.697236</c:v>
                </c:pt>
                <c:pt idx="1">
                  <c:v>1447.0272239999999</c:v>
                </c:pt>
                <c:pt idx="2">
                  <c:v>5886.0764429999999</c:v>
                </c:pt>
                <c:pt idx="3">
                  <c:v>70.707858000000002</c:v>
                </c:pt>
                <c:pt idx="4">
                  <c:v>1665.982</c:v>
                </c:pt>
                <c:pt idx="5">
                  <c:v>6748.5</c:v>
                </c:pt>
              </c:numCache>
            </c:numRef>
          </c:val>
          <c:extLst>
            <c:ext xmlns:c16="http://schemas.microsoft.com/office/drawing/2014/chart" uri="{C3380CC4-5D6E-409C-BE32-E72D297353CC}">
              <c16:uniqueId val="{00000001-EFC2-4C64-A179-0F558D394F50}"/>
            </c:ext>
          </c:extLst>
        </c:ser>
        <c:dLbls>
          <c:showLegendKey val="0"/>
          <c:showVal val="0"/>
          <c:showCatName val="0"/>
          <c:showSerName val="0"/>
          <c:showPercent val="0"/>
          <c:showBubbleSize val="0"/>
        </c:dLbls>
        <c:gapWidth val="48"/>
        <c:overlap val="-3"/>
        <c:axId val="99673984"/>
        <c:axId val="99675520"/>
      </c:barChart>
      <c:catAx>
        <c:axId val="99673984"/>
        <c:scaling>
          <c:orientation val="minMax"/>
        </c:scaling>
        <c:delete val="0"/>
        <c:axPos val="b"/>
        <c:numFmt formatCode="General" sourceLinked="0"/>
        <c:majorTickMark val="none"/>
        <c:minorTickMark val="none"/>
        <c:tickLblPos val="nextTo"/>
        <c:txPr>
          <a:bodyPr/>
          <a:lstStyle/>
          <a:p>
            <a:pPr>
              <a:defRPr b="1"/>
            </a:pPr>
            <a:endParaRPr lang="en-US"/>
          </a:p>
        </c:txPr>
        <c:crossAx val="99675520"/>
        <c:crosses val="autoZero"/>
        <c:auto val="1"/>
        <c:lblAlgn val="ctr"/>
        <c:lblOffset val="100"/>
        <c:noMultiLvlLbl val="0"/>
      </c:catAx>
      <c:valAx>
        <c:axId val="99675520"/>
        <c:scaling>
          <c:orientation val="minMax"/>
        </c:scaling>
        <c:delete val="0"/>
        <c:axPos val="l"/>
        <c:majorGridlines>
          <c:spPr>
            <a:ln>
              <a:noFill/>
            </a:ln>
          </c:spPr>
        </c:majorGridlines>
        <c:title>
          <c:tx>
            <c:rich>
              <a:bodyPr rot="-5400000" vert="horz"/>
              <a:lstStyle/>
              <a:p>
                <a:pPr>
                  <a:defRPr/>
                </a:pPr>
                <a:r>
                  <a:rPr lang="sq-AL"/>
                  <a:t>Në milion lek</a:t>
                </a:r>
                <a:r>
                  <a:rPr lang="en-US"/>
                  <a:t>ë</a:t>
                </a:r>
                <a:endParaRPr lang="sq-AL"/>
              </a:p>
            </c:rich>
          </c:tx>
          <c:layout>
            <c:manualLayout>
              <c:xMode val="edge"/>
              <c:yMode val="edge"/>
              <c:x val="1.1500227037165647E-3"/>
              <c:y val="3.1090995692765605E-2"/>
            </c:manualLayout>
          </c:layout>
          <c:overlay val="0"/>
        </c:title>
        <c:numFmt formatCode="#,##0" sourceLinked="1"/>
        <c:majorTickMark val="none"/>
        <c:minorTickMark val="none"/>
        <c:tickLblPos val="nextTo"/>
        <c:crossAx val="99673984"/>
        <c:crosses val="autoZero"/>
        <c:crossBetween val="between"/>
      </c:valAx>
      <c:spPr>
        <a:noFill/>
        <a:effectLst>
          <a:glow rad="127000">
            <a:schemeClr val="bg1"/>
          </a:glow>
          <a:outerShdw blurRad="50800" dist="50800" dir="5400000" algn="ctr" rotWithShape="0">
            <a:schemeClr val="bg1"/>
          </a:outerShdw>
        </a:effectLst>
      </c:spPr>
    </c:plotArea>
    <c:legend>
      <c:legendPos val="r"/>
      <c:layout>
        <c:manualLayout>
          <c:xMode val="edge"/>
          <c:yMode val="edge"/>
          <c:x val="0.20656903868324872"/>
          <c:y val="0.87990254581406024"/>
          <c:w val="0.60824174180300006"/>
          <c:h val="5.1232757432799279E-2"/>
        </c:manualLayout>
      </c:layout>
      <c:overlay val="0"/>
      <c:txPr>
        <a:bodyPr/>
        <a:lstStyle/>
        <a:p>
          <a:pPr>
            <a:defRPr b="1"/>
          </a:pPr>
          <a:endParaRPr lang="en-US"/>
        </a:p>
      </c:txPr>
    </c:legend>
    <c:plotVisOnly val="1"/>
    <c:dispBlanksAs val="gap"/>
    <c:showDLblsOverMax val="0"/>
  </c:chart>
  <c:spPr>
    <a:solidFill>
      <a:schemeClr val="accent1">
        <a:lumMod val="20000"/>
        <a:lumOff val="80000"/>
      </a:schemeClr>
    </a:solidFill>
  </c:spPr>
  <c:txPr>
    <a:bodyPr/>
    <a:lstStyle/>
    <a:p>
      <a:pPr>
        <a:defRPr sz="800"/>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66357550556436"/>
          <c:y val="4.8198956119078276E-2"/>
          <c:w val="0.81829388282542315"/>
          <c:h val="0.68219512195121956"/>
        </c:manualLayout>
      </c:layout>
      <c:barChart>
        <c:barDir val="col"/>
        <c:grouping val="clustered"/>
        <c:varyColors val="0"/>
        <c:ser>
          <c:idx val="0"/>
          <c:order val="0"/>
          <c:tx>
            <c:strRef>
              <c:f>'Stoku i Borxhit'!$A$27</c:f>
              <c:strCache>
                <c:ptCount val="1"/>
                <c:pt idx="0">
                  <c:v>Borxhi Shtetëror</c:v>
                </c:pt>
              </c:strCache>
            </c:strRef>
          </c:tx>
          <c:spPr>
            <a:solidFill>
              <a:schemeClr val="accent1">
                <a:lumMod val="50000"/>
              </a:schemeClr>
            </a:solidFill>
            <a:ln>
              <a:noFill/>
            </a:ln>
            <a:effectLst/>
          </c:spPr>
          <c:invertIfNegative val="0"/>
          <c:dLbls>
            <c:dLbl>
              <c:idx val="31"/>
              <c:layout>
                <c:manualLayout>
                  <c:x val="-1.6339680523662022E-17"/>
                  <c:y val="0.43100785405626568"/>
                </c:manualLayout>
              </c:layout>
              <c:dLblPos val="outEnd"/>
              <c:showLegendKey val="0"/>
              <c:showVal val="1"/>
              <c:showCatName val="0"/>
              <c:showSerName val="0"/>
              <c:showPercent val="0"/>
              <c:showBubbleSize val="0"/>
              <c:extLst xmlns:c16="http://schemas.microsoft.com/office/drawing/2014/chart" xmlns:c15="http://schemas.microsoft.com/office/drawing/2012/chart">
                <c:ext xmlns:c15="http://schemas.microsoft.com/office/drawing/2012/chart" uri="{CE6537A1-D6FC-4f65-9D91-7224C49458BB}"/>
                <c:ext xmlns:c16="http://schemas.microsoft.com/office/drawing/2014/chart" uri="{C3380CC4-5D6E-409C-BE32-E72D297353CC}">
                  <c16:uniqueId val="{00000000-4F3F-4192-AF18-188269DDFE0A}"/>
                </c:ext>
              </c:extLst>
            </c:dLbl>
            <c:dLbl>
              <c:idx val="32"/>
              <c:layout>
                <c:manualLayout>
                  <c:x val="-3.5650623885918001E-3"/>
                  <c:y val="0.40584174126523159"/>
                </c:manualLayout>
              </c:layout>
              <c:dLblPos val="outEnd"/>
              <c:showLegendKey val="0"/>
              <c:showVal val="1"/>
              <c:showCatName val="0"/>
              <c:showSerName val="0"/>
              <c:showPercent val="0"/>
              <c:showBubbleSize val="0"/>
              <c:extLst xmlns:c15="http://schemas.microsoft.com/office/drawing/2012/chart" xmlns:c16="http://schemas.microsoft.com/office/drawing/2014/chart">
                <c:ext xmlns:c15="http://schemas.microsoft.com/office/drawing/2012/chart" uri="{CE6537A1-D6FC-4f65-9D91-7224C49458BB}"/>
                <c:ext xmlns:c16="http://schemas.microsoft.com/office/drawing/2014/chart" uri="{C3380CC4-5D6E-409C-BE32-E72D297353CC}">
                  <c16:uniqueId val="{00000001-4F3F-4192-AF18-188269DDFE0A}"/>
                </c:ext>
              </c:extLst>
            </c:dLbl>
            <c:dLbl>
              <c:idx val="33"/>
              <c:layout>
                <c:manualLayout>
                  <c:x val="0"/>
                  <c:y val="0.4250355777771124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F3F-4192-AF18-188269DDFE0A}"/>
                </c:ext>
              </c:extLst>
            </c:dLbl>
            <c:dLbl>
              <c:idx val="34"/>
              <c:layout>
                <c:manualLayout>
                  <c:x val="-1.7825311942959001E-3"/>
                  <c:y val="0.433486023372553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F3F-4192-AF18-188269DDFE0A}"/>
                </c:ext>
              </c:extLst>
            </c:dLbl>
            <c:dLbl>
              <c:idx val="35"/>
              <c:layout>
                <c:manualLayout>
                  <c:x val="-1.7825311942959001E-3"/>
                  <c:y val="0.4075602526870452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F3F-4192-AF18-188269DDFE0A}"/>
                </c:ext>
              </c:extLst>
            </c:dLbl>
            <c:numFmt formatCode="#,##0.0" sourceLinked="0"/>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'Stoku i Borxhit'!$B$26:$I$26</c:f>
              <c:strCache>
                <c:ptCount val="6"/>
                <c:pt idx="0">
                  <c:v>2018</c:v>
                </c:pt>
                <c:pt idx="1">
                  <c:v>2019</c:v>
                </c:pt>
                <c:pt idx="2">
                  <c:v>2020</c:v>
                </c:pt>
                <c:pt idx="3">
                  <c:v>2021</c:v>
                </c:pt>
                <c:pt idx="4">
                  <c:v>2022</c:v>
                </c:pt>
                <c:pt idx="5">
                  <c:v>Mars 2023</c:v>
                </c:pt>
              </c:strCache>
              <c:extLst/>
            </c:strRef>
          </c:cat>
          <c:val>
            <c:numRef>
              <c:f>'Stoku i Borxhit'!$B$27:$I$27</c:f>
              <c:numCache>
                <c:formatCode>_(* #,##0.0_);_(* \(#,##0.0\);_(* "-"??_);_(@_)</c:formatCode>
                <c:ptCount val="6"/>
                <c:pt idx="0">
                  <c:v>1061.8967513634955</c:v>
                </c:pt>
                <c:pt idx="1">
                  <c:v>1070.1914054458098</c:v>
                </c:pt>
                <c:pt idx="2">
                  <c:v>1175.225527028218</c:v>
                </c:pt>
                <c:pt idx="3">
                  <c:v>1327.728762697297</c:v>
                </c:pt>
                <c:pt idx="4">
                  <c:v>1326.200536979519</c:v>
                </c:pt>
                <c:pt idx="5">
                  <c:v>1326.593887028414</c:v>
                </c:pt>
              </c:numCache>
              <c:extLst/>
            </c:numRef>
          </c:val>
          <c:extLst>
            <c:ext xmlns:c16="http://schemas.microsoft.com/office/drawing/2014/chart" uri="{C3380CC4-5D6E-409C-BE32-E72D297353CC}">
              <c16:uniqueId val="{00000005-4F3F-4192-AF18-188269DDFE0A}"/>
            </c:ext>
          </c:extLst>
        </c:ser>
        <c:ser>
          <c:idx val="1"/>
          <c:order val="1"/>
          <c:tx>
            <c:strRef>
              <c:f>'Stoku i Borxhit'!$A$28</c:f>
              <c:strCache>
                <c:ptCount val="1"/>
                <c:pt idx="0">
                  <c:v>Borxhi i Garantuar</c:v>
                </c:pt>
              </c:strCache>
            </c:strRef>
          </c:tx>
          <c:spPr>
            <a:solidFill>
              <a:schemeClr val="accent1">
                <a:lumMod val="60000"/>
                <a:lumOff val="40000"/>
              </a:schemeClr>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accen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'Stoku i Borxhit'!$B$26:$I$26</c:f>
              <c:strCache>
                <c:ptCount val="6"/>
                <c:pt idx="0">
                  <c:v>2018</c:v>
                </c:pt>
                <c:pt idx="1">
                  <c:v>2019</c:v>
                </c:pt>
                <c:pt idx="2">
                  <c:v>2020</c:v>
                </c:pt>
                <c:pt idx="3">
                  <c:v>2021</c:v>
                </c:pt>
                <c:pt idx="4">
                  <c:v>2022</c:v>
                </c:pt>
                <c:pt idx="5">
                  <c:v>Mars 2023</c:v>
                </c:pt>
              </c:strCache>
              <c:extLst/>
            </c:strRef>
          </c:cat>
          <c:val>
            <c:numRef>
              <c:f>'Stoku i Borxhit'!$B$28:$I$28</c:f>
              <c:numCache>
                <c:formatCode>_(* #,##0.0_);_(* \(#,##0.0\);_(* "-"??_);_(@_)</c:formatCode>
                <c:ptCount val="6"/>
                <c:pt idx="0">
                  <c:v>44.672074609123086</c:v>
                </c:pt>
                <c:pt idx="1">
                  <c:v>41.852794389665405</c:v>
                </c:pt>
                <c:pt idx="2">
                  <c:v>48.812704815169255</c:v>
                </c:pt>
                <c:pt idx="3">
                  <c:v>54.896090163403962</c:v>
                </c:pt>
                <c:pt idx="4">
                  <c:v>52.203791635986356</c:v>
                </c:pt>
                <c:pt idx="5">
                  <c:v>50.199388006669352</c:v>
                </c:pt>
              </c:numCache>
              <c:extLst/>
            </c:numRef>
          </c:val>
          <c:extLst>
            <c:ext xmlns:c16="http://schemas.microsoft.com/office/drawing/2014/chart" uri="{C3380CC4-5D6E-409C-BE32-E72D297353CC}">
              <c16:uniqueId val="{00000006-4F3F-4192-AF18-188269DDFE0A}"/>
            </c:ext>
          </c:extLst>
        </c:ser>
        <c:ser>
          <c:idx val="2"/>
          <c:order val="2"/>
          <c:tx>
            <c:strRef>
              <c:f>'Stoku i Borxhit'!$A$29</c:f>
              <c:strCache>
                <c:ptCount val="1"/>
                <c:pt idx="0">
                  <c:v>Borxhi i Pushtetit Lokal</c:v>
                </c:pt>
              </c:strCache>
            </c:strRef>
          </c:tx>
          <c:spPr>
            <a:solidFill>
              <a:schemeClr val="bg1">
                <a:lumMod val="85000"/>
              </a:schemeClr>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'Stoku i Borxhit'!$B$26:$I$26</c:f>
              <c:strCache>
                <c:ptCount val="6"/>
                <c:pt idx="0">
                  <c:v>2018</c:v>
                </c:pt>
                <c:pt idx="1">
                  <c:v>2019</c:v>
                </c:pt>
                <c:pt idx="2">
                  <c:v>2020</c:v>
                </c:pt>
                <c:pt idx="3">
                  <c:v>2021</c:v>
                </c:pt>
                <c:pt idx="4">
                  <c:v>2022</c:v>
                </c:pt>
                <c:pt idx="5">
                  <c:v>Mars 2023</c:v>
                </c:pt>
              </c:strCache>
              <c:extLst/>
            </c:strRef>
          </c:cat>
          <c:val>
            <c:numRef>
              <c:f>'Stoku i Borxhit'!$B$29:$H$29</c:f>
              <c:numCache>
                <c:formatCode>_(* #,##0.0_);_(* \(#,##0.0\);_(* "-"??_);_(@_)</c:formatCode>
                <c:ptCount val="5"/>
                <c:pt idx="0">
                  <c:v>0.71568031431814005</c:v>
                </c:pt>
                <c:pt idx="1">
                  <c:v>0.58154912913567702</c:v>
                </c:pt>
                <c:pt idx="2">
                  <c:v>0.43212510779567692</c:v>
                </c:pt>
                <c:pt idx="3">
                  <c:v>0.31487680477723468</c:v>
                </c:pt>
                <c:pt idx="4">
                  <c:v>0.2016170469772347</c:v>
                </c:pt>
              </c:numCache>
              <c:extLst/>
            </c:numRef>
          </c:val>
          <c:extLst>
            <c:ext xmlns:c16="http://schemas.microsoft.com/office/drawing/2014/chart" uri="{C3380CC4-5D6E-409C-BE32-E72D297353CC}">
              <c16:uniqueId val="{00000007-4F3F-4192-AF18-188269DDFE0A}"/>
            </c:ext>
          </c:extLst>
        </c:ser>
        <c:dLbls>
          <c:showLegendKey val="0"/>
          <c:showVal val="0"/>
          <c:showCatName val="0"/>
          <c:showSerName val="0"/>
          <c:showPercent val="0"/>
          <c:showBubbleSize val="0"/>
        </c:dLbls>
        <c:gapWidth val="80"/>
        <c:axId val="-1085253520"/>
        <c:axId val="-1085244272"/>
      </c:barChart>
      <c:lineChart>
        <c:grouping val="standard"/>
        <c:varyColors val="0"/>
        <c:ser>
          <c:idx val="3"/>
          <c:order val="3"/>
          <c:tx>
            <c:strRef>
              <c:f>'Stoku i Borxhit'!$A$30</c:f>
              <c:strCache>
                <c:ptCount val="1"/>
                <c:pt idx="0">
                  <c:v>Borxhi Publik/PBB</c:v>
                </c:pt>
              </c:strCache>
            </c:strRef>
          </c:tx>
          <c:spPr>
            <a:ln w="22225" cap="rnd">
              <a:solidFill>
                <a:srgbClr val="C00000"/>
              </a:solidFill>
              <a:round/>
            </a:ln>
            <a:effectLst/>
          </c:spPr>
          <c:marker>
            <c:symbol val="diamond"/>
            <c:size val="5"/>
            <c:spPr>
              <a:solidFill>
                <a:srgbClr val="C00000"/>
              </a:solidFill>
              <a:ln w="9525">
                <a:noFill/>
              </a:ln>
              <a:effectLst/>
            </c:spPr>
          </c:marker>
          <c:dLbls>
            <c:dLbl>
              <c:idx val="4"/>
              <c:layout>
                <c:manualLayout>
                  <c:x val="-1.3619339462036112E-2"/>
                  <c:y val="-6.686478454680541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F3F-4192-AF18-188269DDFE0A}"/>
                </c:ext>
              </c:extLst>
            </c:dLbl>
            <c:dLbl>
              <c:idx val="5"/>
              <c:layout>
                <c:manualLayout>
                  <c:x val="-2.4968789013732874E-2"/>
                  <c:y val="-6.68647845468053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4F3F-4192-AF18-188269DDFE0A}"/>
                </c:ext>
              </c:extLst>
            </c:dLbl>
            <c:dLbl>
              <c:idx val="6"/>
              <c:layout>
                <c:manualLayout>
                  <c:x val="-6.8096697310180455E-3"/>
                  <c:y val="-6.68647845468053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4F3F-4192-AF18-188269DDFE0A}"/>
                </c:ext>
              </c:extLst>
            </c:dLbl>
            <c:dLbl>
              <c:idx val="8"/>
              <c:layout>
                <c:manualLayout>
                  <c:x val="-6.8096697310181288E-3"/>
                  <c:y val="-4.45765230312035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4F3F-4192-AF18-188269DDFE0A}"/>
                </c:ext>
              </c:extLst>
            </c:dLbl>
            <c:dLbl>
              <c:idx val="9"/>
              <c:layout>
                <c:manualLayout>
                  <c:x val="-9.0795596413573935E-3"/>
                  <c:y val="-4.45765230312036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4F3F-4192-AF18-188269DDFE0A}"/>
                </c:ext>
              </c:extLst>
            </c:dLbl>
            <c:dLbl>
              <c:idx val="10"/>
              <c:layout>
                <c:manualLayout>
                  <c:x val="-2.0429009193054116E-2"/>
                  <c:y val="-5.20059435364042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4F3F-4192-AF18-188269DDFE0A}"/>
                </c:ext>
              </c:extLst>
            </c:dLbl>
            <c:dLbl>
              <c:idx val="11"/>
              <c:layout>
                <c:manualLayout>
                  <c:x val="-3.4048348655090273E-2"/>
                  <c:y val="-6.68647845468053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4F3F-4192-AF18-188269DDFE0A}"/>
                </c:ext>
              </c:extLst>
            </c:dLbl>
            <c:dLbl>
              <c:idx val="12"/>
              <c:layout>
                <c:manualLayout>
                  <c:x val="-1.8159119282714787E-2"/>
                  <c:y val="-7.42942050520059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4F3F-4192-AF18-188269DDFE0A}"/>
                </c:ext>
              </c:extLst>
            </c:dLbl>
            <c:dLbl>
              <c:idx val="13"/>
              <c:layout>
                <c:manualLayout>
                  <c:x val="-1.1349449551696743E-2"/>
                  <c:y val="-3.71471025260029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4F3F-4192-AF18-188269DDFE0A}"/>
                </c:ext>
              </c:extLst>
            </c:dLbl>
            <c:dLbl>
              <c:idx val="14"/>
              <c:layout>
                <c:manualLayout>
                  <c:x val="-1.815911928271487E-2"/>
                  <c:y val="-6.68647845468053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F3F-4192-AF18-188269DDFE0A}"/>
                </c:ext>
              </c:extLst>
            </c:dLbl>
            <c:dLbl>
              <c:idx val="15"/>
              <c:layout>
                <c:manualLayout>
                  <c:x val="-1.134944955169691E-2"/>
                  <c:y val="-5.20059435364041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4F3F-4192-AF18-188269DDFE0A}"/>
                </c:ext>
              </c:extLst>
            </c:dLbl>
            <c:dLbl>
              <c:idx val="16"/>
              <c:layout>
                <c:manualLayout>
                  <c:x val="-1.5889229372375441E-2"/>
                  <c:y val="-5.66171266808209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F3F-4192-AF18-188269DDFE0A}"/>
                </c:ext>
              </c:extLst>
            </c:dLbl>
            <c:dLbl>
              <c:idx val="17"/>
              <c:layout>
                <c:manualLayout>
                  <c:x val="-1.5889229372375482E-2"/>
                  <c:y val="-0.106157112526539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4F3F-4192-AF18-188269DDFE0A}"/>
                </c:ext>
              </c:extLst>
            </c:dLbl>
            <c:dLbl>
              <c:idx val="18"/>
              <c:layout>
                <c:manualLayout>
                  <c:x val="-2.4968789013732832E-2"/>
                  <c:y val="-7.07714083510262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F3F-4192-AF18-188269DDFE0A}"/>
                </c:ext>
              </c:extLst>
            </c:dLbl>
            <c:dLbl>
              <c:idx val="19"/>
              <c:layout>
                <c:manualLayout>
                  <c:x val="-4.53977982067878E-3"/>
                  <c:y val="-4.24628450106157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4F3F-4192-AF18-188269DDFE0A}"/>
                </c:ext>
              </c:extLst>
            </c:dLbl>
            <c:dLbl>
              <c:idx val="20"/>
              <c:layout>
                <c:manualLayout>
                  <c:x val="-1.3619339462036174E-2"/>
                  <c:y val="-6.36942675159235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4F3F-4192-AF18-188269DDFE0A}"/>
                </c:ext>
              </c:extLst>
            </c:dLbl>
            <c:dLbl>
              <c:idx val="21"/>
              <c:layout>
                <c:manualLayout>
                  <c:x val="-1.3619339462036091E-2"/>
                  <c:y val="-6.36942675159235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4F3F-4192-AF18-188269DDFE0A}"/>
                </c:ext>
              </c:extLst>
            </c:dLbl>
            <c:dLbl>
              <c:idx val="23"/>
              <c:layout>
                <c:manualLayout>
                  <c:x val="-1.1834321364568712E-2"/>
                  <c:y val="-3.63164572785288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4F3F-4192-AF18-188269DDFE0A}"/>
                </c:ext>
              </c:extLst>
            </c:dLbl>
            <c:dLbl>
              <c:idx val="24"/>
              <c:layout>
                <c:manualLayout>
                  <c:x val="-2.1696255835042571E-2"/>
                  <c:y val="-5.18806532550412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4F3F-4192-AF18-188269DDFE0A}"/>
                </c:ext>
              </c:extLst>
            </c:dLbl>
            <c:dLbl>
              <c:idx val="25"/>
              <c:layout>
                <c:manualLayout>
                  <c:x val="-2.3668642729137459E-2"/>
                  <c:y val="-5.70687185805453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4F3F-4192-AF18-188269DDFE0A}"/>
                </c:ext>
              </c:extLst>
            </c:dLbl>
            <c:dLbl>
              <c:idx val="26"/>
              <c:layout>
                <c:manualLayout>
                  <c:x val="-1.577909515275833E-2"/>
                  <c:y val="-6.22567839060494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4F3F-4192-AF18-188269DDFE0A}"/>
                </c:ext>
              </c:extLst>
            </c:dLbl>
            <c:dLbl>
              <c:idx val="27"/>
              <c:layout>
                <c:manualLayout>
                  <c:x val="-1.7751482046853041E-2"/>
                  <c:y val="-3.63164572785288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4F3F-4192-AF18-188269DDFE0A}"/>
                </c:ext>
              </c:extLst>
            </c:dLbl>
            <c:dLbl>
              <c:idx val="28"/>
              <c:layout>
                <c:manualLayout>
                  <c:x val="-7.8895475763792744E-3"/>
                  <c:y val="-4.66925879295371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E-4F3F-4192-AF18-188269DDFE0A}"/>
                </c:ext>
              </c:extLst>
            </c:dLbl>
            <c:dLbl>
              <c:idx val="31"/>
              <c:layout>
                <c:manualLayout>
                  <c:x val="-2.7063599458728042E-2"/>
                  <c:y val="-6.1465721040189124E-2"/>
                </c:manualLayout>
              </c:layout>
              <c:showLegendKey val="0"/>
              <c:showVal val="1"/>
              <c:showCatName val="0"/>
              <c:showSerName val="0"/>
              <c:showPercent val="0"/>
              <c:showBubbleSize val="0"/>
              <c:extLst xmlns:c16="http://schemas.microsoft.com/office/drawing/2014/chart" xmlns:c15="http://schemas.microsoft.com/office/drawing/2012/chart">
                <c:ext xmlns:c15="http://schemas.microsoft.com/office/drawing/2012/chart" uri="{CE6537A1-D6FC-4f65-9D91-7224C49458BB}"/>
                <c:ext xmlns:c16="http://schemas.microsoft.com/office/drawing/2014/chart" uri="{C3380CC4-5D6E-409C-BE32-E72D297353CC}">
                  <c16:uniqueId val="{0000001F-4F3F-4192-AF18-188269DDFE0A}"/>
                </c:ext>
              </c:extLst>
            </c:dLbl>
            <c:dLbl>
              <c:idx val="32"/>
              <c:layout>
                <c:manualLayout>
                  <c:x val="-2.532443471304055E-2"/>
                  <c:y val="-5.132620779816973E-2"/>
                </c:manualLayout>
              </c:layout>
              <c:showLegendKey val="0"/>
              <c:showVal val="1"/>
              <c:showCatName val="0"/>
              <c:showSerName val="0"/>
              <c:showPercent val="0"/>
              <c:showBubbleSize val="0"/>
              <c:extLst xmlns:c15="http://schemas.microsoft.com/office/drawing/2012/chart" xmlns:c16="http://schemas.microsoft.com/office/drawing/2014/chart">
                <c:ext xmlns:c15="http://schemas.microsoft.com/office/drawing/2012/chart" uri="{CE6537A1-D6FC-4f65-9D91-7224C49458BB}"/>
                <c:ext xmlns:c16="http://schemas.microsoft.com/office/drawing/2014/chart" uri="{C3380CC4-5D6E-409C-BE32-E72D297353CC}">
                  <c16:uniqueId val="{00000020-4F3F-4192-AF18-188269DDFE0A}"/>
                </c:ext>
              </c:extLst>
            </c:dLbl>
            <c:dLbl>
              <c:idx val="33"/>
              <c:layout>
                <c:manualLayout>
                  <c:x val="-2.4150293377910585E-2"/>
                  <c:y val="-5.1794866348084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4F3F-4192-AF18-188269DDFE0A}"/>
                </c:ext>
              </c:extLst>
            </c:dLbl>
            <c:dLbl>
              <c:idx val="34"/>
              <c:layout>
                <c:manualLayout>
                  <c:x val="-2.271665974094253E-2"/>
                  <c:y val="-4.3986150667336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2-4F3F-4192-AF18-188269DDFE0A}"/>
                </c:ext>
              </c:extLst>
            </c:dLbl>
            <c:dLbl>
              <c:idx val="35"/>
              <c:layout>
                <c:manualLayout>
                  <c:x val="-1.8824085748710567E-2"/>
                  <c:y val="-6.11223541888112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4F3F-4192-AF18-188269DDFE0A}"/>
                </c:ext>
              </c:extLst>
            </c:dLbl>
            <c:dLbl>
              <c:idx val="36"/>
              <c:layout>
                <c:manualLayout>
                  <c:x val="-1.2929294574633843E-2"/>
                  <c:y val="-4.66925879295370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4-4F3F-4192-AF18-188269DDFE0A}"/>
                </c:ext>
              </c:extLst>
            </c:dLbl>
            <c:dLbl>
              <c:idx val="37"/>
              <c:layout>
                <c:manualLayout>
                  <c:x val="-1.2929294574633725E-2"/>
                  <c:y val="-6.74448492315535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4F3F-4192-AF18-188269DDFE0A}"/>
                </c:ext>
              </c:extLst>
            </c:dLbl>
            <c:dLbl>
              <c:idx val="171"/>
              <c:layout>
                <c:manualLayout>
                  <c:x val="-7.5011720581340839E-3"/>
                  <c:y val="-4.94845467942845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6-4F3F-4192-AF18-188269DDFE0A}"/>
                </c:ext>
              </c:extLst>
            </c:dLbl>
            <c:dLbl>
              <c:idx val="173"/>
              <c:layout>
                <c:manualLayout>
                  <c:x val="-1.6877637130801686E-2"/>
                  <c:y val="-7.1477678702855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4F3F-4192-AF18-188269DDFE0A}"/>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'Stoku i Borxhit'!$B$26:$H$26</c:f>
              <c:strCache>
                <c:ptCount val="5"/>
                <c:pt idx="0">
                  <c:v>2018</c:v>
                </c:pt>
                <c:pt idx="1">
                  <c:v>2019</c:v>
                </c:pt>
                <c:pt idx="2">
                  <c:v>2020</c:v>
                </c:pt>
                <c:pt idx="3">
                  <c:v>2021</c:v>
                </c:pt>
                <c:pt idx="4">
                  <c:v>2022</c:v>
                </c:pt>
              </c:strCache>
              <c:extLst/>
            </c:strRef>
          </c:cat>
          <c:val>
            <c:numRef>
              <c:f>'Stoku i Borxhit'!$B$30:$I$30</c:f>
              <c:numCache>
                <c:formatCode>0.0%</c:formatCode>
                <c:ptCount val="6"/>
                <c:pt idx="0">
                  <c:v>0.67652198576732314</c:v>
                </c:pt>
                <c:pt idx="1">
                  <c:v>0.65761776315890519</c:v>
                </c:pt>
                <c:pt idx="2">
                  <c:v>0.74326044848622186</c:v>
                </c:pt>
                <c:pt idx="3">
                  <c:v>0.74504930273401127</c:v>
                </c:pt>
                <c:pt idx="4">
                  <c:v>0.64587935798101315</c:v>
                </c:pt>
                <c:pt idx="5">
                  <c:v>0.63276864496271568</c:v>
                </c:pt>
              </c:numCache>
              <c:extLst/>
            </c:numRef>
          </c:val>
          <c:smooth val="1"/>
          <c:extLst>
            <c:ext xmlns:c16="http://schemas.microsoft.com/office/drawing/2014/chart" uri="{C3380CC4-5D6E-409C-BE32-E72D297353CC}">
              <c16:uniqueId val="{00000028-4F3F-4192-AF18-188269DDFE0A}"/>
            </c:ext>
          </c:extLst>
        </c:ser>
        <c:dLbls>
          <c:showLegendKey val="0"/>
          <c:showVal val="0"/>
          <c:showCatName val="0"/>
          <c:showSerName val="0"/>
          <c:showPercent val="0"/>
          <c:showBubbleSize val="0"/>
        </c:dLbls>
        <c:marker val="1"/>
        <c:smooth val="0"/>
        <c:axId val="-1085254608"/>
        <c:axId val="-1085255152"/>
      </c:lineChart>
      <c:catAx>
        <c:axId val="-108525352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85244272"/>
        <c:crosses val="autoZero"/>
        <c:auto val="1"/>
        <c:lblAlgn val="ctr"/>
        <c:lblOffset val="100"/>
        <c:noMultiLvlLbl val="0"/>
      </c:catAx>
      <c:valAx>
        <c:axId val="-1085244272"/>
        <c:scaling>
          <c:orientation val="minMax"/>
          <c:max val="1200"/>
          <c:min val="0"/>
        </c:scaling>
        <c:delete val="0"/>
        <c:axPos val="l"/>
        <c:title>
          <c:tx>
            <c:rich>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r>
                  <a:rPr lang="en-US" sz="900" b="1">
                    <a:solidFill>
                      <a:sysClr val="windowText" lastClr="000000"/>
                    </a:solidFill>
                  </a:rPr>
                  <a:t>në miliard Lekë</a:t>
                </a:r>
              </a:p>
            </c:rich>
          </c:tx>
          <c:layout>
            <c:manualLayout>
              <c:xMode val="edge"/>
              <c:yMode val="edge"/>
              <c:x val="1.2526753869760151E-2"/>
              <c:y val="0.17205783749965728"/>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85253520"/>
        <c:crosses val="autoZero"/>
        <c:crossBetween val="between"/>
        <c:majorUnit val="200"/>
      </c:valAx>
      <c:valAx>
        <c:axId val="-1085255152"/>
        <c:scaling>
          <c:orientation val="minMax"/>
          <c:max val="0.85000000000000009"/>
          <c:min val="0.5"/>
        </c:scaling>
        <c:delete val="0"/>
        <c:axPos val="r"/>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85254608"/>
        <c:crosses val="max"/>
        <c:crossBetween val="between"/>
        <c:majorUnit val="0.1"/>
      </c:valAx>
      <c:catAx>
        <c:axId val="-1085254608"/>
        <c:scaling>
          <c:orientation val="minMax"/>
        </c:scaling>
        <c:delete val="1"/>
        <c:axPos val="b"/>
        <c:numFmt formatCode="General" sourceLinked="1"/>
        <c:majorTickMark val="none"/>
        <c:minorTickMark val="none"/>
        <c:tickLblPos val="nextTo"/>
        <c:crossAx val="-1085255152"/>
        <c:crosses val="autoZero"/>
        <c:auto val="1"/>
        <c:lblAlgn val="ctr"/>
        <c:lblOffset val="100"/>
        <c:noMultiLvlLbl val="0"/>
      </c:catAx>
      <c:spPr>
        <a:noFill/>
        <a:ln>
          <a:noFill/>
        </a:ln>
        <a:effectLst/>
      </c:spPr>
    </c:plotArea>
    <c:legend>
      <c:legendPos val="b"/>
      <c:layout>
        <c:manualLayout>
          <c:xMode val="edge"/>
          <c:yMode val="edge"/>
          <c:x val="8.4927786433112953E-2"/>
          <c:y val="0.89923894494176826"/>
          <c:w val="0.87502990278707826"/>
          <c:h val="8.55519295829466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65782713415803E-2"/>
          <c:y val="6.4081028337287113E-2"/>
          <c:w val="0.93283994610162779"/>
          <c:h val="0.66846050335078677"/>
        </c:manualLayout>
      </c:layout>
      <c:barChart>
        <c:barDir val="col"/>
        <c:grouping val="clustered"/>
        <c:varyColors val="0"/>
        <c:ser>
          <c:idx val="0"/>
          <c:order val="0"/>
          <c:tx>
            <c:strRef>
              <c:f>'Kompozimi '!$A$15</c:f>
              <c:strCache>
                <c:ptCount val="1"/>
                <c:pt idx="0">
                  <c:v>Instrumente të tregtueshme</c:v>
                </c:pt>
              </c:strCache>
            </c:strRef>
          </c:tx>
          <c:spPr>
            <a:solidFill>
              <a:schemeClr val="accent1">
                <a:lumMod val="50000"/>
              </a:schemeClr>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'!$B$14:$I$14</c:f>
              <c:strCache>
                <c:ptCount val="6"/>
                <c:pt idx="0">
                  <c:v>2018</c:v>
                </c:pt>
                <c:pt idx="1">
                  <c:v>2019</c:v>
                </c:pt>
                <c:pt idx="2">
                  <c:v>2020</c:v>
                </c:pt>
                <c:pt idx="3">
                  <c:v>2021</c:v>
                </c:pt>
                <c:pt idx="4">
                  <c:v>2022</c:v>
                </c:pt>
                <c:pt idx="5">
                  <c:v>Mars 2023</c:v>
                </c:pt>
              </c:strCache>
              <c:extLst/>
            </c:strRef>
          </c:cat>
          <c:val>
            <c:numRef>
              <c:f>'Kompozimi '!$B$15:$I$15</c:f>
              <c:numCache>
                <c:formatCode>0.0%</c:formatCode>
                <c:ptCount val="6"/>
                <c:pt idx="0">
                  <c:v>0.59393725096082528</c:v>
                </c:pt>
                <c:pt idx="1">
                  <c:v>0.60529165257516837</c:v>
                </c:pt>
                <c:pt idx="2">
                  <c:v>0.63133104435117737</c:v>
                </c:pt>
                <c:pt idx="3">
                  <c:v>0.64805818070722654</c:v>
                </c:pt>
                <c:pt idx="4">
                  <c:v>0.66471100575284381</c:v>
                </c:pt>
                <c:pt idx="5">
                  <c:v>0.67324128878248735</c:v>
                </c:pt>
              </c:numCache>
              <c:extLst/>
            </c:numRef>
          </c:val>
          <c:extLst>
            <c:ext xmlns:c16="http://schemas.microsoft.com/office/drawing/2014/chart" uri="{C3380CC4-5D6E-409C-BE32-E72D297353CC}">
              <c16:uniqueId val="{00000000-A3AA-4F66-9782-D6593C5B3F7A}"/>
            </c:ext>
          </c:extLst>
        </c:ser>
        <c:ser>
          <c:idx val="1"/>
          <c:order val="1"/>
          <c:tx>
            <c:strRef>
              <c:f>'Kompozimi '!$A$16</c:f>
              <c:strCache>
                <c:ptCount val="1"/>
                <c:pt idx="0">
                  <c:v>Hua për financim projektesh</c:v>
                </c:pt>
              </c:strCache>
            </c:strRef>
          </c:tx>
          <c:spPr>
            <a:solidFill>
              <a:schemeClr val="accent1">
                <a:lumMod val="75000"/>
              </a:schemeClr>
            </a:solidFill>
            <a:ln>
              <a:noFill/>
            </a:ln>
            <a:effectLst/>
          </c:spPr>
          <c:invertIfNegative val="0"/>
          <c:dLbls>
            <c:dLbl>
              <c:idx val="0"/>
              <c:layout>
                <c:manualLayout>
                  <c:x val="8.0838500765100104E-4"/>
                  <c:y val="1.60966564375867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AA-4F66-9782-D6593C5B3F7A}"/>
                </c:ext>
              </c:extLst>
            </c:dLbl>
            <c:dLbl>
              <c:idx val="1"/>
              <c:layout>
                <c:manualLayout>
                  <c:x val="1.610305958132045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AA-4F66-9782-D6593C5B3F7A}"/>
                </c:ext>
              </c:extLst>
            </c:dLbl>
            <c:dLbl>
              <c:idx val="2"/>
              <c:layout>
                <c:manualLayout>
                  <c:x val="-9.6230999013569517E-4"/>
                  <c:y val="5.36568495655894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A-4F66-9782-D6593C5B3F7A}"/>
                </c:ext>
              </c:extLst>
            </c:dLbl>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'!$B$14:$I$14</c:f>
              <c:strCache>
                <c:ptCount val="6"/>
                <c:pt idx="0">
                  <c:v>2018</c:v>
                </c:pt>
                <c:pt idx="1">
                  <c:v>2019</c:v>
                </c:pt>
                <c:pt idx="2">
                  <c:v>2020</c:v>
                </c:pt>
                <c:pt idx="3">
                  <c:v>2021</c:v>
                </c:pt>
                <c:pt idx="4">
                  <c:v>2022</c:v>
                </c:pt>
                <c:pt idx="5">
                  <c:v>Mars 2023</c:v>
                </c:pt>
              </c:strCache>
              <c:extLst/>
            </c:strRef>
          </c:cat>
          <c:val>
            <c:numRef>
              <c:f>'Kompozimi '!$B$16:$I$16</c:f>
              <c:numCache>
                <c:formatCode>0.0%</c:formatCode>
                <c:ptCount val="6"/>
                <c:pt idx="0">
                  <c:v>0.24189824286216288</c:v>
                </c:pt>
                <c:pt idx="1">
                  <c:v>0.23866667740425257</c:v>
                </c:pt>
                <c:pt idx="2">
                  <c:v>0.20956487629772294</c:v>
                </c:pt>
                <c:pt idx="3">
                  <c:v>0.18397735760264428</c:v>
                </c:pt>
                <c:pt idx="4">
                  <c:v>0.16940099055668073</c:v>
                </c:pt>
                <c:pt idx="5">
                  <c:v>0.1664399372896562</c:v>
                </c:pt>
              </c:numCache>
              <c:extLst/>
            </c:numRef>
          </c:val>
          <c:extLst>
            <c:ext xmlns:c16="http://schemas.microsoft.com/office/drawing/2014/chart" uri="{C3380CC4-5D6E-409C-BE32-E72D297353CC}">
              <c16:uniqueId val="{00000004-A3AA-4F66-9782-D6593C5B3F7A}"/>
            </c:ext>
          </c:extLst>
        </c:ser>
        <c:ser>
          <c:idx val="2"/>
          <c:order val="2"/>
          <c:tx>
            <c:strRef>
              <c:f>'Kompozimi '!$A$17</c:f>
              <c:strCache>
                <c:ptCount val="1"/>
                <c:pt idx="0">
                  <c:v>Mbështetje Buxhetore</c:v>
                </c:pt>
              </c:strCache>
            </c:strRef>
          </c:tx>
          <c:spPr>
            <a:solidFill>
              <a:schemeClr val="accent1">
                <a:lumMod val="40000"/>
                <a:lumOff val="60000"/>
              </a:schemeClr>
            </a:solidFill>
            <a:ln>
              <a:noFill/>
            </a:ln>
            <a:effectLst/>
          </c:spPr>
          <c:invertIfNegative val="0"/>
          <c:dLbls>
            <c:dLbl>
              <c:idx val="0"/>
              <c:layout>
                <c:manualLayout>
                  <c:x val="-3.7017285189949517E-3"/>
                  <c:y val="1.60966564375867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A-4F66-9782-D6593C5B3F7A}"/>
                </c:ext>
              </c:extLst>
            </c:dLbl>
            <c:dLbl>
              <c:idx val="1"/>
              <c:layout>
                <c:manualLayout>
                  <c:x val="-2.0915114694328549E-3"/>
                  <c:y val="1.518026263049642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3AA-4F66-9782-D6593C5B3F7A}"/>
                </c:ext>
              </c:extLst>
            </c:dLbl>
            <c:dLbl>
              <c:idx val="2"/>
              <c:layout>
                <c:manualLayout>
                  <c:x val="-3.5413899955732625E-3"/>
                  <c:y val="1.51802626304964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3AA-4F66-9782-D6593C5B3F7A}"/>
                </c:ext>
              </c:extLst>
            </c:dLbl>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'!$B$14:$I$14</c:f>
              <c:strCache>
                <c:ptCount val="6"/>
                <c:pt idx="0">
                  <c:v>2018</c:v>
                </c:pt>
                <c:pt idx="1">
                  <c:v>2019</c:v>
                </c:pt>
                <c:pt idx="2">
                  <c:v>2020</c:v>
                </c:pt>
                <c:pt idx="3">
                  <c:v>2021</c:v>
                </c:pt>
                <c:pt idx="4">
                  <c:v>2022</c:v>
                </c:pt>
                <c:pt idx="5">
                  <c:v>Mars 2023</c:v>
                </c:pt>
              </c:strCache>
              <c:extLst/>
            </c:strRef>
          </c:cat>
          <c:val>
            <c:numRef>
              <c:f>'Kompozimi '!$B$17:$I$17</c:f>
              <c:numCache>
                <c:formatCode>0.0%</c:formatCode>
                <c:ptCount val="6"/>
                <c:pt idx="0">
                  <c:v>0.12317435935527354</c:v>
                </c:pt>
                <c:pt idx="1">
                  <c:v>0.11790275073876494</c:v>
                </c:pt>
                <c:pt idx="2">
                  <c:v>0.11888682981028301</c:v>
                </c:pt>
                <c:pt idx="3">
                  <c:v>0.12804260568717921</c:v>
                </c:pt>
                <c:pt idx="4">
                  <c:v>0.12770797120091992</c:v>
                </c:pt>
                <c:pt idx="5">
                  <c:v>0.12357474031248264</c:v>
                </c:pt>
              </c:numCache>
              <c:extLst/>
            </c:numRef>
          </c:val>
          <c:extLst>
            <c:ext xmlns:c16="http://schemas.microsoft.com/office/drawing/2014/chart" uri="{C3380CC4-5D6E-409C-BE32-E72D297353CC}">
              <c16:uniqueId val="{00000008-A3AA-4F66-9782-D6593C5B3F7A}"/>
            </c:ext>
          </c:extLst>
        </c:ser>
        <c:ser>
          <c:idx val="3"/>
          <c:order val="3"/>
          <c:tx>
            <c:strRef>
              <c:f>'Kompozimi '!$A$18</c:f>
              <c:strCache>
                <c:ptCount val="1"/>
                <c:pt idx="0">
                  <c:v>Garanci</c:v>
                </c:pt>
              </c:strCache>
            </c:strRef>
          </c:tx>
          <c:spPr>
            <a:solidFill>
              <a:schemeClr val="bg1">
                <a:lumMod val="75000"/>
              </a:schemeClr>
            </a:solidFill>
            <a:ln>
              <a:noFill/>
            </a:ln>
            <a:effectLst/>
          </c:spPr>
          <c:invertIfNegative val="0"/>
          <c:dLbls>
            <c:dLbl>
              <c:idx val="0"/>
              <c:layout>
                <c:manualLayout>
                  <c:x val="-2.251849992854479E-3"/>
                  <c:y val="1.51802626304964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3AA-4F66-9782-D6593C5B3F7A}"/>
                </c:ext>
              </c:extLst>
            </c:dLbl>
            <c:dLbl>
              <c:idx val="1"/>
              <c:layout>
                <c:manualLayout>
                  <c:x val="-3.2081647164622351E-4"/>
                  <c:y val="5.36568495655894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3AA-4F66-9782-D6593C5B3F7A}"/>
                </c:ext>
              </c:extLst>
            </c:dLbl>
            <c:dLbl>
              <c:idx val="2"/>
              <c:layout>
                <c:manualLayout>
                  <c:x val="-2.2518499928546086E-3"/>
                  <c:y val="1.51802626304964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3AA-4F66-9782-D6593C5B3F7A}"/>
                </c:ext>
              </c:extLst>
            </c:dLbl>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'!$B$14:$I$14</c:f>
              <c:strCache>
                <c:ptCount val="6"/>
                <c:pt idx="0">
                  <c:v>2018</c:v>
                </c:pt>
                <c:pt idx="1">
                  <c:v>2019</c:v>
                </c:pt>
                <c:pt idx="2">
                  <c:v>2020</c:v>
                </c:pt>
                <c:pt idx="3">
                  <c:v>2021</c:v>
                </c:pt>
                <c:pt idx="4">
                  <c:v>2022</c:v>
                </c:pt>
                <c:pt idx="5">
                  <c:v>Mars 2023</c:v>
                </c:pt>
              </c:strCache>
              <c:extLst/>
            </c:strRef>
          </c:cat>
          <c:val>
            <c:numRef>
              <c:f>'Kompozimi '!$B$18:$I$18</c:f>
              <c:numCache>
                <c:formatCode>0.0%</c:formatCode>
                <c:ptCount val="6"/>
                <c:pt idx="0">
                  <c:v>4.0343808592169413E-2</c:v>
                </c:pt>
                <c:pt idx="1">
                  <c:v>3.7616237570367694E-2</c:v>
                </c:pt>
                <c:pt idx="2">
                  <c:v>3.9864341767142569E-2</c:v>
                </c:pt>
                <c:pt idx="3">
                  <c:v>3.9694175396192445E-2</c:v>
                </c:pt>
                <c:pt idx="4">
                  <c:v>3.8033144113002522E-2</c:v>
                </c:pt>
                <c:pt idx="5">
                  <c:v>3.661649356483785E-2</c:v>
                </c:pt>
              </c:numCache>
              <c:extLst/>
            </c:numRef>
          </c:val>
          <c:extLst>
            <c:ext xmlns:c16="http://schemas.microsoft.com/office/drawing/2014/chart" uri="{C3380CC4-5D6E-409C-BE32-E72D297353CC}">
              <c16:uniqueId val="{0000000C-A3AA-4F66-9782-D6593C5B3F7A}"/>
            </c:ext>
          </c:extLst>
        </c:ser>
        <c:ser>
          <c:idx val="4"/>
          <c:order val="4"/>
          <c:tx>
            <c:strRef>
              <c:f>'Kompozimi '!$A$19</c:f>
              <c:strCache>
                <c:ptCount val="1"/>
                <c:pt idx="0">
                  <c:v>Borxhi i Pushtetit Lokal</c:v>
                </c:pt>
              </c:strCache>
            </c:strRef>
          </c:tx>
          <c:spPr>
            <a:solidFill>
              <a:schemeClr val="accent6">
                <a:lumMod val="75000"/>
              </a:schemeClr>
            </a:solidFill>
            <a:ln>
              <a:noFill/>
            </a:ln>
            <a:effectLst/>
          </c:spPr>
          <c:invertIfNegative val="0"/>
          <c:dLbls>
            <c:dLbl>
              <c:idx val="0"/>
              <c:layout>
                <c:manualLayout>
                  <c:x val="2.9336270348283896E-3"/>
                  <c:y val="9.40070157361822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3AA-4F66-9782-D6593C5B3F7A}"/>
                </c:ext>
              </c:extLst>
            </c:dLbl>
            <c:dLbl>
              <c:idx val="1"/>
              <c:layout>
                <c:manualLayout>
                  <c:x val="0"/>
                  <c:y val="6.267134382412151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3AA-4F66-9782-D6593C5B3F7A}"/>
                </c:ext>
              </c:extLst>
            </c:dLbl>
            <c:dLbl>
              <c:idx val="2"/>
              <c:layout>
                <c:manualLayout>
                  <c:x val="0"/>
                  <c:y val="9.400701573618226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3AA-4F66-9782-D6593C5B3F7A}"/>
                </c:ext>
              </c:extLst>
            </c:dLbl>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'!$B$14:$I$14</c:f>
              <c:strCache>
                <c:ptCount val="6"/>
                <c:pt idx="0">
                  <c:v>2018</c:v>
                </c:pt>
                <c:pt idx="1">
                  <c:v>2019</c:v>
                </c:pt>
                <c:pt idx="2">
                  <c:v>2020</c:v>
                </c:pt>
                <c:pt idx="3">
                  <c:v>2021</c:v>
                </c:pt>
                <c:pt idx="4">
                  <c:v>2022</c:v>
                </c:pt>
                <c:pt idx="5">
                  <c:v>Mars 2023</c:v>
                </c:pt>
              </c:strCache>
              <c:extLst/>
            </c:strRef>
          </c:cat>
          <c:val>
            <c:numRef>
              <c:f>'Kompozimi '!$B$19:$I$19</c:f>
              <c:numCache>
                <c:formatCode>0.0%</c:formatCode>
                <c:ptCount val="6"/>
                <c:pt idx="0">
                  <c:v>6.4633822956899542E-4</c:v>
                </c:pt>
                <c:pt idx="1">
                  <c:v>5.2268171144648288E-4</c:v>
                </c:pt>
                <c:pt idx="2">
                  <c:v>3.5290777367405458E-4</c:v>
                </c:pt>
                <c:pt idx="3">
                  <c:v>2.2768060675753567E-4</c:v>
                </c:pt>
                <c:pt idx="4">
                  <c:v>1.4688837655303929E-4</c:v>
                </c:pt>
                <c:pt idx="5">
                  <c:v>1.2754005053590756E-4</c:v>
                </c:pt>
              </c:numCache>
              <c:extLst/>
            </c:numRef>
          </c:val>
          <c:extLst>
            <c:ext xmlns:c16="http://schemas.microsoft.com/office/drawing/2014/chart" uri="{C3380CC4-5D6E-409C-BE32-E72D297353CC}">
              <c16:uniqueId val="{00000010-A3AA-4F66-9782-D6593C5B3F7A}"/>
            </c:ext>
          </c:extLst>
        </c:ser>
        <c:dLbls>
          <c:showLegendKey val="0"/>
          <c:showVal val="0"/>
          <c:showCatName val="0"/>
          <c:showSerName val="0"/>
          <c:showPercent val="0"/>
          <c:showBubbleSize val="0"/>
        </c:dLbls>
        <c:gapWidth val="118"/>
        <c:axId val="-1085242096"/>
        <c:axId val="-1085254064"/>
      </c:barChart>
      <c:catAx>
        <c:axId val="-108524209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85254064"/>
        <c:crosses val="autoZero"/>
        <c:auto val="1"/>
        <c:lblAlgn val="ctr"/>
        <c:lblOffset val="100"/>
        <c:noMultiLvlLbl val="0"/>
      </c:catAx>
      <c:valAx>
        <c:axId val="-1085254064"/>
        <c:scaling>
          <c:orientation val="minMax"/>
          <c:max val="0.8"/>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85242096"/>
        <c:crosses val="autoZero"/>
        <c:crossBetween val="between"/>
        <c:majorUnit val="0.2"/>
      </c:valAx>
      <c:spPr>
        <a:noFill/>
        <a:ln>
          <a:noFill/>
        </a:ln>
        <a:effectLst/>
      </c:spPr>
    </c:plotArea>
    <c:legend>
      <c:legendPos val="b"/>
      <c:layout>
        <c:manualLayout>
          <c:xMode val="edge"/>
          <c:yMode val="edge"/>
          <c:x val="0"/>
          <c:y val="0.84495783204764374"/>
          <c:w val="0.99971613065317866"/>
          <c:h val="0.137598358580811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Sheet1!$C$66</c:f>
              <c:strCache>
                <c:ptCount val="1"/>
                <c:pt idx="0">
                  <c:v>2022</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Sheet1!$B$67:$B$68</c:f>
              <c:strCache>
                <c:ptCount val="2"/>
                <c:pt idx="0">
                  <c:v>Eksport total</c:v>
                </c:pt>
                <c:pt idx="1">
                  <c:v>Import I taksuar</c:v>
                </c:pt>
              </c:strCache>
            </c:strRef>
          </c:cat>
          <c:val>
            <c:numRef>
              <c:f>Sheet1!$C$67:$C$68</c:f>
              <c:numCache>
                <c:formatCode>_-* #,##0_-;\-* #,##0_-;_-* "-"??_-;_-@_-</c:formatCode>
                <c:ptCount val="2"/>
                <c:pt idx="0">
                  <c:v>217.44300000000001</c:v>
                </c:pt>
                <c:pt idx="1">
                  <c:v>284.21100000000001</c:v>
                </c:pt>
              </c:numCache>
            </c:numRef>
          </c:val>
          <c:extLst>
            <c:ext xmlns:c16="http://schemas.microsoft.com/office/drawing/2014/chart" uri="{C3380CC4-5D6E-409C-BE32-E72D297353CC}">
              <c16:uniqueId val="{00000000-5922-4A04-AAD5-9BFACEEA4888}"/>
            </c:ext>
          </c:extLst>
        </c:ser>
        <c:ser>
          <c:idx val="1"/>
          <c:order val="1"/>
          <c:tx>
            <c:strRef>
              <c:f>Sheet1!$D$66</c:f>
              <c:strCache>
                <c:ptCount val="1"/>
                <c:pt idx="0">
                  <c:v>2023</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Sheet1!$B$67:$B$68</c:f>
              <c:strCache>
                <c:ptCount val="2"/>
                <c:pt idx="0">
                  <c:v>Eksport total</c:v>
                </c:pt>
                <c:pt idx="1">
                  <c:v>Import I taksuar</c:v>
                </c:pt>
              </c:strCache>
            </c:strRef>
          </c:cat>
          <c:val>
            <c:numRef>
              <c:f>Sheet1!$D$67:$D$68</c:f>
              <c:numCache>
                <c:formatCode>_-* #,##0_-;\-* #,##0_-;_-* "-"??_-;_-@_-</c:formatCode>
                <c:ptCount val="2"/>
                <c:pt idx="0">
                  <c:v>196.15799999999999</c:v>
                </c:pt>
                <c:pt idx="1">
                  <c:v>284.37599999999998</c:v>
                </c:pt>
              </c:numCache>
            </c:numRef>
          </c:val>
          <c:extLst>
            <c:ext xmlns:c16="http://schemas.microsoft.com/office/drawing/2014/chart" uri="{C3380CC4-5D6E-409C-BE32-E72D297353CC}">
              <c16:uniqueId val="{00000001-5922-4A04-AAD5-9BFACEEA4888}"/>
            </c:ext>
          </c:extLst>
        </c:ser>
        <c:dLbls>
          <c:showLegendKey val="0"/>
          <c:showVal val="0"/>
          <c:showCatName val="0"/>
          <c:showSerName val="0"/>
          <c:showPercent val="0"/>
          <c:showBubbleSize val="0"/>
        </c:dLbls>
        <c:gapWidth val="182"/>
        <c:axId val="-507296640"/>
        <c:axId val="-507305344"/>
      </c:barChart>
      <c:catAx>
        <c:axId val="-507296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305344"/>
        <c:crosses val="autoZero"/>
        <c:auto val="1"/>
        <c:lblAlgn val="ctr"/>
        <c:lblOffset val="100"/>
        <c:noMultiLvlLbl val="0"/>
      </c:catAx>
      <c:valAx>
        <c:axId val="-507305344"/>
        <c:scaling>
          <c:orientation val="minMax"/>
        </c:scaling>
        <c:delete val="0"/>
        <c:axPos val="b"/>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296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149618778320626E-2"/>
          <c:y val="5.0925925925925923E-2"/>
          <c:w val="0.88937625868155079"/>
          <c:h val="0.72782408296523904"/>
        </c:manualLayout>
      </c:layout>
      <c:barChart>
        <c:barDir val="col"/>
        <c:grouping val="stacked"/>
        <c:varyColors val="0"/>
        <c:ser>
          <c:idx val="0"/>
          <c:order val="0"/>
          <c:tx>
            <c:strRef>
              <c:f>'Kompozimi '!$A$46</c:f>
              <c:strCache>
                <c:ptCount val="1"/>
                <c:pt idx="0">
                  <c:v>Tituj Shtetërorë Vendas</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'!$B$45:$I$45</c:f>
              <c:strCache>
                <c:ptCount val="6"/>
                <c:pt idx="0">
                  <c:v>2018</c:v>
                </c:pt>
                <c:pt idx="1">
                  <c:v>2019</c:v>
                </c:pt>
                <c:pt idx="2">
                  <c:v>2020</c:v>
                </c:pt>
                <c:pt idx="3">
                  <c:v>2021</c:v>
                </c:pt>
                <c:pt idx="4">
                  <c:v>2022</c:v>
                </c:pt>
                <c:pt idx="5">
                  <c:v>Mars 2023</c:v>
                </c:pt>
              </c:strCache>
              <c:extLst/>
            </c:strRef>
          </c:cat>
          <c:val>
            <c:numRef>
              <c:f>'Kompozimi '!$B$46:$I$46</c:f>
              <c:numCache>
                <c:formatCode>0.0%</c:formatCode>
                <c:ptCount val="6"/>
                <c:pt idx="0">
                  <c:v>0.53215391762817255</c:v>
                </c:pt>
                <c:pt idx="1">
                  <c:v>0.54395463759693086</c:v>
                </c:pt>
                <c:pt idx="2">
                  <c:v>0.53674051046029114</c:v>
                </c:pt>
                <c:pt idx="3">
                  <c:v>0.51129596548004841</c:v>
                </c:pt>
                <c:pt idx="4">
                  <c:v>0.53535060551858626</c:v>
                </c:pt>
                <c:pt idx="5">
                  <c:v>0.54461256366606481</c:v>
                </c:pt>
              </c:numCache>
              <c:extLst/>
            </c:numRef>
          </c:val>
          <c:extLst>
            <c:ext xmlns:c16="http://schemas.microsoft.com/office/drawing/2014/chart" uri="{C3380CC4-5D6E-409C-BE32-E72D297353CC}">
              <c16:uniqueId val="{00000000-5ABA-4970-AFF1-055E5805B330}"/>
            </c:ext>
          </c:extLst>
        </c:ser>
        <c:ser>
          <c:idx val="1"/>
          <c:order val="1"/>
          <c:tx>
            <c:strRef>
              <c:f>'Kompozimi '!$A$47</c:f>
              <c:strCache>
                <c:ptCount val="1"/>
                <c:pt idx="0">
                  <c:v>Tituj Ndërkombëtarë</c:v>
                </c:pt>
              </c:strCache>
            </c:strRef>
          </c:tx>
          <c:spPr>
            <a:solidFill>
              <a:schemeClr val="accent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'!$B$45:$I$45</c:f>
              <c:strCache>
                <c:ptCount val="6"/>
                <c:pt idx="0">
                  <c:v>2018</c:v>
                </c:pt>
                <c:pt idx="1">
                  <c:v>2019</c:v>
                </c:pt>
                <c:pt idx="2">
                  <c:v>2020</c:v>
                </c:pt>
                <c:pt idx="3">
                  <c:v>2021</c:v>
                </c:pt>
                <c:pt idx="4">
                  <c:v>2022</c:v>
                </c:pt>
                <c:pt idx="5">
                  <c:v>Mars 2023</c:v>
                </c:pt>
              </c:strCache>
              <c:extLst/>
            </c:strRef>
          </c:cat>
          <c:val>
            <c:numRef>
              <c:f>'Kompozimi '!$B$47:$I$47</c:f>
              <c:numCache>
                <c:formatCode>0.0%</c:formatCode>
                <c:ptCount val="6"/>
                <c:pt idx="0">
                  <c:v>8.7169490773162925E-2</c:v>
                </c:pt>
                <c:pt idx="1">
                  <c:v>8.5337538486562989E-2</c:v>
                </c:pt>
                <c:pt idx="2">
                  <c:v>0.12104485195545694</c:v>
                </c:pt>
                <c:pt idx="3">
                  <c:v>0.16370969396470803</c:v>
                </c:pt>
                <c:pt idx="4">
                  <c:v>0.15574685742696714</c:v>
                </c:pt>
                <c:pt idx="5">
                  <c:v>0.15430994238899481</c:v>
                </c:pt>
              </c:numCache>
              <c:extLst/>
            </c:numRef>
          </c:val>
          <c:extLst>
            <c:ext xmlns:c16="http://schemas.microsoft.com/office/drawing/2014/chart" uri="{C3380CC4-5D6E-409C-BE32-E72D297353CC}">
              <c16:uniqueId val="{00000001-5ABA-4970-AFF1-055E5805B330}"/>
            </c:ext>
          </c:extLst>
        </c:ser>
        <c:ser>
          <c:idx val="2"/>
          <c:order val="2"/>
          <c:tx>
            <c:strRef>
              <c:f>'Kompozimi '!$A$48</c:f>
              <c:strCache>
                <c:ptCount val="1"/>
                <c:pt idx="0">
                  <c:v>Hua (terma konsesionale)</c:v>
                </c:pt>
              </c:strCache>
            </c:strRef>
          </c:tx>
          <c:spPr>
            <a:solidFill>
              <a:schemeClr val="accent1">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'!$B$45:$I$45</c:f>
              <c:strCache>
                <c:ptCount val="6"/>
                <c:pt idx="0">
                  <c:v>2018</c:v>
                </c:pt>
                <c:pt idx="1">
                  <c:v>2019</c:v>
                </c:pt>
                <c:pt idx="2">
                  <c:v>2020</c:v>
                </c:pt>
                <c:pt idx="3">
                  <c:v>2021</c:v>
                </c:pt>
                <c:pt idx="4">
                  <c:v>2022</c:v>
                </c:pt>
                <c:pt idx="5">
                  <c:v>Mars 2023</c:v>
                </c:pt>
              </c:strCache>
              <c:extLst/>
            </c:strRef>
          </c:cat>
          <c:val>
            <c:numRef>
              <c:f>'Kompozimi '!$B$48:$I$48</c:f>
              <c:numCache>
                <c:formatCode>0.0%</c:formatCode>
                <c:ptCount val="6"/>
                <c:pt idx="0">
                  <c:v>0.21839607793531565</c:v>
                </c:pt>
                <c:pt idx="1">
                  <c:v>0.21027132013156263</c:v>
                </c:pt>
                <c:pt idx="2">
                  <c:v>0.18489105018654081</c:v>
                </c:pt>
                <c:pt idx="3">
                  <c:v>0.15467906045675939</c:v>
                </c:pt>
                <c:pt idx="4">
                  <c:v>0.13517037696950226</c:v>
                </c:pt>
                <c:pt idx="5">
                  <c:v>0.13028628755286265</c:v>
                </c:pt>
              </c:numCache>
              <c:extLst/>
            </c:numRef>
          </c:val>
          <c:extLst>
            <c:ext xmlns:c16="http://schemas.microsoft.com/office/drawing/2014/chart" uri="{C3380CC4-5D6E-409C-BE32-E72D297353CC}">
              <c16:uniqueId val="{00000002-5ABA-4970-AFF1-055E5805B330}"/>
            </c:ext>
          </c:extLst>
        </c:ser>
        <c:ser>
          <c:idx val="3"/>
          <c:order val="3"/>
          <c:tx>
            <c:strRef>
              <c:f>'Kompozimi '!$A$49</c:f>
              <c:strCache>
                <c:ptCount val="1"/>
                <c:pt idx="0">
                  <c:v>Hua (terma jo-konsesionale)</c:v>
                </c:pt>
              </c:strCache>
            </c:strRef>
          </c:tx>
          <c:spPr>
            <a:solidFill>
              <a:schemeClr val="bg1">
                <a:lumMod val="8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'!$B$45:$I$45</c:f>
              <c:strCache>
                <c:ptCount val="6"/>
                <c:pt idx="0">
                  <c:v>2018</c:v>
                </c:pt>
                <c:pt idx="1">
                  <c:v>2019</c:v>
                </c:pt>
                <c:pt idx="2">
                  <c:v>2020</c:v>
                </c:pt>
                <c:pt idx="3">
                  <c:v>2021</c:v>
                </c:pt>
                <c:pt idx="4">
                  <c:v>2022</c:v>
                </c:pt>
                <c:pt idx="5">
                  <c:v>Mars 2023</c:v>
                </c:pt>
              </c:strCache>
              <c:extLst/>
            </c:strRef>
          </c:cat>
          <c:val>
            <c:numRef>
              <c:f>'Kompozimi '!$B$49:$I$49</c:f>
              <c:numCache>
                <c:formatCode>0.0%</c:formatCode>
                <c:ptCount val="6"/>
                <c:pt idx="0">
                  <c:v>0.16228051366334897</c:v>
                </c:pt>
                <c:pt idx="1">
                  <c:v>0.16043650378494348</c:v>
                </c:pt>
                <c:pt idx="2">
                  <c:v>0.15732358739771113</c:v>
                </c:pt>
                <c:pt idx="3">
                  <c:v>0.17031528009848423</c:v>
                </c:pt>
                <c:pt idx="4">
                  <c:v>0.17373216008494421</c:v>
                </c:pt>
                <c:pt idx="5">
                  <c:v>0.17079120639207779</c:v>
                </c:pt>
              </c:numCache>
              <c:extLst/>
            </c:numRef>
          </c:val>
          <c:extLst>
            <c:ext xmlns:c16="http://schemas.microsoft.com/office/drawing/2014/chart" uri="{C3380CC4-5D6E-409C-BE32-E72D297353CC}">
              <c16:uniqueId val="{00000003-5ABA-4970-AFF1-055E5805B330}"/>
            </c:ext>
          </c:extLst>
        </c:ser>
        <c:dLbls>
          <c:showLegendKey val="0"/>
          <c:showVal val="0"/>
          <c:showCatName val="0"/>
          <c:showSerName val="0"/>
          <c:showPercent val="0"/>
          <c:showBubbleSize val="0"/>
        </c:dLbls>
        <c:gapWidth val="177"/>
        <c:overlap val="100"/>
        <c:axId val="-1085241008"/>
        <c:axId val="-1085252432"/>
      </c:barChart>
      <c:catAx>
        <c:axId val="-108524100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85252432"/>
        <c:crosses val="autoZero"/>
        <c:auto val="1"/>
        <c:lblAlgn val="ctr"/>
        <c:lblOffset val="100"/>
        <c:noMultiLvlLbl val="0"/>
      </c:catAx>
      <c:valAx>
        <c:axId val="-1085252432"/>
        <c:scaling>
          <c:orientation val="minMax"/>
          <c:max val="1"/>
          <c:min val="0"/>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85241008"/>
        <c:crosses val="autoZero"/>
        <c:crossBetween val="between"/>
        <c:majorUnit val="0.2"/>
      </c:valAx>
      <c:spPr>
        <a:noFill/>
        <a:ln>
          <a:noFill/>
        </a:ln>
        <a:effectLst/>
      </c:spPr>
    </c:plotArea>
    <c:legend>
      <c:legendPos val="b"/>
      <c:layout>
        <c:manualLayout>
          <c:xMode val="edge"/>
          <c:yMode val="edge"/>
          <c:x val="5.5370225298394318E-2"/>
          <c:y val="0.90343016220146832"/>
          <c:w val="0.89817395415867718"/>
          <c:h val="9.014489042528221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78496848477881"/>
          <c:y val="5.6381342901076374E-2"/>
          <c:w val="0.81360838106915467"/>
          <c:h val="0.65344370736474178"/>
        </c:manualLayout>
      </c:layout>
      <c:barChart>
        <c:barDir val="col"/>
        <c:grouping val="stacked"/>
        <c:varyColors val="0"/>
        <c:ser>
          <c:idx val="0"/>
          <c:order val="0"/>
          <c:tx>
            <c:strRef>
              <c:f>'BB sipas titujve'!$A$23</c:f>
              <c:strCache>
                <c:ptCount val="1"/>
                <c:pt idx="0">
                  <c:v>Deri në 1 vit</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'BB sipas titujve'!$B$22:$I$22</c:f>
              <c:strCache>
                <c:ptCount val="6"/>
                <c:pt idx="0">
                  <c:v>2018</c:v>
                </c:pt>
                <c:pt idx="1">
                  <c:v>2019</c:v>
                </c:pt>
                <c:pt idx="2">
                  <c:v>2020</c:v>
                </c:pt>
                <c:pt idx="3">
                  <c:v>2021</c:v>
                </c:pt>
                <c:pt idx="4">
                  <c:v>2022</c:v>
                </c:pt>
                <c:pt idx="5">
                  <c:v>Mars 2023</c:v>
                </c:pt>
              </c:strCache>
              <c:extLst/>
            </c:strRef>
          </c:cat>
          <c:val>
            <c:numRef>
              <c:f>'BB sipas titujve'!$B$23:$I$23</c:f>
              <c:numCache>
                <c:formatCode>0.0%</c:formatCode>
                <c:ptCount val="6"/>
                <c:pt idx="0">
                  <c:v>0.3442709566429682</c:v>
                </c:pt>
                <c:pt idx="1">
                  <c:v>0.33280782747200321</c:v>
                </c:pt>
                <c:pt idx="2">
                  <c:v>0.31775421977996743</c:v>
                </c:pt>
                <c:pt idx="3">
                  <c:v>0.2977131737423338</c:v>
                </c:pt>
                <c:pt idx="4">
                  <c:v>0.33739686993479201</c:v>
                </c:pt>
                <c:pt idx="5">
                  <c:v>0.35378383500345956</c:v>
                </c:pt>
              </c:numCache>
              <c:extLst/>
            </c:numRef>
          </c:val>
          <c:extLst>
            <c:ext xmlns:c16="http://schemas.microsoft.com/office/drawing/2014/chart" uri="{C3380CC4-5D6E-409C-BE32-E72D297353CC}">
              <c16:uniqueId val="{00000000-B8A2-4D34-94D1-BE17DDA10914}"/>
            </c:ext>
          </c:extLst>
        </c:ser>
        <c:ser>
          <c:idx val="1"/>
          <c:order val="1"/>
          <c:tx>
            <c:strRef>
              <c:f>'BB sipas titujve'!$A$24</c:f>
              <c:strCache>
                <c:ptCount val="1"/>
                <c:pt idx="0">
                  <c:v>1 deri në 3 vite</c:v>
                </c:pt>
              </c:strCache>
            </c:strRef>
          </c:tx>
          <c:spPr>
            <a:solidFill>
              <a:schemeClr val="accent1">
                <a:lumMod val="75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'BB sipas titujve'!$B$22:$I$22</c:f>
              <c:strCache>
                <c:ptCount val="6"/>
                <c:pt idx="0">
                  <c:v>2018</c:v>
                </c:pt>
                <c:pt idx="1">
                  <c:v>2019</c:v>
                </c:pt>
                <c:pt idx="2">
                  <c:v>2020</c:v>
                </c:pt>
                <c:pt idx="3">
                  <c:v>2021</c:v>
                </c:pt>
                <c:pt idx="4">
                  <c:v>2022</c:v>
                </c:pt>
                <c:pt idx="5">
                  <c:v>Mars 2023</c:v>
                </c:pt>
              </c:strCache>
              <c:extLst/>
            </c:strRef>
          </c:cat>
          <c:val>
            <c:numRef>
              <c:f>'BB sipas titujve'!$B$24:$I$24</c:f>
              <c:numCache>
                <c:formatCode>0.0%</c:formatCode>
                <c:ptCount val="6"/>
                <c:pt idx="0">
                  <c:v>0.211345530552463</c:v>
                </c:pt>
                <c:pt idx="1">
                  <c:v>0.19409928641828114</c:v>
                </c:pt>
                <c:pt idx="2">
                  <c:v>0.22323347449328904</c:v>
                </c:pt>
                <c:pt idx="3">
                  <c:v>0.23831912828720589</c:v>
                </c:pt>
                <c:pt idx="4">
                  <c:v>0.21546434005470042</c:v>
                </c:pt>
                <c:pt idx="5">
                  <c:v>0.19870675177241368</c:v>
                </c:pt>
              </c:numCache>
              <c:extLst/>
            </c:numRef>
          </c:val>
          <c:extLst>
            <c:ext xmlns:c16="http://schemas.microsoft.com/office/drawing/2014/chart" uri="{C3380CC4-5D6E-409C-BE32-E72D297353CC}">
              <c16:uniqueId val="{00000001-B8A2-4D34-94D1-BE17DDA10914}"/>
            </c:ext>
          </c:extLst>
        </c:ser>
        <c:ser>
          <c:idx val="2"/>
          <c:order val="2"/>
          <c:tx>
            <c:strRef>
              <c:f>'BB sipas titujve'!$A$25</c:f>
              <c:strCache>
                <c:ptCount val="1"/>
                <c:pt idx="0">
                  <c:v>3 deri në 5 vite</c:v>
                </c:pt>
              </c:strCache>
            </c:strRef>
          </c:tx>
          <c:spPr>
            <a:solidFill>
              <a:schemeClr val="accent1">
                <a:lumMod val="40000"/>
                <a:lumOff val="6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'BB sipas titujve'!$B$22:$I$22</c:f>
              <c:strCache>
                <c:ptCount val="6"/>
                <c:pt idx="0">
                  <c:v>2018</c:v>
                </c:pt>
                <c:pt idx="1">
                  <c:v>2019</c:v>
                </c:pt>
                <c:pt idx="2">
                  <c:v>2020</c:v>
                </c:pt>
                <c:pt idx="3">
                  <c:v>2021</c:v>
                </c:pt>
                <c:pt idx="4">
                  <c:v>2022</c:v>
                </c:pt>
                <c:pt idx="5">
                  <c:v>Mars 2023</c:v>
                </c:pt>
              </c:strCache>
              <c:extLst/>
            </c:strRef>
          </c:cat>
          <c:val>
            <c:numRef>
              <c:f>'BB sipas titujve'!$B$25:$I$25</c:f>
              <c:numCache>
                <c:formatCode>0.0%</c:formatCode>
                <c:ptCount val="6"/>
                <c:pt idx="0">
                  <c:v>0.17920198206823099</c:v>
                </c:pt>
                <c:pt idx="1">
                  <c:v>0.18478358708844891</c:v>
                </c:pt>
                <c:pt idx="2">
                  <c:v>0.17888171080938328</c:v>
                </c:pt>
                <c:pt idx="3">
                  <c:v>0.17345296226299609</c:v>
                </c:pt>
                <c:pt idx="4">
                  <c:v>0.14731543319295343</c:v>
                </c:pt>
                <c:pt idx="5">
                  <c:v>0.14783168553045153</c:v>
                </c:pt>
              </c:numCache>
              <c:extLst/>
            </c:numRef>
          </c:val>
          <c:extLst>
            <c:ext xmlns:c16="http://schemas.microsoft.com/office/drawing/2014/chart" uri="{C3380CC4-5D6E-409C-BE32-E72D297353CC}">
              <c16:uniqueId val="{00000002-B8A2-4D34-94D1-BE17DDA10914}"/>
            </c:ext>
          </c:extLst>
        </c:ser>
        <c:ser>
          <c:idx val="3"/>
          <c:order val="3"/>
          <c:tx>
            <c:strRef>
              <c:f>'BB sipas titujve'!$A$26</c:f>
              <c:strCache>
                <c:ptCount val="1"/>
                <c:pt idx="0">
                  <c:v>Mbi 5 vite</c:v>
                </c:pt>
              </c:strCache>
            </c:strRef>
          </c:tx>
          <c:spPr>
            <a:solidFill>
              <a:srgbClr val="5B9BD5">
                <a:lumMod val="20000"/>
                <a:lumOff val="80000"/>
              </a:srgb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'BB sipas titujve'!$B$22:$I$22</c:f>
              <c:strCache>
                <c:ptCount val="6"/>
                <c:pt idx="0">
                  <c:v>2018</c:v>
                </c:pt>
                <c:pt idx="1">
                  <c:v>2019</c:v>
                </c:pt>
                <c:pt idx="2">
                  <c:v>2020</c:v>
                </c:pt>
                <c:pt idx="3">
                  <c:v>2021</c:v>
                </c:pt>
                <c:pt idx="4">
                  <c:v>2022</c:v>
                </c:pt>
                <c:pt idx="5">
                  <c:v>Mars 2023</c:v>
                </c:pt>
              </c:strCache>
              <c:extLst/>
            </c:strRef>
          </c:cat>
          <c:val>
            <c:numRef>
              <c:f>'BB sipas titujve'!$B$26:$I$26</c:f>
              <c:numCache>
                <c:formatCode>0.0%</c:formatCode>
                <c:ptCount val="6"/>
                <c:pt idx="0">
                  <c:v>0.26518153073633771</c:v>
                </c:pt>
                <c:pt idx="1">
                  <c:v>0.28830929902126662</c:v>
                </c:pt>
                <c:pt idx="2">
                  <c:v>0.28013059491736025</c:v>
                </c:pt>
                <c:pt idx="3">
                  <c:v>0.29051473570746428</c:v>
                </c:pt>
                <c:pt idx="4">
                  <c:v>0.29982335681755418</c:v>
                </c:pt>
                <c:pt idx="5">
                  <c:v>0.29967772769367523</c:v>
                </c:pt>
              </c:numCache>
              <c:extLst/>
            </c:numRef>
          </c:val>
          <c:extLst>
            <c:ext xmlns:c16="http://schemas.microsoft.com/office/drawing/2014/chart" uri="{C3380CC4-5D6E-409C-BE32-E72D297353CC}">
              <c16:uniqueId val="{00000003-B8A2-4D34-94D1-BE17DDA10914}"/>
            </c:ext>
          </c:extLst>
        </c:ser>
        <c:dLbls>
          <c:showLegendKey val="0"/>
          <c:showVal val="0"/>
          <c:showCatName val="0"/>
          <c:showSerName val="0"/>
          <c:showPercent val="0"/>
          <c:showBubbleSize val="0"/>
        </c:dLbls>
        <c:gapWidth val="60"/>
        <c:overlap val="100"/>
        <c:axId val="-1085232848"/>
        <c:axId val="-1085232304"/>
      </c:barChart>
      <c:catAx>
        <c:axId val="-108523284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85232304"/>
        <c:crosses val="autoZero"/>
        <c:auto val="1"/>
        <c:lblAlgn val="ctr"/>
        <c:lblOffset val="100"/>
        <c:noMultiLvlLbl val="0"/>
      </c:catAx>
      <c:valAx>
        <c:axId val="-1085232304"/>
        <c:scaling>
          <c:orientation val="minMax"/>
          <c:max val="1"/>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85232848"/>
        <c:crosses val="autoZero"/>
        <c:crossBetween val="between"/>
        <c:majorUnit val="0.2"/>
      </c:valAx>
      <c:spPr>
        <a:noFill/>
        <a:ln>
          <a:noFill/>
        </a:ln>
        <a:effectLst/>
      </c:spPr>
    </c:plotArea>
    <c:legend>
      <c:legendPos val="b"/>
      <c:layout>
        <c:manualLayout>
          <c:xMode val="edge"/>
          <c:yMode val="edge"/>
          <c:x val="6.782544961349167E-2"/>
          <c:y val="0.85861302689192476"/>
          <c:w val="0.85632815363064396"/>
          <c:h val="0.1406019205833161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653949220417967"/>
          <c:y val="6.5632458233890217E-2"/>
          <c:w val="0.76436432390829523"/>
          <c:h val="0.64762276135530794"/>
        </c:manualLayout>
      </c:layout>
      <c:barChart>
        <c:barDir val="col"/>
        <c:grouping val="stacked"/>
        <c:varyColors val="0"/>
        <c:ser>
          <c:idx val="0"/>
          <c:order val="0"/>
          <c:tx>
            <c:strRef>
              <c:f>'Kompozimi sipas interesit'!$A$9</c:f>
              <c:strCache>
                <c:ptCount val="1"/>
                <c:pt idx="0">
                  <c:v>Fiks</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sipas interesit'!$C$8:$I$8</c:f>
              <c:strCache>
                <c:ptCount val="6"/>
                <c:pt idx="0">
                  <c:v>2018</c:v>
                </c:pt>
                <c:pt idx="1">
                  <c:v>2019</c:v>
                </c:pt>
                <c:pt idx="2">
                  <c:v>2020</c:v>
                </c:pt>
                <c:pt idx="3">
                  <c:v>2021</c:v>
                </c:pt>
                <c:pt idx="4">
                  <c:v>2022</c:v>
                </c:pt>
                <c:pt idx="5">
                  <c:v>Mars 2023</c:v>
                </c:pt>
              </c:strCache>
              <c:extLst/>
            </c:strRef>
          </c:cat>
          <c:val>
            <c:numRef>
              <c:f>'Kompozimi sipas interesit'!$C$9:$I$9</c:f>
              <c:numCache>
                <c:formatCode>0.0%</c:formatCode>
                <c:ptCount val="6"/>
                <c:pt idx="0">
                  <c:v>0.93514088654326621</c:v>
                </c:pt>
                <c:pt idx="1">
                  <c:v>0.95232828722443164</c:v>
                </c:pt>
                <c:pt idx="2">
                  <c:v>0.97079033208960674</c:v>
                </c:pt>
                <c:pt idx="3">
                  <c:v>0.98250768239977171</c:v>
                </c:pt>
                <c:pt idx="4">
                  <c:v>0.98663590756690278</c:v>
                </c:pt>
                <c:pt idx="5">
                  <c:v>0.98686711575933139</c:v>
                </c:pt>
              </c:numCache>
              <c:extLst/>
            </c:numRef>
          </c:val>
          <c:extLst>
            <c:ext xmlns:c16="http://schemas.microsoft.com/office/drawing/2014/chart" uri="{C3380CC4-5D6E-409C-BE32-E72D297353CC}">
              <c16:uniqueId val="{00000000-78F7-4FF0-BF2B-1FEA157046E6}"/>
            </c:ext>
          </c:extLst>
        </c:ser>
        <c:ser>
          <c:idx val="1"/>
          <c:order val="1"/>
          <c:tx>
            <c:strRef>
              <c:f>'Kompozimi sipas interesit'!$A$10</c:f>
              <c:strCache>
                <c:ptCount val="1"/>
                <c:pt idx="0">
                  <c:v>Me norma të ndryshueshme</c:v>
                </c:pt>
              </c:strCache>
            </c:strRef>
          </c:tx>
          <c:spPr>
            <a:solidFill>
              <a:srgbClr val="44546A">
                <a:lumMod val="20000"/>
                <a:lumOff val="80000"/>
              </a:srgbClr>
            </a:solidFill>
            <a:ln>
              <a:noFill/>
            </a:ln>
            <a:effectLst/>
          </c:spPr>
          <c:invertIfNegative val="0"/>
          <c:dLbls>
            <c:dLbl>
              <c:idx val="0"/>
              <c:layout>
                <c:manualLayout>
                  <c:x val="4.4632894443204646E-3"/>
                  <c:y val="-5.96658711217183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8F7-4FF0-BF2B-1FEA157046E6}"/>
                </c:ext>
              </c:extLst>
            </c:dLbl>
            <c:dLbl>
              <c:idx val="2"/>
              <c:layout>
                <c:manualLayout>
                  <c:x val="-8.1826027884618567E-17"/>
                  <c:y val="-2.98329355608591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F7-4FF0-BF2B-1FEA157046E6}"/>
                </c:ext>
              </c:extLst>
            </c:dLbl>
            <c:dLbl>
              <c:idx val="3"/>
              <c:layout>
                <c:manualLayout>
                  <c:x val="0"/>
                  <c:y val="-2.98329355608591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F7-4FF0-BF2B-1FEA157046E6}"/>
                </c:ext>
              </c:extLst>
            </c:dLbl>
            <c:dLbl>
              <c:idx val="4"/>
              <c:layout>
                <c:manualLayout>
                  <c:x val="-4.4632894443205461E-3"/>
                  <c:y val="-2.98329355608591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8F7-4FF0-BF2B-1FEA157046E6}"/>
                </c:ext>
              </c:extLst>
            </c:dLbl>
            <c:dLbl>
              <c:idx val="5"/>
              <c:layout>
                <c:manualLayout>
                  <c:x val="-1.6365205576923713E-16"/>
                  <c:y val="-2.3866348448687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F7-4FF0-BF2B-1FEA157046E6}"/>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sipas interesit'!$C$8:$I$8</c:f>
              <c:strCache>
                <c:ptCount val="6"/>
                <c:pt idx="0">
                  <c:v>2018</c:v>
                </c:pt>
                <c:pt idx="1">
                  <c:v>2019</c:v>
                </c:pt>
                <c:pt idx="2">
                  <c:v>2020</c:v>
                </c:pt>
                <c:pt idx="3">
                  <c:v>2021</c:v>
                </c:pt>
                <c:pt idx="4">
                  <c:v>2022</c:v>
                </c:pt>
                <c:pt idx="5">
                  <c:v>Mars 2023</c:v>
                </c:pt>
              </c:strCache>
              <c:extLst/>
            </c:strRef>
          </c:cat>
          <c:val>
            <c:numRef>
              <c:f>'Kompozimi sipas interesit'!$C$10:$I$10</c:f>
              <c:numCache>
                <c:formatCode>0.0%</c:formatCode>
                <c:ptCount val="6"/>
                <c:pt idx="0">
                  <c:v>6.485911345673373E-2</c:v>
                </c:pt>
                <c:pt idx="1">
                  <c:v>4.7671712775568281E-2</c:v>
                </c:pt>
                <c:pt idx="2">
                  <c:v>2.9209667910393308E-2</c:v>
                </c:pt>
                <c:pt idx="3">
                  <c:v>1.7492317600228364E-2</c:v>
                </c:pt>
                <c:pt idx="4">
                  <c:v>1.3364092433097311E-2</c:v>
                </c:pt>
                <c:pt idx="5">
                  <c:v>1.313288424066872E-2</c:v>
                </c:pt>
              </c:numCache>
              <c:extLst/>
            </c:numRef>
          </c:val>
          <c:extLst>
            <c:ext xmlns:c16="http://schemas.microsoft.com/office/drawing/2014/chart" uri="{C3380CC4-5D6E-409C-BE32-E72D297353CC}">
              <c16:uniqueId val="{00000006-78F7-4FF0-BF2B-1FEA157046E6}"/>
            </c:ext>
          </c:extLst>
        </c:ser>
        <c:dLbls>
          <c:showLegendKey val="0"/>
          <c:showVal val="0"/>
          <c:showCatName val="0"/>
          <c:showSerName val="0"/>
          <c:showPercent val="0"/>
          <c:showBubbleSize val="0"/>
        </c:dLbls>
        <c:gapWidth val="44"/>
        <c:overlap val="100"/>
        <c:axId val="-1085258416"/>
        <c:axId val="-1085234480"/>
      </c:barChart>
      <c:catAx>
        <c:axId val="-108525841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85234480"/>
        <c:crosses val="autoZero"/>
        <c:auto val="1"/>
        <c:lblAlgn val="ctr"/>
        <c:lblOffset val="100"/>
        <c:noMultiLvlLbl val="0"/>
      </c:catAx>
      <c:valAx>
        <c:axId val="-1085234480"/>
        <c:scaling>
          <c:orientation val="minMax"/>
          <c:max val="1"/>
          <c:min val="0.2"/>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85258416"/>
        <c:crosses val="autoZero"/>
        <c:crossBetween val="between"/>
        <c:majorUnit val="0.2"/>
      </c:valAx>
      <c:spPr>
        <a:noFill/>
        <a:ln>
          <a:noFill/>
        </a:ln>
        <a:effectLst/>
      </c:spPr>
    </c:plotArea>
    <c:legend>
      <c:legendPos val="b"/>
      <c:layout>
        <c:manualLayout>
          <c:xMode val="edge"/>
          <c:yMode val="edge"/>
          <c:x val="0.22543161238966977"/>
          <c:y val="0.87544678931839959"/>
          <c:w val="0.73659493188212"/>
          <c:h val="0.1006868622329130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385774797952237"/>
          <c:y val="6.2270025474101327E-2"/>
          <c:w val="0.79773741153642919"/>
          <c:h val="0.6713363985459927"/>
        </c:manualLayout>
      </c:layout>
      <c:barChart>
        <c:barDir val="col"/>
        <c:grouping val="percentStacked"/>
        <c:varyColors val="0"/>
        <c:ser>
          <c:idx val="0"/>
          <c:order val="0"/>
          <c:tx>
            <c:strRef>
              <c:f>'Kompozimi sipas interesit'!$A$21</c:f>
              <c:strCache>
                <c:ptCount val="1"/>
                <c:pt idx="0">
                  <c:v>Fiks</c:v>
                </c:pt>
              </c:strCache>
            </c:strRef>
          </c:tx>
          <c:spPr>
            <a:solidFill>
              <a:schemeClr val="accent1">
                <a:lumMod val="5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sipas interesit'!$B$20:$I$20</c:f>
              <c:strCache>
                <c:ptCount val="6"/>
                <c:pt idx="0">
                  <c:v>2018</c:v>
                </c:pt>
                <c:pt idx="1">
                  <c:v>2019</c:v>
                </c:pt>
                <c:pt idx="2">
                  <c:v>2020</c:v>
                </c:pt>
                <c:pt idx="3">
                  <c:v>2021</c:v>
                </c:pt>
                <c:pt idx="4">
                  <c:v>2022</c:v>
                </c:pt>
                <c:pt idx="5">
                  <c:v>Mars 2023</c:v>
                </c:pt>
              </c:strCache>
              <c:extLst/>
            </c:strRef>
          </c:cat>
          <c:val>
            <c:numRef>
              <c:f>'Kompozimi sipas interesit'!$B$21:$I$21</c:f>
              <c:numCache>
                <c:formatCode>0.0%</c:formatCode>
                <c:ptCount val="6"/>
                <c:pt idx="0">
                  <c:v>0.52621890666633608</c:v>
                </c:pt>
                <c:pt idx="1">
                  <c:v>0.51683051110632583</c:v>
                </c:pt>
                <c:pt idx="2">
                  <c:v>0.54825421035407129</c:v>
                </c:pt>
                <c:pt idx="3">
                  <c:v>0.61621651799833654</c:v>
                </c:pt>
                <c:pt idx="4">
                  <c:v>0.62877445198052107</c:v>
                </c:pt>
                <c:pt idx="5">
                  <c:v>0.63351256693111857</c:v>
                </c:pt>
              </c:numCache>
              <c:extLst/>
            </c:numRef>
          </c:val>
          <c:extLst>
            <c:ext xmlns:c16="http://schemas.microsoft.com/office/drawing/2014/chart" uri="{C3380CC4-5D6E-409C-BE32-E72D297353CC}">
              <c16:uniqueId val="{00000000-59B7-425A-8718-DD5D103021D5}"/>
            </c:ext>
          </c:extLst>
        </c:ser>
        <c:ser>
          <c:idx val="1"/>
          <c:order val="1"/>
          <c:tx>
            <c:strRef>
              <c:f>'Kompozimi sipas interesit'!$A$22</c:f>
              <c:strCache>
                <c:ptCount val="1"/>
                <c:pt idx="0">
                  <c:v>Me norma të ndryshueshme</c:v>
                </c:pt>
              </c:strCache>
            </c:strRef>
          </c:tx>
          <c:spPr>
            <a:solidFill>
              <a:schemeClr val="bg1">
                <a:lumMod val="85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'Kompozimi sipas interesit'!$B$20:$I$20</c:f>
              <c:strCache>
                <c:ptCount val="6"/>
                <c:pt idx="0">
                  <c:v>2018</c:v>
                </c:pt>
                <c:pt idx="1">
                  <c:v>2019</c:v>
                </c:pt>
                <c:pt idx="2">
                  <c:v>2020</c:v>
                </c:pt>
                <c:pt idx="3">
                  <c:v>2021</c:v>
                </c:pt>
                <c:pt idx="4">
                  <c:v>2022</c:v>
                </c:pt>
                <c:pt idx="5">
                  <c:v>Mars 2023</c:v>
                </c:pt>
              </c:strCache>
              <c:extLst/>
            </c:strRef>
          </c:cat>
          <c:val>
            <c:numRef>
              <c:f>'Kompozimi sipas interesit'!$B$22:$I$22</c:f>
              <c:numCache>
                <c:formatCode>0.0%</c:formatCode>
                <c:ptCount val="6"/>
                <c:pt idx="0">
                  <c:v>0.47378109333366392</c:v>
                </c:pt>
                <c:pt idx="1">
                  <c:v>0.48316948889367417</c:v>
                </c:pt>
                <c:pt idx="2">
                  <c:v>0.45174578964592865</c:v>
                </c:pt>
                <c:pt idx="3">
                  <c:v>0.3837834820016634</c:v>
                </c:pt>
                <c:pt idx="4">
                  <c:v>0.37122554801947893</c:v>
                </c:pt>
                <c:pt idx="5">
                  <c:v>0.36648743306888137</c:v>
                </c:pt>
              </c:numCache>
              <c:extLst/>
            </c:numRef>
          </c:val>
          <c:extLst>
            <c:ext xmlns:c16="http://schemas.microsoft.com/office/drawing/2014/chart" uri="{C3380CC4-5D6E-409C-BE32-E72D297353CC}">
              <c16:uniqueId val="{00000001-59B7-425A-8718-DD5D103021D5}"/>
            </c:ext>
          </c:extLst>
        </c:ser>
        <c:dLbls>
          <c:showLegendKey val="0"/>
          <c:showVal val="0"/>
          <c:showCatName val="0"/>
          <c:showSerName val="0"/>
          <c:showPercent val="0"/>
          <c:showBubbleSize val="0"/>
        </c:dLbls>
        <c:gapWidth val="80"/>
        <c:overlap val="100"/>
        <c:axId val="-1085250800"/>
        <c:axId val="-1085250256"/>
      </c:barChart>
      <c:catAx>
        <c:axId val="-108525080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85250256"/>
        <c:crosses val="autoZero"/>
        <c:auto val="1"/>
        <c:lblAlgn val="ctr"/>
        <c:lblOffset val="100"/>
        <c:noMultiLvlLbl val="0"/>
      </c:catAx>
      <c:valAx>
        <c:axId val="-1085250256"/>
        <c:scaling>
          <c:orientation val="minMax"/>
        </c:scaling>
        <c:delete val="0"/>
        <c:axPos val="l"/>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085250800"/>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567147856517928E-2"/>
          <c:y val="5.0925925925925923E-2"/>
          <c:w val="0.87232174103237092"/>
          <c:h val="0.69238560179977515"/>
        </c:manualLayout>
      </c:layout>
      <c:barChart>
        <c:barDir val="col"/>
        <c:grouping val="percentStacked"/>
        <c:varyColors val="0"/>
        <c:ser>
          <c:idx val="0"/>
          <c:order val="0"/>
          <c:tx>
            <c:strRef>
              <c:f>'B.Jashtem sipas instr'!$A$13</c:f>
              <c:strCache>
                <c:ptCount val="1"/>
                <c:pt idx="0">
                  <c:v>Kredi</c:v>
                </c:pt>
              </c:strCache>
            </c:strRef>
          </c:tx>
          <c:spPr>
            <a:solidFill>
              <a:schemeClr val="accent1">
                <a:lumMod val="50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'B.Jashtem sipas instr'!$C$12:$I$12</c:f>
              <c:strCache>
                <c:ptCount val="6"/>
                <c:pt idx="0">
                  <c:v>2018</c:v>
                </c:pt>
                <c:pt idx="1">
                  <c:v>2019</c:v>
                </c:pt>
                <c:pt idx="2">
                  <c:v>2020</c:v>
                </c:pt>
                <c:pt idx="3">
                  <c:v>2021</c:v>
                </c:pt>
                <c:pt idx="4">
                  <c:v>2022</c:v>
                </c:pt>
                <c:pt idx="5">
                  <c:v>Mars 2023</c:v>
                </c:pt>
              </c:strCache>
              <c:extLst/>
            </c:strRef>
          </c:cat>
          <c:val>
            <c:numRef>
              <c:f>'B.Jashtem sipas instr'!$C$13:$I$13</c:f>
              <c:numCache>
                <c:formatCode>0.0%</c:formatCode>
                <c:ptCount val="6"/>
                <c:pt idx="0">
                  <c:v>0.53914670138026288</c:v>
                </c:pt>
                <c:pt idx="1">
                  <c:v>0.54409157434764577</c:v>
                </c:pt>
                <c:pt idx="2">
                  <c:v>0.47132575321232667</c:v>
                </c:pt>
                <c:pt idx="3">
                  <c:v>0.39211358445332251</c:v>
                </c:pt>
                <c:pt idx="4">
                  <c:v>0.37905002533491722</c:v>
                </c:pt>
                <c:pt idx="5">
                  <c:v>0.37943340983275115</c:v>
                </c:pt>
              </c:numCache>
              <c:extLst/>
            </c:numRef>
          </c:val>
          <c:extLst>
            <c:ext xmlns:c16="http://schemas.microsoft.com/office/drawing/2014/chart" uri="{C3380CC4-5D6E-409C-BE32-E72D297353CC}">
              <c16:uniqueId val="{00000000-BD6B-488B-9E39-B7DEBC3DD1A0}"/>
            </c:ext>
          </c:extLst>
        </c:ser>
        <c:ser>
          <c:idx val="1"/>
          <c:order val="1"/>
          <c:tx>
            <c:strRef>
              <c:f>'B.Jashtem sipas instr'!$A$14</c:f>
              <c:strCache>
                <c:ptCount val="1"/>
                <c:pt idx="0">
                  <c:v>Mbështetje buxhetore</c:v>
                </c:pt>
              </c:strCache>
            </c:strRef>
          </c:tx>
          <c:spPr>
            <a:solidFill>
              <a:schemeClr val="accent1">
                <a:lumMod val="75000"/>
              </a:schemeClr>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'B.Jashtem sipas instr'!$C$12:$I$12</c:f>
              <c:strCache>
                <c:ptCount val="6"/>
                <c:pt idx="0">
                  <c:v>2018</c:v>
                </c:pt>
                <c:pt idx="1">
                  <c:v>2019</c:v>
                </c:pt>
                <c:pt idx="2">
                  <c:v>2020</c:v>
                </c:pt>
                <c:pt idx="3">
                  <c:v>2021</c:v>
                </c:pt>
                <c:pt idx="4">
                  <c:v>2022</c:v>
                </c:pt>
                <c:pt idx="5">
                  <c:v>Mars 2023</c:v>
                </c:pt>
              </c:strCache>
              <c:extLst/>
            </c:strRef>
          </c:cat>
          <c:val>
            <c:numRef>
              <c:f>'B.Jashtem sipas instr'!$C$14:$I$14</c:f>
              <c:numCache>
                <c:formatCode>0.0%</c:formatCode>
                <c:ptCount val="6"/>
                <c:pt idx="0">
                  <c:v>0.21987866803136147</c:v>
                </c:pt>
                <c:pt idx="1">
                  <c:v>0.21888377858205368</c:v>
                </c:pt>
                <c:pt idx="2">
                  <c:v>0.2219431347783323</c:v>
                </c:pt>
                <c:pt idx="3">
                  <c:v>0.23567850988798214</c:v>
                </c:pt>
                <c:pt idx="4">
                  <c:v>0.24851458801476856</c:v>
                </c:pt>
                <c:pt idx="5">
                  <c:v>0.24406219626684597</c:v>
                </c:pt>
              </c:numCache>
              <c:extLst/>
            </c:numRef>
          </c:val>
          <c:extLst>
            <c:ext xmlns:c16="http://schemas.microsoft.com/office/drawing/2014/chart" uri="{C3380CC4-5D6E-409C-BE32-E72D297353CC}">
              <c16:uniqueId val="{00000001-BD6B-488B-9E39-B7DEBC3DD1A0}"/>
            </c:ext>
          </c:extLst>
        </c:ser>
        <c:ser>
          <c:idx val="2"/>
          <c:order val="2"/>
          <c:tx>
            <c:strRef>
              <c:f>'B.Jashtem sipas instr'!$A$15</c:f>
              <c:strCache>
                <c:ptCount val="1"/>
                <c:pt idx="0">
                  <c:v>Eurobond</c:v>
                </c:pt>
              </c:strCache>
            </c:strRef>
          </c:tx>
          <c:spPr>
            <a:solidFill>
              <a:schemeClr val="accent1">
                <a:lumMod val="40000"/>
                <a:lumOff val="60000"/>
              </a:schemeClr>
            </a:solidFill>
            <a:ln>
              <a:noFill/>
            </a:ln>
            <a:effectLst/>
          </c:spPr>
          <c:invertIfNegative val="0"/>
          <c:dLbls>
            <c:dLbl>
              <c:idx val="3"/>
              <c:layout>
                <c:manualLayout>
                  <c:x val="0"/>
                  <c:y val="1.3888888888888888E-2"/>
                </c:manualLayout>
              </c:layout>
              <c:showLegendKey val="0"/>
              <c:showVal val="1"/>
              <c:showCatName val="0"/>
              <c:showSerName val="0"/>
              <c:showPercent val="0"/>
              <c:showBubbleSize val="0"/>
              <c:extLst xmlns:c16="http://schemas.microsoft.com/office/drawing/2014/chart" xmlns:c15="http://schemas.microsoft.com/office/drawing/2012/chart">
                <c:ext xmlns:c15="http://schemas.microsoft.com/office/drawing/2012/chart" uri="{CE6537A1-D6FC-4f65-9D91-7224C49458BB}"/>
                <c:ext xmlns:c16="http://schemas.microsoft.com/office/drawing/2014/chart" uri="{C3380CC4-5D6E-409C-BE32-E72D297353CC}">
                  <c16:uniqueId val="{00000002-BD6B-488B-9E39-B7DEBC3DD1A0}"/>
                </c:ext>
              </c:extLst>
            </c:dLbl>
            <c:dLbl>
              <c:idx val="4"/>
              <c:layout>
                <c:manualLayout>
                  <c:x val="-5.5555555555555558E-3"/>
                  <c:y val="1.8518518518518517E-2"/>
                </c:manualLayout>
              </c:layout>
              <c:showLegendKey val="0"/>
              <c:showVal val="1"/>
              <c:showCatName val="0"/>
              <c:showSerName val="0"/>
              <c:showPercent val="0"/>
              <c:showBubbleSize val="0"/>
              <c:extLst xmlns:c15="http://schemas.microsoft.com/office/drawing/2012/chart">
                <c:ext xmlns:c15="http://schemas.microsoft.com/office/drawing/2012/chart" uri="{CE6537A1-D6FC-4f65-9D91-7224C49458BB}"/>
                <c:ext xmlns:c16="http://schemas.microsoft.com/office/drawing/2014/chart" uri="{C3380CC4-5D6E-409C-BE32-E72D297353CC}">
                  <c16:uniqueId val="{00000003-BD6B-488B-9E39-B7DEBC3DD1A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'B.Jashtem sipas instr'!$C$12:$I$12</c:f>
              <c:strCache>
                <c:ptCount val="6"/>
                <c:pt idx="0">
                  <c:v>2018</c:v>
                </c:pt>
                <c:pt idx="1">
                  <c:v>2019</c:v>
                </c:pt>
                <c:pt idx="2">
                  <c:v>2020</c:v>
                </c:pt>
                <c:pt idx="3">
                  <c:v>2021</c:v>
                </c:pt>
                <c:pt idx="4">
                  <c:v>2022</c:v>
                </c:pt>
                <c:pt idx="5">
                  <c:v>Mars 2023</c:v>
                </c:pt>
              </c:strCache>
              <c:extLst/>
            </c:strRef>
          </c:cat>
          <c:val>
            <c:numRef>
              <c:f>'B.Jashtem sipas instr'!$C$15:$I$15</c:f>
              <c:numCache>
                <c:formatCode>0.0%</c:formatCode>
                <c:ptCount val="6"/>
                <c:pt idx="0">
                  <c:v>0.18632059066111512</c:v>
                </c:pt>
                <c:pt idx="1">
                  <c:v>0.18712472137128988</c:v>
                </c:pt>
                <c:pt idx="2">
                  <c:v>0.26128946578573492</c:v>
                </c:pt>
                <c:pt idx="3">
                  <c:v>0.33498711509282586</c:v>
                </c:pt>
                <c:pt idx="4">
                  <c:v>0.33519184798528284</c:v>
                </c:pt>
                <c:pt idx="5">
                  <c:v>0.3388539545103626</c:v>
                </c:pt>
              </c:numCache>
              <c:extLst/>
            </c:numRef>
          </c:val>
          <c:extLst>
            <c:ext xmlns:c16="http://schemas.microsoft.com/office/drawing/2014/chart" uri="{C3380CC4-5D6E-409C-BE32-E72D297353CC}">
              <c16:uniqueId val="{00000004-BD6B-488B-9E39-B7DEBC3DD1A0}"/>
            </c:ext>
          </c:extLst>
        </c:ser>
        <c:ser>
          <c:idx val="3"/>
          <c:order val="3"/>
          <c:tx>
            <c:strRef>
              <c:f>'B.Jashtem sipas instr'!$A$16</c:f>
              <c:strCache>
                <c:ptCount val="1"/>
                <c:pt idx="0">
                  <c:v>PBG</c:v>
                </c:pt>
              </c:strCache>
            </c:strRef>
          </c:tx>
          <c:spPr>
            <a:solidFill>
              <a:schemeClr val="bg1">
                <a:lumMod val="85000"/>
              </a:schemeClr>
            </a:solidFill>
            <a:ln>
              <a:noFill/>
            </a:ln>
            <a:effectLst/>
          </c:spPr>
          <c:invertIfNegative val="0"/>
          <c:dLbls>
            <c:dLbl>
              <c:idx val="1"/>
              <c:layout>
                <c:manualLayout>
                  <c:x val="-1.0303123017562329E-16"/>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D6B-488B-9E39-B7DEBC3DD1A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'B.Jashtem sipas instr'!$C$12:$I$12</c:f>
              <c:strCache>
                <c:ptCount val="6"/>
                <c:pt idx="0">
                  <c:v>2018</c:v>
                </c:pt>
                <c:pt idx="1">
                  <c:v>2019</c:v>
                </c:pt>
                <c:pt idx="2">
                  <c:v>2020</c:v>
                </c:pt>
                <c:pt idx="3">
                  <c:v>2021</c:v>
                </c:pt>
                <c:pt idx="4">
                  <c:v>2022</c:v>
                </c:pt>
                <c:pt idx="5">
                  <c:v>Mars 2023</c:v>
                </c:pt>
              </c:strCache>
              <c:extLst/>
            </c:strRef>
          </c:cat>
          <c:val>
            <c:numRef>
              <c:f>'B.Jashtem sipas instr'!$C$16:$I$16</c:f>
              <c:numCache>
                <c:formatCode>0.0%</c:formatCode>
                <c:ptCount val="6"/>
                <c:pt idx="0">
                  <c:v>5.465403992726043E-2</c:v>
                </c:pt>
                <c:pt idx="1">
                  <c:v>4.9899925699010632E-2</c:v>
                </c:pt>
                <c:pt idx="2">
                  <c:v>4.5441646223606073E-2</c:v>
                </c:pt>
                <c:pt idx="3">
                  <c:v>3.7220790565869535E-2</c:v>
                </c:pt>
                <c:pt idx="4">
                  <c:v>3.7243538665031425E-2</c:v>
                </c:pt>
                <c:pt idx="5">
                  <c:v>3.7650439390040293E-2</c:v>
                </c:pt>
              </c:numCache>
              <c:extLst/>
            </c:numRef>
          </c:val>
          <c:extLst>
            <c:ext xmlns:c16="http://schemas.microsoft.com/office/drawing/2014/chart" uri="{C3380CC4-5D6E-409C-BE32-E72D297353CC}">
              <c16:uniqueId val="{00000006-BD6B-488B-9E39-B7DEBC3DD1A0}"/>
            </c:ext>
          </c:extLst>
        </c:ser>
        <c:dLbls>
          <c:showLegendKey val="0"/>
          <c:showVal val="0"/>
          <c:showCatName val="0"/>
          <c:showSerName val="0"/>
          <c:showPercent val="0"/>
          <c:showBubbleSize val="0"/>
        </c:dLbls>
        <c:gapWidth val="60"/>
        <c:overlap val="100"/>
        <c:axId val="-1194652912"/>
        <c:axId val="-1194630608"/>
      </c:barChart>
      <c:catAx>
        <c:axId val="-119465291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4630608"/>
        <c:crosses val="autoZero"/>
        <c:auto val="1"/>
        <c:lblAlgn val="ctr"/>
        <c:lblOffset val="100"/>
        <c:noMultiLvlLbl val="0"/>
      </c:catAx>
      <c:valAx>
        <c:axId val="-1194630608"/>
        <c:scaling>
          <c:orientation val="minMax"/>
        </c:scaling>
        <c:delete val="0"/>
        <c:axPos val="l"/>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4652912"/>
        <c:crosses val="autoZero"/>
        <c:crossBetween val="between"/>
        <c:majorUnit val="0.2"/>
      </c:valAx>
      <c:spPr>
        <a:noFill/>
        <a:ln>
          <a:noFill/>
        </a:ln>
        <a:effectLst/>
      </c:spPr>
    </c:plotArea>
    <c:legend>
      <c:legendPos val="b"/>
      <c:layout>
        <c:manualLayout>
          <c:xMode val="edge"/>
          <c:yMode val="edge"/>
          <c:x val="4.9999828751288646E-2"/>
          <c:y val="0.89537536956256247"/>
          <c:w val="0.9"/>
          <c:h val="9.877154293377946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6350" cap="flat" cmpd="sng" algn="ctr">
      <a:solidFill>
        <a:schemeClr val="bg1">
          <a:lumMod val="75000"/>
        </a:schemeClr>
      </a:solid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09288477207577"/>
          <c:y val="5.4020861255712406E-2"/>
          <c:w val="0.82011790959101527"/>
          <c:h val="0.71971332207802052"/>
        </c:manualLayout>
      </c:layout>
      <c:barChart>
        <c:barDir val="col"/>
        <c:grouping val="clustered"/>
        <c:varyColors val="0"/>
        <c:ser>
          <c:idx val="0"/>
          <c:order val="0"/>
          <c:tx>
            <c:strRef>
              <c:f>' Huamarrja e Brendshme'!$A$73</c:f>
              <c:strCache>
                <c:ptCount val="1"/>
                <c:pt idx="0">
                  <c:v>Emetime</c:v>
                </c:pt>
              </c:strCache>
            </c:strRef>
          </c:tx>
          <c:spPr>
            <a:solidFill>
              <a:schemeClr val="accent1">
                <a:lumMod val="50000"/>
              </a:schemeClr>
            </a:solidFill>
            <a:ln>
              <a:noFill/>
            </a:ln>
            <a:effectLst/>
          </c:spPr>
          <c:invertIfNegative val="0"/>
          <c:dLbls>
            <c:dLbl>
              <c:idx val="0"/>
              <c:layout>
                <c:manualLayout>
                  <c:x val="-1.9102193879446505E-3"/>
                  <c:y val="0.3953023892146982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B6E-40B9-A46D-C98F55132E67}"/>
                </c:ext>
              </c:extLst>
            </c:dLbl>
            <c:dLbl>
              <c:idx val="1"/>
              <c:layout>
                <c:manualLayout>
                  <c:x val="-7.004056844334707E-17"/>
                  <c:y val="0.3986128587437616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B6E-40B9-A46D-C98F55132E67}"/>
                </c:ext>
              </c:extLst>
            </c:dLbl>
            <c:dLbl>
              <c:idx val="2"/>
              <c:layout>
                <c:manualLayout>
                  <c:x val="-7.004056844334707E-17"/>
                  <c:y val="0.4176903046281609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6E-40B9-A46D-C98F55132E67}"/>
                </c:ext>
              </c:extLst>
            </c:dLbl>
            <c:dLbl>
              <c:idx val="3"/>
              <c:layout>
                <c:manualLayout>
                  <c:x val="0"/>
                  <c:y val="0.2858925506895103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B6E-40B9-A46D-C98F55132E67}"/>
                </c:ext>
              </c:extLst>
            </c:dLbl>
            <c:dLbl>
              <c:idx val="4"/>
              <c:layout>
                <c:manualLayout>
                  <c:x val="-3.8204387758893009E-3"/>
                  <c:y val="0.3464616529223468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B6E-40B9-A46D-C98F55132E67}"/>
                </c:ext>
              </c:extLst>
            </c:dLbl>
            <c:spPr>
              <a:noFill/>
              <a:ln>
                <a:noFill/>
              </a:ln>
              <a:effectLst/>
            </c:spPr>
            <c:txPr>
              <a:bodyPr rot="0" spcFirstLastPara="1" vertOverflow="ellipsis" vert="horz" wrap="square" lIns="38100" tIns="19050" rIns="38100" bIns="19050" anchor="ctr" anchorCtr="0">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 Huamarrja e Brendshme'!$B$72:$H$72</c:f>
              <c:strCache>
                <c:ptCount val="6"/>
                <c:pt idx="0">
                  <c:v>T1 2018</c:v>
                </c:pt>
                <c:pt idx="1">
                  <c:v>T1 2019</c:v>
                </c:pt>
                <c:pt idx="2">
                  <c:v>T1 2020</c:v>
                </c:pt>
                <c:pt idx="3">
                  <c:v>T1 2021</c:v>
                </c:pt>
                <c:pt idx="4">
                  <c:v>T1 2022</c:v>
                </c:pt>
                <c:pt idx="5">
                  <c:v>T1 2023</c:v>
                </c:pt>
              </c:strCache>
              <c:extLst/>
            </c:strRef>
          </c:cat>
          <c:val>
            <c:numRef>
              <c:f>' Huamarrja e Brendshme'!$B$73:$H$73</c:f>
              <c:numCache>
                <c:formatCode>_(* #,##0.0_);_(* \(#,##0.0\);_(* "-"??_);_(@_)</c:formatCode>
                <c:ptCount val="6"/>
                <c:pt idx="0">
                  <c:v>95.618297023769998</c:v>
                </c:pt>
                <c:pt idx="1">
                  <c:v>88.840797242899995</c:v>
                </c:pt>
                <c:pt idx="2">
                  <c:v>91.094808723440011</c:v>
                </c:pt>
                <c:pt idx="3">
                  <c:v>95.172830505109999</c:v>
                </c:pt>
                <c:pt idx="4">
                  <c:v>111.01727422220998</c:v>
                </c:pt>
                <c:pt idx="5">
                  <c:v>126.58953490468001</c:v>
                </c:pt>
              </c:numCache>
              <c:extLst/>
            </c:numRef>
          </c:val>
          <c:extLst>
            <c:ext xmlns:c16="http://schemas.microsoft.com/office/drawing/2014/chart" uri="{C3380CC4-5D6E-409C-BE32-E72D297353CC}">
              <c16:uniqueId val="{00000005-3B6E-40B9-A46D-C98F55132E67}"/>
            </c:ext>
          </c:extLst>
        </c:ser>
        <c:dLbls>
          <c:showLegendKey val="0"/>
          <c:showVal val="0"/>
          <c:showCatName val="0"/>
          <c:showSerName val="0"/>
          <c:showPercent val="0"/>
          <c:showBubbleSize val="0"/>
        </c:dLbls>
        <c:gapWidth val="150"/>
        <c:overlap val="-27"/>
        <c:axId val="-1194654000"/>
        <c:axId val="-1194626256"/>
      </c:barChart>
      <c:lineChart>
        <c:grouping val="standard"/>
        <c:varyColors val="0"/>
        <c:ser>
          <c:idx val="1"/>
          <c:order val="1"/>
          <c:tx>
            <c:strRef>
              <c:f>' Huamarrja e Brendshme'!$A$75</c:f>
              <c:strCache>
                <c:ptCount val="1"/>
                <c:pt idx="0">
                  <c:v>Emetime/Të ardhura tatimore</c:v>
                </c:pt>
              </c:strCache>
            </c:strRef>
          </c:tx>
          <c:spPr>
            <a:ln w="28575" cap="rnd">
              <a:solidFill>
                <a:srgbClr val="C00000"/>
              </a:solidFill>
              <a:round/>
            </a:ln>
            <a:effectLst/>
          </c:spPr>
          <c:marker>
            <c:symbol val="circle"/>
            <c:size val="5"/>
            <c:spPr>
              <a:solidFill>
                <a:srgbClr val="C00000"/>
              </a:solidFill>
              <a:ln w="9525">
                <a:noFill/>
              </a:ln>
              <a:effectLst/>
            </c:spPr>
          </c:marker>
          <c:dLbls>
            <c:dLbl>
              <c:idx val="0"/>
              <c:layout>
                <c:manualLayout>
                  <c:x val="1.2307528475429807E-2"/>
                  <c:y val="-3.78811138892777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B6E-40B9-A46D-C98F55132E67}"/>
                </c:ext>
              </c:extLst>
            </c:dLbl>
            <c:dLbl>
              <c:idx val="1"/>
              <c:layout>
                <c:manualLayout>
                  <c:x val="-2.6421191943807699E-2"/>
                  <c:y val="-8.61468392962516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B6E-40B9-A46D-C98F55132E67}"/>
                </c:ext>
              </c:extLst>
            </c:dLbl>
            <c:dLbl>
              <c:idx val="2"/>
              <c:layout>
                <c:manualLayout>
                  <c:x val="-1.3728009727378603E-2"/>
                  <c:y val="-4.51710299693972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B6E-40B9-A46D-C98F55132E67}"/>
                </c:ext>
              </c:extLst>
            </c:dLbl>
            <c:dLbl>
              <c:idx val="3"/>
              <c:layout>
                <c:manualLayout>
                  <c:x val="-1.4617126746141221E-2"/>
                  <c:y val="-6.05001835910407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B6E-40B9-A46D-C98F55132E67}"/>
                </c:ext>
              </c:extLst>
            </c:dLbl>
            <c:dLbl>
              <c:idx val="4"/>
              <c:layout>
                <c:manualLayout>
                  <c:x val="-6.2319922052207254E-3"/>
                  <c:y val="-8.44029211374484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B6E-40B9-A46D-C98F55132E67}"/>
                </c:ext>
              </c:extLst>
            </c:dLbl>
            <c:dLbl>
              <c:idx val="5"/>
              <c:layout>
                <c:manualLayout>
                  <c:x val="-1.3371535715612694E-2"/>
                  <c:y val="-6.38428360294782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B6E-40B9-A46D-C98F55132E6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 Huamarrja e Brendshme'!$B$72:$H$72</c:f>
              <c:strCache>
                <c:ptCount val="6"/>
                <c:pt idx="0">
                  <c:v>T1 2018</c:v>
                </c:pt>
                <c:pt idx="1">
                  <c:v>T1 2019</c:v>
                </c:pt>
                <c:pt idx="2">
                  <c:v>T1 2020</c:v>
                </c:pt>
                <c:pt idx="3">
                  <c:v>T1 2021</c:v>
                </c:pt>
                <c:pt idx="4">
                  <c:v>T1 2022</c:v>
                </c:pt>
                <c:pt idx="5">
                  <c:v>T1 2023</c:v>
                </c:pt>
              </c:strCache>
              <c:extLst/>
            </c:strRef>
          </c:cat>
          <c:val>
            <c:numRef>
              <c:f>' Huamarrja e Brendshme'!$B$75:$H$75</c:f>
              <c:numCache>
                <c:formatCode>0.0%</c:formatCode>
                <c:ptCount val="6"/>
                <c:pt idx="0">
                  <c:v>0.97117795790779637</c:v>
                </c:pt>
                <c:pt idx="1">
                  <c:v>0.87483060149381586</c:v>
                </c:pt>
                <c:pt idx="2">
                  <c:v>0.93911205784930063</c:v>
                </c:pt>
                <c:pt idx="3">
                  <c:v>0.91530819208792158</c:v>
                </c:pt>
                <c:pt idx="4">
                  <c:v>0.83774609091684948</c:v>
                </c:pt>
                <c:pt idx="5">
                  <c:v>0.88199108812056282</c:v>
                </c:pt>
              </c:numCache>
              <c:extLst/>
            </c:numRef>
          </c:val>
          <c:smooth val="1"/>
          <c:extLst>
            <c:ext xmlns:c16="http://schemas.microsoft.com/office/drawing/2014/chart" uri="{C3380CC4-5D6E-409C-BE32-E72D297353CC}">
              <c16:uniqueId val="{0000000C-3B6E-40B9-A46D-C98F55132E67}"/>
            </c:ext>
          </c:extLst>
        </c:ser>
        <c:dLbls>
          <c:showLegendKey val="0"/>
          <c:showVal val="0"/>
          <c:showCatName val="0"/>
          <c:showSerName val="0"/>
          <c:showPercent val="0"/>
          <c:showBubbleSize val="0"/>
        </c:dLbls>
        <c:marker val="1"/>
        <c:smooth val="0"/>
        <c:axId val="-1194639312"/>
        <c:axId val="-1194627888"/>
      </c:lineChart>
      <c:catAx>
        <c:axId val="-119465400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4626256"/>
        <c:crosses val="autoZero"/>
        <c:auto val="1"/>
        <c:lblAlgn val="ctr"/>
        <c:lblOffset val="100"/>
        <c:noMultiLvlLbl val="0"/>
      </c:catAx>
      <c:valAx>
        <c:axId val="-1194626256"/>
        <c:scaling>
          <c:orientation val="minMax"/>
          <c:max val="150"/>
          <c:min val="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në miliard Lekë</a:t>
                </a:r>
              </a:p>
            </c:rich>
          </c:tx>
          <c:layout>
            <c:manualLayout>
              <c:xMode val="edge"/>
              <c:yMode val="edge"/>
              <c:x val="1.1310153297362045E-2"/>
              <c:y val="0.2320163122119628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4654000"/>
        <c:crosses val="autoZero"/>
        <c:crossBetween val="between"/>
        <c:majorUnit val="50"/>
      </c:valAx>
      <c:valAx>
        <c:axId val="-1194627888"/>
        <c:scaling>
          <c:orientation val="minMax"/>
          <c:max val="1"/>
          <c:min val="0.4"/>
        </c:scaling>
        <c:delete val="0"/>
        <c:axPos val="r"/>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4639312"/>
        <c:crosses val="max"/>
        <c:crossBetween val="between"/>
        <c:majorUnit val="0.2"/>
      </c:valAx>
      <c:catAx>
        <c:axId val="-1194639312"/>
        <c:scaling>
          <c:orientation val="minMax"/>
        </c:scaling>
        <c:delete val="1"/>
        <c:axPos val="b"/>
        <c:numFmt formatCode="General" sourceLinked="1"/>
        <c:majorTickMark val="out"/>
        <c:minorTickMark val="none"/>
        <c:tickLblPos val="nextTo"/>
        <c:crossAx val="-1194627888"/>
        <c:crosses val="autoZero"/>
        <c:auto val="1"/>
        <c:lblAlgn val="ctr"/>
        <c:lblOffset val="100"/>
        <c:noMultiLvlLbl val="0"/>
      </c:catAx>
      <c:spPr>
        <a:noFill/>
        <a:ln>
          <a:noFill/>
        </a:ln>
        <a:effectLst/>
      </c:spPr>
    </c:plotArea>
    <c:legend>
      <c:legendPos val="b"/>
      <c:layout>
        <c:manualLayout>
          <c:xMode val="edge"/>
          <c:yMode val="edge"/>
          <c:x val="0.24421238509622881"/>
          <c:y val="0.87152555683109079"/>
          <c:w val="0.50715174481327618"/>
          <c:h val="0.12847444316890919"/>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15911853300216"/>
          <c:y val="4.1666666666666664E-2"/>
          <c:w val="0.81095654318377985"/>
          <c:h val="0.73577136191309422"/>
        </c:manualLayout>
      </c:layout>
      <c:barChart>
        <c:barDir val="col"/>
        <c:grouping val="clustered"/>
        <c:varyColors val="0"/>
        <c:ser>
          <c:idx val="0"/>
          <c:order val="0"/>
          <c:tx>
            <c:strRef>
              <c:f>'Sherbimi i Borxhit'!$A$36</c:f>
              <c:strCache>
                <c:ptCount val="1"/>
                <c:pt idx="0">
                  <c:v>Borxhi Shtetëror</c:v>
                </c:pt>
              </c:strCache>
            </c:strRef>
          </c:tx>
          <c:spPr>
            <a:solidFill>
              <a:schemeClr val="accent1">
                <a:lumMod val="50000"/>
              </a:schemeClr>
            </a:solidFill>
            <a:ln>
              <a:noFill/>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'Sherbimi i Borxhit'!$B$35:$H$35</c:f>
              <c:strCache>
                <c:ptCount val="6"/>
                <c:pt idx="0">
                  <c:v>T1 2018</c:v>
                </c:pt>
                <c:pt idx="1">
                  <c:v>T1 2019</c:v>
                </c:pt>
                <c:pt idx="2">
                  <c:v>T1 2020</c:v>
                </c:pt>
                <c:pt idx="3">
                  <c:v>T1 2021</c:v>
                </c:pt>
                <c:pt idx="4">
                  <c:v>T1 2022</c:v>
                </c:pt>
                <c:pt idx="5">
                  <c:v>T1 2023</c:v>
                </c:pt>
              </c:strCache>
              <c:extLst/>
            </c:strRef>
          </c:cat>
          <c:val>
            <c:numRef>
              <c:f>'Sherbimi i Borxhit'!$B$36:$H$36</c:f>
              <c:numCache>
                <c:formatCode>_-* #,##0.00_L_e_k_-;\-* #,##0.00_L_e_k_-;_-* "-"??_L_e_k_-;_-@_-</c:formatCode>
                <c:ptCount val="6"/>
                <c:pt idx="0">
                  <c:v>1036.96382804</c:v>
                </c:pt>
                <c:pt idx="1">
                  <c:v>1071.2833191361037</c:v>
                </c:pt>
                <c:pt idx="2">
                  <c:v>1117.8424769905716</c:v>
                </c:pt>
                <c:pt idx="3">
                  <c:v>1220.9222143074981</c:v>
                </c:pt>
                <c:pt idx="4">
                  <c:v>1340.5258102611765</c:v>
                </c:pt>
                <c:pt idx="5">
                  <c:v>1326.593887028414</c:v>
                </c:pt>
              </c:numCache>
              <c:extLst/>
            </c:numRef>
          </c:val>
          <c:extLst>
            <c:ext xmlns:c16="http://schemas.microsoft.com/office/drawing/2014/chart" uri="{C3380CC4-5D6E-409C-BE32-E72D297353CC}">
              <c16:uniqueId val="{00000000-D34A-473A-8F85-8293AFBB4BE2}"/>
            </c:ext>
          </c:extLst>
        </c:ser>
        <c:ser>
          <c:idx val="1"/>
          <c:order val="1"/>
          <c:tx>
            <c:strRef>
              <c:f>'Sherbimi i Borxhit'!$A$37</c:f>
              <c:strCache>
                <c:ptCount val="1"/>
                <c:pt idx="0">
                  <c:v>Interesa</c:v>
                </c:pt>
              </c:strCache>
            </c:strRef>
          </c:tx>
          <c:spPr>
            <a:solidFill>
              <a:schemeClr val="bg1">
                <a:lumMod val="85000"/>
              </a:schemeClr>
            </a:solidFill>
            <a:ln>
              <a:noFill/>
            </a:ln>
            <a:effectLst/>
          </c:spPr>
          <c:invertIfNegative val="0"/>
          <c:dLbls>
            <c:dLbl>
              <c:idx val="0"/>
              <c:layout>
                <c:manualLayout>
                  <c:x val="2.1786492374727671E-3"/>
                  <c:y val="3.75365387456186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34A-473A-8F85-8293AFBB4BE2}"/>
                </c:ext>
              </c:extLst>
            </c:dLbl>
            <c:dLbl>
              <c:idx val="1"/>
              <c:layout>
                <c:manualLayout>
                  <c:x val="8.7145969498909868E-3"/>
                  <c:y val="3.18514904227079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34A-473A-8F85-8293AFBB4BE2}"/>
                </c:ext>
              </c:extLst>
            </c:dLbl>
            <c:dLbl>
              <c:idx val="2"/>
              <c:layout>
                <c:manualLayout>
                  <c:x val="5.2922306280342411E-3"/>
                  <c:y val="2.45777620605838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34A-473A-8F85-8293AFBB4BE2}"/>
                </c:ext>
              </c:extLst>
            </c:dLbl>
            <c:dLbl>
              <c:idx val="3"/>
              <c:layout>
                <c:manualLayout>
                  <c:x val="8.7145969498910684E-3"/>
                  <c:y val="3.18514904227078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34A-473A-8F85-8293AFBB4BE2}"/>
                </c:ext>
              </c:extLst>
            </c:dLbl>
            <c:dLbl>
              <c:idx val="4"/>
              <c:layout>
                <c:manualLayout>
                  <c:x val="1.5250544662309368E-2"/>
                  <c:y val="2.27401932916429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34A-473A-8F85-8293AFBB4BE2}"/>
                </c:ext>
              </c:extLst>
            </c:dLbl>
            <c:dLbl>
              <c:idx val="5"/>
              <c:layout>
                <c:manualLayout>
                  <c:x val="1.5250544662309368E-2"/>
                  <c:y val="1.13700966458213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34A-473A-8F85-8293AFBB4BE2}"/>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'Sherbimi i Borxhit'!$B$35:$H$35</c:f>
              <c:strCache>
                <c:ptCount val="6"/>
                <c:pt idx="0">
                  <c:v>T1 2018</c:v>
                </c:pt>
                <c:pt idx="1">
                  <c:v>T1 2019</c:v>
                </c:pt>
                <c:pt idx="2">
                  <c:v>T1 2020</c:v>
                </c:pt>
                <c:pt idx="3">
                  <c:v>T1 2021</c:v>
                </c:pt>
                <c:pt idx="4">
                  <c:v>T1 2022</c:v>
                </c:pt>
                <c:pt idx="5">
                  <c:v>T1 2023</c:v>
                </c:pt>
              </c:strCache>
              <c:extLst/>
            </c:strRef>
          </c:cat>
          <c:val>
            <c:numRef>
              <c:f>'Sherbimi i Borxhit'!$B$37:$H$37</c:f>
              <c:numCache>
                <c:formatCode>_-* #,##0.00_L_e_k_-;\-* #,##0.00_L_e_k_-;_-* "-"??_L_e_k_-;_-@_-</c:formatCode>
                <c:ptCount val="6"/>
                <c:pt idx="0">
                  <c:v>8.4881000000000011</c:v>
                </c:pt>
                <c:pt idx="1">
                  <c:v>9.5246438075489976</c:v>
                </c:pt>
                <c:pt idx="2">
                  <c:v>9.0629600565800015</c:v>
                </c:pt>
                <c:pt idx="3">
                  <c:v>9.6599716872807999</c:v>
                </c:pt>
                <c:pt idx="4">
                  <c:v>11.029023915668699</c:v>
                </c:pt>
                <c:pt idx="5">
                  <c:v>12.051491717987103</c:v>
                </c:pt>
              </c:numCache>
              <c:extLst/>
            </c:numRef>
          </c:val>
          <c:extLst>
            <c:ext xmlns:c16="http://schemas.microsoft.com/office/drawing/2014/chart" uri="{C3380CC4-5D6E-409C-BE32-E72D297353CC}">
              <c16:uniqueId val="{00000007-D34A-473A-8F85-8293AFBB4BE2}"/>
            </c:ext>
          </c:extLst>
        </c:ser>
        <c:dLbls>
          <c:showLegendKey val="0"/>
          <c:showVal val="0"/>
          <c:showCatName val="0"/>
          <c:showSerName val="0"/>
          <c:showPercent val="0"/>
          <c:showBubbleSize val="0"/>
        </c:dLbls>
        <c:gapWidth val="80"/>
        <c:axId val="-1194641488"/>
        <c:axId val="-1194637680"/>
      </c:barChart>
      <c:lineChart>
        <c:grouping val="standard"/>
        <c:varyColors val="0"/>
        <c:ser>
          <c:idx val="2"/>
          <c:order val="2"/>
          <c:tx>
            <c:strRef>
              <c:f>'Sherbimi i Borxhit'!$A$38</c:f>
              <c:strCache>
                <c:ptCount val="1"/>
                <c:pt idx="0">
                  <c:v>Interesa/PBB</c:v>
                </c:pt>
              </c:strCache>
            </c:strRef>
          </c:tx>
          <c:spPr>
            <a:ln w="25400" cap="rnd">
              <a:solidFill>
                <a:schemeClr val="bg1">
                  <a:lumMod val="50000"/>
                </a:schemeClr>
              </a:solidFill>
              <a:round/>
            </a:ln>
            <a:effectLst/>
          </c:spPr>
          <c:marker>
            <c:symbol val="diamond"/>
            <c:size val="5"/>
            <c:spPr>
              <a:solidFill>
                <a:schemeClr val="bg1">
                  <a:lumMod val="50000"/>
                </a:schemeClr>
              </a:solidFill>
              <a:ln w="9525">
                <a:noFill/>
              </a:ln>
              <a:effectLst/>
            </c:spPr>
          </c:marker>
          <c:dLbls>
            <c:dLbl>
              <c:idx val="0"/>
              <c:layout>
                <c:manualLayout>
                  <c:x val="-9.5404250939220836E-3"/>
                  <c:y val="-7.87580631443241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34A-473A-8F85-8293AFBB4BE2}"/>
                </c:ext>
              </c:extLst>
            </c:dLbl>
            <c:dLbl>
              <c:idx val="1"/>
              <c:layout>
                <c:manualLayout>
                  <c:x val="-1.2392740123170919E-2"/>
                  <c:y val="-7.00048792934424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34A-473A-8F85-8293AFBB4BE2}"/>
                </c:ext>
              </c:extLst>
            </c:dLbl>
            <c:dLbl>
              <c:idx val="2"/>
              <c:layout>
                <c:manualLayout>
                  <c:x val="-1.6070025560530422E-2"/>
                  <c:y val="-5.73142399269449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34A-473A-8F85-8293AFBB4BE2}"/>
                </c:ext>
              </c:extLst>
            </c:dLbl>
            <c:dLbl>
              <c:idx val="3"/>
              <c:layout>
                <c:manualLayout>
                  <c:x val="-1.0567992726399396E-2"/>
                  <c:y val="-7.05111619433018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34A-473A-8F85-8293AFBB4BE2}"/>
                </c:ext>
              </c:extLst>
            </c:dLbl>
            <c:dLbl>
              <c:idx val="4"/>
              <c:layout>
                <c:manualLayout>
                  <c:x val="8.7145969498910684E-3"/>
                  <c:y val="-5.68504832291074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34A-473A-8F85-8293AFBB4BE2}"/>
                </c:ext>
              </c:extLst>
            </c:dLbl>
            <c:dLbl>
              <c:idx val="5"/>
              <c:layout>
                <c:manualLayout>
                  <c:x val="4.3572984749455342E-3"/>
                  <c:y val="-7.39056281978397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34A-473A-8F85-8293AFBB4BE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'Sherbimi i Borxhit'!$B$35:$H$35</c:f>
              <c:strCache>
                <c:ptCount val="6"/>
                <c:pt idx="0">
                  <c:v>T1 2018</c:v>
                </c:pt>
                <c:pt idx="1">
                  <c:v>T1 2019</c:v>
                </c:pt>
                <c:pt idx="2">
                  <c:v>T1 2020</c:v>
                </c:pt>
                <c:pt idx="3">
                  <c:v>T1 2021</c:v>
                </c:pt>
                <c:pt idx="4">
                  <c:v>T1 2022</c:v>
                </c:pt>
                <c:pt idx="5">
                  <c:v>T1 2023</c:v>
                </c:pt>
              </c:strCache>
              <c:extLst/>
            </c:strRef>
          </c:cat>
          <c:val>
            <c:numRef>
              <c:f>'Sherbimi i Borxhit'!$B$38:$H$38</c:f>
              <c:numCache>
                <c:formatCode>0.00%</c:formatCode>
                <c:ptCount val="6"/>
                <c:pt idx="0">
                  <c:v>5.1860079634344315E-3</c:v>
                </c:pt>
                <c:pt idx="1">
                  <c:v>5.6295434124497461E-3</c:v>
                </c:pt>
                <c:pt idx="2">
                  <c:v>5.5012681344436343E-3</c:v>
                </c:pt>
                <c:pt idx="3">
                  <c:v>5.2042435513655998E-3</c:v>
                </c:pt>
                <c:pt idx="4">
                  <c:v>5.1671174843121778E-3</c:v>
                </c:pt>
                <c:pt idx="5">
                  <c:v>5.538113729495509E-3</c:v>
                </c:pt>
              </c:numCache>
              <c:extLst/>
            </c:numRef>
          </c:val>
          <c:smooth val="1"/>
          <c:extLst>
            <c:ext xmlns:c16="http://schemas.microsoft.com/office/drawing/2014/chart" uri="{C3380CC4-5D6E-409C-BE32-E72D297353CC}">
              <c16:uniqueId val="{0000000E-D34A-473A-8F85-8293AFBB4BE2}"/>
            </c:ext>
          </c:extLst>
        </c:ser>
        <c:ser>
          <c:idx val="3"/>
          <c:order val="3"/>
          <c:tx>
            <c:strRef>
              <c:f>'Sherbimi i Borxhit'!$A$39</c:f>
              <c:strCache>
                <c:ptCount val="1"/>
                <c:pt idx="0">
                  <c:v>Interesa/Të Ardhura Tatimore</c:v>
                </c:pt>
              </c:strCache>
            </c:strRef>
          </c:tx>
          <c:spPr>
            <a:ln w="28575" cap="rnd">
              <a:solidFill>
                <a:srgbClr val="C00000"/>
              </a:solidFill>
              <a:round/>
            </a:ln>
            <a:effectLst/>
          </c:spPr>
          <c:marker>
            <c:symbol val="diamond"/>
            <c:size val="5"/>
            <c:spPr>
              <a:solidFill>
                <a:srgbClr val="C00000"/>
              </a:solidFill>
              <a:ln w="9525">
                <a:noFill/>
              </a:ln>
              <a:effectLst/>
            </c:spPr>
          </c:marker>
          <c:dLbls>
            <c:dLbl>
              <c:idx val="0"/>
              <c:layout>
                <c:manualLayout>
                  <c:x val="-3.8553857238433471E-2"/>
                  <c:y val="-5.228431602107735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34A-473A-8F85-8293AFBB4BE2}"/>
                </c:ext>
              </c:extLst>
            </c:dLbl>
            <c:dLbl>
              <c:idx val="1"/>
              <c:layout>
                <c:manualLayout>
                  <c:x val="-3.2226167807455443E-2"/>
                  <c:y val="-5.63879379909165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34A-473A-8F85-8293AFBB4BE2}"/>
                </c:ext>
              </c:extLst>
            </c:dLbl>
            <c:dLbl>
              <c:idx val="2"/>
              <c:layout>
                <c:manualLayout>
                  <c:x val="-3.1536033486010404E-2"/>
                  <c:y val="-5.19336717218531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34A-473A-8F85-8293AFBB4BE2}"/>
                </c:ext>
              </c:extLst>
            </c:dLbl>
            <c:dLbl>
              <c:idx val="3"/>
              <c:layout>
                <c:manualLayout>
                  <c:x val="-1.2353284270838774E-2"/>
                  <c:y val="-5.63380118158614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D34A-473A-8F85-8293AFBB4BE2}"/>
                </c:ext>
              </c:extLst>
            </c:dLbl>
            <c:dLbl>
              <c:idx val="4"/>
              <c:layout>
                <c:manualLayout>
                  <c:x val="-1.0666460810045804E-2"/>
                  <c:y val="-5.28756896294820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D34A-473A-8F85-8293AFBB4BE2}"/>
                </c:ext>
              </c:extLst>
            </c:dLbl>
            <c:dLbl>
              <c:idx val="5"/>
              <c:layout>
                <c:manualLayout>
                  <c:x val="-1.7429193899782137E-2"/>
                  <c:y val="-4.42369132464979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D34A-473A-8F85-8293AFBB4BE2}"/>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'Sherbimi i Borxhit'!$B$35:$H$35</c:f>
              <c:strCache>
                <c:ptCount val="6"/>
                <c:pt idx="0">
                  <c:v>T1 2018</c:v>
                </c:pt>
                <c:pt idx="1">
                  <c:v>T1 2019</c:v>
                </c:pt>
                <c:pt idx="2">
                  <c:v>T1 2020</c:v>
                </c:pt>
                <c:pt idx="3">
                  <c:v>T1 2021</c:v>
                </c:pt>
                <c:pt idx="4">
                  <c:v>T1 2022</c:v>
                </c:pt>
                <c:pt idx="5">
                  <c:v>T1 2023</c:v>
                </c:pt>
              </c:strCache>
              <c:extLst/>
            </c:strRef>
          </c:cat>
          <c:val>
            <c:numRef>
              <c:f>'Sherbimi i Borxhit'!$B$39:$H$39</c:f>
              <c:numCache>
                <c:formatCode>0.000%</c:formatCode>
                <c:ptCount val="6"/>
                <c:pt idx="0">
                  <c:v>8.621211505647193E-2</c:v>
                </c:pt>
                <c:pt idx="1">
                  <c:v>9.3790804785223308E-2</c:v>
                </c:pt>
                <c:pt idx="2">
                  <c:v>9.3431614690364026E-2</c:v>
                </c:pt>
                <c:pt idx="3">
                  <c:v>9.2903102427228573E-2</c:v>
                </c:pt>
                <c:pt idx="4" formatCode="0.00%">
                  <c:v>8.3225982052903352E-2</c:v>
                </c:pt>
                <c:pt idx="5" formatCode="0.00%">
                  <c:v>8.3966722066141586E-2</c:v>
                </c:pt>
              </c:numCache>
              <c:extLst/>
            </c:numRef>
          </c:val>
          <c:smooth val="1"/>
          <c:extLst>
            <c:ext xmlns:c16="http://schemas.microsoft.com/office/drawing/2014/chart" uri="{C3380CC4-5D6E-409C-BE32-E72D297353CC}">
              <c16:uniqueId val="{00000015-D34A-473A-8F85-8293AFBB4BE2}"/>
            </c:ext>
          </c:extLst>
        </c:ser>
        <c:dLbls>
          <c:showLegendKey val="0"/>
          <c:showVal val="0"/>
          <c:showCatName val="0"/>
          <c:showSerName val="0"/>
          <c:showPercent val="0"/>
          <c:showBubbleSize val="0"/>
        </c:dLbls>
        <c:marker val="1"/>
        <c:smooth val="0"/>
        <c:axId val="-1194628432"/>
        <c:axId val="-1194645296"/>
      </c:lineChart>
      <c:catAx>
        <c:axId val="-119464148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4637680"/>
        <c:crosses val="autoZero"/>
        <c:auto val="1"/>
        <c:lblAlgn val="ctr"/>
        <c:lblOffset val="100"/>
        <c:noMultiLvlLbl val="0"/>
      </c:catAx>
      <c:valAx>
        <c:axId val="-1194637680"/>
        <c:scaling>
          <c:orientation val="minMax"/>
          <c:max val="1500"/>
        </c:scaling>
        <c:delete val="0"/>
        <c:axPos val="l"/>
        <c:title>
          <c:tx>
            <c:rich>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në miliard Lekë</a:t>
                </a:r>
              </a:p>
            </c:rich>
          </c:tx>
          <c:layout>
            <c:manualLayout>
              <c:xMode val="edge"/>
              <c:yMode val="edge"/>
              <c:x val="1.6580893074640182E-2"/>
              <c:y val="0.20382241162435705"/>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4641488"/>
        <c:crosses val="autoZero"/>
        <c:crossBetween val="between"/>
        <c:majorUnit val="300"/>
      </c:valAx>
      <c:valAx>
        <c:axId val="-1194645296"/>
        <c:scaling>
          <c:orientation val="minMax"/>
          <c:max val="0.12000000000000001"/>
        </c:scaling>
        <c:delete val="0"/>
        <c:axPos val="r"/>
        <c:numFmt formatCode="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4628432"/>
        <c:crosses val="max"/>
        <c:crossBetween val="between"/>
        <c:majorUnit val="3.0000000000000006E-2"/>
      </c:valAx>
      <c:catAx>
        <c:axId val="-1194628432"/>
        <c:scaling>
          <c:orientation val="minMax"/>
        </c:scaling>
        <c:delete val="1"/>
        <c:axPos val="b"/>
        <c:numFmt formatCode="General" sourceLinked="1"/>
        <c:majorTickMark val="none"/>
        <c:minorTickMark val="none"/>
        <c:tickLblPos val="nextTo"/>
        <c:crossAx val="-1194645296"/>
        <c:crosses val="autoZero"/>
        <c:auto val="1"/>
        <c:lblAlgn val="ctr"/>
        <c:lblOffset val="100"/>
        <c:noMultiLvlLbl val="0"/>
      </c:catAx>
      <c:spPr>
        <a:noFill/>
        <a:ln>
          <a:noFill/>
        </a:ln>
        <a:effectLst/>
      </c:spPr>
    </c:plotArea>
    <c:legend>
      <c:legendPos val="b"/>
      <c:layout>
        <c:manualLayout>
          <c:xMode val="edge"/>
          <c:yMode val="edge"/>
          <c:x val="0.12903213620524029"/>
          <c:y val="0.88763298953827952"/>
          <c:w val="0.82487738024613511"/>
          <c:h val="7.9225906620827333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714382604811259"/>
          <c:y val="0.16096576076601113"/>
          <c:w val="0.79152746718733524"/>
          <c:h val="0.61865394600591561"/>
        </c:manualLayout>
      </c:layout>
      <c:lineChart>
        <c:grouping val="standard"/>
        <c:varyColors val="0"/>
        <c:ser>
          <c:idx val="0"/>
          <c:order val="0"/>
          <c:tx>
            <c:strRef>
              <c:f>'Sherbimi i Borxhit'!$A$61</c:f>
              <c:strCache>
                <c:ptCount val="1"/>
                <c:pt idx="0">
                  <c:v>Kosto BB</c:v>
                </c:pt>
              </c:strCache>
            </c:strRef>
          </c:tx>
          <c:spPr>
            <a:ln w="28575" cap="rnd">
              <a:solidFill>
                <a:srgbClr val="5B9BD5">
                  <a:lumMod val="50000"/>
                </a:srgbClr>
              </a:solidFill>
              <a:round/>
            </a:ln>
            <a:effectLst/>
          </c:spPr>
          <c:marker>
            <c:symbol val="diamond"/>
            <c:size val="5"/>
            <c:spPr>
              <a:solidFill>
                <a:srgbClr val="44546A"/>
              </a:solidFill>
              <a:ln w="9525">
                <a:no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2"/>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'Sherbimi i Borxhit'!$B$60:$H$60</c:f>
              <c:strCache>
                <c:ptCount val="6"/>
                <c:pt idx="0">
                  <c:v>2018</c:v>
                </c:pt>
                <c:pt idx="1">
                  <c:v>2019</c:v>
                </c:pt>
                <c:pt idx="2">
                  <c:v>2020</c:v>
                </c:pt>
                <c:pt idx="3">
                  <c:v>2021</c:v>
                </c:pt>
                <c:pt idx="4">
                  <c:v>2022</c:v>
                </c:pt>
                <c:pt idx="5">
                  <c:v>T1 2023</c:v>
                </c:pt>
              </c:strCache>
              <c:extLst/>
            </c:strRef>
          </c:cat>
          <c:val>
            <c:numRef>
              <c:f>'Sherbimi i Borxhit'!$B$61:$H$61</c:f>
              <c:numCache>
                <c:formatCode>0.00%</c:formatCode>
                <c:ptCount val="6"/>
                <c:pt idx="0">
                  <c:v>4.1829999999999999E-2</c:v>
                </c:pt>
                <c:pt idx="1">
                  <c:v>3.8350000000000002E-2</c:v>
                </c:pt>
                <c:pt idx="2">
                  <c:v>3.6500999999999999E-2</c:v>
                </c:pt>
                <c:pt idx="3">
                  <c:v>3.5249999999999997E-2</c:v>
                </c:pt>
                <c:pt idx="4">
                  <c:v>4.0500000000000001E-2</c:v>
                </c:pt>
                <c:pt idx="5">
                  <c:v>4.4299999999999999E-2</c:v>
                </c:pt>
              </c:numCache>
              <c:extLst/>
            </c:numRef>
          </c:val>
          <c:smooth val="1"/>
          <c:extLst>
            <c:ext xmlns:c16="http://schemas.microsoft.com/office/drawing/2014/chart" uri="{C3380CC4-5D6E-409C-BE32-E72D297353CC}">
              <c16:uniqueId val="{00000000-D53B-49D6-9001-F0C405B4E89A}"/>
            </c:ext>
          </c:extLst>
        </c:ser>
        <c:dLbls>
          <c:showLegendKey val="0"/>
          <c:showVal val="0"/>
          <c:showCatName val="0"/>
          <c:showSerName val="0"/>
          <c:showPercent val="0"/>
          <c:showBubbleSize val="0"/>
        </c:dLbls>
        <c:marker val="1"/>
        <c:smooth val="0"/>
        <c:axId val="-1194638224"/>
        <c:axId val="-1194644752"/>
      </c:lineChart>
      <c:lineChart>
        <c:grouping val="standard"/>
        <c:varyColors val="0"/>
        <c:ser>
          <c:idx val="1"/>
          <c:order val="1"/>
          <c:tx>
            <c:strRef>
              <c:f>'Sherbimi i Borxhit'!$A$62</c:f>
              <c:strCache>
                <c:ptCount val="1"/>
                <c:pt idx="0">
                  <c:v>DMM</c:v>
                </c:pt>
              </c:strCache>
            </c:strRef>
          </c:tx>
          <c:spPr>
            <a:ln w="28575" cap="rnd">
              <a:solidFill>
                <a:srgbClr val="C00000"/>
              </a:solidFill>
              <a:round/>
            </a:ln>
            <a:effectLst/>
          </c:spPr>
          <c:marker>
            <c:symbol val="square"/>
            <c:size val="5"/>
            <c:spPr>
              <a:solidFill>
                <a:srgbClr val="C00000"/>
              </a:solidFill>
              <a:ln w="9525">
                <a:solidFill>
                  <a:srgbClr val="C00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rgbClr val="C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'Sherbimi i Borxhit'!$B$60:$H$60</c:f>
              <c:strCache>
                <c:ptCount val="6"/>
                <c:pt idx="0">
                  <c:v>2018</c:v>
                </c:pt>
                <c:pt idx="1">
                  <c:v>2019</c:v>
                </c:pt>
                <c:pt idx="2">
                  <c:v>2020</c:v>
                </c:pt>
                <c:pt idx="3">
                  <c:v>2021</c:v>
                </c:pt>
                <c:pt idx="4">
                  <c:v>2022</c:v>
                </c:pt>
                <c:pt idx="5">
                  <c:v>T1 2023</c:v>
                </c:pt>
              </c:strCache>
              <c:extLst/>
            </c:strRef>
          </c:cat>
          <c:val>
            <c:numRef>
              <c:f>'Sherbimi i Borxhit'!$B$62:$H$62</c:f>
              <c:numCache>
                <c:formatCode>#,##0</c:formatCode>
                <c:ptCount val="6"/>
                <c:pt idx="0" formatCode="General">
                  <c:v>783</c:v>
                </c:pt>
                <c:pt idx="1">
                  <c:v>787</c:v>
                </c:pt>
                <c:pt idx="2">
                  <c:v>783</c:v>
                </c:pt>
                <c:pt idx="3">
                  <c:v>793</c:v>
                </c:pt>
                <c:pt idx="4">
                  <c:v>780</c:v>
                </c:pt>
                <c:pt idx="5">
                  <c:v>808</c:v>
                </c:pt>
              </c:numCache>
              <c:extLst/>
            </c:numRef>
          </c:val>
          <c:smooth val="1"/>
          <c:extLst>
            <c:ext xmlns:c16="http://schemas.microsoft.com/office/drawing/2014/chart" uri="{C3380CC4-5D6E-409C-BE32-E72D297353CC}">
              <c16:uniqueId val="{00000001-D53B-49D6-9001-F0C405B4E89A}"/>
            </c:ext>
          </c:extLst>
        </c:ser>
        <c:dLbls>
          <c:showLegendKey val="0"/>
          <c:showVal val="0"/>
          <c:showCatName val="0"/>
          <c:showSerName val="0"/>
          <c:showPercent val="0"/>
          <c:showBubbleSize val="0"/>
        </c:dLbls>
        <c:marker val="1"/>
        <c:smooth val="0"/>
        <c:axId val="-1194643664"/>
        <c:axId val="-1194630064"/>
      </c:lineChart>
      <c:catAx>
        <c:axId val="-11946382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4644752"/>
        <c:crosses val="autoZero"/>
        <c:auto val="1"/>
        <c:lblAlgn val="ctr"/>
        <c:lblOffset val="100"/>
        <c:noMultiLvlLbl val="0"/>
      </c:catAx>
      <c:valAx>
        <c:axId val="-1194644752"/>
        <c:scaling>
          <c:orientation val="minMax"/>
          <c:max val="5.5000000000000007E-2"/>
          <c:min val="3.0000000000000006E-2"/>
        </c:scaling>
        <c:delete val="0"/>
        <c:axPos val="l"/>
        <c:title>
          <c:tx>
            <c:rich>
              <a:bodyPr rot="0" spcFirstLastPara="1" vertOverflow="ellipsis" wrap="square" anchor="ctr" anchorCtr="1"/>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NMP</a:t>
                </a:r>
              </a:p>
            </c:rich>
          </c:tx>
          <c:layout>
            <c:manualLayout>
              <c:xMode val="edge"/>
              <c:yMode val="edge"/>
              <c:x val="6.2349586130739675E-2"/>
              <c:y val="3.7817659169154735E-2"/>
            </c:manualLayout>
          </c:layout>
          <c:overlay val="0"/>
          <c:spPr>
            <a:noFill/>
            <a:ln>
              <a:noFill/>
            </a:ln>
            <a:effectLst/>
          </c:spPr>
          <c:txPr>
            <a:bodyPr rot="0" spcFirstLastPara="1" vertOverflow="ellipsis" wrap="square" anchor="ctr" anchorCtr="1"/>
            <a:lstStyle/>
            <a:p>
              <a:pPr>
                <a:defRPr sz="1000" b="1"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6350">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4638224"/>
        <c:crosses val="autoZero"/>
        <c:crossBetween val="between"/>
      </c:valAx>
      <c:valAx>
        <c:axId val="-1194630064"/>
        <c:scaling>
          <c:orientation val="minMax"/>
          <c:min val="600"/>
        </c:scaling>
        <c:delete val="0"/>
        <c:axPos val="r"/>
        <c:title>
          <c:tx>
            <c:rich>
              <a:bodyPr rot="0" spcFirstLastPara="1" vertOverflow="ellipsis" wrap="square" anchor="t" anchorCtr="0"/>
              <a:lstStyle/>
              <a:p>
                <a:pPr>
                  <a:defRPr sz="1000" b="1" i="0" u="none" strike="noStrike" kern="1200" baseline="0">
                    <a:solidFill>
                      <a:sysClr val="windowText" lastClr="000000"/>
                    </a:solidFill>
                    <a:latin typeface="+mn-lt"/>
                    <a:ea typeface="+mn-ea"/>
                    <a:cs typeface="+mn-cs"/>
                  </a:defRPr>
                </a:pPr>
                <a:r>
                  <a:rPr lang="en-US" b="1">
                    <a:solidFill>
                      <a:sysClr val="windowText" lastClr="000000"/>
                    </a:solidFill>
                  </a:rPr>
                  <a:t>DMM</a:t>
                </a:r>
              </a:p>
            </c:rich>
          </c:tx>
          <c:layout>
            <c:manualLayout>
              <c:xMode val="edge"/>
              <c:yMode val="edge"/>
              <c:x val="0.90033459780397518"/>
              <c:y val="2.7086608451420659E-2"/>
            </c:manualLayout>
          </c:layout>
          <c:overlay val="0"/>
          <c:spPr>
            <a:noFill/>
            <a:ln>
              <a:noFill/>
            </a:ln>
            <a:effectLst/>
          </c:spPr>
          <c:txPr>
            <a:bodyPr rot="0" spcFirstLastPara="1" vertOverflow="ellipsis" wrap="square" anchor="t" anchorCtr="0"/>
            <a:lstStyle/>
            <a:p>
              <a:pPr>
                <a:defRPr sz="10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4643664"/>
        <c:crosses val="max"/>
        <c:crossBetween val="between"/>
        <c:majorUnit val="50"/>
      </c:valAx>
      <c:catAx>
        <c:axId val="-1194643664"/>
        <c:scaling>
          <c:orientation val="minMax"/>
        </c:scaling>
        <c:delete val="1"/>
        <c:axPos val="b"/>
        <c:numFmt formatCode="General" sourceLinked="1"/>
        <c:majorTickMark val="out"/>
        <c:minorTickMark val="none"/>
        <c:tickLblPos val="nextTo"/>
        <c:crossAx val="-1194630064"/>
        <c:crosses val="autoZero"/>
        <c:auto val="1"/>
        <c:lblAlgn val="ctr"/>
        <c:lblOffset val="100"/>
        <c:noMultiLvlLbl val="0"/>
      </c:catAx>
      <c:spPr>
        <a:noFill/>
        <a:ln>
          <a:noFill/>
        </a:ln>
        <a:effectLst/>
      </c:spPr>
    </c:plotArea>
    <c:legend>
      <c:legendPos val="b"/>
      <c:layout>
        <c:manualLayout>
          <c:xMode val="edge"/>
          <c:yMode val="edge"/>
          <c:x val="0.33098084100001568"/>
          <c:y val="0.89335954976905008"/>
          <c:w val="0.27156386362407114"/>
          <c:h val="9.05438741543488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'Tregu primar ankandet (2)'!$B$136</c:f>
              <c:strCache>
                <c:ptCount val="1"/>
                <c:pt idx="0">
                  <c:v>Kërkesa</c:v>
                </c:pt>
              </c:strCache>
            </c:strRef>
          </c:tx>
          <c:spPr>
            <a:solidFill>
              <a:schemeClr val="accent1">
                <a:lumMod val="50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'Tregu primar ankandet (2)'!$A$137:$A$139</c:f>
              <c:strCache>
                <c:ptCount val="3"/>
                <c:pt idx="0">
                  <c:v>Janar</c:v>
                </c:pt>
                <c:pt idx="1">
                  <c:v>Shkurt</c:v>
                </c:pt>
                <c:pt idx="2">
                  <c:v>Mars</c:v>
                </c:pt>
              </c:strCache>
            </c:strRef>
          </c:cat>
          <c:val>
            <c:numRef>
              <c:f>'Tregu primar ankandet (2)'!$H$137:$H$139</c:f>
              <c:numCache>
                <c:formatCode>_-* #,##0.0_L_e_k_-;\-* #,##0.0_L_e_k_-;_-* "-"??_L_e_k_-;_-@_-</c:formatCode>
                <c:ptCount val="3"/>
                <c:pt idx="0">
                  <c:v>54.594429999999996</c:v>
                </c:pt>
                <c:pt idx="1">
                  <c:v>80.777140000000003</c:v>
                </c:pt>
                <c:pt idx="2">
                  <c:v>63.989739999999998</c:v>
                </c:pt>
              </c:numCache>
            </c:numRef>
          </c:val>
          <c:extLst>
            <c:ext xmlns:c16="http://schemas.microsoft.com/office/drawing/2014/chart" uri="{C3380CC4-5D6E-409C-BE32-E72D297353CC}">
              <c16:uniqueId val="{00000000-EA47-4684-89D7-17C893DEF6FD}"/>
            </c:ext>
          </c:extLst>
        </c:ser>
        <c:ser>
          <c:idx val="1"/>
          <c:order val="1"/>
          <c:tx>
            <c:strRef>
              <c:f>'Tregu primar ankandet (2)'!$I$136</c:f>
              <c:strCache>
                <c:ptCount val="1"/>
                <c:pt idx="0">
                  <c:v>Oferta</c:v>
                </c:pt>
              </c:strCache>
            </c:strRef>
          </c:tx>
          <c:spPr>
            <a:solidFill>
              <a:schemeClr val="bg1">
                <a:lumMod val="85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'Tregu primar ankandet (2)'!$A$137:$A$139</c:f>
              <c:strCache>
                <c:ptCount val="3"/>
                <c:pt idx="0">
                  <c:v>Janar</c:v>
                </c:pt>
                <c:pt idx="1">
                  <c:v>Shkurt</c:v>
                </c:pt>
                <c:pt idx="2">
                  <c:v>Mars</c:v>
                </c:pt>
              </c:strCache>
            </c:strRef>
          </c:cat>
          <c:val>
            <c:numRef>
              <c:f>'Tregu primar ankandet (2)'!$I$137:$I$139</c:f>
              <c:numCache>
                <c:formatCode>_-* #,##0.0_L_e_k_-;\-* #,##0.0_L_e_k_-;_-* "-"??_L_e_k_-;_-@_-</c:formatCode>
                <c:ptCount val="3"/>
                <c:pt idx="0">
                  <c:v>35</c:v>
                </c:pt>
                <c:pt idx="1">
                  <c:v>48</c:v>
                </c:pt>
                <c:pt idx="2">
                  <c:v>38</c:v>
                </c:pt>
              </c:numCache>
            </c:numRef>
          </c:val>
          <c:extLst>
            <c:ext xmlns:c16="http://schemas.microsoft.com/office/drawing/2014/chart" uri="{C3380CC4-5D6E-409C-BE32-E72D297353CC}">
              <c16:uniqueId val="{00000001-EA47-4684-89D7-17C893DEF6FD}"/>
            </c:ext>
          </c:extLst>
        </c:ser>
        <c:dLbls>
          <c:showLegendKey val="0"/>
          <c:showVal val="0"/>
          <c:showCatName val="0"/>
          <c:showSerName val="0"/>
          <c:showPercent val="0"/>
          <c:showBubbleSize val="0"/>
        </c:dLbls>
        <c:gapWidth val="150"/>
        <c:axId val="-1194636048"/>
        <c:axId val="-1194632240"/>
      </c:barChart>
      <c:lineChart>
        <c:grouping val="standard"/>
        <c:varyColors val="0"/>
        <c:ser>
          <c:idx val="2"/>
          <c:order val="2"/>
          <c:tx>
            <c:strRef>
              <c:f>'Tregu primar ankandet (2)'!$J$136</c:f>
              <c:strCache>
                <c:ptCount val="1"/>
                <c:pt idx="0">
                  <c:v>Raporti i Mbulimit</c:v>
                </c:pt>
              </c:strCache>
            </c:strRef>
          </c:tx>
          <c:spPr>
            <a:ln w="28575" cap="rnd">
              <a:solidFill>
                <a:srgbClr val="C00000"/>
              </a:solidFill>
              <a:round/>
            </a:ln>
            <a:effectLst/>
          </c:spPr>
          <c:marker>
            <c:symbol val="circle"/>
            <c:size val="5"/>
            <c:spPr>
              <a:solidFill>
                <a:srgbClr val="C00000"/>
              </a:solidFill>
              <a:ln w="9525">
                <a:noFill/>
              </a:ln>
              <a:effectLst/>
            </c:spPr>
          </c:marker>
          <c:dLbls>
            <c:dLbl>
              <c:idx val="0"/>
              <c:layout>
                <c:manualLayout>
                  <c:x val="-1.4386261212141304E-2"/>
                  <c:y val="-8.30343614824816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47-4684-89D7-17C893DEF6FD}"/>
                </c:ext>
              </c:extLst>
            </c:dLbl>
            <c:dLbl>
              <c:idx val="1"/>
              <c:layout>
                <c:manualLayout>
                  <c:x val="-1.8817903135473896E-2"/>
                  <c:y val="-8.30343614824816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A47-4684-89D7-17C893DEF6FD}"/>
                </c:ext>
              </c:extLst>
            </c:dLbl>
            <c:dLbl>
              <c:idx val="2"/>
              <c:layout>
                <c:manualLayout>
                  <c:x val="-1.6602082173807601E-2"/>
                  <c:y val="-8.30343614824817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A47-4684-89D7-17C893DEF6F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C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'Tregu primar ankandet (2)'!$A$137:$A$139</c:f>
              <c:strCache>
                <c:ptCount val="3"/>
                <c:pt idx="0">
                  <c:v>Janar</c:v>
                </c:pt>
                <c:pt idx="1">
                  <c:v>Shkurt</c:v>
                </c:pt>
                <c:pt idx="2">
                  <c:v>Mars</c:v>
                </c:pt>
              </c:strCache>
            </c:strRef>
          </c:cat>
          <c:val>
            <c:numRef>
              <c:f>'Tregu primar ankandet (2)'!$J$137:$J$139</c:f>
              <c:numCache>
                <c:formatCode>_-* #,##0.00_L_e_k_-;\-* #,##0.00_L_e_k_-;_-* "-"??_L_e_k_-;_-@_-</c:formatCode>
                <c:ptCount val="3"/>
                <c:pt idx="0">
                  <c:v>1.559840857142857</c:v>
                </c:pt>
                <c:pt idx="1">
                  <c:v>1.6828570833333334</c:v>
                </c:pt>
                <c:pt idx="2">
                  <c:v>1.6839405263157894</c:v>
                </c:pt>
              </c:numCache>
            </c:numRef>
          </c:val>
          <c:smooth val="0"/>
          <c:extLst>
            <c:ext xmlns:c16="http://schemas.microsoft.com/office/drawing/2014/chart" uri="{C3380CC4-5D6E-409C-BE32-E72D297353CC}">
              <c16:uniqueId val="{00000005-EA47-4684-89D7-17C893DEF6FD}"/>
            </c:ext>
          </c:extLst>
        </c:ser>
        <c:dLbls>
          <c:showLegendKey val="0"/>
          <c:showVal val="0"/>
          <c:showCatName val="0"/>
          <c:showSerName val="0"/>
          <c:showPercent val="0"/>
          <c:showBubbleSize val="0"/>
        </c:dLbls>
        <c:marker val="1"/>
        <c:smooth val="0"/>
        <c:axId val="-1194657808"/>
        <c:axId val="-1194634960"/>
      </c:lineChart>
      <c:catAx>
        <c:axId val="-119463604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4632240"/>
        <c:crosses val="autoZero"/>
        <c:auto val="1"/>
        <c:lblAlgn val="ctr"/>
        <c:lblOffset val="100"/>
        <c:noMultiLvlLbl val="0"/>
      </c:catAx>
      <c:valAx>
        <c:axId val="-1194632240"/>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rPr>
                  <a:t>mld Lekë</a:t>
                </a:r>
              </a:p>
            </c:rich>
          </c:tx>
          <c:layout>
            <c:manualLayout>
              <c:xMode val="edge"/>
              <c:yMode val="edge"/>
              <c:x val="1.5303682448589193E-2"/>
              <c:y val="0.2611376377952755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_-* #,##0.0_L_e_k_-;\-* #,##0.0_L_e_k_-;_-* &quot;-&quot;??_L_e_k_-;_-@_-"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4636048"/>
        <c:crosses val="autoZero"/>
        <c:crossBetween val="between"/>
        <c:majorUnit val="20"/>
      </c:valAx>
      <c:valAx>
        <c:axId val="-1194634960"/>
        <c:scaling>
          <c:orientation val="minMax"/>
        </c:scaling>
        <c:delete val="0"/>
        <c:axPos val="r"/>
        <c:numFmt formatCode="_-* #,##0.00_L_e_k_-;\-* #,##0.00_L_e_k_-;_-* &quot;-&quot;??_L_e_k_-;_-@_-"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194657808"/>
        <c:crosses val="max"/>
        <c:crossBetween val="between"/>
        <c:majorUnit val="0.4"/>
      </c:valAx>
      <c:catAx>
        <c:axId val="-1194657808"/>
        <c:scaling>
          <c:orientation val="minMax"/>
        </c:scaling>
        <c:delete val="1"/>
        <c:axPos val="b"/>
        <c:numFmt formatCode="General" sourceLinked="1"/>
        <c:majorTickMark val="out"/>
        <c:minorTickMark val="none"/>
        <c:tickLblPos val="nextTo"/>
        <c:crossAx val="-119463496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028178769320498E-2"/>
          <c:y val="5.7172017352253905E-2"/>
          <c:w val="0.91671314523184599"/>
          <c:h val="0.71290765529831523"/>
        </c:manualLayout>
      </c:layout>
      <c:lineChart>
        <c:grouping val="standard"/>
        <c:varyColors val="0"/>
        <c:ser>
          <c:idx val="0"/>
          <c:order val="0"/>
          <c:tx>
            <c:strRef>
              <c:f>'Yeld Mesatar i Ponderuar'!$G$4</c:f>
              <c:strCache>
                <c:ptCount val="1"/>
                <c:pt idx="0">
                  <c:v>2021</c:v>
                </c:pt>
              </c:strCache>
            </c:strRef>
          </c:tx>
          <c:spPr>
            <a:ln w="25400" cap="rnd">
              <a:solidFill>
                <a:srgbClr val="C00000"/>
              </a:solidFill>
              <a:round/>
            </a:ln>
            <a:effectLst/>
          </c:spPr>
          <c:marker>
            <c:symbol val="square"/>
            <c:size val="5"/>
            <c:spPr>
              <a:solidFill>
                <a:srgbClr val="C00000"/>
              </a:solidFill>
              <a:ln w="9525">
                <a:noFill/>
              </a:ln>
              <a:effectLst/>
            </c:spPr>
          </c:marker>
          <c:dLbls>
            <c:dLbl>
              <c:idx val="0"/>
              <c:layout>
                <c:manualLayout>
                  <c:x val="-4.3923154631153066E-2"/>
                  <c:y val="1.00031872260161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AC-4493-84D6-14C0339B2246}"/>
                </c:ext>
              </c:extLst>
            </c:dLbl>
            <c:dLbl>
              <c:idx val="1"/>
              <c:layout>
                <c:manualLayout>
                  <c:x val="-2.6196586937822668E-2"/>
                  <c:y val="1.66388872923730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AC-4493-84D6-14C0339B2246}"/>
                </c:ext>
              </c:extLst>
            </c:dLbl>
            <c:dLbl>
              <c:idx val="2"/>
              <c:layout>
                <c:manualLayout>
                  <c:x val="-3.2844049822821519E-2"/>
                  <c:y val="1.66388872923730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AC-4493-84D6-14C0339B2246}"/>
                </c:ext>
              </c:extLst>
            </c:dLbl>
            <c:dLbl>
              <c:idx val="3"/>
              <c:layout>
                <c:manualLayout>
                  <c:x val="-2.8017398556401368E-2"/>
                  <c:y val="1.12556103015324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5AC-4493-84D6-14C0339B2246}"/>
                </c:ext>
              </c:extLst>
            </c:dLbl>
            <c:dLbl>
              <c:idx val="4"/>
              <c:layout>
                <c:manualLayout>
                  <c:x val="-1.7425425411453609E-2"/>
                  <c:y val="1.78913103678894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5AC-4493-84D6-14C0339B2246}"/>
                </c:ext>
              </c:extLst>
            </c:dLbl>
            <c:dLbl>
              <c:idx val="5"/>
              <c:layout>
                <c:manualLayout>
                  <c:x val="-2.8412407899488967E-2"/>
                  <c:y val="3.65459874914441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5AC-4493-84D6-14C0339B2246}"/>
                </c:ext>
              </c:extLst>
            </c:dLbl>
            <c:dLbl>
              <c:idx val="6"/>
              <c:layout>
                <c:manualLayout>
                  <c:x val="3.6937749193564546E-3"/>
                  <c:y val="1.44644319504633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5AC-4493-84D6-14C0339B2246}"/>
                </c:ext>
              </c:extLst>
            </c:dLbl>
            <c:dLbl>
              <c:idx val="7"/>
              <c:layout>
                <c:manualLayout>
                  <c:x val="-1.2901661167824884E-2"/>
                  <c:y val="8.96315880223001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5AC-4493-84D6-14C0339B2246}"/>
                </c:ext>
              </c:extLst>
            </c:dLbl>
            <c:dLbl>
              <c:idx val="8"/>
              <c:layout>
                <c:manualLayout>
                  <c:x val="-2.6451144637277088E-2"/>
                  <c:y val="2.9910287425087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5AC-4493-84D6-14C0339B224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'Yeld Mesatar i Ponderuar'!$A$5:$A$13</c:f>
              <c:strCache>
                <c:ptCount val="9"/>
                <c:pt idx="0">
                  <c:v>Bono 3 m</c:v>
                </c:pt>
                <c:pt idx="1">
                  <c:v>Bono 6m</c:v>
                </c:pt>
                <c:pt idx="2">
                  <c:v>Bono 12m</c:v>
                </c:pt>
                <c:pt idx="3">
                  <c:v>OB 2vj</c:v>
                </c:pt>
                <c:pt idx="4">
                  <c:v>OB 3vj</c:v>
                </c:pt>
                <c:pt idx="5">
                  <c:v>OB 5vj</c:v>
                </c:pt>
                <c:pt idx="6">
                  <c:v>OB 7vj</c:v>
                </c:pt>
                <c:pt idx="7">
                  <c:v>OB 10vj</c:v>
                </c:pt>
                <c:pt idx="8">
                  <c:v>Ob 15vj</c:v>
                </c:pt>
              </c:strCache>
            </c:strRef>
          </c:cat>
          <c:val>
            <c:numRef>
              <c:f>'Yeld Mesatar i Ponderuar'!$G$5:$G$13</c:f>
              <c:numCache>
                <c:formatCode>0.00%</c:formatCode>
                <c:ptCount val="9"/>
                <c:pt idx="0">
                  <c:v>1.07038231737743E-2</c:v>
                </c:pt>
                <c:pt idx="1">
                  <c:v>1.44148696718552E-2</c:v>
                </c:pt>
                <c:pt idx="2">
                  <c:v>1.7801615213184699E-2</c:v>
                </c:pt>
                <c:pt idx="3">
                  <c:v>2.26018483115152E-2</c:v>
                </c:pt>
                <c:pt idx="4">
                  <c:v>2.6911267441860499E-2</c:v>
                </c:pt>
                <c:pt idx="5">
                  <c:v>3.6181434829957899E-2</c:v>
                </c:pt>
                <c:pt idx="6">
                  <c:v>3.9764857585310544E-2</c:v>
                </c:pt>
                <c:pt idx="7">
                  <c:v>5.0122785211632846E-2</c:v>
                </c:pt>
                <c:pt idx="8">
                  <c:v>5.8799999999999998E-2</c:v>
                </c:pt>
              </c:numCache>
            </c:numRef>
          </c:val>
          <c:smooth val="1"/>
          <c:extLst>
            <c:ext xmlns:c16="http://schemas.microsoft.com/office/drawing/2014/chart" uri="{C3380CC4-5D6E-409C-BE32-E72D297353CC}">
              <c16:uniqueId val="{00000009-75AC-4493-84D6-14C0339B2246}"/>
            </c:ext>
          </c:extLst>
        </c:ser>
        <c:ser>
          <c:idx val="1"/>
          <c:order val="1"/>
          <c:tx>
            <c:strRef>
              <c:f>'Yeld Mesatar i Ponderuar'!$H$4</c:f>
              <c:strCache>
                <c:ptCount val="1"/>
                <c:pt idx="0">
                  <c:v>2022</c:v>
                </c:pt>
              </c:strCache>
            </c:strRef>
          </c:tx>
          <c:spPr>
            <a:ln w="25400" cap="rnd">
              <a:solidFill>
                <a:schemeClr val="bg1">
                  <a:lumMod val="50000"/>
                </a:schemeClr>
              </a:solidFill>
              <a:round/>
            </a:ln>
            <a:effectLst/>
          </c:spPr>
          <c:marker>
            <c:symbol val="triangle"/>
            <c:size val="5"/>
            <c:spPr>
              <a:solidFill>
                <a:schemeClr val="bg1">
                  <a:lumMod val="50000"/>
                </a:schemeClr>
              </a:solidFill>
              <a:ln w="9525">
                <a:noFill/>
              </a:ln>
              <a:effectLst/>
            </c:spPr>
          </c:marker>
          <c:dLbls>
            <c:dLbl>
              <c:idx val="0"/>
              <c:layout>
                <c:manualLayout>
                  <c:x val="-5.2065337057773609E-2"/>
                  <c:y val="-3.82336497917853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5AC-4493-84D6-14C0339B2246}"/>
                </c:ext>
              </c:extLst>
            </c:dLbl>
            <c:dLbl>
              <c:idx val="1"/>
              <c:layout>
                <c:manualLayout>
                  <c:x val="-4.6976284452992997E-2"/>
                  <c:y val="-2.08823998348511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5AC-4493-84D6-14C0339B2246}"/>
                </c:ext>
              </c:extLst>
            </c:dLbl>
            <c:dLbl>
              <c:idx val="2"/>
              <c:layout>
                <c:manualLayout>
                  <c:x val="-3.510181456325593E-2"/>
                  <c:y val="1.76254074714747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5AC-4493-84D6-14C0339B2246}"/>
                </c:ext>
              </c:extLst>
            </c:dLbl>
            <c:dLbl>
              <c:idx val="3"/>
              <c:layout>
                <c:manualLayout>
                  <c:x val="-4.0190873087428955E-2"/>
                  <c:y val="-3.692731954582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5AC-4493-84D6-14C0339B2246}"/>
                </c:ext>
              </c:extLst>
            </c:dLbl>
            <c:dLbl>
              <c:idx val="4"/>
              <c:layout>
                <c:manualLayout>
                  <c:x val="-2.8316403197691953E-2"/>
                  <c:y val="-1.76734158926572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5AC-4493-84D6-14C0339B2246}"/>
                </c:ext>
              </c:extLst>
            </c:dLbl>
            <c:dLbl>
              <c:idx val="5"/>
              <c:layout>
                <c:manualLayout>
                  <c:x val="-1.6441933307954827E-2"/>
                  <c:y val="-1.76734158926572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5AC-4493-84D6-14C0339B2246}"/>
                </c:ext>
              </c:extLst>
            </c:dLbl>
            <c:dLbl>
              <c:idx val="6"/>
              <c:layout>
                <c:manualLayout>
                  <c:x val="-7.9601691009997793E-3"/>
                  <c:y val="4.00882950668315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5AC-4493-84D6-14C0339B2246}"/>
                </c:ext>
              </c:extLst>
            </c:dLbl>
            <c:dLbl>
              <c:idx val="7"/>
              <c:layout>
                <c:manualLayout>
                  <c:x val="-3.6522312619187612E-2"/>
                  <c:y val="-4.61755900286850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5AC-4493-84D6-14C0339B2246}"/>
                </c:ext>
              </c:extLst>
            </c:dLbl>
            <c:dLbl>
              <c:idx val="8"/>
              <c:layout>
                <c:manualLayout>
                  <c:x val="-9.2750427025338877E-3"/>
                  <c:y val="2.08345307201563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5AC-4493-84D6-14C0339B224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'Yeld Mesatar i Ponderuar'!$A$5:$A$13</c:f>
              <c:strCache>
                <c:ptCount val="9"/>
                <c:pt idx="0">
                  <c:v>Bono 3 m</c:v>
                </c:pt>
                <c:pt idx="1">
                  <c:v>Bono 6m</c:v>
                </c:pt>
                <c:pt idx="2">
                  <c:v>Bono 12m</c:v>
                </c:pt>
                <c:pt idx="3">
                  <c:v>OB 2vj</c:v>
                </c:pt>
                <c:pt idx="4">
                  <c:v>OB 3vj</c:v>
                </c:pt>
                <c:pt idx="5">
                  <c:v>OB 5vj</c:v>
                </c:pt>
                <c:pt idx="6">
                  <c:v>OB 7vj</c:v>
                </c:pt>
                <c:pt idx="7">
                  <c:v>OB 10vj</c:v>
                </c:pt>
                <c:pt idx="8">
                  <c:v>Ob 15vj</c:v>
                </c:pt>
              </c:strCache>
            </c:strRef>
          </c:cat>
          <c:val>
            <c:numRef>
              <c:f>'Yeld Mesatar i Ponderuar'!$H$5:$H$13</c:f>
              <c:numCache>
                <c:formatCode>0.00%</c:formatCode>
                <c:ptCount val="9"/>
                <c:pt idx="0">
                  <c:v>1.83817730980439E-2</c:v>
                </c:pt>
                <c:pt idx="1">
                  <c:v>2.71558009000544E-2</c:v>
                </c:pt>
                <c:pt idx="2">
                  <c:v>3.23208964415206E-2</c:v>
                </c:pt>
                <c:pt idx="3">
                  <c:v>3.2128545325935003E-2</c:v>
                </c:pt>
                <c:pt idx="4">
                  <c:v>3.72322927823759E-2</c:v>
                </c:pt>
                <c:pt idx="5">
                  <c:v>4.47550820456546E-2</c:v>
                </c:pt>
                <c:pt idx="6">
                  <c:v>5.7026717569382095E-2</c:v>
                </c:pt>
                <c:pt idx="7">
                  <c:v>5.5533946839223497E-2</c:v>
                </c:pt>
                <c:pt idx="8">
                  <c:v>6.8531569698590367E-2</c:v>
                </c:pt>
              </c:numCache>
            </c:numRef>
          </c:val>
          <c:smooth val="1"/>
          <c:extLst>
            <c:ext xmlns:c16="http://schemas.microsoft.com/office/drawing/2014/chart" uri="{C3380CC4-5D6E-409C-BE32-E72D297353CC}">
              <c16:uniqueId val="{00000013-75AC-4493-84D6-14C0339B2246}"/>
            </c:ext>
          </c:extLst>
        </c:ser>
        <c:ser>
          <c:idx val="2"/>
          <c:order val="2"/>
          <c:tx>
            <c:strRef>
              <c:f>'Yeld Mesatar i Ponderuar'!$I$4</c:f>
              <c:strCache>
                <c:ptCount val="1"/>
                <c:pt idx="0">
                  <c:v>Mars 2023</c:v>
                </c:pt>
              </c:strCache>
            </c:strRef>
          </c:tx>
          <c:spPr>
            <a:ln w="28575" cap="rnd">
              <a:solidFill>
                <a:srgbClr val="0070C0"/>
              </a:solidFill>
              <a:round/>
            </a:ln>
            <a:effectLst/>
          </c:spPr>
          <c:marker>
            <c:symbol val="circle"/>
            <c:size val="5"/>
            <c:spPr>
              <a:solidFill>
                <a:srgbClr val="0070C0"/>
              </a:solidFill>
              <a:ln w="9525">
                <a:solidFill>
                  <a:srgbClr val="0070C0"/>
                </a:solidFill>
              </a:ln>
              <a:effectLst/>
            </c:spPr>
          </c:marker>
          <c:dLbls>
            <c:dLbl>
              <c:idx val="0"/>
              <c:layout>
                <c:manualLayout>
                  <c:x val="-4.0956048231617845E-2"/>
                  <c:y val="-4.73209014102169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5AC-4493-84D6-14C0339B2246}"/>
                </c:ext>
              </c:extLst>
            </c:dLbl>
            <c:dLbl>
              <c:idx val="1"/>
              <c:layout>
                <c:manualLayout>
                  <c:x val="-4.2790294355239719E-2"/>
                  <c:y val="-4.04673204834134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5AC-4493-84D6-14C0339B2246}"/>
                </c:ext>
              </c:extLst>
            </c:dLbl>
            <c:dLbl>
              <c:idx val="2"/>
              <c:layout>
                <c:manualLayout>
                  <c:x val="-2.6865695078609302E-2"/>
                  <c:y val="-6.44545924791916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75AC-4493-84D6-14C0339B2246}"/>
                </c:ext>
              </c:extLst>
            </c:dLbl>
            <c:dLbl>
              <c:idx val="3"/>
              <c:layout>
                <c:manualLayout>
                  <c:x val="-2.5688867331645587E-2"/>
                  <c:y val="-4.71030205497703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75AC-4493-84D6-14C0339B2246}"/>
                </c:ext>
              </c:extLst>
            </c:dLbl>
            <c:dLbl>
              <c:idx val="4"/>
              <c:layout>
                <c:manualLayout>
                  <c:x val="-4.2027319153242419E-2"/>
                  <c:y val="-7.14685796989378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75AC-4493-84D6-14C0339B2246}"/>
                </c:ext>
              </c:extLst>
            </c:dLbl>
            <c:dLbl>
              <c:idx val="5"/>
              <c:layout>
                <c:manualLayout>
                  <c:x val="-3.1021493463328165E-2"/>
                  <c:y val="-5.482760242229177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75AC-4493-84D6-14C0339B2246}"/>
                </c:ext>
              </c:extLst>
            </c:dLbl>
            <c:dLbl>
              <c:idx val="6"/>
              <c:layout>
                <c:manualLayout>
                  <c:x val="-3.2092764384952656E-2"/>
                  <c:y val="-6.73884079022305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75AC-4493-84D6-14C0339B2246}"/>
                </c:ext>
              </c:extLst>
            </c:dLbl>
            <c:dLbl>
              <c:idx val="7"/>
              <c:layout>
                <c:manualLayout>
                  <c:x val="-1.3294925769997946E-2"/>
                  <c:y val="-4.02494396229668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75AC-4493-84D6-14C0339B2246}"/>
                </c:ext>
              </c:extLst>
            </c:dLbl>
            <c:dLbl>
              <c:idx val="8"/>
              <c:layout>
                <c:manualLayout>
                  <c:x val="-1.0697529970287225E-2"/>
                  <c:y val="-9.099739274461961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75AC-4493-84D6-14C0339B2246}"/>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'Yeld Mesatar i Ponderuar'!$A$5:$A$13</c:f>
              <c:strCache>
                <c:ptCount val="9"/>
                <c:pt idx="0">
                  <c:v>Bono 3 m</c:v>
                </c:pt>
                <c:pt idx="1">
                  <c:v>Bono 6m</c:v>
                </c:pt>
                <c:pt idx="2">
                  <c:v>Bono 12m</c:v>
                </c:pt>
                <c:pt idx="3">
                  <c:v>OB 2vj</c:v>
                </c:pt>
                <c:pt idx="4">
                  <c:v>OB 3vj</c:v>
                </c:pt>
                <c:pt idx="5">
                  <c:v>OB 5vj</c:v>
                </c:pt>
                <c:pt idx="6">
                  <c:v>OB 7vj</c:v>
                </c:pt>
                <c:pt idx="7">
                  <c:v>OB 10vj</c:v>
                </c:pt>
                <c:pt idx="8">
                  <c:v>Ob 15vj</c:v>
                </c:pt>
              </c:strCache>
            </c:strRef>
          </c:cat>
          <c:val>
            <c:numRef>
              <c:f>'Yeld Mesatar i Ponderuar'!$I$5:$I$13</c:f>
              <c:numCache>
                <c:formatCode>0.00%</c:formatCode>
                <c:ptCount val="9"/>
                <c:pt idx="0">
                  <c:v>2.8489994799985145E-2</c:v>
                </c:pt>
                <c:pt idx="1">
                  <c:v>4.1299139189289381E-2</c:v>
                </c:pt>
                <c:pt idx="2">
                  <c:v>4.5536970934407048E-2</c:v>
                </c:pt>
                <c:pt idx="3">
                  <c:v>5.1327141715093935E-2</c:v>
                </c:pt>
                <c:pt idx="4">
                  <c:v>4.8733516818797555E-2</c:v>
                </c:pt>
                <c:pt idx="5">
                  <c:v>5.4221824161884008E-2</c:v>
                </c:pt>
                <c:pt idx="6">
                  <c:v>5.6434896663671408E-2</c:v>
                </c:pt>
                <c:pt idx="7">
                  <c:v>7.5999999999999998E-2</c:v>
                </c:pt>
                <c:pt idx="8">
                  <c:v>6.8000000000000005E-2</c:v>
                </c:pt>
              </c:numCache>
            </c:numRef>
          </c:val>
          <c:smooth val="0"/>
          <c:extLst>
            <c:ext xmlns:c16="http://schemas.microsoft.com/office/drawing/2014/chart" uri="{C3380CC4-5D6E-409C-BE32-E72D297353CC}">
              <c16:uniqueId val="{0000001D-75AC-4493-84D6-14C0339B2246}"/>
            </c:ext>
          </c:extLst>
        </c:ser>
        <c:dLbls>
          <c:showLegendKey val="0"/>
          <c:showVal val="0"/>
          <c:showCatName val="0"/>
          <c:showSerName val="0"/>
          <c:showPercent val="0"/>
          <c:showBubbleSize val="0"/>
        </c:dLbls>
        <c:marker val="1"/>
        <c:smooth val="0"/>
        <c:axId val="-1194650736"/>
        <c:axId val="-1194657264"/>
      </c:lineChart>
      <c:catAx>
        <c:axId val="-1194650736"/>
        <c:scaling>
          <c:orientation val="minMax"/>
        </c:scaling>
        <c:delete val="0"/>
        <c:axPos val="b"/>
        <c:numFmt formatCode="General" sourceLinked="1"/>
        <c:majorTickMark val="none"/>
        <c:minorTickMark val="none"/>
        <c:tickLblPos val="nextTo"/>
        <c:spPr>
          <a:noFill/>
          <a:ln w="9525" cap="flat" cmpd="sng" algn="ctr">
            <a:solidFill>
              <a:schemeClr val="bg1">
                <a:lumMod val="50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4657264"/>
        <c:crosses val="autoZero"/>
        <c:auto val="1"/>
        <c:lblAlgn val="ctr"/>
        <c:lblOffset val="100"/>
        <c:noMultiLvlLbl val="0"/>
      </c:catAx>
      <c:valAx>
        <c:axId val="-1194657264"/>
        <c:scaling>
          <c:orientation val="minMax"/>
          <c:max val="8.0000000000000016E-2"/>
        </c:scaling>
        <c:delete val="0"/>
        <c:axPos val="l"/>
        <c:numFmt formatCode="0%" sourceLinked="0"/>
        <c:majorTickMark val="none"/>
        <c:minorTickMark val="none"/>
        <c:tickLblPos val="nextTo"/>
        <c:spPr>
          <a:noFill/>
          <a:ln>
            <a:solidFill>
              <a:schemeClr val="bg1">
                <a:lumMod val="50000"/>
              </a:schemeClr>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4650736"/>
        <c:crosses val="autoZero"/>
        <c:crossBetween val="between"/>
        <c:majorUnit val="2.0000000000000004E-2"/>
      </c:valAx>
      <c:spPr>
        <a:noFill/>
        <a:ln>
          <a:noFill/>
        </a:ln>
        <a:effectLst/>
      </c:spPr>
    </c:plotArea>
    <c:legend>
      <c:legendPos val="b"/>
      <c:layout>
        <c:manualLayout>
          <c:xMode val="edge"/>
          <c:yMode val="edge"/>
          <c:x val="0.32679276490837494"/>
          <c:y val="0.9135300356864815"/>
          <c:w val="0.37012009051715866"/>
          <c:h val="8.287346014503262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rgbClr val="4F81BD">
        <a:lumMod val="20000"/>
        <a:lumOff val="80000"/>
      </a:srgbClr>
    </a:solidFill>
    <a:ln w="6350" cap="flat" cmpd="sng" algn="ctr">
      <a:solidFill>
        <a:schemeClr val="bg1">
          <a:lumMod val="75000"/>
        </a:schemeClr>
      </a:solidFill>
      <a:round/>
    </a:ln>
    <a:effectLst/>
  </c:spPr>
  <c:txPr>
    <a:bodyPr/>
    <a:lstStyle/>
    <a:p>
      <a:pPr>
        <a:defRPr>
          <a:latin typeface="+mn-lt"/>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081714785651793"/>
          <c:y val="0.17171296296296296"/>
          <c:w val="0.82469291338582662"/>
          <c:h val="0.60854297586967243"/>
        </c:manualLayout>
      </c:layout>
      <c:lineChart>
        <c:grouping val="standard"/>
        <c:varyColors val="0"/>
        <c:ser>
          <c:idx val="0"/>
          <c:order val="0"/>
          <c:tx>
            <c:strRef>
              <c:f>Sheet1!$C$24</c:f>
              <c:strCache>
                <c:ptCount val="1"/>
                <c:pt idx="0">
                  <c:v>Realizim 2022</c:v>
                </c:pt>
              </c:strCache>
            </c:strRef>
          </c:tx>
          <c:spPr>
            <a:ln w="28575" cap="rnd">
              <a:solidFill>
                <a:schemeClr val="accent1"/>
              </a:solidFill>
              <a:round/>
            </a:ln>
            <a:effectLst/>
          </c:spPr>
          <c:marker>
            <c:symbol val="none"/>
          </c:marker>
          <c:cat>
            <c:strRef>
              <c:f>Sheet1!$B$25:$B$36</c:f>
              <c:strCache>
                <c:ptCount val="12"/>
                <c:pt idx="0">
                  <c:v>Janar</c:v>
                </c:pt>
                <c:pt idx="1">
                  <c:v>Shkurt</c:v>
                </c:pt>
                <c:pt idx="2">
                  <c:v>Mars</c:v>
                </c:pt>
                <c:pt idx="3">
                  <c:v>Prill</c:v>
                </c:pt>
                <c:pt idx="4">
                  <c:v>Maj</c:v>
                </c:pt>
                <c:pt idx="5">
                  <c:v>Qershor</c:v>
                </c:pt>
                <c:pt idx="6">
                  <c:v>Korrik</c:v>
                </c:pt>
                <c:pt idx="7">
                  <c:v>Gusht</c:v>
                </c:pt>
                <c:pt idx="8">
                  <c:v>Shtator</c:v>
                </c:pt>
                <c:pt idx="9">
                  <c:v>Tetor</c:v>
                </c:pt>
                <c:pt idx="10">
                  <c:v>Nentor</c:v>
                </c:pt>
                <c:pt idx="11">
                  <c:v>Dhjetor</c:v>
                </c:pt>
              </c:strCache>
            </c:strRef>
          </c:cat>
          <c:val>
            <c:numRef>
              <c:f>Sheet1!$C$25:$C$36</c:f>
              <c:numCache>
                <c:formatCode>_(* #,##0_);_(* \(#,##0\);_(* "-"??_);_(@_)</c:formatCode>
                <c:ptCount val="12"/>
                <c:pt idx="0">
                  <c:v>13396</c:v>
                </c:pt>
                <c:pt idx="1">
                  <c:v>16173</c:v>
                </c:pt>
                <c:pt idx="2">
                  <c:v>18700</c:v>
                </c:pt>
                <c:pt idx="3">
                  <c:v>17218</c:v>
                </c:pt>
                <c:pt idx="4">
                  <c:v>18301</c:v>
                </c:pt>
                <c:pt idx="5">
                  <c:v>19156</c:v>
                </c:pt>
                <c:pt idx="6">
                  <c:v>19614</c:v>
                </c:pt>
                <c:pt idx="7">
                  <c:v>21231</c:v>
                </c:pt>
                <c:pt idx="8">
                  <c:v>20635</c:v>
                </c:pt>
                <c:pt idx="9">
                  <c:v>18732</c:v>
                </c:pt>
                <c:pt idx="10">
                  <c:v>17970.633999999991</c:v>
                </c:pt>
                <c:pt idx="11">
                  <c:v>21973.339999999997</c:v>
                </c:pt>
              </c:numCache>
            </c:numRef>
          </c:val>
          <c:smooth val="0"/>
          <c:extLst>
            <c:ext xmlns:c16="http://schemas.microsoft.com/office/drawing/2014/chart" uri="{C3380CC4-5D6E-409C-BE32-E72D297353CC}">
              <c16:uniqueId val="{00000000-2E5A-4DEF-BA99-AB4307148392}"/>
            </c:ext>
          </c:extLst>
        </c:ser>
        <c:ser>
          <c:idx val="1"/>
          <c:order val="1"/>
          <c:tx>
            <c:strRef>
              <c:f>Sheet1!$D$24</c:f>
              <c:strCache>
                <c:ptCount val="1"/>
                <c:pt idx="0">
                  <c:v>Realizim 2023</c:v>
                </c:pt>
              </c:strCache>
            </c:strRef>
          </c:tx>
          <c:spPr>
            <a:ln w="28575" cap="rnd">
              <a:solidFill>
                <a:schemeClr val="accent3"/>
              </a:solidFill>
              <a:round/>
            </a:ln>
            <a:effectLst/>
          </c:spPr>
          <c:marker>
            <c:symbol val="none"/>
          </c:marker>
          <c:cat>
            <c:strRef>
              <c:f>Sheet1!$B$25:$B$36</c:f>
              <c:strCache>
                <c:ptCount val="12"/>
                <c:pt idx="0">
                  <c:v>Janar</c:v>
                </c:pt>
                <c:pt idx="1">
                  <c:v>Shkurt</c:v>
                </c:pt>
                <c:pt idx="2">
                  <c:v>Mars</c:v>
                </c:pt>
                <c:pt idx="3">
                  <c:v>Prill</c:v>
                </c:pt>
                <c:pt idx="4">
                  <c:v>Maj</c:v>
                </c:pt>
                <c:pt idx="5">
                  <c:v>Qershor</c:v>
                </c:pt>
                <c:pt idx="6">
                  <c:v>Korrik</c:v>
                </c:pt>
                <c:pt idx="7">
                  <c:v>Gusht</c:v>
                </c:pt>
                <c:pt idx="8">
                  <c:v>Shtator</c:v>
                </c:pt>
                <c:pt idx="9">
                  <c:v>Tetor</c:v>
                </c:pt>
                <c:pt idx="10">
                  <c:v>Nentor</c:v>
                </c:pt>
                <c:pt idx="11">
                  <c:v>Dhjetor</c:v>
                </c:pt>
              </c:strCache>
            </c:strRef>
          </c:cat>
          <c:val>
            <c:numRef>
              <c:f>Sheet1!$D$25:$D$36</c:f>
              <c:numCache>
                <c:formatCode>#,##0</c:formatCode>
                <c:ptCount val="12"/>
                <c:pt idx="0">
                  <c:v>13471</c:v>
                </c:pt>
                <c:pt idx="1">
                  <c:v>15704</c:v>
                </c:pt>
                <c:pt idx="2">
                  <c:v>17287</c:v>
                </c:pt>
                <c:pt idx="3">
                  <c:v>16612</c:v>
                </c:pt>
                <c:pt idx="4">
                  <c:v>19649</c:v>
                </c:pt>
              </c:numCache>
            </c:numRef>
          </c:val>
          <c:smooth val="0"/>
          <c:extLst>
            <c:ext xmlns:c16="http://schemas.microsoft.com/office/drawing/2014/chart" uri="{C3380CC4-5D6E-409C-BE32-E72D297353CC}">
              <c16:uniqueId val="{00000001-2E5A-4DEF-BA99-AB4307148392}"/>
            </c:ext>
          </c:extLst>
        </c:ser>
        <c:ser>
          <c:idx val="2"/>
          <c:order val="2"/>
          <c:tx>
            <c:strRef>
              <c:f>Sheet1!$E$24</c:f>
              <c:strCache>
                <c:ptCount val="1"/>
                <c:pt idx="0">
                  <c:v>Plan 2023</c:v>
                </c:pt>
              </c:strCache>
            </c:strRef>
          </c:tx>
          <c:spPr>
            <a:ln w="28575" cap="rnd">
              <a:solidFill>
                <a:schemeClr val="accent5"/>
              </a:solidFill>
              <a:round/>
            </a:ln>
            <a:effectLst/>
          </c:spPr>
          <c:marker>
            <c:symbol val="none"/>
          </c:marker>
          <c:cat>
            <c:strRef>
              <c:f>Sheet1!$B$25:$B$36</c:f>
              <c:strCache>
                <c:ptCount val="12"/>
                <c:pt idx="0">
                  <c:v>Janar</c:v>
                </c:pt>
                <c:pt idx="1">
                  <c:v>Shkurt</c:v>
                </c:pt>
                <c:pt idx="2">
                  <c:v>Mars</c:v>
                </c:pt>
                <c:pt idx="3">
                  <c:v>Prill</c:v>
                </c:pt>
                <c:pt idx="4">
                  <c:v>Maj</c:v>
                </c:pt>
                <c:pt idx="5">
                  <c:v>Qershor</c:v>
                </c:pt>
                <c:pt idx="6">
                  <c:v>Korrik</c:v>
                </c:pt>
                <c:pt idx="7">
                  <c:v>Gusht</c:v>
                </c:pt>
                <c:pt idx="8">
                  <c:v>Shtator</c:v>
                </c:pt>
                <c:pt idx="9">
                  <c:v>Tetor</c:v>
                </c:pt>
                <c:pt idx="10">
                  <c:v>Nentor</c:v>
                </c:pt>
                <c:pt idx="11">
                  <c:v>Dhjetor</c:v>
                </c:pt>
              </c:strCache>
            </c:strRef>
          </c:cat>
          <c:val>
            <c:numRef>
              <c:f>Sheet1!$E$25:$E$36</c:f>
              <c:numCache>
                <c:formatCode>#,##0</c:formatCode>
                <c:ptCount val="12"/>
                <c:pt idx="0">
                  <c:v>13396.06</c:v>
                </c:pt>
                <c:pt idx="1">
                  <c:v>16173.140000000001</c:v>
                </c:pt>
                <c:pt idx="2">
                  <c:v>18700.8</c:v>
                </c:pt>
                <c:pt idx="3">
                  <c:v>17217</c:v>
                </c:pt>
                <c:pt idx="4">
                  <c:v>19614</c:v>
                </c:pt>
                <c:pt idx="5">
                  <c:v>19155</c:v>
                </c:pt>
                <c:pt idx="6">
                  <c:v>19615</c:v>
                </c:pt>
                <c:pt idx="7">
                  <c:v>20784</c:v>
                </c:pt>
                <c:pt idx="8">
                  <c:v>19241</c:v>
                </c:pt>
                <c:pt idx="9">
                  <c:v>18521</c:v>
                </c:pt>
                <c:pt idx="10">
                  <c:v>18835</c:v>
                </c:pt>
                <c:pt idx="11">
                  <c:v>21059</c:v>
                </c:pt>
              </c:numCache>
            </c:numRef>
          </c:val>
          <c:smooth val="0"/>
          <c:extLst>
            <c:ext xmlns:c16="http://schemas.microsoft.com/office/drawing/2014/chart" uri="{C3380CC4-5D6E-409C-BE32-E72D297353CC}">
              <c16:uniqueId val="{00000002-2E5A-4DEF-BA99-AB4307148392}"/>
            </c:ext>
          </c:extLst>
        </c:ser>
        <c:dLbls>
          <c:showLegendKey val="0"/>
          <c:showVal val="0"/>
          <c:showCatName val="0"/>
          <c:showSerName val="0"/>
          <c:showPercent val="0"/>
          <c:showBubbleSize val="0"/>
        </c:dLbls>
        <c:smooth val="0"/>
        <c:axId val="-507293376"/>
        <c:axId val="-507292832"/>
      </c:lineChart>
      <c:catAx>
        <c:axId val="-50729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507292832"/>
        <c:crosses val="autoZero"/>
        <c:auto val="1"/>
        <c:lblAlgn val="ctr"/>
        <c:lblOffset val="100"/>
        <c:noMultiLvlLbl val="0"/>
      </c:catAx>
      <c:valAx>
        <c:axId val="-50729283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7293376"/>
        <c:crosses val="autoZero"/>
        <c:crossBetween val="between"/>
      </c:valAx>
      <c:spPr>
        <a:solidFill>
          <a:sysClr val="window" lastClr="FFFFFF"/>
        </a:solidFill>
        <a:ln>
          <a:noFill/>
        </a:ln>
        <a:effectLst/>
      </c:spPr>
    </c:plotArea>
    <c:legend>
      <c:legendPos val="b"/>
      <c:layout>
        <c:manualLayout>
          <c:xMode val="edge"/>
          <c:yMode val="edge"/>
          <c:x val="0.15866894899007186"/>
          <c:y val="0.66550123942840467"/>
          <c:w val="0.84133119282419799"/>
          <c:h val="9.0378371527781512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70C0">
                <a:alpha val="85000"/>
              </a:srgbClr>
            </a:solidFill>
            <a:ln w="9525" cap="flat" cmpd="sng" algn="ctr">
              <a:solidFill>
                <a:schemeClr val="lt1">
                  <a:alpha val="50000"/>
                </a:schemeClr>
              </a:solidFill>
              <a:round/>
            </a:ln>
            <a:effectLst/>
          </c:spPr>
          <c:invertIfNegative val="0"/>
          <c:dPt>
            <c:idx val="0"/>
            <c:invertIfNegative val="0"/>
            <c:bubble3D val="0"/>
            <c:extLst>
              <c:ext xmlns:c16="http://schemas.microsoft.com/office/drawing/2014/chart" uri="{C3380CC4-5D6E-409C-BE32-E72D297353CC}">
                <c16:uniqueId val="{00000000-C3A9-46C0-A90D-10CDCEC04E24}"/>
              </c:ext>
            </c:extLst>
          </c:dPt>
          <c:dPt>
            <c:idx val="1"/>
            <c:invertIfNegative val="0"/>
            <c:bubble3D val="0"/>
            <c:extLst>
              <c:ext xmlns:c16="http://schemas.microsoft.com/office/drawing/2014/chart" uri="{C3380CC4-5D6E-409C-BE32-E72D297353CC}">
                <c16:uniqueId val="{00000001-C3A9-46C0-A90D-10CDCEC04E24}"/>
              </c:ext>
            </c:extLst>
          </c:dPt>
          <c:dPt>
            <c:idx val="2"/>
            <c:invertIfNegative val="0"/>
            <c:bubble3D val="0"/>
            <c:extLst>
              <c:ext xmlns:c16="http://schemas.microsoft.com/office/drawing/2014/chart" uri="{C3380CC4-5D6E-409C-BE32-E72D297353CC}">
                <c16:uniqueId val="{00000002-C3A9-46C0-A90D-10CDCEC04E24}"/>
              </c:ext>
            </c:extLst>
          </c:dPt>
          <c:dPt>
            <c:idx val="3"/>
            <c:invertIfNegative val="0"/>
            <c:bubble3D val="0"/>
            <c:extLst>
              <c:ext xmlns:c16="http://schemas.microsoft.com/office/drawing/2014/chart" uri="{C3380CC4-5D6E-409C-BE32-E72D297353CC}">
                <c16:uniqueId val="{00000003-C3A9-46C0-A90D-10CDCEC04E2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Sheet1!$A$4:$A$8</c:f>
              <c:strCache>
                <c:ptCount val="5"/>
                <c:pt idx="0">
                  <c:v>4M 2019</c:v>
                </c:pt>
                <c:pt idx="1">
                  <c:v>4M 2020</c:v>
                </c:pt>
                <c:pt idx="2">
                  <c:v>4M 2021</c:v>
                </c:pt>
                <c:pt idx="3">
                  <c:v>4M 2022</c:v>
                </c:pt>
                <c:pt idx="4">
                  <c:v>4M 2023</c:v>
                </c:pt>
              </c:strCache>
            </c:strRef>
          </c:cat>
          <c:val>
            <c:numRef>
              <c:f>Sheet1!$D$4:$D$8</c:f>
              <c:numCache>
                <c:formatCode>0.00</c:formatCode>
                <c:ptCount val="5"/>
                <c:pt idx="0" formatCode="General">
                  <c:v>23.66</c:v>
                </c:pt>
                <c:pt idx="1">
                  <c:v>21.88</c:v>
                </c:pt>
                <c:pt idx="2" formatCode="General">
                  <c:v>23.41</c:v>
                </c:pt>
                <c:pt idx="3" formatCode="General">
                  <c:v>28.24</c:v>
                </c:pt>
                <c:pt idx="4" formatCode="General">
                  <c:v>27.31</c:v>
                </c:pt>
              </c:numCache>
            </c:numRef>
          </c:val>
          <c:extLst>
            <c:ext xmlns:c16="http://schemas.microsoft.com/office/drawing/2014/chart" uri="{C3380CC4-5D6E-409C-BE32-E72D297353CC}">
              <c16:uniqueId val="{00000004-C3A9-46C0-A90D-10CDCEC04E24}"/>
            </c:ext>
          </c:extLst>
        </c:ser>
        <c:dLbls>
          <c:dLblPos val="inEnd"/>
          <c:showLegendKey val="0"/>
          <c:showVal val="1"/>
          <c:showCatName val="0"/>
          <c:showSerName val="0"/>
          <c:showPercent val="0"/>
          <c:showBubbleSize val="0"/>
        </c:dLbls>
        <c:gapWidth val="65"/>
        <c:axId val="426518784"/>
        <c:axId val="426424192"/>
      </c:barChart>
      <c:valAx>
        <c:axId val="426424192"/>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26518784"/>
        <c:crosses val="autoZero"/>
        <c:crossBetween val="between"/>
      </c:valAx>
      <c:catAx>
        <c:axId val="42651878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26424192"/>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70C0">
                <a:alpha val="85000"/>
              </a:srgbClr>
            </a:solidFill>
            <a:ln w="9525" cap="flat" cmpd="sng" algn="ctr">
              <a:solidFill>
                <a:schemeClr val="lt1">
                  <a:alpha val="50000"/>
                </a:schemeClr>
              </a:solidFill>
              <a:round/>
            </a:ln>
            <a:effectLst/>
          </c:spPr>
          <c:invertIfNegative val="0"/>
          <c:dPt>
            <c:idx val="0"/>
            <c:invertIfNegative val="0"/>
            <c:bubble3D val="0"/>
            <c:extLst>
              <c:ext xmlns:c16="http://schemas.microsoft.com/office/drawing/2014/chart" uri="{C3380CC4-5D6E-409C-BE32-E72D297353CC}">
                <c16:uniqueId val="{00000000-192E-4521-9B0D-CA807685D52F}"/>
              </c:ext>
            </c:extLst>
          </c:dPt>
          <c:dPt>
            <c:idx val="1"/>
            <c:invertIfNegative val="0"/>
            <c:bubble3D val="0"/>
            <c:extLst>
              <c:ext xmlns:c16="http://schemas.microsoft.com/office/drawing/2014/chart" uri="{C3380CC4-5D6E-409C-BE32-E72D297353CC}">
                <c16:uniqueId val="{00000001-192E-4521-9B0D-CA807685D52F}"/>
              </c:ext>
            </c:extLst>
          </c:dPt>
          <c:dPt>
            <c:idx val="2"/>
            <c:invertIfNegative val="0"/>
            <c:bubble3D val="0"/>
            <c:extLst>
              <c:ext xmlns:c16="http://schemas.microsoft.com/office/drawing/2014/chart" uri="{C3380CC4-5D6E-409C-BE32-E72D297353CC}">
                <c16:uniqueId val="{00000002-192E-4521-9B0D-CA807685D52F}"/>
              </c:ext>
            </c:extLst>
          </c:dPt>
          <c:dPt>
            <c:idx val="3"/>
            <c:invertIfNegative val="0"/>
            <c:bubble3D val="0"/>
            <c:extLst>
              <c:ext xmlns:c16="http://schemas.microsoft.com/office/drawing/2014/chart" uri="{C3380CC4-5D6E-409C-BE32-E72D297353CC}">
                <c16:uniqueId val="{00000003-192E-4521-9B0D-CA807685D52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Sheet1!$A$4:$A$8</c:f>
              <c:strCache>
                <c:ptCount val="5"/>
                <c:pt idx="0">
                  <c:v>4M 2019</c:v>
                </c:pt>
                <c:pt idx="1">
                  <c:v>4M 2020</c:v>
                </c:pt>
                <c:pt idx="2">
                  <c:v>4M 2021</c:v>
                </c:pt>
                <c:pt idx="3">
                  <c:v>4M 2022</c:v>
                </c:pt>
                <c:pt idx="4">
                  <c:v>4M 2023</c:v>
                </c:pt>
              </c:strCache>
            </c:strRef>
          </c:cat>
          <c:val>
            <c:numRef>
              <c:f>Sheet1!$D$4:$D$8</c:f>
              <c:numCache>
                <c:formatCode>General</c:formatCode>
                <c:ptCount val="5"/>
                <c:pt idx="0">
                  <c:v>25.23</c:v>
                </c:pt>
                <c:pt idx="1">
                  <c:v>24.34</c:v>
                </c:pt>
                <c:pt idx="2">
                  <c:v>23.91</c:v>
                </c:pt>
                <c:pt idx="3">
                  <c:v>22.81</c:v>
                </c:pt>
                <c:pt idx="4">
                  <c:v>21.31</c:v>
                </c:pt>
              </c:numCache>
            </c:numRef>
          </c:val>
          <c:extLst>
            <c:ext xmlns:c16="http://schemas.microsoft.com/office/drawing/2014/chart" uri="{C3380CC4-5D6E-409C-BE32-E72D297353CC}">
              <c16:uniqueId val="{00000004-192E-4521-9B0D-CA807685D52F}"/>
            </c:ext>
          </c:extLst>
        </c:ser>
        <c:dLbls>
          <c:dLblPos val="inEnd"/>
          <c:showLegendKey val="0"/>
          <c:showVal val="1"/>
          <c:showCatName val="0"/>
          <c:showSerName val="0"/>
          <c:showPercent val="0"/>
          <c:showBubbleSize val="0"/>
        </c:dLbls>
        <c:gapWidth val="65"/>
        <c:axId val="433160576"/>
        <c:axId val="431868160"/>
      </c:barChart>
      <c:valAx>
        <c:axId val="431868160"/>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33160576"/>
        <c:crosses val="autoZero"/>
        <c:crossBetween val="between"/>
      </c:valAx>
      <c:catAx>
        <c:axId val="43316057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31868160"/>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Detyrimet e Prapambetura Qendrore &amp; Vendore</a:t>
            </a:r>
            <a:endParaRPr lang="sq-AL"/>
          </a:p>
        </c:rich>
      </c:tx>
      <c:layout>
        <c:manualLayout>
          <c:xMode val="edge"/>
          <c:yMode val="edge"/>
          <c:x val="0.25086460683642609"/>
          <c:y val="1.8426283992607432E-2"/>
        </c:manualLayout>
      </c:layout>
      <c:overlay val="0"/>
      <c:spPr>
        <a:noFill/>
        <a:ln>
          <a:noFill/>
        </a:ln>
        <a:effectLst/>
      </c:spPr>
    </c:title>
    <c:autoTitleDeleted val="0"/>
    <c:plotArea>
      <c:layout>
        <c:manualLayout>
          <c:layoutTarget val="inner"/>
          <c:xMode val="edge"/>
          <c:yMode val="edge"/>
          <c:x val="3.4390741890419761E-2"/>
          <c:y val="0.1450563294972744"/>
          <c:w val="0.63650289327869114"/>
          <c:h val="0.6950120624574313"/>
        </c:manualLayout>
      </c:layout>
      <c:barChart>
        <c:barDir val="col"/>
        <c:grouping val="stacked"/>
        <c:varyColors val="0"/>
        <c:ser>
          <c:idx val="0"/>
          <c:order val="0"/>
          <c:tx>
            <c:strRef>
              <c:f>'Detyrimet Tot'!$B$4</c:f>
              <c:strCache>
                <c:ptCount val="1"/>
                <c:pt idx="0">
                  <c:v> Vendime Gjyqësore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'[1]Detyrimet Tot'!$C$3:$K$3</c:f>
              <c:numCache>
                <c:formatCode>General</c:formatCode>
                <c:ptCount val="9"/>
                <c:pt idx="0">
                  <c:v>0</c:v>
                </c:pt>
                <c:pt idx="1">
                  <c:v>0</c:v>
                </c:pt>
                <c:pt idx="2">
                  <c:v>0</c:v>
                </c:pt>
                <c:pt idx="3">
                  <c:v>0</c:v>
                </c:pt>
                <c:pt idx="4">
                  <c:v>0</c:v>
                </c:pt>
                <c:pt idx="5">
                  <c:v>0</c:v>
                </c:pt>
                <c:pt idx="6">
                  <c:v>0</c:v>
                </c:pt>
                <c:pt idx="7">
                  <c:v>0</c:v>
                </c:pt>
                <c:pt idx="8">
                  <c:v>0</c:v>
                </c:pt>
              </c:numCache>
            </c:numRef>
          </c:cat>
          <c:val>
            <c:numRef>
              <c:f>'Detyrimet Tot'!$C$4:$K$4</c:f>
            </c:numRef>
          </c:val>
          <c:extLst>
            <c:ext xmlns:c16="http://schemas.microsoft.com/office/drawing/2014/chart" uri="{C3380CC4-5D6E-409C-BE32-E72D297353CC}">
              <c16:uniqueId val="{00000000-F2D2-4E72-AC1C-7E31E65DB91D}"/>
            </c:ext>
          </c:extLst>
        </c:ser>
        <c:ser>
          <c:idx val="1"/>
          <c:order val="1"/>
          <c:tx>
            <c:strRef>
              <c:f>'Detyrimet Tot'!$B$5</c:f>
              <c:strCache>
                <c:ptCount val="1"/>
                <c:pt idx="0">
                  <c:v> Mirëmbajtje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'[1]Detyrimet Tot'!$C$3:$K$3</c:f>
              <c:numCache>
                <c:formatCode>General</c:formatCode>
                <c:ptCount val="9"/>
                <c:pt idx="0">
                  <c:v>0</c:v>
                </c:pt>
                <c:pt idx="1">
                  <c:v>0</c:v>
                </c:pt>
                <c:pt idx="2">
                  <c:v>0</c:v>
                </c:pt>
                <c:pt idx="3">
                  <c:v>0</c:v>
                </c:pt>
                <c:pt idx="4">
                  <c:v>0</c:v>
                </c:pt>
                <c:pt idx="5">
                  <c:v>0</c:v>
                </c:pt>
                <c:pt idx="6">
                  <c:v>0</c:v>
                </c:pt>
                <c:pt idx="7">
                  <c:v>0</c:v>
                </c:pt>
                <c:pt idx="8">
                  <c:v>0</c:v>
                </c:pt>
              </c:numCache>
            </c:numRef>
          </c:cat>
          <c:val>
            <c:numRef>
              <c:f>'Detyrimet Tot'!$C$5:$K$5</c:f>
            </c:numRef>
          </c:val>
          <c:extLst>
            <c:ext xmlns:c16="http://schemas.microsoft.com/office/drawing/2014/chart" uri="{C3380CC4-5D6E-409C-BE32-E72D297353CC}">
              <c16:uniqueId val="{00000001-F2D2-4E72-AC1C-7E31E65DB91D}"/>
            </c:ext>
          </c:extLst>
        </c:ser>
        <c:ser>
          <c:idx val="2"/>
          <c:order val="2"/>
          <c:tx>
            <c:strRef>
              <c:f>'Detyrimet Tot'!$B$6</c:f>
              <c:strCache>
                <c:ptCount val="1"/>
                <c:pt idx="0">
                  <c:v> Investime (infrastrukturë)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'[1]Detyrimet Tot'!$C$3:$K$3</c:f>
              <c:numCache>
                <c:formatCode>General</c:formatCode>
                <c:ptCount val="9"/>
                <c:pt idx="0">
                  <c:v>0</c:v>
                </c:pt>
                <c:pt idx="1">
                  <c:v>0</c:v>
                </c:pt>
                <c:pt idx="2">
                  <c:v>0</c:v>
                </c:pt>
                <c:pt idx="3">
                  <c:v>0</c:v>
                </c:pt>
                <c:pt idx="4">
                  <c:v>0</c:v>
                </c:pt>
                <c:pt idx="5">
                  <c:v>0</c:v>
                </c:pt>
                <c:pt idx="6">
                  <c:v>0</c:v>
                </c:pt>
                <c:pt idx="7">
                  <c:v>0</c:v>
                </c:pt>
                <c:pt idx="8">
                  <c:v>0</c:v>
                </c:pt>
              </c:numCache>
            </c:numRef>
          </c:cat>
          <c:val>
            <c:numRef>
              <c:f>'Detyrimet Tot'!$C$6:$K$6</c:f>
            </c:numRef>
          </c:val>
          <c:extLst>
            <c:ext xmlns:c16="http://schemas.microsoft.com/office/drawing/2014/chart" uri="{C3380CC4-5D6E-409C-BE32-E72D297353CC}">
              <c16:uniqueId val="{00000002-F2D2-4E72-AC1C-7E31E65DB91D}"/>
            </c:ext>
          </c:extLst>
        </c:ser>
        <c:ser>
          <c:idx val="3"/>
          <c:order val="3"/>
          <c:tx>
            <c:strRef>
              <c:f>'Detyrimet Tot'!$B$7</c:f>
              <c:strCache>
                <c:ptCount val="1"/>
                <c:pt idx="0">
                  <c:v> Te tjera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'[1]Detyrimet Tot'!$C$3:$K$3</c:f>
              <c:numCache>
                <c:formatCode>General</c:formatCode>
                <c:ptCount val="9"/>
                <c:pt idx="0">
                  <c:v>0</c:v>
                </c:pt>
                <c:pt idx="1">
                  <c:v>0</c:v>
                </c:pt>
                <c:pt idx="2">
                  <c:v>0</c:v>
                </c:pt>
                <c:pt idx="3">
                  <c:v>0</c:v>
                </c:pt>
                <c:pt idx="4">
                  <c:v>0</c:v>
                </c:pt>
                <c:pt idx="5">
                  <c:v>0</c:v>
                </c:pt>
                <c:pt idx="6">
                  <c:v>0</c:v>
                </c:pt>
                <c:pt idx="7">
                  <c:v>0</c:v>
                </c:pt>
                <c:pt idx="8">
                  <c:v>0</c:v>
                </c:pt>
              </c:numCache>
            </c:numRef>
          </c:cat>
          <c:val>
            <c:numRef>
              <c:f>'Detyrimet Tot'!$C$7:$K$7</c:f>
            </c:numRef>
          </c:val>
          <c:extLst>
            <c:ext xmlns:c16="http://schemas.microsoft.com/office/drawing/2014/chart" uri="{C3380CC4-5D6E-409C-BE32-E72D297353CC}">
              <c16:uniqueId val="{00000003-F2D2-4E72-AC1C-7E31E65DB91D}"/>
            </c:ext>
          </c:extLst>
        </c:ser>
        <c:ser>
          <c:idx val="4"/>
          <c:order val="4"/>
          <c:tx>
            <c:strRef>
              <c:f>'Detyrimet Tot'!$B$8</c:f>
              <c:strCache>
                <c:ptCount val="1"/>
                <c:pt idx="0">
                  <c:v>Totali Detyrimeve të Qeverisë Qendrore</c:v>
                </c:pt>
              </c:strCache>
            </c:strRef>
          </c:tx>
          <c:spPr>
            <a:solidFill>
              <a:schemeClr val="accent5"/>
            </a:solidFill>
            <a:ln>
              <a:noFill/>
            </a:ln>
            <a:effectLst/>
          </c:spPr>
          <c:invertIfNegative val="0"/>
          <c:dLbls>
            <c:spPr>
              <a:solidFill>
                <a:sysClr val="window" lastClr="FFFFFF"/>
              </a:solid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'Detyrimet Tot'!$C$3:$O$3</c:f>
              <c:strCache>
                <c:ptCount val="5"/>
                <c:pt idx="0">
                  <c:v>3M 2022</c:v>
                </c:pt>
                <c:pt idx="1">
                  <c:v>6M 2022</c:v>
                </c:pt>
                <c:pt idx="2">
                  <c:v>9M 2022</c:v>
                </c:pt>
                <c:pt idx="3">
                  <c:v>2022</c:v>
                </c:pt>
                <c:pt idx="4">
                  <c:v>3M 2023</c:v>
                </c:pt>
              </c:strCache>
            </c:strRef>
          </c:cat>
          <c:val>
            <c:numRef>
              <c:f>'Detyrimet Tot'!$C$8:$O$8</c:f>
              <c:numCache>
                <c:formatCode>_-* #,##0_L_e_k_-;\-* #,##0_L_e_k_-;_-* "-"??_L_e_k_-;_-@_-</c:formatCode>
                <c:ptCount val="5"/>
                <c:pt idx="0">
                  <c:v>6759.4054827599994</c:v>
                </c:pt>
                <c:pt idx="1">
                  <c:v>7912.9732096299986</c:v>
                </c:pt>
                <c:pt idx="2">
                  <c:v>10289.463039699998</c:v>
                </c:pt>
                <c:pt idx="3">
                  <c:v>6769.6607726399989</c:v>
                </c:pt>
                <c:pt idx="4">
                  <c:v>6739.7177433700008</c:v>
                </c:pt>
              </c:numCache>
            </c:numRef>
          </c:val>
          <c:extLst>
            <c:ext xmlns:c16="http://schemas.microsoft.com/office/drawing/2014/chart" uri="{C3380CC4-5D6E-409C-BE32-E72D297353CC}">
              <c16:uniqueId val="{00000004-F2D2-4E72-AC1C-7E31E65DB91D}"/>
            </c:ext>
          </c:extLst>
        </c:ser>
        <c:ser>
          <c:idx val="5"/>
          <c:order val="5"/>
          <c:tx>
            <c:strRef>
              <c:f>'Detyrimet Tot'!$B$9</c:f>
              <c:strCache>
                <c:ptCount val="1"/>
                <c:pt idx="0">
                  <c:v>Totali Detyrimeve të Qeverisë Vendore</c:v>
                </c:pt>
              </c:strCache>
            </c:strRef>
          </c:tx>
          <c:spPr>
            <a:solidFill>
              <a:schemeClr val="accent6"/>
            </a:solidFill>
            <a:ln>
              <a:noFill/>
            </a:ln>
            <a:effectLst/>
          </c:spPr>
          <c:invertIfNegative val="0"/>
          <c:dLbls>
            <c:spPr>
              <a:solidFill>
                <a:sysClr val="window" lastClr="FFFFFF"/>
              </a:solid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'Detyrimet Tot'!$C$3:$O$3</c:f>
              <c:strCache>
                <c:ptCount val="5"/>
                <c:pt idx="0">
                  <c:v>3M 2022</c:v>
                </c:pt>
                <c:pt idx="1">
                  <c:v>6M 2022</c:v>
                </c:pt>
                <c:pt idx="2">
                  <c:v>9M 2022</c:v>
                </c:pt>
                <c:pt idx="3">
                  <c:v>2022</c:v>
                </c:pt>
                <c:pt idx="4">
                  <c:v>3M 2023</c:v>
                </c:pt>
              </c:strCache>
            </c:strRef>
          </c:cat>
          <c:val>
            <c:numRef>
              <c:f>'Detyrimet Tot'!$C$9:$O$9</c:f>
              <c:numCache>
                <c:formatCode>_-* #,##0_L_e_k_-;\-* #,##0_L_e_k_-;_-* "-"??_L_e_k_-;_-@_-</c:formatCode>
                <c:ptCount val="5"/>
                <c:pt idx="0">
                  <c:v>7302.3664616100004</c:v>
                </c:pt>
                <c:pt idx="1">
                  <c:v>7057.9407752300003</c:v>
                </c:pt>
                <c:pt idx="2">
                  <c:v>6667.7121687299996</c:v>
                </c:pt>
                <c:pt idx="3">
                  <c:v>5428.9492626100009</c:v>
                </c:pt>
                <c:pt idx="4">
                  <c:v>6022.7145687600005</c:v>
                </c:pt>
              </c:numCache>
            </c:numRef>
          </c:val>
          <c:extLst>
            <c:ext xmlns:c16="http://schemas.microsoft.com/office/drawing/2014/chart" uri="{C3380CC4-5D6E-409C-BE32-E72D297353CC}">
              <c16:uniqueId val="{00000005-F2D2-4E72-AC1C-7E31E65DB91D}"/>
            </c:ext>
          </c:extLst>
        </c:ser>
        <c:ser>
          <c:idx val="6"/>
          <c:order val="6"/>
          <c:tx>
            <c:strRef>
              <c:f>'Detyrimet Tot'!$B$10</c:f>
              <c:strCache>
                <c:ptCount val="1"/>
                <c:pt idx="0">
                  <c:v>Rimbursim i TVSH</c:v>
                </c:pt>
              </c:strCache>
            </c:strRef>
          </c:tx>
          <c:spPr>
            <a:solidFill>
              <a:schemeClr val="accent1">
                <a:lumMod val="60000"/>
              </a:schemeClr>
            </a:solidFill>
            <a:ln>
              <a:noFill/>
            </a:ln>
            <a:effectLst/>
          </c:spPr>
          <c:invertIfNegative val="0"/>
          <c:dLbls>
            <c:spPr>
              <a:solidFill>
                <a:sysClr val="window" lastClr="FFFFFF"/>
              </a:solid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'Detyrimet Tot'!$C$3:$O$3</c:f>
              <c:strCache>
                <c:ptCount val="5"/>
                <c:pt idx="0">
                  <c:v>3M 2022</c:v>
                </c:pt>
                <c:pt idx="1">
                  <c:v>6M 2022</c:v>
                </c:pt>
                <c:pt idx="2">
                  <c:v>9M 2022</c:v>
                </c:pt>
                <c:pt idx="3">
                  <c:v>2022</c:v>
                </c:pt>
                <c:pt idx="4">
                  <c:v>3M 2023</c:v>
                </c:pt>
              </c:strCache>
            </c:strRef>
          </c:cat>
          <c:val>
            <c:numRef>
              <c:f>'Detyrimet Tot'!$C$10:$O$10</c:f>
              <c:numCache>
                <c:formatCode>_-* #,##0_L_e_k_-;\-* #,##0_L_e_k_-;_-* "-"??_L_e_k_-;_-@_-</c:formatCode>
                <c:ptCount val="5"/>
                <c:pt idx="0">
                  <c:v>476.65039000000002</c:v>
                </c:pt>
                <c:pt idx="1">
                  <c:v>476.65039000000002</c:v>
                </c:pt>
                <c:pt idx="2">
                  <c:v>0</c:v>
                </c:pt>
                <c:pt idx="3">
                  <c:v>0</c:v>
                </c:pt>
                <c:pt idx="4">
                  <c:v>0</c:v>
                </c:pt>
              </c:numCache>
            </c:numRef>
          </c:val>
          <c:extLst>
            <c:ext xmlns:c16="http://schemas.microsoft.com/office/drawing/2014/chart" uri="{C3380CC4-5D6E-409C-BE32-E72D297353CC}">
              <c16:uniqueId val="{00000006-F2D2-4E72-AC1C-7E31E65DB91D}"/>
            </c:ext>
          </c:extLst>
        </c:ser>
        <c:dLbls>
          <c:dLblPos val="ctr"/>
          <c:showLegendKey val="0"/>
          <c:showVal val="1"/>
          <c:showCatName val="0"/>
          <c:showSerName val="0"/>
          <c:showPercent val="0"/>
          <c:showBubbleSize val="0"/>
        </c:dLbls>
        <c:gapWidth val="79"/>
        <c:overlap val="100"/>
        <c:axId val="135901568"/>
        <c:axId val="135903104"/>
      </c:barChart>
      <c:lineChart>
        <c:grouping val="standard"/>
        <c:varyColors val="0"/>
        <c:ser>
          <c:idx val="7"/>
          <c:order val="7"/>
          <c:tx>
            <c:strRef>
              <c:f>'Detyrimet Tot'!$B$11</c:f>
              <c:strCache>
                <c:ptCount val="1"/>
                <c:pt idx="0">
                  <c:v>Total</c:v>
                </c:pt>
              </c:strCache>
            </c:strRef>
          </c:tx>
          <c:spPr>
            <a:ln w="19050" cap="rnd">
              <a:solidFill>
                <a:schemeClr val="accent2">
                  <a:lumMod val="60000"/>
                </a:schemeClr>
              </a:solidFill>
              <a:round/>
            </a:ln>
            <a:effectLst/>
          </c:spPr>
          <c:marker>
            <c:symbol val="none"/>
          </c:marker>
          <c:dLbls>
            <c:spPr>
              <a:noFill/>
              <a:ln>
                <a:noFill/>
              </a:ln>
              <a:effectLst/>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'Detyrimet Tot'!$C$3:$K$3</c:f>
              <c:strCache>
                <c:ptCount val="1"/>
                <c:pt idx="0">
                  <c:v>3M 2022</c:v>
                </c:pt>
              </c:strCache>
            </c:strRef>
          </c:cat>
          <c:val>
            <c:numRef>
              <c:f>'Detyrimet Tot'!$C$11:$O$11</c:f>
              <c:numCache>
                <c:formatCode>_-* #,##0_L_e_k_-;\-* #,##0_L_e_k_-;_-* "-"??_L_e_k_-;_-@_-</c:formatCode>
                <c:ptCount val="5"/>
                <c:pt idx="0">
                  <c:v>14538.422334370001</c:v>
                </c:pt>
                <c:pt idx="1">
                  <c:v>15447.56437486</c:v>
                </c:pt>
                <c:pt idx="2">
                  <c:v>16957.175208429999</c:v>
                </c:pt>
                <c:pt idx="3">
                  <c:v>12198.61003525</c:v>
                </c:pt>
                <c:pt idx="4">
                  <c:v>12762.43231213</c:v>
                </c:pt>
              </c:numCache>
            </c:numRef>
          </c:val>
          <c:smooth val="0"/>
          <c:extLst>
            <c:ext xmlns:c16="http://schemas.microsoft.com/office/drawing/2014/chart" uri="{C3380CC4-5D6E-409C-BE32-E72D297353CC}">
              <c16:uniqueId val="{00000007-F2D2-4E72-AC1C-7E31E65DB91D}"/>
            </c:ext>
          </c:extLst>
        </c:ser>
        <c:dLbls>
          <c:showLegendKey val="0"/>
          <c:showVal val="0"/>
          <c:showCatName val="0"/>
          <c:showSerName val="0"/>
          <c:showPercent val="0"/>
          <c:showBubbleSize val="0"/>
        </c:dLbls>
        <c:marker val="1"/>
        <c:smooth val="0"/>
        <c:axId val="135922816"/>
        <c:axId val="135904640"/>
      </c:lineChart>
      <c:catAx>
        <c:axId val="1359015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accent1">
                <a:shade val="95000"/>
                <a:satMod val="105000"/>
              </a:schemeClr>
            </a:solidFill>
            <a:prstDash val="solid"/>
            <a:round/>
          </a:ln>
          <a:effectLst/>
        </c:spPr>
        <c:txPr>
          <a:bodyPr rot="-60000000" vert="horz"/>
          <a:lstStyle/>
          <a:p>
            <a:pPr>
              <a:defRPr/>
            </a:pPr>
            <a:endParaRPr lang="en-US"/>
          </a:p>
        </c:txPr>
        <c:crossAx val="135903104"/>
        <c:crosses val="autoZero"/>
        <c:auto val="1"/>
        <c:lblAlgn val="ctr"/>
        <c:lblOffset val="100"/>
        <c:noMultiLvlLbl val="0"/>
      </c:catAx>
      <c:valAx>
        <c:axId val="135903104"/>
        <c:scaling>
          <c:orientation val="minMax"/>
        </c:scaling>
        <c:delete val="1"/>
        <c:axPos val="l"/>
        <c:numFmt formatCode="_-* #,##0_L_e_k_-;\-* #,##0_L_e_k_-;_-* &quot;-&quot;??_L_e_k_-;_-@_-" sourceLinked="1"/>
        <c:majorTickMark val="none"/>
        <c:minorTickMark val="none"/>
        <c:tickLblPos val="nextTo"/>
        <c:crossAx val="135901568"/>
        <c:crosses val="autoZero"/>
        <c:crossBetween val="between"/>
      </c:valAx>
      <c:valAx>
        <c:axId val="135904640"/>
        <c:scaling>
          <c:orientation val="minMax"/>
        </c:scaling>
        <c:delete val="0"/>
        <c:axPos val="r"/>
        <c:numFmt formatCode="_-* #,##0_L_e_k_-;\-* #,##0_L_e_k_-;_-* &quot;-&quot;??_L_e_k_-;_-@_-" sourceLinked="1"/>
        <c:majorTickMark val="out"/>
        <c:minorTickMark val="none"/>
        <c:tickLblPos val="nextTo"/>
        <c:spPr>
          <a:noFill/>
          <a:ln w="9525" cap="flat" cmpd="sng" algn="ctr">
            <a:solidFill>
              <a:schemeClr val="accent1">
                <a:shade val="95000"/>
                <a:satMod val="105000"/>
              </a:schemeClr>
            </a:solidFill>
            <a:prstDash val="solid"/>
            <a:round/>
          </a:ln>
          <a:effectLst/>
        </c:spPr>
        <c:txPr>
          <a:bodyPr rot="-60000000" vert="horz"/>
          <a:lstStyle/>
          <a:p>
            <a:pPr>
              <a:defRPr/>
            </a:pPr>
            <a:endParaRPr lang="en-US"/>
          </a:p>
        </c:txPr>
        <c:crossAx val="135922816"/>
        <c:crosses val="max"/>
        <c:crossBetween val="between"/>
      </c:valAx>
      <c:catAx>
        <c:axId val="135922816"/>
        <c:scaling>
          <c:orientation val="minMax"/>
        </c:scaling>
        <c:delete val="1"/>
        <c:axPos val="b"/>
        <c:numFmt formatCode="General" sourceLinked="1"/>
        <c:majorTickMark val="out"/>
        <c:minorTickMark val="none"/>
        <c:tickLblPos val="nextTo"/>
        <c:crossAx val="135904640"/>
        <c:crosses val="autoZero"/>
        <c:auto val="1"/>
        <c:lblAlgn val="ctr"/>
        <c:lblOffset val="100"/>
        <c:noMultiLvlLbl val="0"/>
      </c:catAx>
      <c:spPr>
        <a:solidFill>
          <a:srgbClr val="DBEFF9"/>
        </a:solidFill>
        <a:ln w="9525" cap="flat" cmpd="sng" algn="ctr">
          <a:noFill/>
          <a:prstDash val="solid"/>
        </a:ln>
        <a:effectLst/>
      </c:spPr>
    </c:plotArea>
    <c:legend>
      <c:legendPos val="r"/>
      <c:layout>
        <c:manualLayout>
          <c:xMode val="edge"/>
          <c:yMode val="edge"/>
          <c:x val="0.75456800356095854"/>
          <c:y val="0.16253583686654552"/>
          <c:w val="0.23641248791269512"/>
          <c:h val="0.73082226260179017"/>
        </c:manualLayout>
      </c:layout>
      <c:overlay val="0"/>
      <c:spPr>
        <a:noFill/>
        <a:ln>
          <a:noFill/>
        </a:ln>
        <a:effectLst/>
      </c:spPr>
      <c:txPr>
        <a:bodyPr rot="0" vert="horz"/>
        <a:lstStyle/>
        <a:p>
          <a:pPr>
            <a:defRPr/>
          </a:pPr>
          <a:endParaRPr lang="en-US"/>
        </a:p>
      </c:txPr>
    </c:legend>
    <c:plotVisOnly val="1"/>
    <c:dispBlanksAs val="zero"/>
    <c:showDLblsOverMax val="0"/>
  </c:chart>
  <c:spPr>
    <a:solidFill>
      <a:srgbClr val="DBEFF9"/>
    </a:solidFill>
    <a:ln w="9525" cap="flat" cmpd="sng" algn="ctr">
      <a:solidFill>
        <a:schemeClr val="dk1"/>
      </a:solidFill>
      <a:prstDash val="solid"/>
      <a:round/>
    </a:ln>
    <a:effectLst/>
  </c:spPr>
  <c:txPr>
    <a:bodyPr/>
    <a:lstStyle/>
    <a:p>
      <a:pPr>
        <a:defRPr sz="700" b="1">
          <a:solidFill>
            <a:schemeClr val="dk1"/>
          </a:solidFill>
          <a:latin typeface="+mj-lt"/>
          <a:ea typeface="+mn-ea"/>
          <a:cs typeface="+mn-cs"/>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31084535055047"/>
          <c:y val="0.10171552085401091"/>
          <c:w val="0.34956368588132702"/>
          <c:h val="0.89740929442643202"/>
        </c:manualLayout>
      </c:layout>
      <c:pieChart>
        <c:varyColors val="1"/>
        <c:ser>
          <c:idx val="0"/>
          <c:order val="0"/>
          <c:spPr>
            <a:ln>
              <a:noFill/>
            </a:ln>
          </c:spPr>
          <c:dPt>
            <c:idx val="0"/>
            <c:bubble3D val="0"/>
            <c:spPr>
              <a:gradFill>
                <a:gsLst>
                  <a:gs pos="100000">
                    <a:schemeClr val="accent1">
                      <a:lumMod val="60000"/>
                      <a:lumOff val="40000"/>
                    </a:schemeClr>
                  </a:gs>
                  <a:gs pos="0">
                    <a:schemeClr val="accent1"/>
                  </a:gs>
                </a:gsLst>
                <a:lin ang="5400000" scaled="0"/>
              </a:gradFill>
              <a:ln w="19050">
                <a:noFill/>
              </a:ln>
              <a:effectLst/>
            </c:spPr>
            <c:extLst>
              <c:ext xmlns:c16="http://schemas.microsoft.com/office/drawing/2014/chart" uri="{C3380CC4-5D6E-409C-BE32-E72D297353CC}">
                <c16:uniqueId val="{00000001-EF65-443A-B344-59953E8494FF}"/>
              </c:ext>
            </c:extLst>
          </c:dPt>
          <c:dPt>
            <c:idx val="1"/>
            <c:bubble3D val="0"/>
            <c:spPr>
              <a:gradFill>
                <a:gsLst>
                  <a:gs pos="100000">
                    <a:schemeClr val="accent2">
                      <a:lumMod val="60000"/>
                      <a:lumOff val="40000"/>
                    </a:schemeClr>
                  </a:gs>
                  <a:gs pos="0">
                    <a:schemeClr val="accent2"/>
                  </a:gs>
                </a:gsLst>
                <a:lin ang="5400000" scaled="0"/>
              </a:gradFill>
              <a:ln w="19050">
                <a:noFill/>
              </a:ln>
              <a:effectLst/>
            </c:spPr>
            <c:extLst>
              <c:ext xmlns:c16="http://schemas.microsoft.com/office/drawing/2014/chart" uri="{C3380CC4-5D6E-409C-BE32-E72D297353CC}">
                <c16:uniqueId val="{00000003-EF65-443A-B344-59953E8494FF}"/>
              </c:ext>
            </c:extLst>
          </c:dPt>
          <c:dPt>
            <c:idx val="2"/>
            <c:bubble3D val="0"/>
            <c:spPr>
              <a:gradFill>
                <a:gsLst>
                  <a:gs pos="100000">
                    <a:schemeClr val="accent3">
                      <a:lumMod val="60000"/>
                      <a:lumOff val="40000"/>
                    </a:schemeClr>
                  </a:gs>
                  <a:gs pos="0">
                    <a:schemeClr val="accent3"/>
                  </a:gs>
                </a:gsLst>
                <a:lin ang="5400000" scaled="0"/>
              </a:gradFill>
              <a:ln w="19050">
                <a:noFill/>
              </a:ln>
              <a:effectLst/>
            </c:spPr>
            <c:extLst>
              <c:ext xmlns:c16="http://schemas.microsoft.com/office/drawing/2014/chart" uri="{C3380CC4-5D6E-409C-BE32-E72D297353CC}">
                <c16:uniqueId val="{00000005-EF65-443A-B344-59953E8494FF}"/>
              </c:ext>
            </c:extLst>
          </c:dPt>
          <c:dPt>
            <c:idx val="3"/>
            <c:bubble3D val="0"/>
            <c:spPr>
              <a:gradFill>
                <a:gsLst>
                  <a:gs pos="100000">
                    <a:schemeClr val="accent4">
                      <a:lumMod val="60000"/>
                      <a:lumOff val="40000"/>
                    </a:schemeClr>
                  </a:gs>
                  <a:gs pos="0">
                    <a:schemeClr val="accent4"/>
                  </a:gs>
                </a:gsLst>
                <a:lin ang="5400000" scaled="0"/>
              </a:gradFill>
              <a:ln w="19050">
                <a:noFill/>
              </a:ln>
              <a:effectLst/>
            </c:spPr>
            <c:extLst>
              <c:ext xmlns:c16="http://schemas.microsoft.com/office/drawing/2014/chart" uri="{C3380CC4-5D6E-409C-BE32-E72D297353CC}">
                <c16:uniqueId val="{00000007-EF65-443A-B344-59953E8494FF}"/>
              </c:ext>
            </c:extLst>
          </c:dPt>
          <c:dPt>
            <c:idx val="4"/>
            <c:bubble3D val="0"/>
            <c:spPr>
              <a:gradFill>
                <a:gsLst>
                  <a:gs pos="100000">
                    <a:schemeClr val="accent5">
                      <a:lumMod val="60000"/>
                      <a:lumOff val="40000"/>
                    </a:schemeClr>
                  </a:gs>
                  <a:gs pos="0">
                    <a:schemeClr val="accent5"/>
                  </a:gs>
                </a:gsLst>
                <a:lin ang="5400000" scaled="0"/>
              </a:gradFill>
              <a:ln w="19050">
                <a:noFill/>
              </a:ln>
              <a:effectLst/>
            </c:spPr>
            <c:extLst>
              <c:ext xmlns:c16="http://schemas.microsoft.com/office/drawing/2014/chart" uri="{C3380CC4-5D6E-409C-BE32-E72D297353CC}">
                <c16:uniqueId val="{00000009-EF65-443A-B344-59953E8494FF}"/>
              </c:ext>
            </c:extLst>
          </c:dPt>
          <c:dPt>
            <c:idx val="5"/>
            <c:bubble3D val="0"/>
            <c:spPr>
              <a:gradFill>
                <a:gsLst>
                  <a:gs pos="100000">
                    <a:schemeClr val="accent6">
                      <a:lumMod val="60000"/>
                      <a:lumOff val="40000"/>
                    </a:schemeClr>
                  </a:gs>
                  <a:gs pos="0">
                    <a:schemeClr val="accent6"/>
                  </a:gs>
                </a:gsLst>
                <a:lin ang="5400000" scaled="0"/>
              </a:gradFill>
              <a:ln w="19050">
                <a:noFill/>
              </a:ln>
              <a:effectLst/>
            </c:spPr>
            <c:extLst>
              <c:ext xmlns:c16="http://schemas.microsoft.com/office/drawing/2014/chart" uri="{C3380CC4-5D6E-409C-BE32-E72D297353CC}">
                <c16:uniqueId val="{0000000B-EF65-443A-B344-59953E8494FF}"/>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Sheet1!$A$3:$A$12</c:f>
              <c:strCache>
                <c:ptCount val="10"/>
                <c:pt idx="0">
                  <c:v>Vendime Gjyqësore</c:v>
                </c:pt>
                <c:pt idx="1">
                  <c:v>Investime</c:v>
                </c:pt>
                <c:pt idx="2">
                  <c:v>Detyrime të prapambetura të tjera</c:v>
                </c:pt>
                <c:pt idx="3">
                  <c:v>Detyrimet për sigurimet shoqërore</c:v>
                </c:pt>
                <c:pt idx="4">
                  <c:v>Mirëmbajtje</c:v>
                </c:pt>
                <c:pt idx="5">
                  <c:v>Rimbursimi i TVSH-së</c:v>
                </c:pt>
                <c:pt idx="6">
                  <c:v>Mallra</c:v>
                </c:pt>
                <c:pt idx="7">
                  <c:v>Të Ardhurat Personale </c:v>
                </c:pt>
                <c:pt idx="8">
                  <c:v>Shërbimet</c:v>
                </c:pt>
                <c:pt idx="9">
                  <c:v>Detyrimet për sigurimet shëndetsore</c:v>
                </c:pt>
              </c:strCache>
            </c:strRef>
          </c:cat>
          <c:val>
            <c:numRef>
              <c:f>Sheet1!$D$3:$D$12</c:f>
              <c:numCache>
                <c:formatCode>0.0%</c:formatCode>
                <c:ptCount val="10"/>
                <c:pt idx="0">
                  <c:v>0.44500000000000001</c:v>
                </c:pt>
                <c:pt idx="1">
                  <c:v>0.38200000000000001</c:v>
                </c:pt>
                <c:pt idx="2">
                  <c:v>0.1</c:v>
                </c:pt>
                <c:pt idx="3">
                  <c:v>2.4E-2</c:v>
                </c:pt>
                <c:pt idx="4">
                  <c:v>1.7999999999999999E-2</c:v>
                </c:pt>
                <c:pt idx="5">
                  <c:v>8.0000000000000002E-3</c:v>
                </c:pt>
                <c:pt idx="6">
                  <c:v>8.0000000000000002E-3</c:v>
                </c:pt>
                <c:pt idx="7">
                  <c:v>6.0000000000000001E-3</c:v>
                </c:pt>
                <c:pt idx="8">
                  <c:v>6.0000000000000001E-3</c:v>
                </c:pt>
                <c:pt idx="9">
                  <c:v>3.0000000000000001E-3</c:v>
                </c:pt>
              </c:numCache>
            </c:numRef>
          </c:val>
          <c:extLst>
            <c:ext xmlns:c16="http://schemas.microsoft.com/office/drawing/2014/chart" uri="{C3380CC4-5D6E-409C-BE32-E72D297353CC}">
              <c16:uniqueId val="{0000000C-EF65-443A-B344-59953E8494FF}"/>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6965363781245848"/>
          <c:y val="0.15951884392829274"/>
          <c:w val="0.37876429930710381"/>
          <c:h val="0.79975678715836196"/>
        </c:manualLayout>
      </c:layout>
      <c:overlay val="0"/>
      <c:spPr>
        <a:noFill/>
        <a:ln w="22225">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rgbClr val="DBEFF9"/>
    </a:solidFill>
    <a:ln w="9525" cap="flat" cmpd="sng" algn="ctr">
      <a:noFill/>
      <a:round/>
    </a:ln>
    <a:effectLst/>
  </c:spPr>
  <c:txPr>
    <a:bodyPr/>
    <a:lstStyle/>
    <a:p>
      <a:pPr>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3984382657562"/>
          <c:y val="9.0277777777777762E-2"/>
          <c:w val="0.46196403872752423"/>
          <c:h val="0.77314814814814814"/>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5D2-4720-8D5E-6F5B6BB0672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5D2-4720-8D5E-6F5B6BB0672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5D2-4720-8D5E-6F5B6BB0672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5D2-4720-8D5E-6F5B6BB0672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5D2-4720-8D5E-6F5B6BB0672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A5D2-4720-8D5E-6F5B6BB0672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A5D2-4720-8D5E-6F5B6BB0672E}"/>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A5D2-4720-8D5E-6F5B6BB0672E}"/>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A5D2-4720-8D5E-6F5B6BB0672E}"/>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A5D2-4720-8D5E-6F5B6BB0672E}"/>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A5D2-4720-8D5E-6F5B6BB0672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Sheet1!$C$4:$C$14</c:f>
              <c:strCache>
                <c:ptCount val="11"/>
                <c:pt idx="0">
                  <c:v>Vendime Gjyqësore</c:v>
                </c:pt>
                <c:pt idx="1">
                  <c:v>Det.Prap. Shërbime</c:v>
                </c:pt>
                <c:pt idx="2">
                  <c:v>Det.Prap.Mirëmbajtjeje</c:v>
                </c:pt>
                <c:pt idx="3">
                  <c:v>Det.Prap. Investime</c:v>
                </c:pt>
                <c:pt idx="4">
                  <c:v>Det.Prap.Rimbursim TVSH</c:v>
                </c:pt>
                <c:pt idx="5">
                  <c:v>Mallra</c:v>
                </c:pt>
                <c:pt idx="6">
                  <c:v>Det.Prap.Të Tjera</c:v>
                </c:pt>
                <c:pt idx="7">
                  <c:v>Det.Prap.Sig.Shoqërore</c:v>
                </c:pt>
                <c:pt idx="8">
                  <c:v>Det.Prap.Sig.Shëndetsore</c:v>
                </c:pt>
                <c:pt idx="9">
                  <c:v>Det.Prap.Ardh.Personale</c:v>
                </c:pt>
                <c:pt idx="10">
                  <c:v>Det.Prap.Tatime Tjera</c:v>
                </c:pt>
              </c:strCache>
            </c:strRef>
          </c:cat>
          <c:val>
            <c:numRef>
              <c:f>Sheet1!$I$4:$I$14</c:f>
              <c:numCache>
                <c:formatCode>0%</c:formatCode>
                <c:ptCount val="11"/>
                <c:pt idx="0">
                  <c:v>8.4185346038799694E-2</c:v>
                </c:pt>
                <c:pt idx="1">
                  <c:v>0.12205910021137166</c:v>
                </c:pt>
                <c:pt idx="2">
                  <c:v>1.9339435014712789E-2</c:v>
                </c:pt>
                <c:pt idx="3">
                  <c:v>0.47522676339457565</c:v>
                </c:pt>
                <c:pt idx="4">
                  <c:v>1.259075108803994E-4</c:v>
                </c:pt>
                <c:pt idx="5">
                  <c:v>4.3695225139548738E-2</c:v>
                </c:pt>
                <c:pt idx="6">
                  <c:v>0.24220797092903174</c:v>
                </c:pt>
                <c:pt idx="7">
                  <c:v>8.3923313033220266E-3</c:v>
                </c:pt>
                <c:pt idx="8">
                  <c:v>4.6950224322833955E-4</c:v>
                </c:pt>
                <c:pt idx="9">
                  <c:v>3.3062841971294959E-3</c:v>
                </c:pt>
                <c:pt idx="10">
                  <c:v>9.921340173994445E-4</c:v>
                </c:pt>
              </c:numCache>
            </c:numRef>
          </c:val>
          <c:extLst>
            <c:ext xmlns:c16="http://schemas.microsoft.com/office/drawing/2014/chart" uri="{C3380CC4-5D6E-409C-BE32-E72D297353CC}">
              <c16:uniqueId val="{00000016-A5D2-4720-8D5E-6F5B6BB0672E}"/>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7583405015549525"/>
          <c:y val="0.10106335666375037"/>
          <c:w val="0.31072057169324424"/>
          <c:h val="0.79787292213473315"/>
        </c:manualLayout>
      </c:layout>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gradFill>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gra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9443709071249815"/>
          <c:y val="0.13827156909456748"/>
          <c:w val="0.77455515734951741"/>
          <c:h val="0.58397833278809297"/>
        </c:manualLayout>
      </c:layout>
      <c:bar3DChart>
        <c:barDir val="col"/>
        <c:grouping val="clustered"/>
        <c:varyColors val="0"/>
        <c:ser>
          <c:idx val="0"/>
          <c:order val="0"/>
          <c:spPr>
            <a:solidFill>
              <a:schemeClr val="accent1"/>
            </a:solidFill>
            <a:ln>
              <a:noFill/>
            </a:ln>
            <a:effectLst/>
            <a:sp3d/>
          </c:spPr>
          <c:invertIfNegative val="0"/>
          <c:cat>
            <c:strRef>
              <c:f>Sheet1!$C$39:$E$39</c:f>
              <c:strCache>
                <c:ptCount val="3"/>
                <c:pt idx="0">
                  <c:v>Fakt 5M 2022</c:v>
                </c:pt>
                <c:pt idx="1">
                  <c:v>Fakt 5 M 2023</c:v>
                </c:pt>
                <c:pt idx="2">
                  <c:v>Plan 5 M 2023</c:v>
                </c:pt>
              </c:strCache>
            </c:strRef>
          </c:cat>
          <c:val>
            <c:numRef>
              <c:f>Sheet1!$C$40:$E$40</c:f>
              <c:numCache>
                <c:formatCode>#,##0</c:formatCode>
                <c:ptCount val="3"/>
                <c:pt idx="0">
                  <c:v>83790</c:v>
                </c:pt>
                <c:pt idx="1">
                  <c:v>84117</c:v>
                </c:pt>
                <c:pt idx="2">
                  <c:v>84860</c:v>
                </c:pt>
              </c:numCache>
            </c:numRef>
          </c:val>
          <c:extLst>
            <c:ext xmlns:c16="http://schemas.microsoft.com/office/drawing/2014/chart" uri="{C3380CC4-5D6E-409C-BE32-E72D297353CC}">
              <c16:uniqueId val="{00000000-72CA-4D93-8473-61C8135773E4}"/>
            </c:ext>
          </c:extLst>
        </c:ser>
        <c:dLbls>
          <c:showLegendKey val="0"/>
          <c:showVal val="0"/>
          <c:showCatName val="0"/>
          <c:showSerName val="0"/>
          <c:showPercent val="0"/>
          <c:showBubbleSize val="0"/>
        </c:dLbls>
        <c:gapWidth val="150"/>
        <c:shape val="box"/>
        <c:axId val="-440945472"/>
        <c:axId val="-440946560"/>
        <c:axId val="0"/>
      </c:bar3DChart>
      <c:catAx>
        <c:axId val="-4409454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946560"/>
        <c:crosses val="autoZero"/>
        <c:auto val="1"/>
        <c:lblAlgn val="ctr"/>
        <c:lblOffset val="100"/>
        <c:noMultiLvlLbl val="0"/>
      </c:catAx>
      <c:valAx>
        <c:axId val="-4409465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945472"/>
        <c:crosses val="autoZero"/>
        <c:crossBetween val="between"/>
      </c:valAx>
      <c:spPr>
        <a:solidFill>
          <a:sysClr val="window" lastClr="FFFFFF"/>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0418322709661293"/>
          <c:y val="0.12698412698412698"/>
          <c:w val="0.72041994750656169"/>
          <c:h val="0.60635920509936259"/>
        </c:manualLayout>
      </c:layout>
      <c:bar3DChart>
        <c:barDir val="col"/>
        <c:grouping val="stacked"/>
        <c:varyColors val="0"/>
        <c:ser>
          <c:idx val="0"/>
          <c:order val="0"/>
          <c:spPr>
            <a:solidFill>
              <a:schemeClr val="accent1"/>
            </a:solidFill>
            <a:ln>
              <a:noFill/>
            </a:ln>
            <a:effectLst/>
            <a:sp3d/>
          </c:spPr>
          <c:invertIfNegative val="0"/>
          <c:dLbls>
            <c:dLbl>
              <c:idx val="0"/>
              <c:layout>
                <c:manualLayout>
                  <c:x val="0"/>
                  <c:y val="-0.152380952380952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21-404D-84E7-37CEEF5C905C}"/>
                </c:ext>
              </c:extLst>
            </c:dLbl>
            <c:dLbl>
              <c:idx val="1"/>
              <c:layout>
                <c:manualLayout>
                  <c:x val="1.3377926421404601E-2"/>
                  <c:y val="-0.2666666666666667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21-404D-84E7-37CEEF5C905C}"/>
                </c:ext>
              </c:extLst>
            </c:dLbl>
            <c:dLbl>
              <c:idx val="2"/>
              <c:layout>
                <c:manualLayout>
                  <c:x val="8.9186176142697065E-3"/>
                  <c:y val="-0.198095238095238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21-404D-84E7-37CEEF5C905C}"/>
                </c:ext>
              </c:extLst>
            </c:dLbl>
            <c:spPr>
              <a:noFill/>
              <a:ln>
                <a:noFill/>
              </a:ln>
              <a:effectLst/>
            </c:spPr>
            <c:txPr>
              <a:bodyPr wrap="square" lIns="38100" tIns="19050" rIns="38100" bIns="19050" anchor="ctr">
                <a:spAutoFit/>
              </a:bodyPr>
              <a:lstStyle/>
              <a:p>
                <a:pPr>
                  <a:defRPr sz="800" b="1" i="0" baseline="0"/>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Sheet1!$C$60:$E$60</c:f>
              <c:strCache>
                <c:ptCount val="3"/>
                <c:pt idx="0">
                  <c:v>Fakt 5M 2022</c:v>
                </c:pt>
                <c:pt idx="1">
                  <c:v>Fakt 5m 2023</c:v>
                </c:pt>
                <c:pt idx="2">
                  <c:v>Plan 5M 2023</c:v>
                </c:pt>
              </c:strCache>
            </c:strRef>
          </c:cat>
          <c:val>
            <c:numRef>
              <c:f>Sheet1!$C$61:$E$61</c:f>
              <c:numCache>
                <c:formatCode>#,##0</c:formatCode>
                <c:ptCount val="3"/>
                <c:pt idx="0">
                  <c:v>120925</c:v>
                </c:pt>
                <c:pt idx="1">
                  <c:v>140069</c:v>
                </c:pt>
                <c:pt idx="2">
                  <c:v>130535</c:v>
                </c:pt>
              </c:numCache>
            </c:numRef>
          </c:val>
          <c:extLst>
            <c:ext xmlns:c16="http://schemas.microsoft.com/office/drawing/2014/chart" uri="{C3380CC4-5D6E-409C-BE32-E72D297353CC}">
              <c16:uniqueId val="{00000003-5F21-404D-84E7-37CEEF5C905C}"/>
            </c:ext>
          </c:extLst>
        </c:ser>
        <c:dLbls>
          <c:showLegendKey val="0"/>
          <c:showVal val="0"/>
          <c:showCatName val="0"/>
          <c:showSerName val="0"/>
          <c:showPercent val="0"/>
          <c:showBubbleSize val="0"/>
        </c:dLbls>
        <c:gapWidth val="150"/>
        <c:shape val="box"/>
        <c:axId val="1290945728"/>
        <c:axId val="1290946272"/>
        <c:axId val="0"/>
      </c:bar3DChart>
      <c:catAx>
        <c:axId val="1290945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946272"/>
        <c:crosses val="autoZero"/>
        <c:auto val="1"/>
        <c:lblAlgn val="ctr"/>
        <c:lblOffset val="100"/>
        <c:noMultiLvlLbl val="0"/>
      </c:catAx>
      <c:valAx>
        <c:axId val="1290946272"/>
        <c:scaling>
          <c:orientation val="minMax"/>
        </c:scaling>
        <c:delete val="0"/>
        <c:axPos val="l"/>
        <c:majorGridlines>
          <c:spPr>
            <a:ln w="9525" cap="flat" cmpd="sng" algn="ctr">
              <a:solidFill>
                <a:schemeClr val="accent1">
                  <a:lumMod val="20000"/>
                  <a:lumOff val="8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945728"/>
        <c:crosses val="autoZero"/>
        <c:crossBetween val="between"/>
      </c:valAx>
      <c:spPr>
        <a:solidFill>
          <a:schemeClr val="bg1"/>
        </a:solid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88228150585655"/>
          <c:y val="7.0007937907920273E-2"/>
          <c:w val="0.81733662396678031"/>
          <c:h val="0.65151088859319417"/>
        </c:manualLayout>
      </c:layout>
      <c:lineChart>
        <c:grouping val="standard"/>
        <c:varyColors val="0"/>
        <c:ser>
          <c:idx val="0"/>
          <c:order val="0"/>
          <c:tx>
            <c:strRef>
              <c:f>Sheet1!$C$45</c:f>
              <c:strCache>
                <c:ptCount val="1"/>
                <c:pt idx="0">
                  <c:v>Realizim 2022</c:v>
                </c:pt>
              </c:strCache>
            </c:strRef>
          </c:tx>
          <c:spPr>
            <a:ln w="28575" cap="rnd">
              <a:solidFill>
                <a:schemeClr val="accent1"/>
              </a:solidFill>
              <a:round/>
            </a:ln>
            <a:effectLst/>
          </c:spPr>
          <c:marker>
            <c:symbol val="none"/>
          </c:marker>
          <c:cat>
            <c:strRef>
              <c:f>Sheet1!$B$46:$B$57</c:f>
              <c:strCache>
                <c:ptCount val="12"/>
                <c:pt idx="0">
                  <c:v>Janar</c:v>
                </c:pt>
                <c:pt idx="1">
                  <c:v>Shkurt</c:v>
                </c:pt>
                <c:pt idx="2">
                  <c:v>Mars</c:v>
                </c:pt>
                <c:pt idx="3">
                  <c:v>Prill</c:v>
                </c:pt>
                <c:pt idx="4">
                  <c:v>Maj</c:v>
                </c:pt>
                <c:pt idx="5">
                  <c:v>Qershor</c:v>
                </c:pt>
                <c:pt idx="6">
                  <c:v>Korrik</c:v>
                </c:pt>
                <c:pt idx="7">
                  <c:v>Gusht</c:v>
                </c:pt>
                <c:pt idx="8">
                  <c:v>Shtator</c:v>
                </c:pt>
                <c:pt idx="9">
                  <c:v>Tetor</c:v>
                </c:pt>
                <c:pt idx="10">
                  <c:v>Nentor</c:v>
                </c:pt>
                <c:pt idx="11">
                  <c:v>Dhjetor</c:v>
                </c:pt>
              </c:strCache>
            </c:strRef>
          </c:cat>
          <c:val>
            <c:numRef>
              <c:f>Sheet1!$C$46:$C$57</c:f>
              <c:numCache>
                <c:formatCode>_(* #,##0_);_(* \(#,##0\);_(* "-"??_);_(@_)</c:formatCode>
                <c:ptCount val="12"/>
                <c:pt idx="0">
                  <c:v>27087</c:v>
                </c:pt>
                <c:pt idx="1">
                  <c:v>20304</c:v>
                </c:pt>
                <c:pt idx="2">
                  <c:v>28015</c:v>
                </c:pt>
                <c:pt idx="3">
                  <c:v>24250</c:v>
                </c:pt>
                <c:pt idx="4">
                  <c:v>21269</c:v>
                </c:pt>
                <c:pt idx="5">
                  <c:v>21885</c:v>
                </c:pt>
                <c:pt idx="6">
                  <c:v>24084</c:v>
                </c:pt>
                <c:pt idx="7">
                  <c:v>24430</c:v>
                </c:pt>
                <c:pt idx="8">
                  <c:v>24172</c:v>
                </c:pt>
                <c:pt idx="9">
                  <c:v>24688</c:v>
                </c:pt>
                <c:pt idx="10">
                  <c:v>23812</c:v>
                </c:pt>
                <c:pt idx="11">
                  <c:v>22274</c:v>
                </c:pt>
              </c:numCache>
            </c:numRef>
          </c:val>
          <c:smooth val="0"/>
          <c:extLst>
            <c:ext xmlns:c16="http://schemas.microsoft.com/office/drawing/2014/chart" uri="{C3380CC4-5D6E-409C-BE32-E72D297353CC}">
              <c16:uniqueId val="{00000000-433B-414B-AF4D-383A54CA6F45}"/>
            </c:ext>
          </c:extLst>
        </c:ser>
        <c:ser>
          <c:idx val="1"/>
          <c:order val="1"/>
          <c:tx>
            <c:strRef>
              <c:f>Sheet1!$D$45</c:f>
              <c:strCache>
                <c:ptCount val="1"/>
                <c:pt idx="0">
                  <c:v>Realizim 2023</c:v>
                </c:pt>
              </c:strCache>
            </c:strRef>
          </c:tx>
          <c:spPr>
            <a:ln w="28575" cap="rnd">
              <a:solidFill>
                <a:schemeClr val="accent1">
                  <a:lumMod val="20000"/>
                  <a:lumOff val="80000"/>
                </a:schemeClr>
              </a:solidFill>
              <a:round/>
            </a:ln>
            <a:effectLst/>
          </c:spPr>
          <c:marker>
            <c:symbol val="none"/>
          </c:marker>
          <c:cat>
            <c:strRef>
              <c:f>Sheet1!$B$46:$B$57</c:f>
              <c:strCache>
                <c:ptCount val="12"/>
                <c:pt idx="0">
                  <c:v>Janar</c:v>
                </c:pt>
                <c:pt idx="1">
                  <c:v>Shkurt</c:v>
                </c:pt>
                <c:pt idx="2">
                  <c:v>Mars</c:v>
                </c:pt>
                <c:pt idx="3">
                  <c:v>Prill</c:v>
                </c:pt>
                <c:pt idx="4">
                  <c:v>Maj</c:v>
                </c:pt>
                <c:pt idx="5">
                  <c:v>Qershor</c:v>
                </c:pt>
                <c:pt idx="6">
                  <c:v>Korrik</c:v>
                </c:pt>
                <c:pt idx="7">
                  <c:v>Gusht</c:v>
                </c:pt>
                <c:pt idx="8">
                  <c:v>Shtator</c:v>
                </c:pt>
                <c:pt idx="9">
                  <c:v>Tetor</c:v>
                </c:pt>
                <c:pt idx="10">
                  <c:v>Nentor</c:v>
                </c:pt>
                <c:pt idx="11">
                  <c:v>Dhjetor</c:v>
                </c:pt>
              </c:strCache>
            </c:strRef>
          </c:cat>
          <c:val>
            <c:numRef>
              <c:f>Sheet1!$D$46:$D$57</c:f>
              <c:numCache>
                <c:formatCode>_(* #,##0_);_(* \(#,##0\);_(* "-"??_);_(@_)</c:formatCode>
                <c:ptCount val="12"/>
                <c:pt idx="0">
                  <c:v>30456.400000000001</c:v>
                </c:pt>
                <c:pt idx="1">
                  <c:v>21805.599999999999</c:v>
                </c:pt>
                <c:pt idx="2">
                  <c:v>36709</c:v>
                </c:pt>
                <c:pt idx="3">
                  <c:v>26512.899999999994</c:v>
                </c:pt>
                <c:pt idx="4">
                  <c:v>24584.910000000003</c:v>
                </c:pt>
              </c:numCache>
            </c:numRef>
          </c:val>
          <c:smooth val="0"/>
          <c:extLst>
            <c:ext xmlns:c16="http://schemas.microsoft.com/office/drawing/2014/chart" uri="{C3380CC4-5D6E-409C-BE32-E72D297353CC}">
              <c16:uniqueId val="{00000001-433B-414B-AF4D-383A54CA6F45}"/>
            </c:ext>
          </c:extLst>
        </c:ser>
        <c:ser>
          <c:idx val="2"/>
          <c:order val="2"/>
          <c:tx>
            <c:strRef>
              <c:f>Sheet1!$E$45</c:f>
              <c:strCache>
                <c:ptCount val="1"/>
                <c:pt idx="0">
                  <c:v>Plan 2023</c:v>
                </c:pt>
              </c:strCache>
            </c:strRef>
          </c:tx>
          <c:spPr>
            <a:ln w="28575" cap="rnd">
              <a:solidFill>
                <a:schemeClr val="accent3"/>
              </a:solidFill>
              <a:round/>
            </a:ln>
            <a:effectLst/>
          </c:spPr>
          <c:marker>
            <c:symbol val="none"/>
          </c:marker>
          <c:cat>
            <c:strRef>
              <c:f>Sheet1!$B$46:$B$57</c:f>
              <c:strCache>
                <c:ptCount val="12"/>
                <c:pt idx="0">
                  <c:v>Janar</c:v>
                </c:pt>
                <c:pt idx="1">
                  <c:v>Shkurt</c:v>
                </c:pt>
                <c:pt idx="2">
                  <c:v>Mars</c:v>
                </c:pt>
                <c:pt idx="3">
                  <c:v>Prill</c:v>
                </c:pt>
                <c:pt idx="4">
                  <c:v>Maj</c:v>
                </c:pt>
                <c:pt idx="5">
                  <c:v>Qershor</c:v>
                </c:pt>
                <c:pt idx="6">
                  <c:v>Korrik</c:v>
                </c:pt>
                <c:pt idx="7">
                  <c:v>Gusht</c:v>
                </c:pt>
                <c:pt idx="8">
                  <c:v>Shtator</c:v>
                </c:pt>
                <c:pt idx="9">
                  <c:v>Tetor</c:v>
                </c:pt>
                <c:pt idx="10">
                  <c:v>Nentor</c:v>
                </c:pt>
                <c:pt idx="11">
                  <c:v>Dhjetor</c:v>
                </c:pt>
              </c:strCache>
            </c:strRef>
          </c:cat>
          <c:val>
            <c:numRef>
              <c:f>Sheet1!$E$46:$E$57</c:f>
              <c:numCache>
                <c:formatCode>_(* #,##0_);_(* \(#,##0\);_(* "-"??_);_(@_)</c:formatCode>
                <c:ptCount val="12"/>
                <c:pt idx="0">
                  <c:v>30296</c:v>
                </c:pt>
                <c:pt idx="1">
                  <c:v>20759</c:v>
                </c:pt>
                <c:pt idx="2">
                  <c:v>33150</c:v>
                </c:pt>
                <c:pt idx="3">
                  <c:v>24906</c:v>
                </c:pt>
                <c:pt idx="4">
                  <c:v>21424</c:v>
                </c:pt>
                <c:pt idx="5">
                  <c:v>22553</c:v>
                </c:pt>
                <c:pt idx="6">
                  <c:v>25259</c:v>
                </c:pt>
                <c:pt idx="7">
                  <c:v>25632</c:v>
                </c:pt>
                <c:pt idx="8">
                  <c:v>26423</c:v>
                </c:pt>
                <c:pt idx="9">
                  <c:v>25372.999999999942</c:v>
                </c:pt>
                <c:pt idx="10">
                  <c:v>30376</c:v>
                </c:pt>
                <c:pt idx="11">
                  <c:v>29129</c:v>
                </c:pt>
              </c:numCache>
            </c:numRef>
          </c:val>
          <c:smooth val="0"/>
          <c:extLst>
            <c:ext xmlns:c16="http://schemas.microsoft.com/office/drawing/2014/chart" uri="{C3380CC4-5D6E-409C-BE32-E72D297353CC}">
              <c16:uniqueId val="{00000002-433B-414B-AF4D-383A54CA6F45}"/>
            </c:ext>
          </c:extLst>
        </c:ser>
        <c:dLbls>
          <c:showLegendKey val="0"/>
          <c:showVal val="0"/>
          <c:showCatName val="0"/>
          <c:showSerName val="0"/>
          <c:showPercent val="0"/>
          <c:showBubbleSize val="0"/>
        </c:dLbls>
        <c:smooth val="0"/>
        <c:axId val="1290924512"/>
        <c:axId val="1290928864"/>
      </c:lineChart>
      <c:catAx>
        <c:axId val="1290924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90928864"/>
        <c:crosses val="autoZero"/>
        <c:auto val="1"/>
        <c:lblAlgn val="ctr"/>
        <c:lblOffset val="100"/>
        <c:noMultiLvlLbl val="0"/>
      </c:catAx>
      <c:valAx>
        <c:axId val="1290928864"/>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1290924512"/>
        <c:crosses val="autoZero"/>
        <c:crossBetween val="between"/>
      </c:valAx>
      <c:spPr>
        <a:solidFill>
          <a:schemeClr val="bg1"/>
        </a:solidFill>
        <a:ln>
          <a:noFill/>
        </a:ln>
        <a:effectLst/>
      </c:spPr>
    </c:plotArea>
    <c:legend>
      <c:legendPos val="b"/>
      <c:layout>
        <c:manualLayout>
          <c:xMode val="edge"/>
          <c:yMode val="edge"/>
          <c:x val="0.12562196889567909"/>
          <c:y val="0.60496037564471727"/>
          <c:w val="0.83631825126336823"/>
          <c:h val="0.1073992928045671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1">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'[Chart in Microsoft Word]Sheet3'!$F$4</c:f>
              <c:strCache>
                <c:ptCount val="1"/>
                <c:pt idx="0">
                  <c:v>Rimbursim Fakt</c:v>
                </c:pt>
              </c:strCache>
            </c:strRef>
          </c:tx>
          <c:spPr>
            <a:solidFill>
              <a:srgbClr val="00B0F0"/>
            </a:solidFill>
            <a:ln>
              <a:solidFill>
                <a:srgbClr val="00B0F0"/>
              </a:solidFill>
            </a:ln>
            <a:effectLst/>
          </c:spPr>
          <c:invertIfNegative val="0"/>
          <c:dLbls>
            <c:dLbl>
              <c:idx val="0"/>
              <c:layout>
                <c:manualLayout>
                  <c:x val="0"/>
                  <c:y val="2.77777777777777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A6C-4660-A403-DC75E5DCBAE8}"/>
                </c:ext>
              </c:extLst>
            </c:dLbl>
            <c:dLbl>
              <c:idx val="1"/>
              <c:layout>
                <c:manualLayout>
                  <c:x val="-3.8329754437693475E-17"/>
                  <c:y val="3.00924103237095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A6C-4660-A403-DC75E5DCBAE8}"/>
                </c:ext>
              </c:extLst>
            </c:dLbl>
            <c:dLbl>
              <c:idx val="2"/>
              <c:layout>
                <c:manualLayout>
                  <c:x val="0"/>
                  <c:y val="3.00924103237094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A6C-4660-A403-DC75E5DCBAE8}"/>
                </c:ext>
              </c:extLst>
            </c:dLbl>
            <c:dLbl>
              <c:idx val="3"/>
              <c:layout>
                <c:manualLayout>
                  <c:x val="-7.6659508875386951E-17"/>
                  <c:y val="3.93520341207349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A6C-4660-A403-DC75E5DCBAE8}"/>
                </c:ext>
              </c:extLst>
            </c:dLbl>
            <c:dLbl>
              <c:idx val="4"/>
              <c:layout>
                <c:manualLayout>
                  <c:x val="-2.0907380305247754E-3"/>
                  <c:y val="3.93520341207348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A6C-4660-A403-DC75E5DCBAE8}"/>
                </c:ext>
              </c:extLst>
            </c:dLbl>
            <c:dLbl>
              <c:idx val="5"/>
              <c:layout>
                <c:manualLayout>
                  <c:x val="-2.0907380305248517E-3"/>
                  <c:y val="0.115740740740740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A6C-4660-A403-DC75E5DCBAE8}"/>
                </c:ext>
              </c:extLst>
            </c:dLbl>
            <c:dLbl>
              <c:idx val="6"/>
              <c:layout>
                <c:manualLayout>
                  <c:x val="-2.0907380305247754E-3"/>
                  <c:y val="7.8703703703703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A6C-4660-A403-DC75E5DCBAE8}"/>
                </c:ext>
              </c:extLst>
            </c:dLbl>
            <c:dLbl>
              <c:idx val="7"/>
              <c:layout>
                <c:manualLayout>
                  <c:x val="0"/>
                  <c:y val="0.2407407407407407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A6C-4660-A403-DC75E5DCBAE8}"/>
                </c:ext>
              </c:extLst>
            </c:dLbl>
            <c:dLbl>
              <c:idx val="8"/>
              <c:layout>
                <c:manualLayout>
                  <c:x val="-1.533190177507739E-16"/>
                  <c:y val="3.93520341207349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A6C-4660-A403-DC75E5DCBAE8}"/>
                </c:ext>
              </c:extLst>
            </c:dLbl>
            <c:dLbl>
              <c:idx val="9"/>
              <c:layout>
                <c:manualLayout>
                  <c:x val="0"/>
                  <c:y val="3.70368547681539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A6C-4660-A403-DC75E5DCBAE8}"/>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Word]Sheet3'!$C$5:$C$14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'[Chart in Microsoft Word]Sheet3'!$F$5:$F$14</c:f>
              <c:numCache>
                <c:formatCode>#,##0</c:formatCode>
                <c:ptCount val="10"/>
                <c:pt idx="0">
                  <c:v>2212</c:v>
                </c:pt>
                <c:pt idx="1">
                  <c:v>2870</c:v>
                </c:pt>
                <c:pt idx="2">
                  <c:v>3004</c:v>
                </c:pt>
                <c:pt idx="3">
                  <c:v>4882</c:v>
                </c:pt>
                <c:pt idx="4">
                  <c:v>5454.48</c:v>
                </c:pt>
                <c:pt idx="5">
                  <c:v>6953.7341580000002</c:v>
                </c:pt>
                <c:pt idx="6">
                  <c:v>5921</c:v>
                </c:pt>
                <c:pt idx="7">
                  <c:v>12349.180793</c:v>
                </c:pt>
                <c:pt idx="8">
                  <c:v>5580</c:v>
                </c:pt>
                <c:pt idx="9" formatCode="General">
                  <c:v>7564</c:v>
                </c:pt>
              </c:numCache>
            </c:numRef>
          </c:val>
          <c:extLst>
            <c:ext xmlns:c16="http://schemas.microsoft.com/office/drawing/2014/chart" uri="{C3380CC4-5D6E-409C-BE32-E72D297353CC}">
              <c16:uniqueId val="{0000000A-EA6C-4660-A403-DC75E5DCBAE8}"/>
            </c:ext>
          </c:extLst>
        </c:ser>
        <c:dLbls>
          <c:showLegendKey val="0"/>
          <c:showVal val="0"/>
          <c:showCatName val="0"/>
          <c:showSerName val="0"/>
          <c:showPercent val="0"/>
          <c:showBubbleSize val="0"/>
        </c:dLbls>
        <c:gapWidth val="150"/>
        <c:axId val="185892768"/>
        <c:axId val="185893328"/>
      </c:barChart>
      <c:lineChart>
        <c:grouping val="standard"/>
        <c:varyColors val="0"/>
        <c:ser>
          <c:idx val="0"/>
          <c:order val="0"/>
          <c:tx>
            <c:strRef>
              <c:f>'[Chart in Microsoft Word]Sheet3'!$D$4</c:f>
              <c:strCache>
                <c:ptCount val="1"/>
                <c:pt idx="0">
                  <c:v>Fakt Tvsh Bruto</c:v>
                </c:pt>
              </c:strCache>
            </c:strRef>
          </c:tx>
          <c:spPr>
            <a:ln w="28575" cap="rnd">
              <a:solidFill>
                <a:srgbClr val="FF0000"/>
              </a:solidFill>
              <a:round/>
            </a:ln>
            <a:effectLst/>
          </c:spPr>
          <c:marker>
            <c:symbol val="none"/>
          </c:marker>
          <c:dLbls>
            <c:dLbl>
              <c:idx val="9"/>
              <c:layout>
                <c:manualLayout>
                  <c:x val="-3.8125348799307256E-2"/>
                  <c:y val="-5.47397200349956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A6C-4660-A403-DC75E5DCBAE8}"/>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Word]Sheet3'!$C$5:$C$14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'[Chart in Microsoft Word]Sheet3'!$D$5:$D$14</c:f>
              <c:numCache>
                <c:formatCode>#,##0</c:formatCode>
                <c:ptCount val="10"/>
                <c:pt idx="0">
                  <c:v>14389</c:v>
                </c:pt>
                <c:pt idx="1">
                  <c:v>14738</c:v>
                </c:pt>
                <c:pt idx="2">
                  <c:v>17290</c:v>
                </c:pt>
                <c:pt idx="3">
                  <c:v>19602</c:v>
                </c:pt>
                <c:pt idx="4">
                  <c:v>19841.72</c:v>
                </c:pt>
                <c:pt idx="5">
                  <c:v>19671.734157999999</c:v>
                </c:pt>
                <c:pt idx="6">
                  <c:v>17765</c:v>
                </c:pt>
                <c:pt idx="7">
                  <c:v>21799.180793</c:v>
                </c:pt>
                <c:pt idx="8">
                  <c:v>22224</c:v>
                </c:pt>
                <c:pt idx="9">
                  <c:v>26211.45</c:v>
                </c:pt>
              </c:numCache>
            </c:numRef>
          </c:val>
          <c:smooth val="0"/>
          <c:extLst>
            <c:ext xmlns:c16="http://schemas.microsoft.com/office/drawing/2014/chart" uri="{C3380CC4-5D6E-409C-BE32-E72D297353CC}">
              <c16:uniqueId val="{0000000C-EA6C-4660-A403-DC75E5DCBAE8}"/>
            </c:ext>
          </c:extLst>
        </c:ser>
        <c:ser>
          <c:idx val="1"/>
          <c:order val="1"/>
          <c:tx>
            <c:strRef>
              <c:f>'[Chart in Microsoft Word]Sheet3'!$E$4</c:f>
              <c:strCache>
                <c:ptCount val="1"/>
                <c:pt idx="0">
                  <c:v>Fakt Tvsh Neto</c:v>
                </c:pt>
              </c:strCache>
            </c:strRef>
          </c:tx>
          <c:spPr>
            <a:ln w="28575" cap="rnd">
              <a:solidFill>
                <a:schemeClr val="tx2">
                  <a:lumMod val="75000"/>
                </a:schemeClr>
              </a:solidFill>
              <a:round/>
            </a:ln>
            <a:effectLst/>
          </c:spPr>
          <c:marker>
            <c:symbol val="none"/>
          </c:marker>
          <c:dLbls>
            <c:dLbl>
              <c:idx val="0"/>
              <c:layout>
                <c:manualLayout>
                  <c:x val="-5.9868365816597824E-2"/>
                  <c:y val="3.3906386701662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A6C-4660-A403-DC75E5DCBAE8}"/>
                </c:ext>
              </c:extLst>
            </c:dLbl>
            <c:dLbl>
              <c:idx val="1"/>
              <c:layout>
                <c:manualLayout>
                  <c:x val="-3.8960985511350077E-2"/>
                  <c:y val="4.08508311461066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A6C-4660-A403-DC75E5DCBAE8}"/>
                </c:ext>
              </c:extLst>
            </c:dLbl>
            <c:dLbl>
              <c:idx val="2"/>
              <c:layout>
                <c:manualLayout>
                  <c:x val="-4.1051723541874849E-2"/>
                  <c:y val="4.7795275590551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A6C-4660-A403-DC75E5DCBAE8}"/>
                </c:ext>
              </c:extLst>
            </c:dLbl>
            <c:dLbl>
              <c:idx val="3"/>
              <c:layout>
                <c:manualLayout>
                  <c:x val="-3.8960985511350077E-2"/>
                  <c:y val="4.77952755905511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A6C-4660-A403-DC75E5DCBAE8}"/>
                </c:ext>
              </c:extLst>
            </c:dLbl>
            <c:dLbl>
              <c:idx val="4"/>
              <c:layout>
                <c:manualLayout>
                  <c:x val="-4.1051723541874849E-2"/>
                  <c:y val="4.08508311461067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A6C-4660-A403-DC75E5DCBAE8}"/>
                </c:ext>
              </c:extLst>
            </c:dLbl>
            <c:dLbl>
              <c:idx val="5"/>
              <c:layout>
                <c:manualLayout>
                  <c:x val="-4.1051723541874849E-2"/>
                  <c:y val="4.08508311461067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A6C-4660-A403-DC75E5DCBAE8}"/>
                </c:ext>
              </c:extLst>
            </c:dLbl>
            <c:dLbl>
              <c:idx val="6"/>
              <c:layout>
                <c:manualLayout>
                  <c:x val="-4.1051723541874849E-2"/>
                  <c:y val="3.39063867016622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A6C-4660-A403-DC75E5DCBAE8}"/>
                </c:ext>
              </c:extLst>
            </c:dLbl>
            <c:dLbl>
              <c:idx val="7"/>
              <c:layout>
                <c:manualLayout>
                  <c:x val="-3.4722055310721534E-2"/>
                  <c:y val="-4.22105570137066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A6C-4660-A403-DC75E5DCBAE8}"/>
                </c:ext>
              </c:extLst>
            </c:dLbl>
            <c:dLbl>
              <c:idx val="8"/>
              <c:layout>
                <c:manualLayout>
                  <c:x val="-3.6870247480825298E-2"/>
                  <c:y val="5.47397200349955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A6C-4660-A403-DC75E5DCBAE8}"/>
                </c:ext>
              </c:extLst>
            </c:dLbl>
            <c:dLbl>
              <c:idx val="9"/>
              <c:layout>
                <c:manualLayout>
                  <c:x val="-2.3688720386012798E-2"/>
                  <c:y val="4.77952755905511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A6C-4660-A403-DC75E5DCBAE8}"/>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Word]Sheet3'!$C$5:$C$14</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'[Chart in Microsoft Word]Sheet3'!$E$5:$E$14</c:f>
              <c:numCache>
                <c:formatCode>#,##0</c:formatCode>
                <c:ptCount val="10"/>
                <c:pt idx="0">
                  <c:v>12177</c:v>
                </c:pt>
                <c:pt idx="1">
                  <c:v>11868</c:v>
                </c:pt>
                <c:pt idx="2">
                  <c:v>14286</c:v>
                </c:pt>
                <c:pt idx="3">
                  <c:v>14720</c:v>
                </c:pt>
                <c:pt idx="4">
                  <c:v>14387.240000000002</c:v>
                </c:pt>
                <c:pt idx="5">
                  <c:v>12718</c:v>
                </c:pt>
                <c:pt idx="6">
                  <c:v>11844</c:v>
                </c:pt>
                <c:pt idx="7">
                  <c:v>9450</c:v>
                </c:pt>
                <c:pt idx="8">
                  <c:v>16644</c:v>
                </c:pt>
                <c:pt idx="9" formatCode="_(* #,##0_);_(* \(#,##0\);_(* &quot;-&quot;??_);_(@_)">
                  <c:v>18647.45</c:v>
                </c:pt>
              </c:numCache>
            </c:numRef>
          </c:val>
          <c:smooth val="0"/>
          <c:extLst>
            <c:ext xmlns:c16="http://schemas.microsoft.com/office/drawing/2014/chart" uri="{C3380CC4-5D6E-409C-BE32-E72D297353CC}">
              <c16:uniqueId val="{00000017-EA6C-4660-A403-DC75E5DCBAE8}"/>
            </c:ext>
          </c:extLst>
        </c:ser>
        <c:dLbls>
          <c:showLegendKey val="0"/>
          <c:showVal val="0"/>
          <c:showCatName val="0"/>
          <c:showSerName val="0"/>
          <c:showPercent val="0"/>
          <c:showBubbleSize val="0"/>
        </c:dLbls>
        <c:marker val="1"/>
        <c:smooth val="0"/>
        <c:axId val="185892768"/>
        <c:axId val="185893328"/>
      </c:lineChart>
      <c:catAx>
        <c:axId val="18589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893328"/>
        <c:crosses val="autoZero"/>
        <c:auto val="1"/>
        <c:lblAlgn val="ctr"/>
        <c:lblOffset val="100"/>
        <c:noMultiLvlLbl val="0"/>
      </c:catAx>
      <c:valAx>
        <c:axId val="185893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892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lumMod val="40000"/>
          <a:lumOff val="60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56634494615041E-2"/>
          <c:y val="9.6491228070175433E-2"/>
          <c:w val="0.89211621997170865"/>
          <c:h val="0.55198784362481002"/>
        </c:manualLayout>
      </c:layout>
      <c:barChart>
        <c:barDir val="col"/>
        <c:grouping val="clustered"/>
        <c:varyColors val="0"/>
        <c:ser>
          <c:idx val="1"/>
          <c:order val="1"/>
          <c:tx>
            <c:strRef>
              <c:f>Sheet3!$F$22</c:f>
              <c:strCache>
                <c:ptCount val="1"/>
                <c:pt idx="0">
                  <c:v>Plan</c:v>
                </c:pt>
              </c:strCache>
            </c:strRef>
          </c:tx>
          <c:spPr>
            <a:solidFill>
              <a:srgbClr val="00B0F0"/>
            </a:solidFill>
            <a:ln cap="sq" cmpd="tri">
              <a:solidFill>
                <a:srgbClr val="00B0F0">
                  <a:alpha val="0"/>
                </a:srgbClr>
              </a:solidFill>
            </a:ln>
            <a:effectLst/>
          </c:spPr>
          <c:invertIfNegative val="0"/>
          <c:dLbls>
            <c:dLbl>
              <c:idx val="0"/>
              <c:layout>
                <c:manualLayout>
                  <c:x val="-1.9430971433544026E-17"/>
                  <c:y val="0.120702530990501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75-4E7B-AC7A-C4CBEBC0D940}"/>
                </c:ext>
              </c:extLst>
            </c:dLbl>
            <c:dLbl>
              <c:idx val="1"/>
              <c:layout>
                <c:manualLayout>
                  <c:x val="0"/>
                  <c:y val="0.1294801456269579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75-4E7B-AC7A-C4CBEBC0D940}"/>
                </c:ext>
              </c:extLst>
            </c:dLbl>
            <c:dLbl>
              <c:idx val="2"/>
              <c:layout>
                <c:manualLayout>
                  <c:x val="0"/>
                  <c:y val="0.147578216019256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E75-4E7B-AC7A-C4CBEBC0D940}"/>
                </c:ext>
              </c:extLst>
            </c:dLbl>
            <c:dLbl>
              <c:idx val="3"/>
              <c:layout>
                <c:manualLayout>
                  <c:x val="0"/>
                  <c:y val="0.1405927140806085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E75-4E7B-AC7A-C4CBEBC0D940}"/>
                </c:ext>
              </c:extLst>
            </c:dLbl>
            <c:dLbl>
              <c:idx val="4"/>
              <c:layout>
                <c:manualLayout>
                  <c:x val="-2.2948562272323272E-3"/>
                  <c:y val="0.221482501744915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E75-4E7B-AC7A-C4CBEBC0D940}"/>
                </c:ext>
              </c:extLst>
            </c:dLbl>
            <c:dLbl>
              <c:idx val="5"/>
              <c:layout>
                <c:manualLayout>
                  <c:x val="0"/>
                  <c:y val="0.2058899867041392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E75-4E7B-AC7A-C4CBEBC0D940}"/>
                </c:ext>
              </c:extLst>
            </c:dLbl>
            <c:dLbl>
              <c:idx val="6"/>
              <c:layout>
                <c:manualLayout>
                  <c:x val="0"/>
                  <c:y val="0.12163987590529944"/>
                </c:manualLayout>
              </c:layout>
              <c:spPr>
                <a:noFill/>
                <a:ln>
                  <a:noFill/>
                </a:ln>
                <a:effectLst>
                  <a:glow rad="228600">
                    <a:srgbClr val="4F81BD">
                      <a:satMod val="175000"/>
                      <a:alpha val="40000"/>
                    </a:srgbClr>
                  </a:glo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E75-4E7B-AC7A-C4CBEBC0D940}"/>
                </c:ext>
              </c:extLst>
            </c:dLbl>
            <c:dLbl>
              <c:idx val="7"/>
              <c:layout>
                <c:manualLayout>
                  <c:x val="-5.2543511552327463E-4"/>
                  <c:y val="0.1864817453935547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E75-4E7B-AC7A-C4CBEBC0D940}"/>
                </c:ext>
              </c:extLst>
            </c:dLbl>
            <c:dLbl>
              <c:idx val="8"/>
              <c:layout>
                <c:manualLayout>
                  <c:x val="3.5735596643424341E-4"/>
                  <c:y val="0.298493931938993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E75-4E7B-AC7A-C4CBEBC0D940}"/>
                </c:ext>
              </c:extLst>
            </c:dLbl>
            <c:dLbl>
              <c:idx val="9"/>
              <c:layout>
                <c:manualLayout>
                  <c:x val="2.1197668256491787E-3"/>
                  <c:y val="0.316166015142950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E75-4E7B-AC7A-C4CBEBC0D940}"/>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Sheet3!$D$23:$D$32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Sheet3!$F$23:$F$32</c:f>
              <c:numCache>
                <c:formatCode>#,##0</c:formatCode>
                <c:ptCount val="10"/>
                <c:pt idx="0">
                  <c:v>10000</c:v>
                </c:pt>
                <c:pt idx="1">
                  <c:v>10568</c:v>
                </c:pt>
                <c:pt idx="2">
                  <c:v>11550</c:v>
                </c:pt>
                <c:pt idx="3">
                  <c:v>11702</c:v>
                </c:pt>
                <c:pt idx="4">
                  <c:v>16650</c:v>
                </c:pt>
                <c:pt idx="5">
                  <c:v>15744.971812272484</c:v>
                </c:pt>
                <c:pt idx="6">
                  <c:v>11443</c:v>
                </c:pt>
                <c:pt idx="7">
                  <c:v>15134</c:v>
                </c:pt>
                <c:pt idx="8">
                  <c:v>20765</c:v>
                </c:pt>
                <c:pt idx="9">
                  <c:v>22044</c:v>
                </c:pt>
              </c:numCache>
            </c:numRef>
          </c:val>
          <c:extLst>
            <c:ext xmlns:c16="http://schemas.microsoft.com/office/drawing/2014/chart" uri="{C3380CC4-5D6E-409C-BE32-E72D297353CC}">
              <c16:uniqueId val="{0000000A-0E75-4E7B-AC7A-C4CBEBC0D940}"/>
            </c:ext>
          </c:extLst>
        </c:ser>
        <c:dLbls>
          <c:showLegendKey val="0"/>
          <c:showVal val="0"/>
          <c:showCatName val="0"/>
          <c:showSerName val="0"/>
          <c:showPercent val="0"/>
          <c:showBubbleSize val="0"/>
        </c:dLbls>
        <c:gapWidth val="150"/>
        <c:axId val="1290920704"/>
        <c:axId val="1290948992"/>
      </c:barChart>
      <c:lineChart>
        <c:grouping val="standard"/>
        <c:varyColors val="0"/>
        <c:ser>
          <c:idx val="0"/>
          <c:order val="0"/>
          <c:tx>
            <c:strRef>
              <c:f>Sheet3!$E$22</c:f>
              <c:strCache>
                <c:ptCount val="1"/>
                <c:pt idx="0">
                  <c:v>Fakt</c:v>
                </c:pt>
              </c:strCache>
            </c:strRef>
          </c:tx>
          <c:spPr>
            <a:ln w="28575" cap="rnd">
              <a:solidFill>
                <a:srgbClr val="FF0000"/>
              </a:solidFill>
              <a:round/>
            </a:ln>
            <a:effectLst/>
          </c:spPr>
          <c:marker>
            <c:symbol val="none"/>
          </c:marker>
          <c:dLbls>
            <c:dLbl>
              <c:idx val="1"/>
              <c:layout>
                <c:manualLayout>
                  <c:x val="-3.7398027949209052E-2"/>
                  <c:y val="-7.40055880111760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E75-4E7B-AC7A-C4CBEBC0D940}"/>
                </c:ext>
              </c:extLst>
            </c:dLbl>
            <c:dLbl>
              <c:idx val="2"/>
              <c:layout>
                <c:manualLayout>
                  <c:x val="-3.8422359367241254E-2"/>
                  <c:y val="-6.5750571501142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0E75-4E7B-AC7A-C4CBEBC0D940}"/>
                </c:ext>
              </c:extLst>
            </c:dLbl>
            <c:dLbl>
              <c:idx val="3"/>
              <c:layout>
                <c:manualLayout>
                  <c:x val="-4.1695813460519343E-2"/>
                  <c:y val="-8.4758276183219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E75-4E7B-AC7A-C4CBEBC0D940}"/>
                </c:ext>
              </c:extLst>
            </c:dLbl>
            <c:dLbl>
              <c:idx val="4"/>
              <c:layout>
                <c:manualLayout>
                  <c:x val="-4.3815580286168519E-2"/>
                  <c:y val="-7.40055880111760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0E75-4E7B-AC7A-C4CBEBC0D940}"/>
                </c:ext>
              </c:extLst>
            </c:dLbl>
            <c:dLbl>
              <c:idx val="5"/>
              <c:layout>
                <c:manualLayout>
                  <c:x val="-4.1695813460519343E-2"/>
                  <c:y val="-6.32528998391330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E75-4E7B-AC7A-C4CBEBC0D940}"/>
                </c:ext>
              </c:extLst>
            </c:dLbl>
            <c:dLbl>
              <c:idx val="6"/>
              <c:layout>
                <c:manualLayout>
                  <c:x val="-4.1359769787812667E-2"/>
                  <c:y val="-8.09838874307378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0E75-4E7B-AC7A-C4CBEBC0D940}"/>
                </c:ext>
              </c:extLst>
            </c:dLbl>
            <c:dLbl>
              <c:idx val="8"/>
              <c:layout>
                <c:manualLayout>
                  <c:x val="-4.4689692007895035E-2"/>
                  <c:y val="-0.1156608246549826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E75-4E7B-AC7A-C4CBEBC0D940}"/>
                </c:ext>
              </c:extLst>
            </c:dLbl>
            <c:dLbl>
              <c:idx val="9"/>
              <c:layout>
                <c:manualLayout>
                  <c:x val="-3.289928186639627E-2"/>
                  <c:y val="-5.822030310727290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0E75-4E7B-AC7A-C4CBEBC0D940}"/>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Sheet3!$D$23:$D$32</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Sheet3!$E$23:$E$32</c:f>
              <c:numCache>
                <c:formatCode>#,##0</c:formatCode>
                <c:ptCount val="10"/>
                <c:pt idx="0">
                  <c:v>9477</c:v>
                </c:pt>
                <c:pt idx="1">
                  <c:v>11736</c:v>
                </c:pt>
                <c:pt idx="2">
                  <c:v>14551</c:v>
                </c:pt>
                <c:pt idx="3">
                  <c:v>15326</c:v>
                </c:pt>
                <c:pt idx="4">
                  <c:v>15588.49</c:v>
                </c:pt>
                <c:pt idx="5">
                  <c:v>17696</c:v>
                </c:pt>
                <c:pt idx="6">
                  <c:v>11443</c:v>
                </c:pt>
                <c:pt idx="7">
                  <c:v>15134</c:v>
                </c:pt>
                <c:pt idx="8">
                  <c:v>20765</c:v>
                </c:pt>
                <c:pt idx="9">
                  <c:v>29261.78</c:v>
                </c:pt>
              </c:numCache>
            </c:numRef>
          </c:val>
          <c:smooth val="0"/>
          <c:extLst>
            <c:ext xmlns:c16="http://schemas.microsoft.com/office/drawing/2014/chart" uri="{C3380CC4-5D6E-409C-BE32-E72D297353CC}">
              <c16:uniqueId val="{00000013-0E75-4E7B-AC7A-C4CBEBC0D940}"/>
            </c:ext>
          </c:extLst>
        </c:ser>
        <c:dLbls>
          <c:showLegendKey val="0"/>
          <c:showVal val="0"/>
          <c:showCatName val="0"/>
          <c:showSerName val="0"/>
          <c:showPercent val="0"/>
          <c:showBubbleSize val="0"/>
        </c:dLbls>
        <c:marker val="1"/>
        <c:smooth val="0"/>
        <c:axId val="1290920704"/>
        <c:axId val="1290948992"/>
      </c:lineChart>
      <c:catAx>
        <c:axId val="1290920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948992"/>
        <c:crosses val="autoZero"/>
        <c:auto val="1"/>
        <c:lblAlgn val="ctr"/>
        <c:lblOffset val="100"/>
        <c:noMultiLvlLbl val="0"/>
      </c:catAx>
      <c:valAx>
        <c:axId val="1290948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920704"/>
        <c:crosses val="autoZero"/>
        <c:crossBetween val="between"/>
      </c:valAx>
      <c:spPr>
        <a:noFill/>
        <a:ln>
          <a:noFill/>
        </a:ln>
        <a:effectLst/>
      </c:spPr>
    </c:plotArea>
    <c:legend>
      <c:legendPos val="b"/>
      <c:layout>
        <c:manualLayout>
          <c:xMode val="edge"/>
          <c:yMode val="edge"/>
          <c:x val="0.3970151346344028"/>
          <c:y val="0.85197264815582263"/>
          <c:w val="0.20173003016912233"/>
          <c:h val="0.1480273518441773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9858957218700006E-2"/>
          <c:y val="8.6464915197871639E-2"/>
          <c:w val="0.89338185141228355"/>
          <c:h val="0.54332529243093164"/>
        </c:manualLayout>
      </c:layout>
      <c:barChart>
        <c:barDir val="col"/>
        <c:grouping val="clustered"/>
        <c:varyColors val="0"/>
        <c:ser>
          <c:idx val="1"/>
          <c:order val="1"/>
          <c:tx>
            <c:strRef>
              <c:f>Sheet3!$E$38</c:f>
              <c:strCache>
                <c:ptCount val="1"/>
                <c:pt idx="0">
                  <c:v>Plan</c:v>
                </c:pt>
              </c:strCache>
            </c:strRef>
          </c:tx>
          <c:spPr>
            <a:solidFill>
              <a:srgbClr val="00B0F0"/>
            </a:solidFill>
            <a:ln>
              <a:solidFill>
                <a:schemeClr val="accent1">
                  <a:lumMod val="20000"/>
                  <a:lumOff val="8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Sheet3!$C$39:$C$48</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Sheet3!$E$39:$E$48</c:f>
              <c:numCache>
                <c:formatCode>#,##0</c:formatCode>
                <c:ptCount val="10"/>
                <c:pt idx="0">
                  <c:v>11200</c:v>
                </c:pt>
                <c:pt idx="1">
                  <c:v>14455</c:v>
                </c:pt>
                <c:pt idx="2">
                  <c:v>13255</c:v>
                </c:pt>
                <c:pt idx="3">
                  <c:v>14141</c:v>
                </c:pt>
                <c:pt idx="4">
                  <c:v>15300</c:v>
                </c:pt>
                <c:pt idx="5">
                  <c:v>16596.890919256079</c:v>
                </c:pt>
                <c:pt idx="6">
                  <c:v>13544</c:v>
                </c:pt>
                <c:pt idx="7">
                  <c:v>16181.041693650412</c:v>
                </c:pt>
                <c:pt idx="8">
                  <c:v>18265</c:v>
                </c:pt>
                <c:pt idx="9" formatCode="_(* #,##0_);_(* \(#,##0\);_(* &quot;-&quot;??_);_(@_)">
                  <c:v>20217</c:v>
                </c:pt>
              </c:numCache>
            </c:numRef>
          </c:val>
          <c:extLst>
            <c:ext xmlns:c16="http://schemas.microsoft.com/office/drawing/2014/chart" uri="{C3380CC4-5D6E-409C-BE32-E72D297353CC}">
              <c16:uniqueId val="{00000000-9F41-44B2-B1D6-F6BB531A4D5C}"/>
            </c:ext>
          </c:extLst>
        </c:ser>
        <c:dLbls>
          <c:showLegendKey val="0"/>
          <c:showVal val="0"/>
          <c:showCatName val="0"/>
          <c:showSerName val="0"/>
          <c:showPercent val="0"/>
          <c:showBubbleSize val="0"/>
        </c:dLbls>
        <c:gapWidth val="150"/>
        <c:axId val="1290921248"/>
        <c:axId val="1290940288"/>
      </c:barChart>
      <c:lineChart>
        <c:grouping val="standard"/>
        <c:varyColors val="0"/>
        <c:ser>
          <c:idx val="0"/>
          <c:order val="0"/>
          <c:tx>
            <c:strRef>
              <c:f>Sheet3!$D$38</c:f>
              <c:strCache>
                <c:ptCount val="1"/>
                <c:pt idx="0">
                  <c:v>Fakt</c:v>
                </c:pt>
              </c:strCache>
            </c:strRef>
          </c:tx>
          <c:spPr>
            <a:ln w="28575" cap="rnd">
              <a:solidFill>
                <a:srgbClr val="FF0000"/>
              </a:solidFill>
              <a:round/>
            </a:ln>
            <a:effectLst/>
          </c:spPr>
          <c:marker>
            <c:symbol val="none"/>
          </c:marker>
          <c:dLbls>
            <c:spPr>
              <a:noFill/>
              <a:ln>
                <a:noFill/>
              </a:ln>
              <a:effectLst/>
            </c:spPr>
            <c:txPr>
              <a:bodyPr rot="0" spcFirstLastPara="1" vertOverflow="ellipsis" horzOverflow="clip" vert="horz" wrap="square" lIns="0" tIns="0" rIns="91440" bIns="9144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Sheet3!$C$39:$C$48</c:f>
              <c:numCache>
                <c:formatCode>General</c:formatCode>
                <c:ptCount val="10"/>
                <c:pt idx="0">
                  <c:v>2014</c:v>
                </c:pt>
                <c:pt idx="1">
                  <c:v>2015</c:v>
                </c:pt>
                <c:pt idx="2">
                  <c:v>2016</c:v>
                </c:pt>
                <c:pt idx="3">
                  <c:v>2017</c:v>
                </c:pt>
                <c:pt idx="4">
                  <c:v>2018</c:v>
                </c:pt>
                <c:pt idx="5">
                  <c:v>2019</c:v>
                </c:pt>
                <c:pt idx="6">
                  <c:v>2020</c:v>
                </c:pt>
                <c:pt idx="7">
                  <c:v>2021</c:v>
                </c:pt>
                <c:pt idx="8">
                  <c:v>2022</c:v>
                </c:pt>
                <c:pt idx="9">
                  <c:v>2023</c:v>
                </c:pt>
              </c:numCache>
            </c:numRef>
          </c:cat>
          <c:val>
            <c:numRef>
              <c:f>Sheet3!$D$39:$D$48</c:f>
              <c:numCache>
                <c:formatCode>#,##0</c:formatCode>
                <c:ptCount val="10"/>
                <c:pt idx="0">
                  <c:v>10902</c:v>
                </c:pt>
                <c:pt idx="1">
                  <c:v>11252</c:v>
                </c:pt>
                <c:pt idx="2">
                  <c:v>13429</c:v>
                </c:pt>
                <c:pt idx="3">
                  <c:v>12914</c:v>
                </c:pt>
                <c:pt idx="4">
                  <c:v>14243.61</c:v>
                </c:pt>
                <c:pt idx="5">
                  <c:v>18440</c:v>
                </c:pt>
                <c:pt idx="6">
                  <c:v>13544</c:v>
                </c:pt>
                <c:pt idx="7">
                  <c:v>16004</c:v>
                </c:pt>
                <c:pt idx="8">
                  <c:v>18264</c:v>
                </c:pt>
                <c:pt idx="9" formatCode="_(* #,##0_);_(* \(#,##0\);_(* &quot;-&quot;??_);_(@_)">
                  <c:v>22800.33</c:v>
                </c:pt>
              </c:numCache>
            </c:numRef>
          </c:val>
          <c:smooth val="0"/>
          <c:extLst>
            <c:ext xmlns:c16="http://schemas.microsoft.com/office/drawing/2014/chart" uri="{C3380CC4-5D6E-409C-BE32-E72D297353CC}">
              <c16:uniqueId val="{00000001-9F41-44B2-B1D6-F6BB531A4D5C}"/>
            </c:ext>
          </c:extLst>
        </c:ser>
        <c:dLbls>
          <c:showLegendKey val="0"/>
          <c:showVal val="0"/>
          <c:showCatName val="0"/>
          <c:showSerName val="0"/>
          <c:showPercent val="0"/>
          <c:showBubbleSize val="0"/>
        </c:dLbls>
        <c:marker val="1"/>
        <c:smooth val="0"/>
        <c:axId val="1290921248"/>
        <c:axId val="1290940288"/>
      </c:lineChart>
      <c:catAx>
        <c:axId val="1290921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940288"/>
        <c:crosses val="autoZero"/>
        <c:auto val="1"/>
        <c:lblAlgn val="ctr"/>
        <c:lblOffset val="100"/>
        <c:noMultiLvlLbl val="0"/>
      </c:catAx>
      <c:valAx>
        <c:axId val="1290940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0921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lumMod val="60000"/>
          <a:lumOff val="40000"/>
        </a:schemeClr>
      </a:solidFill>
      <a:round/>
    </a:ln>
    <a:effectLst/>
  </c:spPr>
  <c:txPr>
    <a:bodyPr/>
    <a:lstStyle/>
    <a:p>
      <a:pPr>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4AB59-0A85-4917-9092-415483FBA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9658</TotalTime>
  <Pages>1</Pages>
  <Words>37571</Words>
  <Characters>214160</Characters>
  <Application>Microsoft Office Word</Application>
  <DocSecurity>0</DocSecurity>
  <Lines>1784</Lines>
  <Paragraphs>502</Paragraphs>
  <ScaleCrop>false</ScaleCrop>
  <HeadingPairs>
    <vt:vector size="2" baseType="variant">
      <vt:variant>
        <vt:lpstr>Title</vt:lpstr>
      </vt:variant>
      <vt:variant>
        <vt:i4>1</vt:i4>
      </vt:variant>
    </vt:vector>
  </HeadingPairs>
  <TitlesOfParts>
    <vt:vector size="1" baseType="lpstr">
      <vt:lpstr>Raporti i Mes-Vitit i Buxhetit</vt:lpstr>
    </vt:vector>
  </TitlesOfParts>
  <Company/>
  <LinksUpToDate>false</LinksUpToDate>
  <CharactersWithSpaces>251229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Raporti i Mes-Vitit i Buxhetit</dc:title>
  <dc:creator>Besjon Tanuzi</dc:creator>
  <cp:lastModifiedBy>Xhoana Agolli</cp:lastModifiedBy>
  <cp:revision>128</cp:revision>
  <cp:lastPrinted>2023-06-30T06:58:00Z</cp:lastPrinted>
  <dcterms:created xsi:type="dcterms:W3CDTF">2023-06-07T10:07:00Z</dcterms:created>
  <dcterms:modified xsi:type="dcterms:W3CDTF">2023-07-14T10:41:00Z</dcterms:modified>
</cp:coreProperties>
</file>