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charts/chart8.xml" ContentType="application/vnd.openxmlformats-officedocument.drawingml.chart+xml"/>
  <Override PartName="/word/theme/themeOverride4.xml" ContentType="application/vnd.openxmlformats-officedocument.themeOverride+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Override6.xml" ContentType="application/vnd.openxmlformats-officedocument.themeOverride+xml"/>
  <Override PartName="/word/charts/chart26.xml" ContentType="application/vnd.openxmlformats-officedocument.drawingml.chart+xml"/>
  <Override PartName="/word/theme/themeOverride7.xml" ContentType="application/vnd.openxmlformats-officedocument.themeOverride+xml"/>
  <Override PartName="/word/charts/chart27.xml" ContentType="application/vnd.openxmlformats-officedocument.drawingml.chart+xml"/>
  <Override PartName="/word/theme/themeOverride8.xml" ContentType="application/vnd.openxmlformats-officedocument.themeOverride+xml"/>
  <Override PartName="/word/charts/chart28.xml" ContentType="application/vnd.openxmlformats-officedocument.drawingml.chart+xml"/>
  <Override PartName="/word/theme/themeOverride9.xml" ContentType="application/vnd.openxmlformats-officedocument.themeOverride+xml"/>
  <Override PartName="/word/charts/chart29.xml" ContentType="application/vnd.openxmlformats-officedocument.drawingml.chart+xml"/>
  <Override PartName="/word/theme/themeOverride10.xml" ContentType="application/vnd.openxmlformats-officedocument.themeOverride+xml"/>
  <Override PartName="/word/charts/chart30.xml" ContentType="application/vnd.openxmlformats-officedocument.drawingml.chart+xml"/>
  <Override PartName="/word/theme/themeOverride11.xml" ContentType="application/vnd.openxmlformats-officedocument.themeOverride+xml"/>
  <Override PartName="/word/charts/chart31.xml" ContentType="application/vnd.openxmlformats-officedocument.drawingml.chart+xml"/>
  <Override PartName="/word/theme/themeOverride12.xml" ContentType="application/vnd.openxmlformats-officedocument.themeOverride+xml"/>
  <Override PartName="/word/charts/chart32.xml" ContentType="application/vnd.openxmlformats-officedocument.drawingml.chart+xml"/>
  <Override PartName="/word/theme/themeOverride13.xml" ContentType="application/vnd.openxmlformats-officedocument.themeOverride+xml"/>
  <Override PartName="/word/charts/chart33.xml" ContentType="application/vnd.openxmlformats-officedocument.drawingml.chart+xml"/>
  <Override PartName="/word/theme/themeOverride14.xml" ContentType="application/vnd.openxmlformats-officedocument.themeOverride+xml"/>
  <Override PartName="/word/charts/chart34.xml" ContentType="application/vnd.openxmlformats-officedocument.drawingml.chart+xml"/>
  <Override PartName="/word/theme/themeOverride15.xml" ContentType="application/vnd.openxmlformats-officedocument.themeOverride+xml"/>
  <Override PartName="/word/charts/chart35.xml" ContentType="application/vnd.openxmlformats-officedocument.drawingml.chart+xml"/>
  <Override PartName="/word/theme/themeOverride16.xml" ContentType="application/vnd.openxmlformats-officedocument.themeOverride+xml"/>
  <Override PartName="/word/charts/chart36.xml" ContentType="application/vnd.openxmlformats-officedocument.drawingml.chart+xml"/>
  <Override PartName="/word/theme/themeOverride17.xml" ContentType="application/vnd.openxmlformats-officedocument.themeOverride+xml"/>
  <Override PartName="/word/charts/chart37.xml" ContentType="application/vnd.openxmlformats-officedocument.drawingml.chart+xml"/>
  <Override PartName="/word/theme/themeOverride18.xml" ContentType="application/vnd.openxmlformats-officedocument.themeOverride+xml"/>
  <Override PartName="/word/charts/chart38.xml" ContentType="application/vnd.openxmlformats-officedocument.drawingml.chart+xml"/>
  <Override PartName="/word/theme/themeOverride19.xml" ContentType="application/vnd.openxmlformats-officedocument.themeOverride+xml"/>
  <Override PartName="/word/charts/chart39.xml" ContentType="application/vnd.openxmlformats-officedocument.drawingml.chart+xml"/>
  <Override PartName="/word/theme/themeOverride20.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4B9" w:rsidRPr="00476D2E" w:rsidRDefault="007F44B9" w:rsidP="00FC729E">
      <w:pPr>
        <w:pStyle w:val="Default"/>
        <w:spacing w:line="276" w:lineRule="auto"/>
        <w:jc w:val="center"/>
        <w:rPr>
          <w:rFonts w:ascii="Calibri" w:hAnsi="Calibri" w:cs="Calibri"/>
          <w:b/>
          <w:color w:val="C00000"/>
          <w:sz w:val="72"/>
          <w:lang w:val="sq-AL"/>
        </w:rPr>
      </w:pPr>
      <w:r w:rsidRPr="00476D2E">
        <w:rPr>
          <w:rFonts w:ascii="Calibri" w:hAnsi="Calibri" w:cs="Calibri"/>
          <w:noProof/>
          <w:lang w:eastAsia="en-US"/>
        </w:rPr>
        <w:drawing>
          <wp:inline distT="0" distB="0" distL="0" distR="0" wp14:anchorId="53CA080B" wp14:editId="08A367FD">
            <wp:extent cx="6560820" cy="1767840"/>
            <wp:effectExtent l="0" t="0" r="0" b="3810"/>
            <wp:docPr id="296" name="Picture 296" descr="C:\Users\kostandine.dorri\Desktop\logo ministr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tandine.dorri\Desktop\logo ministri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68103" cy="1769802"/>
                    </a:xfrm>
                    <a:prstGeom prst="rect">
                      <a:avLst/>
                    </a:prstGeom>
                    <a:noFill/>
                    <a:ln>
                      <a:noFill/>
                    </a:ln>
                  </pic:spPr>
                </pic:pic>
              </a:graphicData>
            </a:graphic>
          </wp:inline>
        </w:drawing>
      </w:r>
    </w:p>
    <w:p w:rsidR="007F44B9" w:rsidRPr="00476D2E" w:rsidRDefault="007F44B9" w:rsidP="00FC729E">
      <w:pPr>
        <w:pStyle w:val="Default"/>
        <w:spacing w:line="276" w:lineRule="auto"/>
        <w:jc w:val="center"/>
        <w:rPr>
          <w:rFonts w:ascii="Calibri" w:hAnsi="Calibri" w:cs="Calibri"/>
          <w:b/>
          <w:color w:val="C00000"/>
          <w:sz w:val="72"/>
          <w:lang w:val="sq-AL"/>
        </w:rPr>
      </w:pPr>
    </w:p>
    <w:p w:rsidR="007F44B9" w:rsidRPr="00476D2E" w:rsidRDefault="007F44B9" w:rsidP="00FC729E">
      <w:pPr>
        <w:pStyle w:val="Default"/>
        <w:spacing w:line="276" w:lineRule="auto"/>
        <w:rPr>
          <w:rFonts w:ascii="Calibri" w:hAnsi="Calibri" w:cs="Calibri"/>
          <w:b/>
          <w:color w:val="C00000"/>
          <w:sz w:val="72"/>
          <w:lang w:val="sq-AL"/>
        </w:rPr>
      </w:pPr>
    </w:p>
    <w:p w:rsidR="007F44B9" w:rsidRPr="00476D2E" w:rsidRDefault="007F44B9" w:rsidP="00FC729E">
      <w:pPr>
        <w:pStyle w:val="Default"/>
        <w:spacing w:line="276" w:lineRule="auto"/>
        <w:jc w:val="center"/>
        <w:rPr>
          <w:rFonts w:ascii="Calibri" w:hAnsi="Calibri" w:cs="Calibri"/>
          <w:b/>
          <w:color w:val="0B5294" w:themeColor="accent1" w:themeShade="BF"/>
          <w:sz w:val="72"/>
          <w:lang w:val="sq-AL"/>
        </w:rPr>
      </w:pPr>
      <w:r w:rsidRPr="00476D2E">
        <w:rPr>
          <w:rFonts w:ascii="Calibri" w:hAnsi="Calibri" w:cs="Calibri"/>
          <w:b/>
          <w:color w:val="C00000"/>
          <w:sz w:val="72"/>
          <w:lang w:val="sq-AL"/>
        </w:rPr>
        <w:t>RAPORT</w:t>
      </w:r>
      <w:r w:rsidRPr="00476D2E">
        <w:rPr>
          <w:rFonts w:ascii="Calibri" w:hAnsi="Calibri" w:cs="Calibri"/>
          <w:b/>
          <w:color w:val="0B5294" w:themeColor="accent1" w:themeShade="BF"/>
          <w:sz w:val="72"/>
          <w:lang w:val="sq-AL"/>
        </w:rPr>
        <w:t xml:space="preserve"> </w:t>
      </w:r>
    </w:p>
    <w:p w:rsidR="00824B19" w:rsidRPr="00476D2E" w:rsidRDefault="007F44B9" w:rsidP="00FC729E">
      <w:pPr>
        <w:pStyle w:val="Default"/>
        <w:spacing w:line="276" w:lineRule="auto"/>
        <w:jc w:val="center"/>
        <w:rPr>
          <w:rFonts w:ascii="Calibri" w:hAnsi="Calibri" w:cs="Calibri"/>
          <w:b/>
          <w:color w:val="0B5294" w:themeColor="accent1" w:themeShade="BF"/>
          <w:sz w:val="48"/>
          <w:lang w:val="sq-AL"/>
        </w:rPr>
      </w:pPr>
      <w:r w:rsidRPr="00476D2E">
        <w:rPr>
          <w:rFonts w:ascii="Calibri" w:hAnsi="Calibri" w:cs="Calibri"/>
          <w:b/>
          <w:color w:val="0B5294" w:themeColor="accent1" w:themeShade="BF"/>
          <w:sz w:val="48"/>
          <w:lang w:val="sq-AL"/>
        </w:rPr>
        <w:t xml:space="preserve">MBI </w:t>
      </w:r>
    </w:p>
    <w:p w:rsidR="00824B19" w:rsidRPr="00476D2E" w:rsidRDefault="00824B19" w:rsidP="00FC729E">
      <w:pPr>
        <w:pStyle w:val="Default"/>
        <w:spacing w:line="276" w:lineRule="auto"/>
        <w:jc w:val="center"/>
        <w:rPr>
          <w:rFonts w:ascii="Calibri" w:hAnsi="Calibri" w:cs="Calibri"/>
          <w:b/>
          <w:color w:val="0B5294" w:themeColor="accent1" w:themeShade="BF"/>
          <w:sz w:val="48"/>
          <w:lang w:val="sq-AL"/>
        </w:rPr>
      </w:pPr>
      <w:r w:rsidRPr="00476D2E">
        <w:rPr>
          <w:rFonts w:ascii="Calibri" w:hAnsi="Calibri" w:cs="Calibri"/>
          <w:b/>
          <w:color w:val="0B5294" w:themeColor="accent1" w:themeShade="BF"/>
          <w:sz w:val="48"/>
          <w:lang w:val="sq-AL"/>
        </w:rPr>
        <w:t xml:space="preserve">ZBATIMIN E BUXHETIT </w:t>
      </w:r>
      <w:r w:rsidR="007F44B9" w:rsidRPr="00476D2E">
        <w:rPr>
          <w:rFonts w:ascii="Calibri" w:hAnsi="Calibri" w:cs="Calibri"/>
          <w:b/>
          <w:color w:val="0B5294" w:themeColor="accent1" w:themeShade="BF"/>
          <w:sz w:val="48"/>
          <w:lang w:val="sq-AL"/>
        </w:rPr>
        <w:t>VJETOR</w:t>
      </w:r>
      <w:r w:rsidRPr="00476D2E">
        <w:rPr>
          <w:rFonts w:ascii="Calibri" w:hAnsi="Calibri" w:cs="Calibri"/>
          <w:b/>
          <w:color w:val="0B5294" w:themeColor="accent1" w:themeShade="BF"/>
          <w:sz w:val="48"/>
          <w:lang w:val="sq-AL"/>
        </w:rPr>
        <w:t xml:space="preserve">, </w:t>
      </w:r>
    </w:p>
    <w:p w:rsidR="007F44B9" w:rsidRPr="00476D2E" w:rsidRDefault="007F44B9" w:rsidP="00FC729E">
      <w:pPr>
        <w:pStyle w:val="Default"/>
        <w:spacing w:line="276" w:lineRule="auto"/>
        <w:jc w:val="center"/>
        <w:rPr>
          <w:rFonts w:ascii="Calibri" w:hAnsi="Calibri" w:cs="Calibri"/>
          <w:b/>
          <w:color w:val="0B5294" w:themeColor="accent1" w:themeShade="BF"/>
          <w:sz w:val="48"/>
          <w:lang w:val="sq-AL"/>
        </w:rPr>
      </w:pPr>
      <w:r w:rsidRPr="00476D2E">
        <w:rPr>
          <w:rFonts w:ascii="Calibri" w:hAnsi="Calibri" w:cs="Calibri"/>
          <w:b/>
          <w:color w:val="0B5294" w:themeColor="accent1" w:themeShade="BF"/>
          <w:sz w:val="48"/>
          <w:lang w:val="sq-AL"/>
        </w:rPr>
        <w:t>SITUATËN MAKROEKONOMIKE</w:t>
      </w:r>
      <w:r w:rsidR="00824B19" w:rsidRPr="00476D2E">
        <w:rPr>
          <w:rFonts w:ascii="Calibri" w:hAnsi="Calibri" w:cs="Calibri"/>
          <w:b/>
          <w:color w:val="0B5294" w:themeColor="accent1" w:themeShade="BF"/>
          <w:sz w:val="48"/>
          <w:lang w:val="sq-AL"/>
        </w:rPr>
        <w:t xml:space="preserve"> </w:t>
      </w:r>
      <w:r w:rsidRPr="00476D2E">
        <w:rPr>
          <w:rFonts w:ascii="Calibri" w:hAnsi="Calibri" w:cs="Calibri"/>
          <w:b/>
          <w:color w:val="0B5294" w:themeColor="accent1" w:themeShade="BF"/>
          <w:sz w:val="48"/>
          <w:lang w:val="sq-AL"/>
        </w:rPr>
        <w:t>DHE FISKALE</w:t>
      </w:r>
    </w:p>
    <w:p w:rsidR="00824B19" w:rsidRPr="00476D2E" w:rsidRDefault="00824B19" w:rsidP="00FC729E">
      <w:pPr>
        <w:pStyle w:val="Default"/>
        <w:spacing w:line="276" w:lineRule="auto"/>
        <w:jc w:val="center"/>
        <w:rPr>
          <w:rFonts w:ascii="Calibri" w:hAnsi="Calibri" w:cs="Calibri"/>
          <w:b/>
          <w:color w:val="0B5294" w:themeColor="accent1" w:themeShade="BF"/>
          <w:sz w:val="20"/>
          <w:lang w:val="sq-AL"/>
        </w:rPr>
      </w:pPr>
    </w:p>
    <w:p w:rsidR="007F44B9" w:rsidRPr="00476D2E" w:rsidRDefault="007F44B9" w:rsidP="00FC729E">
      <w:pPr>
        <w:pStyle w:val="Default"/>
        <w:spacing w:line="276" w:lineRule="auto"/>
        <w:jc w:val="center"/>
        <w:rPr>
          <w:rFonts w:ascii="Calibri" w:hAnsi="Calibri" w:cs="Calibri"/>
          <w:b/>
          <w:color w:val="0B5294" w:themeColor="accent1" w:themeShade="BF"/>
          <w:sz w:val="48"/>
          <w:lang w:val="sq-AL"/>
        </w:rPr>
      </w:pPr>
      <w:r w:rsidRPr="00476D2E">
        <w:rPr>
          <w:rFonts w:ascii="Calibri" w:hAnsi="Calibri" w:cs="Calibri"/>
          <w:b/>
          <w:color w:val="0B5294" w:themeColor="accent1" w:themeShade="BF"/>
          <w:sz w:val="48"/>
          <w:lang w:val="sq-AL"/>
        </w:rPr>
        <w:t xml:space="preserve">GJATË VITIT </w:t>
      </w:r>
      <w:r w:rsidR="00E20B9A" w:rsidRPr="00476D2E">
        <w:rPr>
          <w:rFonts w:ascii="Calibri" w:hAnsi="Calibri" w:cs="Calibri"/>
          <w:b/>
          <w:color w:val="C00000"/>
          <w:sz w:val="48"/>
          <w:lang w:val="sq-AL"/>
        </w:rPr>
        <w:t>202</w:t>
      </w:r>
      <w:r w:rsidR="007834A2">
        <w:rPr>
          <w:rFonts w:ascii="Calibri" w:hAnsi="Calibri" w:cs="Calibri"/>
          <w:b/>
          <w:color w:val="C00000"/>
          <w:sz w:val="48"/>
          <w:lang w:val="sq-AL"/>
        </w:rPr>
        <w:t>2</w:t>
      </w:r>
    </w:p>
    <w:p w:rsidR="007F44B9" w:rsidRPr="00476D2E" w:rsidRDefault="007F44B9" w:rsidP="00FC729E">
      <w:pPr>
        <w:pStyle w:val="Default"/>
        <w:spacing w:line="276" w:lineRule="auto"/>
        <w:jc w:val="center"/>
        <w:rPr>
          <w:rFonts w:ascii="Calibri" w:hAnsi="Calibri" w:cs="Calibri"/>
          <w:color w:val="auto"/>
          <w:lang w:val="sq-AL"/>
        </w:rPr>
      </w:pPr>
      <w:r w:rsidRPr="00476D2E">
        <w:rPr>
          <w:rFonts w:ascii="Calibri" w:hAnsi="Calibri" w:cs="Calibri"/>
          <w:b/>
          <w:color w:val="800000"/>
          <w:lang w:val="sq-AL"/>
        </w:rPr>
        <w:t>______________________________</w:t>
      </w:r>
    </w:p>
    <w:p w:rsidR="007F44B9" w:rsidRPr="00476D2E" w:rsidRDefault="007F44B9" w:rsidP="00FC729E">
      <w:pPr>
        <w:pStyle w:val="Default"/>
        <w:spacing w:line="276" w:lineRule="auto"/>
        <w:jc w:val="center"/>
        <w:rPr>
          <w:rFonts w:ascii="Calibri" w:hAnsi="Calibri" w:cs="Calibri"/>
          <w:color w:val="auto"/>
          <w:lang w:val="sq-AL"/>
        </w:rPr>
      </w:pPr>
    </w:p>
    <w:p w:rsidR="007F44B9" w:rsidRPr="00476D2E" w:rsidRDefault="007F44B9" w:rsidP="00FC729E">
      <w:pPr>
        <w:pStyle w:val="Default"/>
        <w:spacing w:line="276" w:lineRule="auto"/>
        <w:jc w:val="both"/>
        <w:rPr>
          <w:rFonts w:ascii="Calibri" w:hAnsi="Calibri" w:cs="Calibri"/>
          <w:color w:val="auto"/>
          <w:lang w:val="sq-AL"/>
        </w:rPr>
      </w:pPr>
    </w:p>
    <w:p w:rsidR="007F44B9" w:rsidRPr="00476D2E" w:rsidRDefault="007F44B9" w:rsidP="00FC729E">
      <w:pPr>
        <w:pStyle w:val="Default"/>
        <w:spacing w:line="276" w:lineRule="auto"/>
        <w:jc w:val="both"/>
        <w:rPr>
          <w:rFonts w:ascii="Calibri" w:hAnsi="Calibri" w:cs="Calibri"/>
          <w:color w:val="auto"/>
          <w:lang w:val="sq-AL"/>
        </w:rPr>
      </w:pPr>
    </w:p>
    <w:p w:rsidR="007F44B9" w:rsidRPr="00476D2E" w:rsidRDefault="007F44B9" w:rsidP="00FC729E">
      <w:pPr>
        <w:rPr>
          <w:rFonts w:cs="Calibri"/>
          <w:lang w:val="sq-AL"/>
        </w:rPr>
      </w:pPr>
    </w:p>
    <w:p w:rsidR="007F44B9" w:rsidRPr="00476D2E" w:rsidRDefault="007F44B9" w:rsidP="00FC729E">
      <w:pPr>
        <w:rPr>
          <w:rFonts w:cs="Calibri"/>
          <w:lang w:val="sq-AL"/>
        </w:rPr>
      </w:pPr>
    </w:p>
    <w:p w:rsidR="007F44B9" w:rsidRPr="00476D2E" w:rsidRDefault="007F44B9" w:rsidP="00FC729E">
      <w:pPr>
        <w:rPr>
          <w:rFonts w:cs="Calibri"/>
          <w:lang w:val="sq-AL"/>
        </w:rPr>
      </w:pPr>
    </w:p>
    <w:p w:rsidR="007F44B9" w:rsidRPr="00476D2E" w:rsidRDefault="007F44B9" w:rsidP="00FC729E">
      <w:pPr>
        <w:rPr>
          <w:rFonts w:cs="Calibri"/>
          <w:lang w:val="sq-AL"/>
        </w:rPr>
      </w:pPr>
    </w:p>
    <w:p w:rsidR="007F44B9" w:rsidRPr="00476D2E" w:rsidRDefault="007F44B9" w:rsidP="00FC729E">
      <w:pPr>
        <w:rPr>
          <w:rFonts w:cs="Calibri"/>
          <w:b/>
          <w:color w:val="C00000"/>
          <w:sz w:val="32"/>
          <w:lang w:val="sq-AL"/>
        </w:rPr>
      </w:pPr>
      <w:r w:rsidRPr="00476D2E">
        <w:rPr>
          <w:rFonts w:cs="Calibri"/>
          <w:b/>
          <w:color w:val="C00000"/>
          <w:sz w:val="32"/>
          <w:lang w:val="sq-AL"/>
        </w:rPr>
        <w:t>Tiranë, Maj 20</w:t>
      </w:r>
      <w:r w:rsidR="00203A54" w:rsidRPr="00476D2E">
        <w:rPr>
          <w:rFonts w:cs="Calibri"/>
          <w:b/>
          <w:color w:val="C00000"/>
          <w:sz w:val="32"/>
          <w:lang w:val="sq-AL"/>
        </w:rPr>
        <w:t>2</w:t>
      </w:r>
      <w:r w:rsidR="007834A2">
        <w:rPr>
          <w:rFonts w:cs="Calibri"/>
          <w:b/>
          <w:color w:val="C00000"/>
          <w:sz w:val="32"/>
          <w:lang w:val="sq-AL"/>
        </w:rPr>
        <w:t>3</w:t>
      </w:r>
    </w:p>
    <w:p w:rsidR="0077678B" w:rsidRPr="00476D2E" w:rsidRDefault="0077678B" w:rsidP="00FC729E">
      <w:pPr>
        <w:rPr>
          <w:rFonts w:cs="Calibri"/>
          <w:b/>
          <w:color w:val="C00000"/>
          <w:sz w:val="32"/>
          <w:lang w:val="sq-AL"/>
        </w:rPr>
        <w:sectPr w:rsidR="0077678B" w:rsidRPr="00476D2E" w:rsidSect="00B83536">
          <w:headerReference w:type="even" r:id="rId9"/>
          <w:headerReference w:type="default" r:id="rId10"/>
          <w:footerReference w:type="even" r:id="rId11"/>
          <w:footerReference w:type="default" r:id="rId12"/>
          <w:pgSz w:w="12240" w:h="15840"/>
          <w:pgMar w:top="1440" w:right="907" w:bottom="1440" w:left="806" w:header="720" w:footer="720" w:gutter="0"/>
          <w:cols w:space="720"/>
          <w:docGrid w:linePitch="360"/>
        </w:sectPr>
      </w:pPr>
    </w:p>
    <w:p w:rsidR="00DF1136" w:rsidRDefault="00DF1136" w:rsidP="00FC729E">
      <w:pPr>
        <w:pStyle w:val="TOCHeading"/>
        <w:spacing w:before="0"/>
        <w:jc w:val="center"/>
        <w:rPr>
          <w:rFonts w:ascii="Calibri" w:hAnsi="Calibri" w:cs="Calibri"/>
          <w:color w:val="C00000"/>
          <w:sz w:val="36"/>
          <w:szCs w:val="24"/>
          <w:lang w:val="sq-AL"/>
        </w:rPr>
      </w:pPr>
      <w:r w:rsidRPr="001D56FA">
        <w:rPr>
          <w:rFonts w:ascii="Calibri" w:hAnsi="Calibri" w:cs="Calibri"/>
          <w:color w:val="C00000"/>
          <w:sz w:val="36"/>
          <w:szCs w:val="24"/>
          <w:lang w:val="sq-AL"/>
        </w:rPr>
        <w:lastRenderedPageBreak/>
        <w:t>P Ë R M B A J T J A</w:t>
      </w:r>
    </w:p>
    <w:p w:rsidR="00153CD6" w:rsidRPr="00153CD6" w:rsidRDefault="00153CD6" w:rsidP="00153CD6">
      <w:pPr>
        <w:rPr>
          <w:lang w:val="sq-AL"/>
        </w:rPr>
      </w:pPr>
    </w:p>
    <w:sdt>
      <w:sdtPr>
        <w:rPr>
          <w:rFonts w:eastAsiaTheme="minorEastAsia" w:cs="Calibri"/>
          <w:bCs/>
          <w:i/>
          <w:noProof w:val="0"/>
          <w:sz w:val="20"/>
          <w:lang w:val="en-US"/>
        </w:rPr>
        <w:id w:val="929244835"/>
        <w:docPartObj>
          <w:docPartGallery w:val="Table of Contents"/>
          <w:docPartUnique/>
        </w:docPartObj>
      </w:sdtPr>
      <w:sdtEndPr>
        <w:rPr>
          <w:rFonts w:eastAsia="Times New Roman"/>
          <w:bCs w:val="0"/>
          <w:noProof/>
        </w:rPr>
      </w:sdtEndPr>
      <w:sdtContent>
        <w:p w:rsidR="00A538D2" w:rsidRDefault="005209FF" w:rsidP="00FC729E">
          <w:pPr>
            <w:pStyle w:val="TOC1"/>
            <w:rPr>
              <w:rStyle w:val="Hyperlink"/>
              <w:rFonts w:cs="Calibri"/>
              <w:color w:val="0070C0"/>
              <w:sz w:val="24"/>
            </w:rPr>
          </w:pPr>
          <w:r w:rsidRPr="008D19CE">
            <w:fldChar w:fldCharType="begin"/>
          </w:r>
          <w:r w:rsidRPr="008D19CE">
            <w:instrText xml:space="preserve"> TOC \o "1-3" \h \z \u </w:instrText>
          </w:r>
          <w:r w:rsidRPr="008D19CE">
            <w:fldChar w:fldCharType="separate"/>
          </w:r>
          <w:hyperlink w:anchor="_Toc104980309" w:history="1">
            <w:r w:rsidR="00A538D2" w:rsidRPr="008D19CE">
              <w:rPr>
                <w:rStyle w:val="Hyperlink"/>
                <w:rFonts w:cs="Calibri"/>
                <w:color w:val="0070C0"/>
                <w:sz w:val="24"/>
              </w:rPr>
              <w:t>1.</w:t>
            </w:r>
            <w:r w:rsidR="00A538D2" w:rsidRPr="008D19CE">
              <w:rPr>
                <w:rStyle w:val="Hyperlink"/>
                <w:rFonts w:cs="Calibri"/>
                <w:color w:val="0070C0"/>
                <w:sz w:val="24"/>
              </w:rPr>
              <w:tab/>
              <w:t>REZULTATI I BUXHETIT TË KONSOLIDUAR</w:t>
            </w:r>
            <w:r w:rsidR="00ED403D">
              <w:rPr>
                <w:rStyle w:val="Hyperlink"/>
                <w:rFonts w:cs="Calibri"/>
                <w:color w:val="0070C0"/>
                <w:sz w:val="24"/>
              </w:rPr>
              <w:t>...</w:t>
            </w:r>
            <w:r w:rsidR="00ED403D">
              <w:rPr>
                <w:rStyle w:val="Hyperlink"/>
                <w:rFonts w:cs="Calibri"/>
                <w:color w:val="0070C0"/>
                <w:sz w:val="24"/>
              </w:rPr>
              <w:tab/>
            </w:r>
            <w:r w:rsidR="00A538D2" w:rsidRPr="008D19CE">
              <w:rPr>
                <w:rStyle w:val="Hyperlink"/>
                <w:rFonts w:cs="Calibri"/>
                <w:webHidden/>
                <w:color w:val="0070C0"/>
                <w:sz w:val="24"/>
              </w:rPr>
              <w:tab/>
            </w:r>
            <w:r w:rsidR="00A538D2" w:rsidRPr="008D19CE">
              <w:rPr>
                <w:rStyle w:val="Hyperlink"/>
                <w:rFonts w:cs="Calibri"/>
                <w:webHidden/>
                <w:color w:val="0070C0"/>
                <w:sz w:val="24"/>
              </w:rPr>
              <w:fldChar w:fldCharType="begin"/>
            </w:r>
            <w:r w:rsidR="00A538D2" w:rsidRPr="008D19CE">
              <w:rPr>
                <w:rStyle w:val="Hyperlink"/>
                <w:rFonts w:cs="Calibri"/>
                <w:webHidden/>
                <w:color w:val="0070C0"/>
                <w:sz w:val="24"/>
              </w:rPr>
              <w:instrText xml:space="preserve"> PAGEREF _Toc104980309 \h </w:instrText>
            </w:r>
            <w:r w:rsidR="00A538D2" w:rsidRPr="008D19CE">
              <w:rPr>
                <w:rStyle w:val="Hyperlink"/>
                <w:rFonts w:cs="Calibri"/>
                <w:webHidden/>
                <w:color w:val="0070C0"/>
                <w:sz w:val="24"/>
              </w:rPr>
            </w:r>
            <w:r w:rsidR="00A538D2" w:rsidRPr="008D19CE">
              <w:rPr>
                <w:rStyle w:val="Hyperlink"/>
                <w:rFonts w:cs="Calibri"/>
                <w:webHidden/>
                <w:color w:val="0070C0"/>
                <w:sz w:val="24"/>
              </w:rPr>
              <w:fldChar w:fldCharType="separate"/>
            </w:r>
            <w:r w:rsidR="008C3E07">
              <w:rPr>
                <w:rStyle w:val="Hyperlink"/>
                <w:rFonts w:cs="Calibri"/>
                <w:webHidden/>
                <w:color w:val="0070C0"/>
                <w:sz w:val="24"/>
              </w:rPr>
              <w:t>6</w:t>
            </w:r>
            <w:r w:rsidR="00A538D2" w:rsidRPr="008D19CE">
              <w:rPr>
                <w:rStyle w:val="Hyperlink"/>
                <w:rFonts w:cs="Calibri"/>
                <w:webHidden/>
                <w:color w:val="0070C0"/>
                <w:sz w:val="24"/>
              </w:rPr>
              <w:fldChar w:fldCharType="end"/>
            </w:r>
          </w:hyperlink>
        </w:p>
        <w:p w:rsidR="008D19CE" w:rsidRPr="008D19CE" w:rsidRDefault="008D19CE" w:rsidP="00FC729E">
          <w:pPr>
            <w:spacing w:before="0"/>
            <w:rPr>
              <w:rFonts w:eastAsiaTheme="minorEastAsia"/>
              <w:noProof/>
              <w:lang w:val="sq-AL"/>
            </w:rPr>
          </w:pPr>
        </w:p>
        <w:p w:rsidR="00A538D2" w:rsidRPr="008D19CE" w:rsidRDefault="00ED218A" w:rsidP="00FC729E">
          <w:pPr>
            <w:pStyle w:val="TOC1"/>
            <w:rPr>
              <w:rStyle w:val="Hyperlink"/>
              <w:rFonts w:cs="Calibri"/>
              <w:color w:val="0070C0"/>
              <w:sz w:val="24"/>
            </w:rPr>
          </w:pPr>
          <w:hyperlink w:anchor="_Toc104980310" w:history="1">
            <w:r w:rsidR="00A538D2" w:rsidRPr="008D19CE">
              <w:rPr>
                <w:rStyle w:val="Hyperlink"/>
                <w:rFonts w:cs="Calibri"/>
                <w:color w:val="0070C0"/>
                <w:sz w:val="24"/>
              </w:rPr>
              <w:t>2.</w:t>
            </w:r>
            <w:r w:rsidR="00A538D2" w:rsidRPr="008D19CE">
              <w:rPr>
                <w:rStyle w:val="Hyperlink"/>
                <w:rFonts w:cs="Calibri"/>
                <w:color w:val="0070C0"/>
                <w:sz w:val="24"/>
              </w:rPr>
              <w:tab/>
              <w:t>PASQYRË E ZHVILLIMEVE MAKROEKONOMIKE</w:t>
            </w:r>
            <w:r w:rsidR="00A538D2" w:rsidRPr="008D19CE">
              <w:rPr>
                <w:rStyle w:val="Hyperlink"/>
                <w:rFonts w:cs="Calibri"/>
                <w:webHidden/>
                <w:color w:val="0070C0"/>
                <w:sz w:val="24"/>
              </w:rPr>
              <w:tab/>
            </w:r>
            <w:r w:rsidR="00ED403D">
              <w:rPr>
                <w:rStyle w:val="Hyperlink"/>
                <w:rFonts w:cs="Calibri"/>
                <w:webHidden/>
                <w:color w:val="0070C0"/>
                <w:sz w:val="24"/>
              </w:rPr>
              <w:tab/>
            </w:r>
            <w:r w:rsidR="00A538D2" w:rsidRPr="008D19CE">
              <w:rPr>
                <w:rStyle w:val="Hyperlink"/>
                <w:rFonts w:cs="Calibri"/>
                <w:webHidden/>
                <w:color w:val="0070C0"/>
                <w:sz w:val="24"/>
              </w:rPr>
              <w:fldChar w:fldCharType="begin"/>
            </w:r>
            <w:r w:rsidR="00A538D2" w:rsidRPr="008D19CE">
              <w:rPr>
                <w:rStyle w:val="Hyperlink"/>
                <w:rFonts w:cs="Calibri"/>
                <w:webHidden/>
                <w:color w:val="0070C0"/>
                <w:sz w:val="24"/>
              </w:rPr>
              <w:instrText xml:space="preserve"> PAGEREF _Toc104980310 \h </w:instrText>
            </w:r>
            <w:r w:rsidR="00A538D2" w:rsidRPr="008D19CE">
              <w:rPr>
                <w:rStyle w:val="Hyperlink"/>
                <w:rFonts w:cs="Calibri"/>
                <w:webHidden/>
                <w:color w:val="0070C0"/>
                <w:sz w:val="24"/>
              </w:rPr>
            </w:r>
            <w:r w:rsidR="00A538D2" w:rsidRPr="008D19CE">
              <w:rPr>
                <w:rStyle w:val="Hyperlink"/>
                <w:rFonts w:cs="Calibri"/>
                <w:webHidden/>
                <w:color w:val="0070C0"/>
                <w:sz w:val="24"/>
              </w:rPr>
              <w:fldChar w:fldCharType="separate"/>
            </w:r>
            <w:r w:rsidR="008C3E07">
              <w:rPr>
                <w:rStyle w:val="Hyperlink"/>
                <w:rFonts w:cs="Calibri"/>
                <w:webHidden/>
                <w:color w:val="0070C0"/>
                <w:sz w:val="24"/>
              </w:rPr>
              <w:t>7</w:t>
            </w:r>
            <w:r w:rsidR="00A538D2" w:rsidRPr="008D19CE">
              <w:rPr>
                <w:rStyle w:val="Hyperlink"/>
                <w:rFonts w:cs="Calibri"/>
                <w:webHidden/>
                <w:color w:val="0070C0"/>
                <w:sz w:val="24"/>
              </w:rPr>
              <w:fldChar w:fldCharType="end"/>
            </w:r>
          </w:hyperlink>
        </w:p>
        <w:p w:rsidR="00A538D2" w:rsidRPr="008D19CE" w:rsidRDefault="00ED218A" w:rsidP="00FC729E">
          <w:pPr>
            <w:pStyle w:val="TOC2"/>
            <w:spacing w:line="276" w:lineRule="auto"/>
            <w:rPr>
              <w:rStyle w:val="Hyperlink"/>
              <w:rFonts w:asciiTheme="majorHAnsi" w:hAnsiTheme="majorHAnsi"/>
              <w:color w:val="0070C0"/>
              <w:sz w:val="20"/>
            </w:rPr>
          </w:pPr>
          <w:hyperlink w:anchor="_Toc104980311" w:history="1">
            <w:r w:rsidR="00A538D2" w:rsidRPr="008D19CE">
              <w:rPr>
                <w:rStyle w:val="Hyperlink"/>
                <w:rFonts w:asciiTheme="majorHAnsi" w:hAnsiTheme="majorHAnsi"/>
                <w:color w:val="0070C0"/>
                <w:sz w:val="20"/>
              </w:rPr>
              <w:t>2.1</w:t>
            </w:r>
            <w:r w:rsidR="00A538D2" w:rsidRPr="008D19CE">
              <w:rPr>
                <w:rStyle w:val="Hyperlink"/>
                <w:rFonts w:asciiTheme="majorHAnsi" w:hAnsiTheme="majorHAnsi"/>
                <w:color w:val="0070C0"/>
                <w:sz w:val="20"/>
              </w:rPr>
              <w:tab/>
              <w:t>Zhvillimet e fundit ekonomike</w:t>
            </w:r>
            <w:r w:rsidR="00A538D2" w:rsidRPr="008D19CE">
              <w:rPr>
                <w:rStyle w:val="Hyperlink"/>
                <w:rFonts w:asciiTheme="majorHAnsi" w:hAnsiTheme="majorHAnsi"/>
                <w:webHidden/>
                <w:color w:val="0070C0"/>
                <w:sz w:val="20"/>
              </w:rPr>
              <w:tab/>
            </w:r>
            <w:r w:rsidR="00ED403D">
              <w:rPr>
                <w:rStyle w:val="Hyperlink"/>
                <w:rFonts w:asciiTheme="majorHAnsi" w:hAnsiTheme="majorHAnsi"/>
                <w:webHidden/>
                <w:color w:val="0070C0"/>
                <w:sz w:val="20"/>
              </w:rPr>
              <w:tab/>
            </w:r>
            <w:r w:rsidR="00A538D2" w:rsidRPr="008D19CE">
              <w:rPr>
                <w:rStyle w:val="Hyperlink"/>
                <w:rFonts w:asciiTheme="majorHAnsi" w:hAnsiTheme="majorHAnsi"/>
                <w:webHidden/>
                <w:color w:val="0070C0"/>
                <w:sz w:val="20"/>
              </w:rPr>
              <w:fldChar w:fldCharType="begin"/>
            </w:r>
            <w:r w:rsidR="00A538D2" w:rsidRPr="008D19CE">
              <w:rPr>
                <w:rStyle w:val="Hyperlink"/>
                <w:rFonts w:asciiTheme="majorHAnsi" w:hAnsiTheme="majorHAnsi"/>
                <w:webHidden/>
                <w:color w:val="0070C0"/>
                <w:sz w:val="20"/>
              </w:rPr>
              <w:instrText xml:space="preserve"> PAGEREF _Toc104980311 \h </w:instrText>
            </w:r>
            <w:r w:rsidR="00A538D2" w:rsidRPr="008D19CE">
              <w:rPr>
                <w:rStyle w:val="Hyperlink"/>
                <w:rFonts w:asciiTheme="majorHAnsi" w:hAnsiTheme="majorHAnsi"/>
                <w:webHidden/>
                <w:color w:val="0070C0"/>
                <w:sz w:val="20"/>
              </w:rPr>
            </w:r>
            <w:r w:rsidR="00A538D2" w:rsidRPr="008D19CE">
              <w:rPr>
                <w:rStyle w:val="Hyperlink"/>
                <w:rFonts w:asciiTheme="majorHAnsi" w:hAnsiTheme="majorHAnsi"/>
                <w:webHidden/>
                <w:color w:val="0070C0"/>
                <w:sz w:val="20"/>
              </w:rPr>
              <w:fldChar w:fldCharType="separate"/>
            </w:r>
            <w:r w:rsidR="008C3E07">
              <w:rPr>
                <w:rStyle w:val="Hyperlink"/>
                <w:rFonts w:asciiTheme="majorHAnsi" w:hAnsiTheme="majorHAnsi"/>
                <w:webHidden/>
                <w:color w:val="0070C0"/>
                <w:sz w:val="20"/>
              </w:rPr>
              <w:t>7</w:t>
            </w:r>
            <w:r w:rsidR="00A538D2" w:rsidRPr="008D19CE">
              <w:rPr>
                <w:rStyle w:val="Hyperlink"/>
                <w:rFonts w:asciiTheme="majorHAnsi" w:hAnsiTheme="majorHAnsi"/>
                <w:webHidden/>
                <w:color w:val="0070C0"/>
                <w:sz w:val="20"/>
              </w:rPr>
              <w:fldChar w:fldCharType="end"/>
            </w:r>
          </w:hyperlink>
        </w:p>
        <w:p w:rsidR="00A538D2" w:rsidRPr="008D19CE" w:rsidRDefault="00ED218A" w:rsidP="00FC729E">
          <w:pPr>
            <w:pStyle w:val="TOC3"/>
            <w:spacing w:before="0" w:after="0" w:line="276" w:lineRule="auto"/>
            <w:rPr>
              <w:rStyle w:val="Hyperlink"/>
              <w:color w:val="0070C0"/>
            </w:rPr>
          </w:pPr>
          <w:hyperlink w:anchor="_Toc104980312" w:history="1">
            <w:r w:rsidR="00A538D2" w:rsidRPr="008D19CE">
              <w:rPr>
                <w:rStyle w:val="Hyperlink"/>
                <w:b w:val="0"/>
                <w:color w:val="0070C0"/>
              </w:rPr>
              <w:t>2.1.1</w:t>
            </w:r>
            <w:r w:rsidR="00A538D2" w:rsidRPr="008D19CE">
              <w:rPr>
                <w:rStyle w:val="Hyperlink"/>
                <w:color w:val="0070C0"/>
              </w:rPr>
              <w:tab/>
            </w:r>
            <w:r w:rsidR="00A538D2" w:rsidRPr="008D19CE">
              <w:rPr>
                <w:rStyle w:val="Hyperlink"/>
                <w:b w:val="0"/>
                <w:color w:val="0070C0"/>
              </w:rPr>
              <w:t>Sektori real</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_Toc104980312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7</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13" w:history="1">
            <w:r w:rsidR="00A538D2" w:rsidRPr="008D19CE">
              <w:rPr>
                <w:rStyle w:val="Hyperlink"/>
                <w:b w:val="0"/>
                <w:color w:val="0070C0"/>
              </w:rPr>
              <w:t>2.1.2</w:t>
            </w:r>
            <w:r w:rsidR="00A538D2" w:rsidRPr="008D19CE">
              <w:rPr>
                <w:rStyle w:val="Hyperlink"/>
                <w:color w:val="0070C0"/>
              </w:rPr>
              <w:tab/>
            </w:r>
            <w:r w:rsidR="00A538D2" w:rsidRPr="008D19CE">
              <w:rPr>
                <w:rStyle w:val="Hyperlink"/>
                <w:b w:val="0"/>
                <w:color w:val="0070C0"/>
              </w:rPr>
              <w:t>Sektori monetar</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_Toc104980313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8</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14" w:history="1">
            <w:r w:rsidR="00A538D2" w:rsidRPr="008D19CE">
              <w:rPr>
                <w:rStyle w:val="Hyperlink"/>
                <w:b w:val="0"/>
                <w:color w:val="0070C0"/>
              </w:rPr>
              <w:t>2.1.3</w:t>
            </w:r>
            <w:r w:rsidR="00A538D2" w:rsidRPr="008D19CE">
              <w:rPr>
                <w:rStyle w:val="Hyperlink"/>
                <w:color w:val="0070C0"/>
              </w:rPr>
              <w:tab/>
            </w:r>
            <w:r w:rsidR="00A538D2" w:rsidRPr="008D19CE">
              <w:rPr>
                <w:rStyle w:val="Hyperlink"/>
                <w:b w:val="0"/>
                <w:color w:val="0070C0"/>
              </w:rPr>
              <w:t>Sektori i jashtëm</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_Toc104980314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8</w:t>
            </w:r>
            <w:r w:rsidR="00A538D2" w:rsidRPr="008D19CE">
              <w:rPr>
                <w:rStyle w:val="Hyperlink"/>
                <w:b w:val="0"/>
                <w:webHidden/>
                <w:color w:val="0070C0"/>
              </w:rPr>
              <w:fldChar w:fldCharType="end"/>
            </w:r>
          </w:hyperlink>
        </w:p>
        <w:p w:rsidR="00A538D2" w:rsidRPr="001323FC" w:rsidRDefault="00ED218A" w:rsidP="00FC729E">
          <w:pPr>
            <w:pStyle w:val="TOC2"/>
            <w:spacing w:after="0" w:line="276" w:lineRule="auto"/>
            <w:rPr>
              <w:rStyle w:val="Hyperlink"/>
              <w:color w:val="0070C0"/>
              <w:sz w:val="20"/>
            </w:rPr>
          </w:pPr>
          <w:hyperlink w:anchor="_Toc104980315" w:history="1">
            <w:r w:rsidR="00A538D2" w:rsidRPr="001323FC">
              <w:rPr>
                <w:rStyle w:val="Hyperlink"/>
                <w:rFonts w:asciiTheme="majorHAnsi" w:hAnsiTheme="majorHAnsi"/>
                <w:color w:val="0070C0"/>
                <w:sz w:val="20"/>
              </w:rPr>
              <w:t>2.2</w:t>
            </w:r>
            <w:r w:rsidR="00A538D2" w:rsidRPr="001323FC">
              <w:rPr>
                <w:rStyle w:val="Hyperlink"/>
                <w:color w:val="0070C0"/>
                <w:sz w:val="20"/>
              </w:rPr>
              <w:tab/>
            </w:r>
            <w:r w:rsidR="00A538D2" w:rsidRPr="001323FC">
              <w:rPr>
                <w:rStyle w:val="Hyperlink"/>
                <w:rFonts w:asciiTheme="majorHAnsi" w:hAnsiTheme="majorHAnsi"/>
                <w:color w:val="0070C0"/>
                <w:sz w:val="20"/>
              </w:rPr>
              <w:t>Krahasimi me vendet e rajonit</w:t>
            </w:r>
            <w:r w:rsidR="00A538D2" w:rsidRPr="001323FC">
              <w:rPr>
                <w:rStyle w:val="Hyperlink"/>
                <w:webHidden/>
                <w:color w:val="0070C0"/>
                <w:sz w:val="20"/>
              </w:rPr>
              <w:tab/>
            </w:r>
            <w:r w:rsidR="00ED403D">
              <w:rPr>
                <w:rStyle w:val="Hyperlink"/>
                <w:webHidden/>
                <w:color w:val="0070C0"/>
                <w:sz w:val="20"/>
              </w:rPr>
              <w:tab/>
            </w:r>
            <w:r w:rsidR="00A538D2" w:rsidRPr="001323FC">
              <w:rPr>
                <w:rStyle w:val="Hyperlink"/>
                <w:webHidden/>
                <w:color w:val="0070C0"/>
                <w:sz w:val="20"/>
              </w:rPr>
              <w:fldChar w:fldCharType="begin"/>
            </w:r>
            <w:r w:rsidR="00A538D2" w:rsidRPr="001323FC">
              <w:rPr>
                <w:rStyle w:val="Hyperlink"/>
                <w:webHidden/>
                <w:color w:val="0070C0"/>
                <w:sz w:val="20"/>
              </w:rPr>
              <w:instrText xml:space="preserve"> PAGEREF _Toc104980315 \h </w:instrText>
            </w:r>
            <w:r w:rsidR="00A538D2" w:rsidRPr="001323FC">
              <w:rPr>
                <w:rStyle w:val="Hyperlink"/>
                <w:webHidden/>
                <w:color w:val="0070C0"/>
                <w:sz w:val="20"/>
              </w:rPr>
            </w:r>
            <w:r w:rsidR="00A538D2" w:rsidRPr="001323FC">
              <w:rPr>
                <w:rStyle w:val="Hyperlink"/>
                <w:webHidden/>
                <w:color w:val="0070C0"/>
                <w:sz w:val="20"/>
              </w:rPr>
              <w:fldChar w:fldCharType="separate"/>
            </w:r>
            <w:r w:rsidR="008C3E07">
              <w:rPr>
                <w:rStyle w:val="Hyperlink"/>
                <w:webHidden/>
                <w:color w:val="0070C0"/>
                <w:sz w:val="20"/>
              </w:rPr>
              <w:t>9</w:t>
            </w:r>
            <w:r w:rsidR="00A538D2" w:rsidRPr="001323FC">
              <w:rPr>
                <w:rStyle w:val="Hyperlink"/>
                <w:webHidden/>
                <w:color w:val="0070C0"/>
                <w:sz w:val="20"/>
              </w:rPr>
              <w:fldChar w:fldCharType="end"/>
            </w:r>
          </w:hyperlink>
        </w:p>
        <w:p w:rsidR="008D19CE" w:rsidRDefault="008D19CE" w:rsidP="00FC729E">
          <w:pPr>
            <w:pStyle w:val="TOC1"/>
            <w:rPr>
              <w:rStyle w:val="Hyperlink"/>
              <w:rFonts w:cs="Calibri"/>
              <w:color w:val="0070C0"/>
              <w:sz w:val="24"/>
            </w:rPr>
          </w:pPr>
        </w:p>
        <w:p w:rsidR="00A538D2" w:rsidRPr="008D19CE" w:rsidRDefault="00ED218A" w:rsidP="00FC729E">
          <w:pPr>
            <w:pStyle w:val="TOC1"/>
            <w:rPr>
              <w:rStyle w:val="Hyperlink"/>
              <w:rFonts w:cs="Calibri"/>
              <w:color w:val="0070C0"/>
              <w:sz w:val="24"/>
            </w:rPr>
          </w:pPr>
          <w:hyperlink w:anchor="_Toc104980316" w:history="1">
            <w:r w:rsidR="00A538D2" w:rsidRPr="008D19CE">
              <w:rPr>
                <w:rStyle w:val="Hyperlink"/>
                <w:rFonts w:cs="Calibri"/>
                <w:color w:val="0070C0"/>
                <w:sz w:val="24"/>
              </w:rPr>
              <w:t>3.</w:t>
            </w:r>
            <w:r w:rsidR="00A538D2" w:rsidRPr="008D19CE">
              <w:rPr>
                <w:rStyle w:val="Hyperlink"/>
                <w:rFonts w:cs="Calibri"/>
                <w:color w:val="0070C0"/>
                <w:sz w:val="24"/>
              </w:rPr>
              <w:tab/>
              <w:t>POLITIKAT FISKALE DHE REZULTATI I MBLEDHJES SË TË ARDHURAVE</w:t>
            </w:r>
            <w:r w:rsidR="00A538D2" w:rsidRPr="008D19CE">
              <w:rPr>
                <w:rStyle w:val="Hyperlink"/>
                <w:rFonts w:cs="Calibri"/>
                <w:webHidden/>
                <w:color w:val="0070C0"/>
                <w:sz w:val="24"/>
              </w:rPr>
              <w:tab/>
            </w:r>
            <w:r w:rsidR="00ED403D">
              <w:rPr>
                <w:rStyle w:val="Hyperlink"/>
                <w:rFonts w:cs="Calibri"/>
                <w:webHidden/>
                <w:color w:val="0070C0"/>
                <w:sz w:val="24"/>
              </w:rPr>
              <w:tab/>
            </w:r>
            <w:r w:rsidR="00A538D2" w:rsidRPr="008D19CE">
              <w:rPr>
                <w:rStyle w:val="Hyperlink"/>
                <w:rFonts w:cs="Calibri"/>
                <w:webHidden/>
                <w:color w:val="0070C0"/>
                <w:sz w:val="24"/>
              </w:rPr>
              <w:fldChar w:fldCharType="begin"/>
            </w:r>
            <w:r w:rsidR="00A538D2" w:rsidRPr="008D19CE">
              <w:rPr>
                <w:rStyle w:val="Hyperlink"/>
                <w:rFonts w:cs="Calibri"/>
                <w:webHidden/>
                <w:color w:val="0070C0"/>
                <w:sz w:val="24"/>
              </w:rPr>
              <w:instrText xml:space="preserve"> PAGEREF _Toc104980316 \h </w:instrText>
            </w:r>
            <w:r w:rsidR="00A538D2" w:rsidRPr="008D19CE">
              <w:rPr>
                <w:rStyle w:val="Hyperlink"/>
                <w:rFonts w:cs="Calibri"/>
                <w:webHidden/>
                <w:color w:val="0070C0"/>
                <w:sz w:val="24"/>
              </w:rPr>
            </w:r>
            <w:r w:rsidR="00A538D2" w:rsidRPr="008D19CE">
              <w:rPr>
                <w:rStyle w:val="Hyperlink"/>
                <w:rFonts w:cs="Calibri"/>
                <w:webHidden/>
                <w:color w:val="0070C0"/>
                <w:sz w:val="24"/>
              </w:rPr>
              <w:fldChar w:fldCharType="separate"/>
            </w:r>
            <w:r w:rsidR="008C3E07">
              <w:rPr>
                <w:rStyle w:val="Hyperlink"/>
                <w:rFonts w:cs="Calibri"/>
                <w:webHidden/>
                <w:color w:val="0070C0"/>
                <w:sz w:val="24"/>
              </w:rPr>
              <w:t>11</w:t>
            </w:r>
            <w:r w:rsidR="00A538D2" w:rsidRPr="008D19CE">
              <w:rPr>
                <w:rStyle w:val="Hyperlink"/>
                <w:rFonts w:cs="Calibri"/>
                <w:webHidden/>
                <w:color w:val="0070C0"/>
                <w:sz w:val="24"/>
              </w:rPr>
              <w:fldChar w:fldCharType="end"/>
            </w:r>
          </w:hyperlink>
        </w:p>
        <w:p w:rsidR="00A538D2" w:rsidRPr="008D19CE" w:rsidRDefault="00ED218A" w:rsidP="00FC729E">
          <w:pPr>
            <w:pStyle w:val="TOC2"/>
            <w:spacing w:line="276" w:lineRule="auto"/>
            <w:rPr>
              <w:rStyle w:val="Hyperlink"/>
              <w:color w:val="0070C0"/>
              <w:sz w:val="20"/>
            </w:rPr>
          </w:pPr>
          <w:hyperlink w:anchor="_Toc104980317" w:history="1">
            <w:r w:rsidR="00A538D2" w:rsidRPr="008D19CE">
              <w:rPr>
                <w:rStyle w:val="Hyperlink"/>
                <w:rFonts w:asciiTheme="majorHAnsi" w:hAnsiTheme="majorHAnsi"/>
                <w:color w:val="0070C0"/>
                <w:sz w:val="20"/>
              </w:rPr>
              <w:t>3.1</w:t>
            </w:r>
            <w:r w:rsidR="00A538D2" w:rsidRPr="008D19CE">
              <w:rPr>
                <w:rStyle w:val="Hyperlink"/>
                <w:color w:val="0070C0"/>
                <w:sz w:val="20"/>
              </w:rPr>
              <w:tab/>
            </w:r>
            <w:r w:rsidR="00A538D2" w:rsidRPr="008D19CE">
              <w:rPr>
                <w:rStyle w:val="Hyperlink"/>
                <w:rFonts w:asciiTheme="majorHAnsi" w:hAnsiTheme="majorHAnsi"/>
                <w:color w:val="0070C0"/>
                <w:sz w:val="20"/>
              </w:rPr>
              <w:t>Politika fiskale në vitin 202</w:t>
            </w:r>
            <w:r w:rsidR="00556E22">
              <w:rPr>
                <w:rStyle w:val="Hyperlink"/>
                <w:rFonts w:asciiTheme="majorHAnsi" w:hAnsiTheme="majorHAnsi"/>
                <w:color w:val="0070C0"/>
                <w:sz w:val="20"/>
              </w:rPr>
              <w:t>2</w:t>
            </w:r>
            <w:r w:rsidR="00A538D2" w:rsidRPr="008D19CE">
              <w:rPr>
                <w:rStyle w:val="Hyperlink"/>
                <w:rFonts w:asciiTheme="majorHAnsi" w:hAnsiTheme="majorHAnsi"/>
                <w:color w:val="0070C0"/>
                <w:sz w:val="20"/>
              </w:rPr>
              <w:t xml:space="preserve"> dhe efektet në buxhet e në ekonomi</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_Toc104980317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1</w:t>
            </w:r>
            <w:r w:rsidR="008C3E07">
              <w:rPr>
                <w:rStyle w:val="Hyperlink"/>
                <w:webHidden/>
                <w:color w:val="0070C0"/>
                <w:sz w:val="20"/>
              </w:rPr>
              <w:t>1</w:t>
            </w:r>
            <w:r w:rsidR="00A538D2" w:rsidRPr="008D19CE">
              <w:rPr>
                <w:rStyle w:val="Hyperlink"/>
                <w:webHidden/>
                <w:color w:val="0070C0"/>
                <w:sz w:val="20"/>
              </w:rPr>
              <w:fldChar w:fldCharType="end"/>
            </w:r>
          </w:hyperlink>
        </w:p>
        <w:p w:rsidR="00A538D2" w:rsidRPr="008D19CE" w:rsidRDefault="00ED218A" w:rsidP="00FC729E">
          <w:pPr>
            <w:pStyle w:val="TOC3"/>
            <w:spacing w:before="0" w:after="0" w:line="276" w:lineRule="auto"/>
            <w:rPr>
              <w:rStyle w:val="Hyperlink"/>
              <w:color w:val="0070C0"/>
            </w:rPr>
          </w:pPr>
          <w:hyperlink w:anchor="_Toc104980318" w:history="1">
            <w:r w:rsidR="00A538D2" w:rsidRPr="008D19CE">
              <w:rPr>
                <w:rStyle w:val="Hyperlink"/>
                <w:b w:val="0"/>
                <w:color w:val="0070C0"/>
              </w:rPr>
              <w:t>3.1.1</w:t>
            </w:r>
            <w:r w:rsidR="00A538D2" w:rsidRPr="008D19CE">
              <w:rPr>
                <w:rStyle w:val="Hyperlink"/>
                <w:color w:val="0070C0"/>
              </w:rPr>
              <w:tab/>
            </w:r>
            <w:r w:rsidR="00A538D2" w:rsidRPr="008D19CE">
              <w:rPr>
                <w:rStyle w:val="Hyperlink"/>
                <w:b w:val="0"/>
                <w:color w:val="0070C0"/>
              </w:rPr>
              <w:t>Tatimi mbi Vlerën e Shtuar</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_Toc104980318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11</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19" w:history="1">
            <w:r w:rsidR="00A538D2" w:rsidRPr="008D19CE">
              <w:rPr>
                <w:rStyle w:val="Hyperlink"/>
                <w:b w:val="0"/>
                <w:color w:val="0070C0"/>
              </w:rPr>
              <w:t>3.1.2</w:t>
            </w:r>
            <w:r w:rsidR="00A538D2" w:rsidRPr="008D19CE">
              <w:rPr>
                <w:rStyle w:val="Hyperlink"/>
                <w:color w:val="0070C0"/>
              </w:rPr>
              <w:tab/>
            </w:r>
            <w:r w:rsidR="00A538D2" w:rsidRPr="008D19CE">
              <w:rPr>
                <w:rStyle w:val="Hyperlink"/>
                <w:b w:val="0"/>
                <w:color w:val="0070C0"/>
              </w:rPr>
              <w:t>Tatimi mbi të Ardhurat</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_Toc104980319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11</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20" w:history="1">
            <w:r w:rsidR="00A538D2" w:rsidRPr="008D19CE">
              <w:rPr>
                <w:rStyle w:val="Hyperlink"/>
                <w:b w:val="0"/>
                <w:color w:val="0070C0"/>
              </w:rPr>
              <w:t>3.1.3</w:t>
            </w:r>
            <w:r w:rsidR="00A538D2" w:rsidRPr="008D19CE">
              <w:rPr>
                <w:rStyle w:val="Hyperlink"/>
                <w:color w:val="0070C0"/>
              </w:rPr>
              <w:tab/>
            </w:r>
            <w:r w:rsidR="00A538D2" w:rsidRPr="008D19CE">
              <w:rPr>
                <w:rStyle w:val="Hyperlink"/>
                <w:b w:val="0"/>
                <w:color w:val="0070C0"/>
              </w:rPr>
              <w:t>Akciza</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_Toc104980320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12</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21" w:history="1">
            <w:r w:rsidR="00A538D2" w:rsidRPr="008D19CE">
              <w:rPr>
                <w:rStyle w:val="Hyperlink"/>
                <w:b w:val="0"/>
                <w:color w:val="0070C0"/>
              </w:rPr>
              <w:t>3.1.4</w:t>
            </w:r>
            <w:r w:rsidR="00A538D2" w:rsidRPr="008D19CE">
              <w:rPr>
                <w:rStyle w:val="Hyperlink"/>
                <w:color w:val="0070C0"/>
              </w:rPr>
              <w:tab/>
            </w:r>
            <w:r w:rsidR="00A538D2" w:rsidRPr="008D19CE">
              <w:rPr>
                <w:rStyle w:val="Hyperlink"/>
                <w:b w:val="0"/>
                <w:color w:val="0070C0"/>
              </w:rPr>
              <w:t>Taksat Vendore</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_Toc104980321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12</w:t>
            </w:r>
            <w:r w:rsidR="00A538D2" w:rsidRPr="008D19CE">
              <w:rPr>
                <w:rStyle w:val="Hyperlink"/>
                <w:b w:val="0"/>
                <w:webHidden/>
                <w:color w:val="0070C0"/>
              </w:rPr>
              <w:fldChar w:fldCharType="end"/>
            </w:r>
          </w:hyperlink>
        </w:p>
        <w:p w:rsidR="00A538D2" w:rsidRPr="008D19CE" w:rsidRDefault="00ED218A" w:rsidP="00FC729E">
          <w:pPr>
            <w:pStyle w:val="TOC2"/>
            <w:spacing w:line="276" w:lineRule="auto"/>
            <w:rPr>
              <w:rStyle w:val="Hyperlink"/>
              <w:color w:val="0070C0"/>
              <w:sz w:val="20"/>
            </w:rPr>
          </w:pPr>
          <w:hyperlink w:anchor="_Toc104980322" w:history="1">
            <w:r w:rsidR="00A538D2" w:rsidRPr="008D19CE">
              <w:rPr>
                <w:rStyle w:val="Hyperlink"/>
                <w:rFonts w:asciiTheme="majorHAnsi" w:hAnsiTheme="majorHAnsi"/>
                <w:color w:val="0070C0"/>
                <w:sz w:val="20"/>
              </w:rPr>
              <w:t>3.2</w:t>
            </w:r>
            <w:r w:rsidR="00A538D2" w:rsidRPr="008D19CE">
              <w:rPr>
                <w:rStyle w:val="Hyperlink"/>
                <w:color w:val="0070C0"/>
                <w:sz w:val="20"/>
              </w:rPr>
              <w:tab/>
            </w:r>
            <w:r w:rsidR="00A538D2" w:rsidRPr="008D19CE">
              <w:rPr>
                <w:rStyle w:val="Hyperlink"/>
                <w:rFonts w:asciiTheme="majorHAnsi" w:hAnsiTheme="majorHAnsi"/>
                <w:color w:val="0070C0"/>
                <w:sz w:val="20"/>
              </w:rPr>
              <w:t>Të ardhurat e përgjithshme</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_Toc104980322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13</w:t>
            </w:r>
            <w:r w:rsidR="00A538D2" w:rsidRPr="008D19CE">
              <w:rPr>
                <w:rStyle w:val="Hyperlink"/>
                <w:webHidden/>
                <w:color w:val="0070C0"/>
                <w:sz w:val="20"/>
              </w:rPr>
              <w:fldChar w:fldCharType="end"/>
            </w:r>
          </w:hyperlink>
        </w:p>
        <w:p w:rsidR="00A538D2" w:rsidRPr="008D19CE" w:rsidRDefault="00ED218A" w:rsidP="00FC729E">
          <w:pPr>
            <w:pStyle w:val="TOC3"/>
            <w:spacing w:before="0" w:after="0" w:line="276" w:lineRule="auto"/>
            <w:rPr>
              <w:rStyle w:val="Hyperlink"/>
              <w:color w:val="0070C0"/>
            </w:rPr>
          </w:pPr>
          <w:hyperlink w:anchor="_Toc104980323" w:history="1">
            <w:r w:rsidR="00A538D2" w:rsidRPr="008D19CE">
              <w:rPr>
                <w:rStyle w:val="Hyperlink"/>
                <w:b w:val="0"/>
                <w:color w:val="0070C0"/>
              </w:rPr>
              <w:t>3.2.1</w:t>
            </w:r>
            <w:r w:rsidR="00A538D2" w:rsidRPr="008D19CE">
              <w:rPr>
                <w:rStyle w:val="Hyperlink"/>
                <w:color w:val="0070C0"/>
              </w:rPr>
              <w:tab/>
            </w:r>
            <w:r w:rsidR="00A538D2" w:rsidRPr="008D19CE">
              <w:rPr>
                <w:rStyle w:val="Hyperlink"/>
                <w:b w:val="0"/>
                <w:color w:val="0070C0"/>
              </w:rPr>
              <w:t>Të ardhurat nga ndihmat</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_Toc104980323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14</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24" w:history="1">
            <w:r w:rsidR="00A538D2" w:rsidRPr="008D19CE">
              <w:rPr>
                <w:rStyle w:val="Hyperlink"/>
                <w:b w:val="0"/>
                <w:color w:val="0070C0"/>
              </w:rPr>
              <w:t>3.2.2</w:t>
            </w:r>
            <w:r w:rsidR="00A538D2" w:rsidRPr="008D19CE">
              <w:rPr>
                <w:rStyle w:val="Hyperlink"/>
                <w:color w:val="0070C0"/>
              </w:rPr>
              <w:tab/>
            </w:r>
            <w:r w:rsidR="00A538D2" w:rsidRPr="008D19CE">
              <w:rPr>
                <w:rStyle w:val="Hyperlink"/>
                <w:b w:val="0"/>
                <w:color w:val="0070C0"/>
              </w:rPr>
              <w:t>Të ardhurat tatimore</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_Toc104980324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14</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25" w:history="1">
            <w:r w:rsidR="00A538D2" w:rsidRPr="008D19CE">
              <w:rPr>
                <w:rStyle w:val="Hyperlink"/>
                <w:b w:val="0"/>
                <w:color w:val="0070C0"/>
              </w:rPr>
              <w:t>3.2.3</w:t>
            </w:r>
            <w:r w:rsidR="00A538D2" w:rsidRPr="008D19CE">
              <w:rPr>
                <w:rStyle w:val="Hyperlink"/>
                <w:color w:val="0070C0"/>
              </w:rPr>
              <w:tab/>
            </w:r>
            <w:r w:rsidR="00A538D2" w:rsidRPr="008D19CE">
              <w:rPr>
                <w:rStyle w:val="Hyperlink"/>
                <w:b w:val="0"/>
                <w:color w:val="0070C0"/>
              </w:rPr>
              <w:t>Të ardhurat nga pushteti vendor</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_Toc104980325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15</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26" w:history="1">
            <w:r w:rsidR="00A538D2" w:rsidRPr="008D19CE">
              <w:rPr>
                <w:rStyle w:val="Hyperlink"/>
                <w:b w:val="0"/>
                <w:color w:val="0070C0"/>
              </w:rPr>
              <w:t>3.2.4</w:t>
            </w:r>
            <w:r w:rsidR="00A538D2" w:rsidRPr="008D19CE">
              <w:rPr>
                <w:rStyle w:val="Hyperlink"/>
                <w:color w:val="0070C0"/>
              </w:rPr>
              <w:tab/>
            </w:r>
            <w:r w:rsidR="00A538D2" w:rsidRPr="008D19CE">
              <w:rPr>
                <w:rStyle w:val="Hyperlink"/>
                <w:b w:val="0"/>
                <w:color w:val="0070C0"/>
              </w:rPr>
              <w:t>Të ardhurat nga fondet speciale</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_Toc104980326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15</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27" w:history="1">
            <w:r w:rsidR="00A538D2" w:rsidRPr="008D19CE">
              <w:rPr>
                <w:rStyle w:val="Hyperlink"/>
                <w:b w:val="0"/>
                <w:color w:val="0070C0"/>
              </w:rPr>
              <w:t>3.2.5</w:t>
            </w:r>
            <w:r w:rsidR="00A538D2" w:rsidRPr="008D19CE">
              <w:rPr>
                <w:rStyle w:val="Hyperlink"/>
                <w:color w:val="0070C0"/>
              </w:rPr>
              <w:tab/>
            </w:r>
            <w:r w:rsidR="00A538D2" w:rsidRPr="008D19CE">
              <w:rPr>
                <w:rStyle w:val="Hyperlink"/>
                <w:b w:val="0"/>
                <w:color w:val="0070C0"/>
              </w:rPr>
              <w:t>Të ardhurat jotatimore</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_Toc104980327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16</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28" w:history="1">
            <w:r w:rsidR="00A538D2" w:rsidRPr="008D19CE">
              <w:rPr>
                <w:rStyle w:val="Hyperlink"/>
                <w:b w:val="0"/>
                <w:color w:val="0070C0"/>
              </w:rPr>
              <w:t>3.2.6</w:t>
            </w:r>
            <w:r w:rsidR="00A538D2" w:rsidRPr="008D19CE">
              <w:rPr>
                <w:rStyle w:val="Hyperlink"/>
                <w:color w:val="0070C0"/>
              </w:rPr>
              <w:tab/>
            </w:r>
            <w:r w:rsidR="00A538D2" w:rsidRPr="008D19CE">
              <w:rPr>
                <w:rStyle w:val="Hyperlink"/>
                <w:b w:val="0"/>
                <w:color w:val="0070C0"/>
              </w:rPr>
              <w:t>Të ardhurat nga tatimet dhe doganat</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_Toc104980328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17</w:t>
            </w:r>
            <w:r w:rsidR="00A538D2" w:rsidRPr="008D19CE">
              <w:rPr>
                <w:rStyle w:val="Hyperlink"/>
                <w:b w:val="0"/>
                <w:webHidden/>
                <w:color w:val="0070C0"/>
              </w:rPr>
              <w:fldChar w:fldCharType="end"/>
            </w:r>
          </w:hyperlink>
        </w:p>
        <w:p w:rsidR="00A538D2" w:rsidRPr="008D19CE" w:rsidRDefault="00ED218A" w:rsidP="00FC729E">
          <w:pPr>
            <w:pStyle w:val="TOC2"/>
            <w:spacing w:line="276" w:lineRule="auto"/>
            <w:rPr>
              <w:rStyle w:val="Hyperlink"/>
              <w:color w:val="0070C0"/>
              <w:sz w:val="20"/>
            </w:rPr>
          </w:pPr>
          <w:hyperlink w:anchor="_Toc104980329" w:history="1">
            <w:r w:rsidR="00A538D2" w:rsidRPr="008D19CE">
              <w:rPr>
                <w:rStyle w:val="Hyperlink"/>
                <w:rFonts w:asciiTheme="majorHAnsi" w:hAnsiTheme="majorHAnsi"/>
                <w:color w:val="0070C0"/>
                <w:sz w:val="20"/>
              </w:rPr>
              <w:t>3.3</w:t>
            </w:r>
            <w:r w:rsidR="00A538D2" w:rsidRPr="008D19CE">
              <w:rPr>
                <w:rStyle w:val="Hyperlink"/>
                <w:color w:val="0070C0"/>
                <w:sz w:val="20"/>
              </w:rPr>
              <w:tab/>
            </w:r>
            <w:r w:rsidR="00A538D2" w:rsidRPr="008D19CE">
              <w:rPr>
                <w:rStyle w:val="Hyperlink"/>
                <w:rFonts w:asciiTheme="majorHAnsi" w:hAnsiTheme="majorHAnsi"/>
                <w:color w:val="0070C0"/>
                <w:sz w:val="20"/>
              </w:rPr>
              <w:t>Të ardhurat sipas taksave, tatimeve dhe burimeve të tjera</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_Toc104980329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19</w:t>
            </w:r>
            <w:r w:rsidR="00A538D2" w:rsidRPr="008D19CE">
              <w:rPr>
                <w:rStyle w:val="Hyperlink"/>
                <w:webHidden/>
                <w:color w:val="0070C0"/>
                <w:sz w:val="20"/>
              </w:rPr>
              <w:fldChar w:fldCharType="end"/>
            </w:r>
          </w:hyperlink>
        </w:p>
        <w:p w:rsidR="00A538D2" w:rsidRPr="008D19CE" w:rsidRDefault="00ED218A" w:rsidP="00FC729E">
          <w:pPr>
            <w:pStyle w:val="TOC3"/>
            <w:spacing w:before="0" w:after="0" w:line="276" w:lineRule="auto"/>
            <w:rPr>
              <w:rStyle w:val="Hyperlink"/>
              <w:color w:val="0070C0"/>
            </w:rPr>
          </w:pPr>
          <w:hyperlink w:anchor="_Toc104980330" w:history="1">
            <w:r w:rsidR="00A538D2" w:rsidRPr="008D19CE">
              <w:rPr>
                <w:rStyle w:val="Hyperlink"/>
                <w:b w:val="0"/>
                <w:color w:val="0070C0"/>
              </w:rPr>
              <w:t>3.3.1</w:t>
            </w:r>
            <w:r w:rsidR="00A538D2" w:rsidRPr="008D19CE">
              <w:rPr>
                <w:rStyle w:val="Hyperlink"/>
                <w:color w:val="0070C0"/>
              </w:rPr>
              <w:tab/>
            </w:r>
            <w:r w:rsidR="00A538D2" w:rsidRPr="008D19CE">
              <w:rPr>
                <w:rStyle w:val="Hyperlink"/>
                <w:b w:val="0"/>
                <w:color w:val="0070C0"/>
              </w:rPr>
              <w:t>Taksimi Indirekt</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_Toc104980330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19</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31" w:history="1">
            <w:r w:rsidR="00A538D2" w:rsidRPr="008D19CE">
              <w:rPr>
                <w:rStyle w:val="Hyperlink"/>
                <w:b w:val="0"/>
                <w:color w:val="0070C0"/>
              </w:rPr>
              <w:t>3.3.2</w:t>
            </w:r>
            <w:r w:rsidR="00A538D2" w:rsidRPr="008D19CE">
              <w:rPr>
                <w:rStyle w:val="Hyperlink"/>
                <w:color w:val="0070C0"/>
              </w:rPr>
              <w:tab/>
            </w:r>
            <w:r w:rsidR="00A538D2" w:rsidRPr="008D19CE">
              <w:rPr>
                <w:rStyle w:val="Hyperlink"/>
                <w:b w:val="0"/>
                <w:color w:val="0070C0"/>
              </w:rPr>
              <w:t>Taksimi direkt</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_Toc104980331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22</w:t>
            </w:r>
            <w:r w:rsidR="00A538D2" w:rsidRPr="008D19CE">
              <w:rPr>
                <w:rStyle w:val="Hyperlink"/>
                <w:b w:val="0"/>
                <w:webHidden/>
                <w:color w:val="0070C0"/>
              </w:rPr>
              <w:fldChar w:fldCharType="end"/>
            </w:r>
          </w:hyperlink>
        </w:p>
        <w:p w:rsidR="008D19CE" w:rsidRDefault="008D19CE" w:rsidP="00FC729E">
          <w:pPr>
            <w:pStyle w:val="TOC1"/>
            <w:rPr>
              <w:rStyle w:val="Hyperlink"/>
              <w:rFonts w:cs="Calibri"/>
              <w:color w:val="0070C0"/>
              <w:sz w:val="24"/>
            </w:rPr>
          </w:pPr>
        </w:p>
        <w:p w:rsidR="00A538D2" w:rsidRPr="008D19CE" w:rsidRDefault="00ED218A" w:rsidP="00FC729E">
          <w:pPr>
            <w:pStyle w:val="TOC1"/>
            <w:rPr>
              <w:rStyle w:val="Hyperlink"/>
              <w:rFonts w:cs="Calibri"/>
              <w:color w:val="0070C0"/>
              <w:sz w:val="24"/>
            </w:rPr>
          </w:pPr>
          <w:hyperlink w:anchor="_Toc104980332" w:history="1">
            <w:r w:rsidR="00A538D2" w:rsidRPr="008D19CE">
              <w:rPr>
                <w:rStyle w:val="Hyperlink"/>
                <w:rFonts w:cs="Calibri"/>
                <w:color w:val="0070C0"/>
                <w:sz w:val="24"/>
              </w:rPr>
              <w:t>4.</w:t>
            </w:r>
            <w:r w:rsidR="00A538D2" w:rsidRPr="008D19CE">
              <w:rPr>
                <w:rStyle w:val="Hyperlink"/>
                <w:rFonts w:cs="Calibri"/>
                <w:color w:val="0070C0"/>
                <w:sz w:val="24"/>
              </w:rPr>
              <w:tab/>
              <w:t>SHPENZIMET E PËRGJITHSHME</w:t>
            </w:r>
            <w:r w:rsidR="00A538D2" w:rsidRPr="008D19CE">
              <w:rPr>
                <w:rStyle w:val="Hyperlink"/>
                <w:rFonts w:cs="Calibri"/>
                <w:webHidden/>
                <w:color w:val="0070C0"/>
                <w:sz w:val="24"/>
              </w:rPr>
              <w:tab/>
            </w:r>
            <w:r w:rsidR="00ED403D">
              <w:rPr>
                <w:rStyle w:val="Hyperlink"/>
                <w:rFonts w:cs="Calibri"/>
                <w:webHidden/>
                <w:color w:val="0070C0"/>
                <w:sz w:val="24"/>
              </w:rPr>
              <w:tab/>
            </w:r>
            <w:r w:rsidR="00A538D2" w:rsidRPr="008D19CE">
              <w:rPr>
                <w:rStyle w:val="Hyperlink"/>
                <w:rFonts w:cs="Calibri"/>
                <w:webHidden/>
                <w:color w:val="0070C0"/>
                <w:sz w:val="24"/>
              </w:rPr>
              <w:fldChar w:fldCharType="begin"/>
            </w:r>
            <w:r w:rsidR="00A538D2" w:rsidRPr="008D19CE">
              <w:rPr>
                <w:rStyle w:val="Hyperlink"/>
                <w:rFonts w:cs="Calibri"/>
                <w:webHidden/>
                <w:color w:val="0070C0"/>
                <w:sz w:val="24"/>
              </w:rPr>
              <w:instrText xml:space="preserve"> PAGEREF _Toc104980332 \h </w:instrText>
            </w:r>
            <w:r w:rsidR="00A538D2" w:rsidRPr="008D19CE">
              <w:rPr>
                <w:rStyle w:val="Hyperlink"/>
                <w:rFonts w:cs="Calibri"/>
                <w:webHidden/>
                <w:color w:val="0070C0"/>
                <w:sz w:val="24"/>
              </w:rPr>
            </w:r>
            <w:r w:rsidR="00A538D2" w:rsidRPr="008D19CE">
              <w:rPr>
                <w:rStyle w:val="Hyperlink"/>
                <w:rFonts w:cs="Calibri"/>
                <w:webHidden/>
                <w:color w:val="0070C0"/>
                <w:sz w:val="24"/>
              </w:rPr>
              <w:fldChar w:fldCharType="separate"/>
            </w:r>
            <w:r w:rsidR="008C3E07">
              <w:rPr>
                <w:rStyle w:val="Hyperlink"/>
                <w:rFonts w:cs="Calibri"/>
                <w:webHidden/>
                <w:color w:val="0070C0"/>
                <w:sz w:val="24"/>
              </w:rPr>
              <w:t>26</w:t>
            </w:r>
            <w:r w:rsidR="00A538D2" w:rsidRPr="008D19CE">
              <w:rPr>
                <w:rStyle w:val="Hyperlink"/>
                <w:rFonts w:cs="Calibri"/>
                <w:webHidden/>
                <w:color w:val="0070C0"/>
                <w:sz w:val="24"/>
              </w:rPr>
              <w:fldChar w:fldCharType="end"/>
            </w:r>
          </w:hyperlink>
        </w:p>
        <w:p w:rsidR="00A538D2" w:rsidRPr="008D19CE" w:rsidRDefault="00ED218A" w:rsidP="00FC729E">
          <w:pPr>
            <w:pStyle w:val="TOC2"/>
            <w:spacing w:before="0" w:after="0" w:line="276" w:lineRule="auto"/>
            <w:rPr>
              <w:rStyle w:val="Hyperlink"/>
              <w:color w:val="0070C0"/>
              <w:sz w:val="20"/>
            </w:rPr>
          </w:pPr>
          <w:hyperlink w:anchor="_Toc104980333" w:history="1">
            <w:r w:rsidR="00A538D2" w:rsidRPr="008D19CE">
              <w:rPr>
                <w:rStyle w:val="Hyperlink"/>
                <w:rFonts w:asciiTheme="majorHAnsi" w:hAnsiTheme="majorHAnsi"/>
                <w:color w:val="0070C0"/>
                <w:sz w:val="20"/>
              </w:rPr>
              <w:t>4.1</w:t>
            </w:r>
            <w:r w:rsidR="00A538D2" w:rsidRPr="008D19CE">
              <w:rPr>
                <w:rStyle w:val="Hyperlink"/>
                <w:color w:val="0070C0"/>
                <w:sz w:val="20"/>
              </w:rPr>
              <w:tab/>
            </w:r>
            <w:r w:rsidR="00A538D2" w:rsidRPr="008D19CE">
              <w:rPr>
                <w:rStyle w:val="Hyperlink"/>
                <w:rFonts w:asciiTheme="majorHAnsi" w:hAnsiTheme="majorHAnsi"/>
                <w:color w:val="0070C0"/>
                <w:sz w:val="20"/>
              </w:rPr>
              <w:t>Shpenzimet sipas natyrës ekonomike</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_Toc104980333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26</w:t>
            </w:r>
            <w:r w:rsidR="00A538D2" w:rsidRPr="008D19CE">
              <w:rPr>
                <w:rStyle w:val="Hyperlink"/>
                <w:webHidden/>
                <w:color w:val="0070C0"/>
                <w:sz w:val="20"/>
              </w:rPr>
              <w:fldChar w:fldCharType="end"/>
            </w:r>
          </w:hyperlink>
        </w:p>
        <w:p w:rsidR="00A538D2" w:rsidRPr="008D19CE" w:rsidRDefault="00ED218A" w:rsidP="00FC729E">
          <w:pPr>
            <w:pStyle w:val="TOC2"/>
            <w:spacing w:before="0" w:after="0" w:line="276" w:lineRule="auto"/>
            <w:rPr>
              <w:rStyle w:val="Hyperlink"/>
              <w:color w:val="0070C0"/>
              <w:sz w:val="20"/>
            </w:rPr>
          </w:pPr>
          <w:hyperlink w:anchor="_Toc104980334" w:history="1">
            <w:r w:rsidR="00A538D2" w:rsidRPr="008D19CE">
              <w:rPr>
                <w:rStyle w:val="Hyperlink"/>
                <w:rFonts w:asciiTheme="majorHAnsi" w:hAnsiTheme="majorHAnsi"/>
                <w:color w:val="0070C0"/>
                <w:sz w:val="20"/>
              </w:rPr>
              <w:t>4.2</w:t>
            </w:r>
            <w:r w:rsidR="00A538D2" w:rsidRPr="008D19CE">
              <w:rPr>
                <w:rStyle w:val="Hyperlink"/>
                <w:color w:val="0070C0"/>
                <w:sz w:val="20"/>
              </w:rPr>
              <w:tab/>
            </w:r>
            <w:r w:rsidR="00A538D2" w:rsidRPr="008D19CE">
              <w:rPr>
                <w:rStyle w:val="Hyperlink"/>
                <w:rFonts w:asciiTheme="majorHAnsi" w:hAnsiTheme="majorHAnsi"/>
                <w:color w:val="0070C0"/>
                <w:sz w:val="20"/>
              </w:rPr>
              <w:t>Shpenzimet sipas natyrës funksionale</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_Toc104980334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32</w:t>
            </w:r>
            <w:r w:rsidR="00A538D2" w:rsidRPr="008D19CE">
              <w:rPr>
                <w:rStyle w:val="Hyperlink"/>
                <w:webHidden/>
                <w:color w:val="0070C0"/>
                <w:sz w:val="20"/>
              </w:rPr>
              <w:fldChar w:fldCharType="end"/>
            </w:r>
          </w:hyperlink>
        </w:p>
        <w:p w:rsidR="00A538D2" w:rsidRPr="008D19CE" w:rsidRDefault="00ED218A" w:rsidP="00FC729E">
          <w:pPr>
            <w:pStyle w:val="TOC2"/>
            <w:spacing w:before="0" w:after="0" w:line="276" w:lineRule="auto"/>
            <w:rPr>
              <w:rStyle w:val="Hyperlink"/>
              <w:color w:val="0070C0"/>
              <w:sz w:val="20"/>
            </w:rPr>
          </w:pPr>
          <w:hyperlink w:anchor="_Toc104980335" w:history="1">
            <w:r w:rsidR="00A538D2" w:rsidRPr="008D19CE">
              <w:rPr>
                <w:rStyle w:val="Hyperlink"/>
                <w:rFonts w:asciiTheme="majorHAnsi" w:hAnsiTheme="majorHAnsi"/>
                <w:color w:val="0070C0"/>
                <w:sz w:val="20"/>
              </w:rPr>
              <w:t>4.3</w:t>
            </w:r>
            <w:r w:rsidR="00A538D2" w:rsidRPr="008D19CE">
              <w:rPr>
                <w:rStyle w:val="Hyperlink"/>
                <w:color w:val="0070C0"/>
                <w:sz w:val="20"/>
              </w:rPr>
              <w:tab/>
            </w:r>
            <w:r w:rsidR="00A538D2" w:rsidRPr="008D19CE">
              <w:rPr>
                <w:rStyle w:val="Hyperlink"/>
                <w:rFonts w:asciiTheme="majorHAnsi" w:hAnsiTheme="majorHAnsi"/>
                <w:color w:val="0070C0"/>
                <w:sz w:val="20"/>
              </w:rPr>
              <w:t>Ndryshimet në ligjin e buxhetit 202</w:t>
            </w:r>
            <w:r w:rsidR="00556E22">
              <w:rPr>
                <w:rStyle w:val="Hyperlink"/>
                <w:rFonts w:asciiTheme="majorHAnsi" w:hAnsiTheme="majorHAnsi"/>
                <w:color w:val="0070C0"/>
                <w:sz w:val="20"/>
              </w:rPr>
              <w:t>2</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_Toc104980335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33</w:t>
            </w:r>
            <w:r w:rsidR="00A538D2" w:rsidRPr="008D19CE">
              <w:rPr>
                <w:rStyle w:val="Hyperlink"/>
                <w:webHidden/>
                <w:color w:val="0070C0"/>
                <w:sz w:val="20"/>
              </w:rPr>
              <w:fldChar w:fldCharType="end"/>
            </w:r>
          </w:hyperlink>
        </w:p>
        <w:p w:rsidR="00A538D2" w:rsidRPr="008D19CE" w:rsidRDefault="00ED218A" w:rsidP="00FC729E">
          <w:pPr>
            <w:pStyle w:val="TOC2"/>
            <w:spacing w:before="0" w:after="0" w:line="276" w:lineRule="auto"/>
            <w:rPr>
              <w:rStyle w:val="Hyperlink"/>
              <w:color w:val="0070C0"/>
              <w:sz w:val="20"/>
            </w:rPr>
          </w:pPr>
          <w:hyperlink w:anchor="_Toc104980336" w:history="1">
            <w:r w:rsidR="00A538D2" w:rsidRPr="008D19CE">
              <w:rPr>
                <w:rStyle w:val="Hyperlink"/>
                <w:rFonts w:asciiTheme="majorHAnsi" w:hAnsiTheme="majorHAnsi"/>
                <w:color w:val="0070C0"/>
                <w:sz w:val="20"/>
              </w:rPr>
              <w:t>4.4</w:t>
            </w:r>
            <w:r w:rsidR="00A538D2" w:rsidRPr="008D19CE">
              <w:rPr>
                <w:rStyle w:val="Hyperlink"/>
                <w:color w:val="0070C0"/>
                <w:sz w:val="20"/>
              </w:rPr>
              <w:tab/>
            </w:r>
            <w:r w:rsidR="00A538D2" w:rsidRPr="008D19CE">
              <w:rPr>
                <w:rStyle w:val="Hyperlink"/>
                <w:rFonts w:asciiTheme="majorHAnsi" w:hAnsiTheme="majorHAnsi"/>
                <w:color w:val="0070C0"/>
                <w:sz w:val="20"/>
              </w:rPr>
              <w:t>Fondi Rezervë dhe Kontigjenca</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_Toc104980336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35</w:t>
            </w:r>
            <w:r w:rsidR="00A538D2" w:rsidRPr="008D19CE">
              <w:rPr>
                <w:rStyle w:val="Hyperlink"/>
                <w:webHidden/>
                <w:color w:val="0070C0"/>
                <w:sz w:val="20"/>
              </w:rPr>
              <w:fldChar w:fldCharType="end"/>
            </w:r>
          </w:hyperlink>
        </w:p>
        <w:p w:rsidR="00A538D2" w:rsidRDefault="00ED218A" w:rsidP="00FC729E">
          <w:pPr>
            <w:pStyle w:val="TOC2"/>
            <w:spacing w:before="0" w:after="0" w:line="276" w:lineRule="auto"/>
            <w:rPr>
              <w:rStyle w:val="Hyperlink"/>
              <w:rFonts w:asciiTheme="majorHAnsi" w:hAnsiTheme="majorHAnsi"/>
              <w:color w:val="0070C0"/>
              <w:sz w:val="20"/>
            </w:rPr>
          </w:pPr>
          <w:hyperlink w:anchor="_Toc104980337" w:history="1">
            <w:r w:rsidR="00A538D2" w:rsidRPr="008D19CE">
              <w:rPr>
                <w:rStyle w:val="Hyperlink"/>
                <w:rFonts w:asciiTheme="majorHAnsi" w:hAnsiTheme="majorHAnsi"/>
                <w:color w:val="0070C0"/>
                <w:sz w:val="20"/>
              </w:rPr>
              <w:t>4.5</w:t>
            </w:r>
            <w:r w:rsidR="00A538D2" w:rsidRPr="008D19CE">
              <w:rPr>
                <w:rStyle w:val="Hyperlink"/>
                <w:color w:val="0070C0"/>
                <w:sz w:val="20"/>
              </w:rPr>
              <w:tab/>
            </w:r>
            <w:r w:rsidR="00A538D2" w:rsidRPr="008D19CE">
              <w:rPr>
                <w:rStyle w:val="Hyperlink"/>
                <w:rFonts w:asciiTheme="majorHAnsi" w:hAnsiTheme="majorHAnsi"/>
                <w:color w:val="0070C0"/>
                <w:sz w:val="20"/>
              </w:rPr>
              <w:t>Programi i Rindërtimit</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_Toc104980337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36</w:t>
            </w:r>
            <w:r w:rsidR="00A538D2" w:rsidRPr="008D19CE">
              <w:rPr>
                <w:rStyle w:val="Hyperlink"/>
                <w:webHidden/>
                <w:color w:val="0070C0"/>
                <w:sz w:val="20"/>
              </w:rPr>
              <w:fldChar w:fldCharType="end"/>
            </w:r>
          </w:hyperlink>
        </w:p>
        <w:p w:rsidR="001323FC" w:rsidRPr="001323FC" w:rsidRDefault="001323FC" w:rsidP="00FC729E">
          <w:pPr>
            <w:spacing w:before="0"/>
            <w:rPr>
              <w:noProof/>
              <w:lang w:val="sq-AL"/>
            </w:rPr>
          </w:pPr>
        </w:p>
        <w:p w:rsidR="00A538D2" w:rsidRPr="008D19CE" w:rsidRDefault="00ED218A" w:rsidP="00FC729E">
          <w:pPr>
            <w:pStyle w:val="TOC1"/>
            <w:rPr>
              <w:rFonts w:eastAsiaTheme="minorEastAsia" w:cstheme="minorBidi"/>
              <w:color w:val="auto"/>
              <w:sz w:val="22"/>
              <w:szCs w:val="22"/>
              <w:lang w:val="en-US"/>
            </w:rPr>
          </w:pPr>
          <w:hyperlink w:anchor="_Toc104980338" w:history="1">
            <w:r w:rsidR="00A538D2" w:rsidRPr="008D19CE">
              <w:rPr>
                <w:rStyle w:val="Hyperlink"/>
                <w:rFonts w:cs="Calibri"/>
                <w:color w:val="0070C0"/>
                <w:sz w:val="24"/>
              </w:rPr>
              <w:t>5.</w:t>
            </w:r>
            <w:r w:rsidR="00A538D2" w:rsidRPr="008D19CE">
              <w:rPr>
                <w:rStyle w:val="Hyperlink"/>
                <w:rFonts w:cs="Calibri"/>
                <w:color w:val="0070C0"/>
                <w:sz w:val="24"/>
              </w:rPr>
              <w:tab/>
              <w:t>BUXHETI VENDOR</w:t>
            </w:r>
            <w:r w:rsidR="00A538D2" w:rsidRPr="008D19CE">
              <w:rPr>
                <w:rStyle w:val="Hyperlink"/>
                <w:rFonts w:cs="Calibri"/>
                <w:webHidden/>
                <w:color w:val="0070C0"/>
                <w:sz w:val="24"/>
              </w:rPr>
              <w:tab/>
            </w:r>
            <w:r w:rsidR="00ED403D">
              <w:rPr>
                <w:rStyle w:val="Hyperlink"/>
                <w:rFonts w:cs="Calibri"/>
                <w:webHidden/>
                <w:color w:val="0070C0"/>
                <w:sz w:val="24"/>
              </w:rPr>
              <w:tab/>
            </w:r>
            <w:r w:rsidR="00A538D2" w:rsidRPr="008D19CE">
              <w:rPr>
                <w:rStyle w:val="Hyperlink"/>
                <w:rFonts w:cs="Calibri"/>
                <w:webHidden/>
                <w:color w:val="0070C0"/>
                <w:sz w:val="24"/>
              </w:rPr>
              <w:fldChar w:fldCharType="begin"/>
            </w:r>
            <w:r w:rsidR="00A538D2" w:rsidRPr="008D19CE">
              <w:rPr>
                <w:rStyle w:val="Hyperlink"/>
                <w:rFonts w:cs="Calibri"/>
                <w:webHidden/>
                <w:color w:val="0070C0"/>
                <w:sz w:val="24"/>
              </w:rPr>
              <w:instrText xml:space="preserve"> PAGEREF _Toc104980338 \h </w:instrText>
            </w:r>
            <w:r w:rsidR="00A538D2" w:rsidRPr="008D19CE">
              <w:rPr>
                <w:rStyle w:val="Hyperlink"/>
                <w:rFonts w:cs="Calibri"/>
                <w:webHidden/>
                <w:color w:val="0070C0"/>
                <w:sz w:val="24"/>
              </w:rPr>
            </w:r>
            <w:r w:rsidR="00A538D2" w:rsidRPr="008D19CE">
              <w:rPr>
                <w:rStyle w:val="Hyperlink"/>
                <w:rFonts w:cs="Calibri"/>
                <w:webHidden/>
                <w:color w:val="0070C0"/>
                <w:sz w:val="24"/>
              </w:rPr>
              <w:fldChar w:fldCharType="separate"/>
            </w:r>
            <w:r w:rsidR="008C3E07">
              <w:rPr>
                <w:rStyle w:val="Hyperlink"/>
                <w:rFonts w:cs="Calibri"/>
                <w:webHidden/>
                <w:color w:val="0070C0"/>
                <w:sz w:val="24"/>
              </w:rPr>
              <w:t>38</w:t>
            </w:r>
            <w:r w:rsidR="00A538D2" w:rsidRPr="008D19CE">
              <w:rPr>
                <w:rStyle w:val="Hyperlink"/>
                <w:rFonts w:cs="Calibri"/>
                <w:webHidden/>
                <w:color w:val="0070C0"/>
                <w:sz w:val="24"/>
              </w:rPr>
              <w:fldChar w:fldCharType="end"/>
            </w:r>
          </w:hyperlink>
        </w:p>
        <w:p w:rsidR="00A538D2" w:rsidRPr="008D19CE" w:rsidRDefault="00ED218A" w:rsidP="00FC729E">
          <w:pPr>
            <w:pStyle w:val="TOC2"/>
            <w:spacing w:before="0" w:after="0" w:line="276" w:lineRule="auto"/>
            <w:rPr>
              <w:rStyle w:val="Hyperlink"/>
              <w:color w:val="0070C0"/>
              <w:sz w:val="20"/>
            </w:rPr>
          </w:pPr>
          <w:hyperlink w:anchor="_Toc104980339" w:history="1">
            <w:r w:rsidR="00A538D2" w:rsidRPr="008D19CE">
              <w:rPr>
                <w:rStyle w:val="Hyperlink"/>
                <w:rFonts w:asciiTheme="majorHAnsi" w:hAnsiTheme="majorHAnsi"/>
                <w:color w:val="0070C0"/>
                <w:sz w:val="20"/>
              </w:rPr>
              <w:t>5.1</w:t>
            </w:r>
            <w:r w:rsidR="00A538D2" w:rsidRPr="008D19CE">
              <w:rPr>
                <w:rStyle w:val="Hyperlink"/>
                <w:color w:val="0070C0"/>
                <w:sz w:val="20"/>
              </w:rPr>
              <w:tab/>
            </w:r>
            <w:r w:rsidR="00A538D2" w:rsidRPr="008D19CE">
              <w:rPr>
                <w:rStyle w:val="Hyperlink"/>
                <w:rFonts w:asciiTheme="majorHAnsi" w:hAnsiTheme="majorHAnsi"/>
                <w:color w:val="0070C0"/>
                <w:sz w:val="20"/>
              </w:rPr>
              <w:t>Të ardhurat e njësive të vetëqeverisjes vendore</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_Toc104980339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39</w:t>
            </w:r>
            <w:r w:rsidR="00A538D2" w:rsidRPr="008D19CE">
              <w:rPr>
                <w:rStyle w:val="Hyperlink"/>
                <w:webHidden/>
                <w:color w:val="0070C0"/>
                <w:sz w:val="20"/>
              </w:rPr>
              <w:fldChar w:fldCharType="end"/>
            </w:r>
          </w:hyperlink>
        </w:p>
        <w:p w:rsidR="00A538D2" w:rsidRDefault="00ED218A" w:rsidP="00FC729E">
          <w:pPr>
            <w:pStyle w:val="TOC2"/>
            <w:spacing w:before="0" w:after="0" w:line="276" w:lineRule="auto"/>
            <w:rPr>
              <w:rStyle w:val="Hyperlink"/>
              <w:rFonts w:asciiTheme="majorHAnsi" w:hAnsiTheme="majorHAnsi"/>
              <w:color w:val="0070C0"/>
              <w:sz w:val="20"/>
            </w:rPr>
          </w:pPr>
          <w:hyperlink w:anchor="_Toc104980340" w:history="1">
            <w:r w:rsidR="00A538D2" w:rsidRPr="008D19CE">
              <w:rPr>
                <w:rStyle w:val="Hyperlink"/>
                <w:rFonts w:asciiTheme="majorHAnsi" w:hAnsiTheme="majorHAnsi"/>
                <w:color w:val="0070C0"/>
                <w:sz w:val="20"/>
              </w:rPr>
              <w:t>5.2</w:t>
            </w:r>
            <w:r w:rsidR="00A538D2" w:rsidRPr="008D19CE">
              <w:rPr>
                <w:rStyle w:val="Hyperlink"/>
                <w:color w:val="0070C0"/>
                <w:sz w:val="20"/>
              </w:rPr>
              <w:tab/>
            </w:r>
            <w:r w:rsidR="00A538D2" w:rsidRPr="008D19CE">
              <w:rPr>
                <w:rStyle w:val="Hyperlink"/>
                <w:rFonts w:asciiTheme="majorHAnsi" w:hAnsiTheme="majorHAnsi"/>
                <w:color w:val="0070C0"/>
                <w:sz w:val="20"/>
              </w:rPr>
              <w:t>Shpenzimet e njësive të vetëqeverisjes vendore</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_Toc104980340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42</w:t>
            </w:r>
            <w:r w:rsidR="00A538D2" w:rsidRPr="008D19CE">
              <w:rPr>
                <w:rStyle w:val="Hyperlink"/>
                <w:webHidden/>
                <w:color w:val="0070C0"/>
                <w:sz w:val="20"/>
              </w:rPr>
              <w:fldChar w:fldCharType="end"/>
            </w:r>
          </w:hyperlink>
        </w:p>
        <w:p w:rsidR="00517BE0" w:rsidRPr="00517BE0" w:rsidRDefault="00517BE0" w:rsidP="00FC729E">
          <w:pPr>
            <w:spacing w:before="0"/>
            <w:rPr>
              <w:noProof/>
              <w:lang w:val="sq-AL"/>
            </w:rPr>
          </w:pPr>
        </w:p>
        <w:p w:rsidR="00A538D2" w:rsidRDefault="00ED218A" w:rsidP="00FC729E">
          <w:pPr>
            <w:pStyle w:val="TOC1"/>
            <w:rPr>
              <w:rStyle w:val="Hyperlink"/>
              <w:rFonts w:cs="Calibri"/>
              <w:color w:val="0070C0"/>
              <w:sz w:val="24"/>
            </w:rPr>
          </w:pPr>
          <w:hyperlink w:anchor="_Toc104980341" w:history="1">
            <w:r w:rsidR="00A538D2" w:rsidRPr="008D19CE">
              <w:rPr>
                <w:rStyle w:val="Hyperlink"/>
                <w:rFonts w:cs="Calibri"/>
                <w:color w:val="0070C0"/>
                <w:sz w:val="24"/>
              </w:rPr>
              <w:t>6.</w:t>
            </w:r>
            <w:r w:rsidR="00A538D2" w:rsidRPr="008D19CE">
              <w:rPr>
                <w:rStyle w:val="Hyperlink"/>
                <w:rFonts w:cs="Calibri"/>
                <w:color w:val="0070C0"/>
                <w:sz w:val="24"/>
              </w:rPr>
              <w:tab/>
              <w:t>MENAXHIMI I BORXHIT PUBLIK</w:t>
            </w:r>
            <w:r w:rsidR="00A538D2" w:rsidRPr="008D19CE">
              <w:rPr>
                <w:rStyle w:val="Hyperlink"/>
                <w:rFonts w:cs="Calibri"/>
                <w:webHidden/>
                <w:color w:val="0070C0"/>
                <w:sz w:val="24"/>
              </w:rPr>
              <w:tab/>
            </w:r>
            <w:r w:rsidR="00ED403D">
              <w:rPr>
                <w:rStyle w:val="Hyperlink"/>
                <w:rFonts w:cs="Calibri"/>
                <w:webHidden/>
                <w:color w:val="0070C0"/>
                <w:sz w:val="24"/>
              </w:rPr>
              <w:tab/>
            </w:r>
            <w:r w:rsidR="00A538D2" w:rsidRPr="008D19CE">
              <w:rPr>
                <w:rStyle w:val="Hyperlink"/>
                <w:rFonts w:cs="Calibri"/>
                <w:webHidden/>
                <w:color w:val="0070C0"/>
                <w:sz w:val="24"/>
              </w:rPr>
              <w:fldChar w:fldCharType="begin"/>
            </w:r>
            <w:r w:rsidR="00A538D2" w:rsidRPr="008D19CE">
              <w:rPr>
                <w:rStyle w:val="Hyperlink"/>
                <w:rFonts w:cs="Calibri"/>
                <w:webHidden/>
                <w:color w:val="0070C0"/>
                <w:sz w:val="24"/>
              </w:rPr>
              <w:instrText xml:space="preserve"> PAGEREF _Toc104980341 \h </w:instrText>
            </w:r>
            <w:r w:rsidR="00A538D2" w:rsidRPr="008D19CE">
              <w:rPr>
                <w:rStyle w:val="Hyperlink"/>
                <w:rFonts w:cs="Calibri"/>
                <w:webHidden/>
                <w:color w:val="0070C0"/>
                <w:sz w:val="24"/>
              </w:rPr>
            </w:r>
            <w:r w:rsidR="00A538D2" w:rsidRPr="008D19CE">
              <w:rPr>
                <w:rStyle w:val="Hyperlink"/>
                <w:rFonts w:cs="Calibri"/>
                <w:webHidden/>
                <w:color w:val="0070C0"/>
                <w:sz w:val="24"/>
              </w:rPr>
              <w:fldChar w:fldCharType="separate"/>
            </w:r>
            <w:r w:rsidR="008C3E07">
              <w:rPr>
                <w:rStyle w:val="Hyperlink"/>
                <w:rFonts w:cs="Calibri"/>
                <w:webHidden/>
                <w:color w:val="0070C0"/>
                <w:sz w:val="24"/>
              </w:rPr>
              <w:t>4</w:t>
            </w:r>
            <w:r w:rsidR="008C3E07">
              <w:rPr>
                <w:rStyle w:val="Hyperlink"/>
                <w:rFonts w:cs="Calibri"/>
                <w:webHidden/>
                <w:color w:val="0070C0"/>
                <w:sz w:val="24"/>
              </w:rPr>
              <w:t>5</w:t>
            </w:r>
            <w:r w:rsidR="00A538D2" w:rsidRPr="008D19CE">
              <w:rPr>
                <w:rStyle w:val="Hyperlink"/>
                <w:rFonts w:cs="Calibri"/>
                <w:webHidden/>
                <w:color w:val="0070C0"/>
                <w:sz w:val="24"/>
              </w:rPr>
              <w:fldChar w:fldCharType="end"/>
            </w:r>
          </w:hyperlink>
        </w:p>
        <w:p w:rsidR="00153CD6" w:rsidRPr="00153CD6" w:rsidRDefault="00153CD6" w:rsidP="00153CD6">
          <w:pPr>
            <w:rPr>
              <w:noProof/>
              <w:sz w:val="8"/>
              <w:lang w:val="sq-AL"/>
            </w:rPr>
          </w:pPr>
        </w:p>
        <w:p w:rsidR="00A538D2" w:rsidRDefault="00ED218A" w:rsidP="00FC729E">
          <w:pPr>
            <w:pStyle w:val="TOC1"/>
            <w:rPr>
              <w:rStyle w:val="Hyperlink"/>
              <w:rFonts w:cs="Calibri"/>
              <w:color w:val="0070C0"/>
              <w:sz w:val="24"/>
            </w:rPr>
          </w:pPr>
          <w:hyperlink w:anchor="_Toc104980342" w:history="1">
            <w:r w:rsidR="00A538D2" w:rsidRPr="008D19CE">
              <w:rPr>
                <w:rStyle w:val="Hyperlink"/>
                <w:rFonts w:cs="Calibri"/>
                <w:color w:val="0070C0"/>
                <w:sz w:val="24"/>
              </w:rPr>
              <w:t>7.</w:t>
            </w:r>
            <w:r w:rsidR="00A538D2" w:rsidRPr="008D19CE">
              <w:rPr>
                <w:rStyle w:val="Hyperlink"/>
                <w:rFonts w:cs="Calibri"/>
                <w:color w:val="0070C0"/>
                <w:sz w:val="24"/>
              </w:rPr>
              <w:tab/>
              <w:t>RREZIQET FISKALE DHE DETYRIMET KONTIGJENTE</w:t>
            </w:r>
            <w:r w:rsidR="00A538D2" w:rsidRPr="008D19CE">
              <w:rPr>
                <w:rStyle w:val="Hyperlink"/>
                <w:rFonts w:cs="Calibri"/>
                <w:webHidden/>
                <w:color w:val="0070C0"/>
                <w:sz w:val="24"/>
              </w:rPr>
              <w:tab/>
            </w:r>
            <w:r w:rsidR="00ED403D">
              <w:rPr>
                <w:rStyle w:val="Hyperlink"/>
                <w:rFonts w:cs="Calibri"/>
                <w:webHidden/>
                <w:color w:val="0070C0"/>
                <w:sz w:val="24"/>
              </w:rPr>
              <w:tab/>
            </w:r>
            <w:r w:rsidR="00A538D2" w:rsidRPr="008D19CE">
              <w:rPr>
                <w:rStyle w:val="Hyperlink"/>
                <w:rFonts w:cs="Calibri"/>
                <w:webHidden/>
                <w:color w:val="0070C0"/>
                <w:sz w:val="24"/>
              </w:rPr>
              <w:fldChar w:fldCharType="begin"/>
            </w:r>
            <w:r w:rsidR="00A538D2" w:rsidRPr="008D19CE">
              <w:rPr>
                <w:rStyle w:val="Hyperlink"/>
                <w:rFonts w:cs="Calibri"/>
                <w:webHidden/>
                <w:color w:val="0070C0"/>
                <w:sz w:val="24"/>
              </w:rPr>
              <w:instrText xml:space="preserve"> PAGEREF _Toc104980342 \h </w:instrText>
            </w:r>
            <w:r w:rsidR="00A538D2" w:rsidRPr="008D19CE">
              <w:rPr>
                <w:rStyle w:val="Hyperlink"/>
                <w:rFonts w:cs="Calibri"/>
                <w:webHidden/>
                <w:color w:val="0070C0"/>
                <w:sz w:val="24"/>
              </w:rPr>
            </w:r>
            <w:r w:rsidR="00A538D2" w:rsidRPr="008D19CE">
              <w:rPr>
                <w:rStyle w:val="Hyperlink"/>
                <w:rFonts w:cs="Calibri"/>
                <w:webHidden/>
                <w:color w:val="0070C0"/>
                <w:sz w:val="24"/>
              </w:rPr>
              <w:fldChar w:fldCharType="separate"/>
            </w:r>
            <w:r w:rsidR="008C3E07">
              <w:rPr>
                <w:rStyle w:val="Hyperlink"/>
                <w:rFonts w:cs="Calibri"/>
                <w:webHidden/>
                <w:color w:val="0070C0"/>
                <w:sz w:val="24"/>
              </w:rPr>
              <w:t>46</w:t>
            </w:r>
            <w:r w:rsidR="00A538D2" w:rsidRPr="008D19CE">
              <w:rPr>
                <w:rStyle w:val="Hyperlink"/>
                <w:rFonts w:cs="Calibri"/>
                <w:webHidden/>
                <w:color w:val="0070C0"/>
                <w:sz w:val="24"/>
              </w:rPr>
              <w:fldChar w:fldCharType="end"/>
            </w:r>
          </w:hyperlink>
        </w:p>
        <w:p w:rsidR="00517BE0" w:rsidRPr="00517BE0" w:rsidRDefault="00517BE0" w:rsidP="00FC729E">
          <w:pPr>
            <w:spacing w:before="0"/>
            <w:rPr>
              <w:noProof/>
              <w:lang w:val="sq-AL"/>
            </w:rPr>
          </w:pPr>
        </w:p>
        <w:p w:rsidR="00A538D2" w:rsidRPr="008D19CE" w:rsidRDefault="00ED218A" w:rsidP="00FC729E">
          <w:pPr>
            <w:pStyle w:val="TOC2"/>
            <w:spacing w:before="0" w:line="276" w:lineRule="auto"/>
            <w:rPr>
              <w:rStyle w:val="Hyperlink"/>
              <w:color w:val="0070C0"/>
              <w:sz w:val="20"/>
            </w:rPr>
          </w:pPr>
          <w:hyperlink w:anchor="_Toc104980343" w:history="1">
            <w:r w:rsidR="00A538D2" w:rsidRPr="008D19CE">
              <w:rPr>
                <w:rStyle w:val="Hyperlink"/>
                <w:rFonts w:asciiTheme="majorHAnsi" w:hAnsiTheme="majorHAnsi"/>
                <w:color w:val="0070C0"/>
                <w:sz w:val="20"/>
              </w:rPr>
              <w:t>7.1</w:t>
            </w:r>
            <w:r w:rsidR="00A538D2" w:rsidRPr="008D19CE">
              <w:rPr>
                <w:rStyle w:val="Hyperlink"/>
                <w:color w:val="0070C0"/>
                <w:sz w:val="20"/>
              </w:rPr>
              <w:tab/>
            </w:r>
            <w:r w:rsidR="00A538D2" w:rsidRPr="008D19CE">
              <w:rPr>
                <w:rStyle w:val="Hyperlink"/>
                <w:rFonts w:asciiTheme="majorHAnsi" w:hAnsiTheme="majorHAnsi"/>
                <w:color w:val="0070C0"/>
                <w:sz w:val="20"/>
              </w:rPr>
              <w:t>Ndërmarrjet shtetërore</w:t>
            </w:r>
            <w:r w:rsidR="00A538D2" w:rsidRPr="008D19CE">
              <w:rPr>
                <w:rStyle w:val="Hyperlink"/>
                <w:webHidden/>
                <w:color w:val="0070C0"/>
                <w:sz w:val="20"/>
              </w:rPr>
              <w:tab/>
            </w:r>
            <w:r w:rsidR="00ED403D">
              <w:rPr>
                <w:rStyle w:val="Hyperlink"/>
                <w:webHidden/>
                <w:color w:val="0070C0"/>
                <w:sz w:val="20"/>
              </w:rPr>
              <w:tab/>
            </w:r>
            <w:r w:rsidR="00A538D2" w:rsidRPr="008D19CE">
              <w:rPr>
                <w:rStyle w:val="Hyperlink"/>
                <w:webHidden/>
                <w:color w:val="0070C0"/>
                <w:sz w:val="20"/>
              </w:rPr>
              <w:fldChar w:fldCharType="begin"/>
            </w:r>
            <w:r w:rsidR="00A538D2" w:rsidRPr="008D19CE">
              <w:rPr>
                <w:rStyle w:val="Hyperlink"/>
                <w:webHidden/>
                <w:color w:val="0070C0"/>
                <w:sz w:val="20"/>
              </w:rPr>
              <w:instrText xml:space="preserve"> PAGEREF _Toc104980343 \h </w:instrText>
            </w:r>
            <w:r w:rsidR="00A538D2" w:rsidRPr="008D19CE">
              <w:rPr>
                <w:rStyle w:val="Hyperlink"/>
                <w:webHidden/>
                <w:color w:val="0070C0"/>
                <w:sz w:val="20"/>
              </w:rPr>
            </w:r>
            <w:r w:rsidR="00A538D2" w:rsidRPr="008D19CE">
              <w:rPr>
                <w:rStyle w:val="Hyperlink"/>
                <w:webHidden/>
                <w:color w:val="0070C0"/>
                <w:sz w:val="20"/>
              </w:rPr>
              <w:fldChar w:fldCharType="separate"/>
            </w:r>
            <w:r w:rsidR="008C3E07">
              <w:rPr>
                <w:rStyle w:val="Hyperlink"/>
                <w:webHidden/>
                <w:color w:val="0070C0"/>
                <w:sz w:val="20"/>
              </w:rPr>
              <w:t>47</w:t>
            </w:r>
            <w:r w:rsidR="00A538D2" w:rsidRPr="008D19CE">
              <w:rPr>
                <w:rStyle w:val="Hyperlink"/>
                <w:webHidden/>
                <w:color w:val="0070C0"/>
                <w:sz w:val="20"/>
              </w:rPr>
              <w:fldChar w:fldCharType="end"/>
            </w:r>
          </w:hyperlink>
        </w:p>
        <w:p w:rsidR="00A538D2" w:rsidRPr="008D19CE" w:rsidRDefault="00ED218A" w:rsidP="00FC729E">
          <w:pPr>
            <w:pStyle w:val="TOC3"/>
            <w:spacing w:before="0" w:after="0" w:line="276" w:lineRule="auto"/>
            <w:rPr>
              <w:rStyle w:val="Hyperlink"/>
              <w:color w:val="0070C0"/>
            </w:rPr>
          </w:pPr>
          <w:hyperlink w:anchor="_Toc104980344" w:history="1">
            <w:r w:rsidR="00A538D2" w:rsidRPr="008D19CE">
              <w:rPr>
                <w:rStyle w:val="Hyperlink"/>
                <w:b w:val="0"/>
                <w:color w:val="0070C0"/>
              </w:rPr>
              <w:t>7.1.1</w:t>
            </w:r>
            <w:r w:rsidR="00A538D2" w:rsidRPr="008D19CE">
              <w:rPr>
                <w:rStyle w:val="Hyperlink"/>
                <w:color w:val="0070C0"/>
              </w:rPr>
              <w:tab/>
            </w:r>
            <w:r w:rsidR="00A538D2" w:rsidRPr="008D19CE">
              <w:rPr>
                <w:rStyle w:val="Hyperlink"/>
                <w:b w:val="0"/>
                <w:color w:val="0070C0"/>
              </w:rPr>
              <w:t>Ndërmarrjet e Sektorit Energjetik.</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_Toc104980344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48</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48" w:history="1">
            <w:r w:rsidR="00A538D2" w:rsidRPr="008D19CE">
              <w:rPr>
                <w:rStyle w:val="Hyperlink"/>
                <w:b w:val="0"/>
                <w:color w:val="0070C0"/>
              </w:rPr>
              <w:t>7.1.2</w:t>
            </w:r>
            <w:r w:rsidR="00A538D2" w:rsidRPr="008D19CE">
              <w:rPr>
                <w:rStyle w:val="Hyperlink"/>
                <w:color w:val="0070C0"/>
              </w:rPr>
              <w:tab/>
            </w:r>
            <w:r w:rsidR="00A538D2" w:rsidRPr="008D19CE">
              <w:rPr>
                <w:rStyle w:val="Hyperlink"/>
                <w:b w:val="0"/>
                <w:color w:val="0070C0"/>
              </w:rPr>
              <w:t>Ndërmarrjet e Sektorit të Ujësjellës-Kanalizimeve</w:t>
            </w:r>
            <w:r w:rsidR="00A538D2" w:rsidRPr="008D19CE">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_Toc104980348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52</w:t>
            </w:r>
            <w:r w:rsidR="00A538D2" w:rsidRPr="008D19CE">
              <w:rPr>
                <w:rStyle w:val="Hyperlink"/>
                <w:b w:val="0"/>
                <w:webHidden/>
                <w:color w:val="0070C0"/>
              </w:rPr>
              <w:fldChar w:fldCharType="end"/>
            </w:r>
          </w:hyperlink>
        </w:p>
        <w:p w:rsidR="00A538D2" w:rsidRPr="001323FC" w:rsidRDefault="00ED218A" w:rsidP="00FC729E">
          <w:pPr>
            <w:pStyle w:val="TOC2"/>
            <w:spacing w:line="276" w:lineRule="auto"/>
            <w:rPr>
              <w:rStyle w:val="Hyperlink"/>
              <w:color w:val="0070C0"/>
              <w:sz w:val="20"/>
            </w:rPr>
          </w:pPr>
          <w:hyperlink w:anchor="_Toc104980349" w:history="1">
            <w:r w:rsidR="00A538D2" w:rsidRPr="001323FC">
              <w:rPr>
                <w:rStyle w:val="Hyperlink"/>
                <w:rFonts w:asciiTheme="majorHAnsi" w:hAnsiTheme="majorHAnsi"/>
                <w:color w:val="0070C0"/>
                <w:sz w:val="20"/>
              </w:rPr>
              <w:t>7.2</w:t>
            </w:r>
            <w:r w:rsidR="00A538D2" w:rsidRPr="001323FC">
              <w:rPr>
                <w:rStyle w:val="Hyperlink"/>
                <w:color w:val="0070C0"/>
                <w:sz w:val="20"/>
              </w:rPr>
              <w:tab/>
            </w:r>
            <w:r w:rsidR="00A538D2" w:rsidRPr="001323FC">
              <w:rPr>
                <w:rStyle w:val="Hyperlink"/>
                <w:rFonts w:asciiTheme="majorHAnsi" w:hAnsiTheme="majorHAnsi"/>
                <w:color w:val="0070C0"/>
                <w:sz w:val="20"/>
              </w:rPr>
              <w:t>Detyrimet e prapambetura të Qeverisjes së Përgjithshme</w:t>
            </w:r>
            <w:r w:rsidR="00A538D2" w:rsidRPr="001323FC">
              <w:rPr>
                <w:rStyle w:val="Hyperlink"/>
                <w:webHidden/>
                <w:color w:val="0070C0"/>
                <w:sz w:val="20"/>
              </w:rPr>
              <w:tab/>
            </w:r>
            <w:r w:rsidR="00ED403D">
              <w:rPr>
                <w:rStyle w:val="Hyperlink"/>
                <w:webHidden/>
                <w:color w:val="0070C0"/>
                <w:sz w:val="20"/>
              </w:rPr>
              <w:tab/>
            </w:r>
            <w:r w:rsidR="00A538D2" w:rsidRPr="001323FC">
              <w:rPr>
                <w:rStyle w:val="Hyperlink"/>
                <w:webHidden/>
                <w:color w:val="0070C0"/>
                <w:sz w:val="20"/>
              </w:rPr>
              <w:fldChar w:fldCharType="begin"/>
            </w:r>
            <w:r w:rsidR="00A538D2" w:rsidRPr="001323FC">
              <w:rPr>
                <w:rStyle w:val="Hyperlink"/>
                <w:webHidden/>
                <w:color w:val="0070C0"/>
                <w:sz w:val="20"/>
              </w:rPr>
              <w:instrText xml:space="preserve"> PAGEREF _Toc104980349 \h </w:instrText>
            </w:r>
            <w:r w:rsidR="00A538D2" w:rsidRPr="001323FC">
              <w:rPr>
                <w:rStyle w:val="Hyperlink"/>
                <w:webHidden/>
                <w:color w:val="0070C0"/>
                <w:sz w:val="20"/>
              </w:rPr>
            </w:r>
            <w:r w:rsidR="00A538D2" w:rsidRPr="001323FC">
              <w:rPr>
                <w:rStyle w:val="Hyperlink"/>
                <w:webHidden/>
                <w:color w:val="0070C0"/>
                <w:sz w:val="20"/>
              </w:rPr>
              <w:fldChar w:fldCharType="separate"/>
            </w:r>
            <w:r w:rsidR="008C3E07">
              <w:rPr>
                <w:rStyle w:val="Hyperlink"/>
                <w:webHidden/>
                <w:color w:val="0070C0"/>
                <w:sz w:val="20"/>
              </w:rPr>
              <w:t>53</w:t>
            </w:r>
            <w:r w:rsidR="00A538D2" w:rsidRPr="001323FC">
              <w:rPr>
                <w:rStyle w:val="Hyperlink"/>
                <w:webHidden/>
                <w:color w:val="0070C0"/>
                <w:sz w:val="20"/>
              </w:rPr>
              <w:fldChar w:fldCharType="end"/>
            </w:r>
          </w:hyperlink>
        </w:p>
        <w:p w:rsidR="00A538D2" w:rsidRPr="008D19CE" w:rsidRDefault="00ED218A" w:rsidP="00FC729E">
          <w:pPr>
            <w:pStyle w:val="TOC3"/>
            <w:spacing w:before="0" w:after="0" w:line="276" w:lineRule="auto"/>
            <w:rPr>
              <w:rStyle w:val="Hyperlink"/>
              <w:color w:val="0070C0"/>
            </w:rPr>
          </w:pPr>
          <w:hyperlink w:anchor="_Toc104980350" w:history="1">
            <w:r w:rsidR="00A538D2" w:rsidRPr="008D19CE">
              <w:rPr>
                <w:rStyle w:val="Hyperlink"/>
                <w:b w:val="0"/>
                <w:color w:val="0070C0"/>
              </w:rPr>
              <w:t>7.2.1</w:t>
            </w:r>
            <w:r w:rsidR="00A538D2" w:rsidRPr="008D19CE">
              <w:rPr>
                <w:rStyle w:val="Hyperlink"/>
                <w:color w:val="0070C0"/>
              </w:rPr>
              <w:tab/>
            </w:r>
            <w:r w:rsidR="00A538D2" w:rsidRPr="008D19CE">
              <w:rPr>
                <w:rStyle w:val="Hyperlink"/>
                <w:b w:val="0"/>
                <w:color w:val="0070C0"/>
              </w:rPr>
              <w:t>Detyrimet e prapambetura për njësitë e Qeverisjes Qendrore</w:t>
            </w:r>
            <w:r w:rsidR="00A538D2" w:rsidRPr="008D19CE">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_Toc104980350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55</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51" w:history="1">
            <w:r w:rsidR="00A538D2" w:rsidRPr="008D19CE">
              <w:rPr>
                <w:rStyle w:val="Hyperlink"/>
                <w:b w:val="0"/>
                <w:color w:val="0070C0"/>
              </w:rPr>
              <w:t>7.2.2</w:t>
            </w:r>
            <w:r w:rsidR="00A538D2" w:rsidRPr="008D19CE">
              <w:rPr>
                <w:rStyle w:val="Hyperlink"/>
                <w:color w:val="0070C0"/>
              </w:rPr>
              <w:tab/>
            </w:r>
            <w:r w:rsidR="00A538D2" w:rsidRPr="008D19CE">
              <w:rPr>
                <w:rStyle w:val="Hyperlink"/>
                <w:b w:val="0"/>
                <w:color w:val="0070C0"/>
              </w:rPr>
              <w:t>Detyrimet e prapambetura për njësitë e Vetëqeverisjes Vendore (NJVQV)</w:t>
            </w:r>
            <w:r w:rsidR="00A538D2" w:rsidRPr="008D19CE">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_Toc104980351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56</w:t>
            </w:r>
            <w:r w:rsidR="00A538D2" w:rsidRPr="008D19CE">
              <w:rPr>
                <w:rStyle w:val="Hyperlink"/>
                <w:b w:val="0"/>
                <w:webHidden/>
                <w:color w:val="0070C0"/>
              </w:rPr>
              <w:fldChar w:fldCharType="end"/>
            </w:r>
          </w:hyperlink>
        </w:p>
        <w:p w:rsidR="00A538D2" w:rsidRPr="008D19CE" w:rsidRDefault="00ED218A" w:rsidP="00FC729E">
          <w:pPr>
            <w:pStyle w:val="TOC2"/>
            <w:spacing w:line="276" w:lineRule="auto"/>
            <w:rPr>
              <w:rFonts w:asciiTheme="majorHAnsi" w:eastAsiaTheme="minorEastAsia" w:hAnsiTheme="majorHAnsi" w:cstheme="minorBidi"/>
              <w:b w:val="0"/>
              <w:lang w:val="en-US"/>
            </w:rPr>
          </w:pPr>
          <w:hyperlink w:anchor="_Toc104980352" w:history="1">
            <w:r w:rsidR="00A538D2" w:rsidRPr="001323FC">
              <w:rPr>
                <w:rStyle w:val="Hyperlink"/>
                <w:rFonts w:asciiTheme="majorHAnsi" w:hAnsiTheme="majorHAnsi"/>
                <w:color w:val="0070C0"/>
                <w:sz w:val="20"/>
              </w:rPr>
              <w:t>7.3</w:t>
            </w:r>
            <w:r w:rsidR="00A538D2" w:rsidRPr="001323FC">
              <w:rPr>
                <w:rStyle w:val="Hyperlink"/>
                <w:color w:val="0070C0"/>
                <w:sz w:val="20"/>
              </w:rPr>
              <w:tab/>
            </w:r>
            <w:r w:rsidR="00A538D2" w:rsidRPr="001323FC">
              <w:rPr>
                <w:rStyle w:val="Hyperlink"/>
                <w:rFonts w:asciiTheme="majorHAnsi" w:hAnsiTheme="majorHAnsi"/>
                <w:color w:val="0070C0"/>
                <w:sz w:val="20"/>
              </w:rPr>
              <w:t>Koncesionet/PPP-të</w:t>
            </w:r>
            <w:r w:rsidR="00A538D2" w:rsidRPr="001323FC">
              <w:rPr>
                <w:rStyle w:val="Hyperlink"/>
                <w:webHidden/>
                <w:color w:val="0070C0"/>
                <w:sz w:val="20"/>
              </w:rPr>
              <w:tab/>
            </w:r>
            <w:r w:rsidR="00ED403D">
              <w:rPr>
                <w:rStyle w:val="Hyperlink"/>
                <w:webHidden/>
                <w:color w:val="0070C0"/>
                <w:sz w:val="20"/>
              </w:rPr>
              <w:tab/>
            </w:r>
            <w:r w:rsidR="00A538D2" w:rsidRPr="001323FC">
              <w:rPr>
                <w:rStyle w:val="Hyperlink"/>
                <w:webHidden/>
                <w:color w:val="0070C0"/>
                <w:sz w:val="20"/>
              </w:rPr>
              <w:fldChar w:fldCharType="begin"/>
            </w:r>
            <w:r w:rsidR="00A538D2" w:rsidRPr="001323FC">
              <w:rPr>
                <w:rStyle w:val="Hyperlink"/>
                <w:webHidden/>
                <w:color w:val="0070C0"/>
                <w:sz w:val="20"/>
              </w:rPr>
              <w:instrText xml:space="preserve"> PAGEREF _Toc104980352 \h </w:instrText>
            </w:r>
            <w:r w:rsidR="00A538D2" w:rsidRPr="001323FC">
              <w:rPr>
                <w:rStyle w:val="Hyperlink"/>
                <w:webHidden/>
                <w:color w:val="0070C0"/>
                <w:sz w:val="20"/>
              </w:rPr>
            </w:r>
            <w:r w:rsidR="00A538D2" w:rsidRPr="001323FC">
              <w:rPr>
                <w:rStyle w:val="Hyperlink"/>
                <w:webHidden/>
                <w:color w:val="0070C0"/>
                <w:sz w:val="20"/>
              </w:rPr>
              <w:fldChar w:fldCharType="separate"/>
            </w:r>
            <w:r w:rsidR="008C3E07">
              <w:rPr>
                <w:rStyle w:val="Hyperlink"/>
                <w:webHidden/>
                <w:color w:val="0070C0"/>
                <w:sz w:val="20"/>
              </w:rPr>
              <w:t>57</w:t>
            </w:r>
            <w:r w:rsidR="00A538D2" w:rsidRPr="001323FC">
              <w:rPr>
                <w:rStyle w:val="Hyperlink"/>
                <w:webHidden/>
                <w:color w:val="0070C0"/>
                <w:sz w:val="20"/>
              </w:rPr>
              <w:fldChar w:fldCharType="end"/>
            </w:r>
          </w:hyperlink>
        </w:p>
        <w:p w:rsidR="00A538D2" w:rsidRPr="001323FC" w:rsidRDefault="00ED218A" w:rsidP="00FC729E">
          <w:pPr>
            <w:pStyle w:val="TOC2"/>
            <w:spacing w:line="276" w:lineRule="auto"/>
            <w:rPr>
              <w:rStyle w:val="Hyperlink"/>
              <w:color w:val="0070C0"/>
              <w:sz w:val="20"/>
            </w:rPr>
          </w:pPr>
          <w:hyperlink w:anchor="_Toc104980353" w:history="1">
            <w:r w:rsidR="00A538D2" w:rsidRPr="001323FC">
              <w:rPr>
                <w:rStyle w:val="Hyperlink"/>
                <w:rFonts w:asciiTheme="majorHAnsi" w:hAnsiTheme="majorHAnsi"/>
                <w:color w:val="0070C0"/>
                <w:sz w:val="20"/>
              </w:rPr>
              <w:t>7.4</w:t>
            </w:r>
            <w:r w:rsidR="00A538D2" w:rsidRPr="001323FC">
              <w:rPr>
                <w:rStyle w:val="Hyperlink"/>
                <w:color w:val="0070C0"/>
                <w:sz w:val="20"/>
              </w:rPr>
              <w:tab/>
            </w:r>
            <w:r w:rsidR="00A538D2" w:rsidRPr="001323FC">
              <w:rPr>
                <w:rStyle w:val="Hyperlink"/>
                <w:rFonts w:asciiTheme="majorHAnsi" w:hAnsiTheme="majorHAnsi"/>
                <w:color w:val="0070C0"/>
                <w:sz w:val="20"/>
              </w:rPr>
              <w:t>Detyrime të tjera Kontigjente:</w:t>
            </w:r>
            <w:r w:rsidR="00A538D2" w:rsidRPr="001323FC">
              <w:rPr>
                <w:rStyle w:val="Hyperlink"/>
                <w:webHidden/>
                <w:color w:val="0070C0"/>
                <w:sz w:val="20"/>
              </w:rPr>
              <w:tab/>
            </w:r>
            <w:r w:rsidR="00ED403D">
              <w:rPr>
                <w:rStyle w:val="Hyperlink"/>
                <w:webHidden/>
                <w:color w:val="0070C0"/>
                <w:sz w:val="20"/>
              </w:rPr>
              <w:tab/>
            </w:r>
            <w:r w:rsidR="00A538D2" w:rsidRPr="001323FC">
              <w:rPr>
                <w:rStyle w:val="Hyperlink"/>
                <w:webHidden/>
                <w:color w:val="0070C0"/>
                <w:sz w:val="20"/>
              </w:rPr>
              <w:fldChar w:fldCharType="begin"/>
            </w:r>
            <w:r w:rsidR="00A538D2" w:rsidRPr="001323FC">
              <w:rPr>
                <w:rStyle w:val="Hyperlink"/>
                <w:webHidden/>
                <w:color w:val="0070C0"/>
                <w:sz w:val="20"/>
              </w:rPr>
              <w:instrText xml:space="preserve"> PAGEREF _Toc104980353 \h </w:instrText>
            </w:r>
            <w:r w:rsidR="00A538D2" w:rsidRPr="001323FC">
              <w:rPr>
                <w:rStyle w:val="Hyperlink"/>
                <w:webHidden/>
                <w:color w:val="0070C0"/>
                <w:sz w:val="20"/>
              </w:rPr>
            </w:r>
            <w:r w:rsidR="00A538D2" w:rsidRPr="001323FC">
              <w:rPr>
                <w:rStyle w:val="Hyperlink"/>
                <w:webHidden/>
                <w:color w:val="0070C0"/>
                <w:sz w:val="20"/>
              </w:rPr>
              <w:fldChar w:fldCharType="separate"/>
            </w:r>
            <w:r w:rsidR="008C3E07">
              <w:rPr>
                <w:rStyle w:val="Hyperlink"/>
                <w:webHidden/>
                <w:color w:val="0070C0"/>
                <w:sz w:val="20"/>
              </w:rPr>
              <w:t>59</w:t>
            </w:r>
            <w:r w:rsidR="00A538D2" w:rsidRPr="001323FC">
              <w:rPr>
                <w:rStyle w:val="Hyperlink"/>
                <w:webHidden/>
                <w:color w:val="0070C0"/>
                <w:sz w:val="20"/>
              </w:rPr>
              <w:fldChar w:fldCharType="end"/>
            </w:r>
          </w:hyperlink>
        </w:p>
        <w:p w:rsidR="00A538D2" w:rsidRPr="008D19CE" w:rsidRDefault="00ED218A" w:rsidP="00FC729E">
          <w:pPr>
            <w:pStyle w:val="TOC3"/>
            <w:spacing w:before="0" w:after="0" w:line="276" w:lineRule="auto"/>
            <w:rPr>
              <w:rStyle w:val="Hyperlink"/>
              <w:color w:val="0070C0"/>
            </w:rPr>
          </w:pPr>
          <w:hyperlink w:anchor="_Toc104980354" w:history="1">
            <w:r w:rsidR="00A538D2" w:rsidRPr="008D19CE">
              <w:rPr>
                <w:rStyle w:val="Hyperlink"/>
                <w:b w:val="0"/>
                <w:color w:val="0070C0"/>
              </w:rPr>
              <w:t>7.4.1</w:t>
            </w:r>
            <w:r w:rsidR="00A538D2" w:rsidRPr="008D19CE">
              <w:rPr>
                <w:rStyle w:val="Hyperlink"/>
                <w:color w:val="0070C0"/>
              </w:rPr>
              <w:tab/>
            </w:r>
            <w:r w:rsidR="00A538D2" w:rsidRPr="008D19CE">
              <w:rPr>
                <w:rStyle w:val="Hyperlink"/>
                <w:b w:val="0"/>
                <w:color w:val="0070C0"/>
              </w:rPr>
              <w:t>Vendimet e Gjykatës së të Drejtave të Njeriut në Strasburg (GJEDNJ)</w:t>
            </w:r>
            <w:r w:rsidR="00A538D2" w:rsidRPr="008D19CE">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_Toc104980354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59</w:t>
            </w:r>
            <w:r w:rsidR="00A538D2" w:rsidRPr="008D19CE">
              <w:rPr>
                <w:rStyle w:val="Hyperlink"/>
                <w:b w:val="0"/>
                <w:webHidden/>
                <w:color w:val="0070C0"/>
              </w:rPr>
              <w:fldChar w:fldCharType="end"/>
            </w:r>
          </w:hyperlink>
        </w:p>
        <w:p w:rsidR="00A538D2" w:rsidRDefault="00ED218A" w:rsidP="00FC729E">
          <w:pPr>
            <w:pStyle w:val="TOC3"/>
            <w:spacing w:before="0" w:after="0" w:line="276" w:lineRule="auto"/>
            <w:rPr>
              <w:rStyle w:val="Hyperlink"/>
              <w:b w:val="0"/>
              <w:color w:val="0070C0"/>
            </w:rPr>
          </w:pPr>
          <w:hyperlink w:anchor="_Toc104980355" w:history="1">
            <w:r w:rsidR="00A538D2" w:rsidRPr="008D19CE">
              <w:rPr>
                <w:rStyle w:val="Hyperlink"/>
                <w:b w:val="0"/>
                <w:color w:val="0070C0"/>
              </w:rPr>
              <w:t>7.4.2</w:t>
            </w:r>
            <w:r w:rsidR="00A538D2" w:rsidRPr="008D19CE">
              <w:rPr>
                <w:rStyle w:val="Hyperlink"/>
                <w:color w:val="0070C0"/>
              </w:rPr>
              <w:tab/>
            </w:r>
            <w:r w:rsidR="00A538D2" w:rsidRPr="008D19CE">
              <w:rPr>
                <w:rStyle w:val="Hyperlink"/>
                <w:b w:val="0"/>
                <w:color w:val="0070C0"/>
              </w:rPr>
              <w:t>Vendimet e Gjykatës Ndërkombëtare të Arbitrazhit</w:t>
            </w:r>
            <w:r w:rsidR="00A538D2" w:rsidRPr="008D19CE">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_Toc104980355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60</w:t>
            </w:r>
            <w:r w:rsidR="00A538D2" w:rsidRPr="008D19CE">
              <w:rPr>
                <w:rStyle w:val="Hyperlink"/>
                <w:b w:val="0"/>
                <w:webHidden/>
                <w:color w:val="0070C0"/>
              </w:rPr>
              <w:fldChar w:fldCharType="end"/>
            </w:r>
          </w:hyperlink>
        </w:p>
        <w:p w:rsidR="00517BE0" w:rsidRPr="00517BE0" w:rsidRDefault="00517BE0" w:rsidP="00FC729E">
          <w:pPr>
            <w:spacing w:before="0"/>
            <w:rPr>
              <w:noProof/>
            </w:rPr>
          </w:pPr>
        </w:p>
        <w:p w:rsidR="00A538D2" w:rsidRPr="008D19CE" w:rsidRDefault="00ED218A" w:rsidP="00FC729E">
          <w:pPr>
            <w:pStyle w:val="TOC1"/>
            <w:rPr>
              <w:rStyle w:val="Hyperlink"/>
              <w:rFonts w:cs="Calibri"/>
              <w:color w:val="0070C0"/>
              <w:sz w:val="24"/>
            </w:rPr>
          </w:pPr>
          <w:hyperlink w:anchor="_Toc104980356" w:history="1">
            <w:r w:rsidR="00A538D2" w:rsidRPr="008D19CE">
              <w:rPr>
                <w:rStyle w:val="Hyperlink"/>
                <w:rFonts w:cs="Calibri"/>
                <w:color w:val="0070C0"/>
                <w:sz w:val="24"/>
              </w:rPr>
              <w:t>8.</w:t>
            </w:r>
            <w:r w:rsidR="00A538D2" w:rsidRPr="008D19CE">
              <w:rPr>
                <w:rStyle w:val="Hyperlink"/>
                <w:rFonts w:cs="Calibri"/>
                <w:color w:val="0070C0"/>
                <w:sz w:val="24"/>
              </w:rPr>
              <w:tab/>
              <w:t>SHTOJCAT</w:t>
            </w:r>
            <w:r w:rsidR="00A538D2" w:rsidRPr="008D19CE">
              <w:rPr>
                <w:rStyle w:val="Hyperlink"/>
                <w:rFonts w:cs="Calibri"/>
                <w:webHidden/>
                <w:color w:val="0070C0"/>
                <w:sz w:val="24"/>
              </w:rPr>
              <w:tab/>
            </w:r>
            <w:r w:rsidR="00ED403D">
              <w:rPr>
                <w:rStyle w:val="Hyperlink"/>
                <w:rFonts w:cs="Calibri"/>
                <w:webHidden/>
                <w:color w:val="0070C0"/>
                <w:sz w:val="24"/>
              </w:rPr>
              <w:tab/>
            </w:r>
            <w:r w:rsidR="00A538D2" w:rsidRPr="008D19CE">
              <w:rPr>
                <w:rStyle w:val="Hyperlink"/>
                <w:rFonts w:cs="Calibri"/>
                <w:webHidden/>
                <w:color w:val="0070C0"/>
                <w:sz w:val="24"/>
              </w:rPr>
              <w:fldChar w:fldCharType="begin"/>
            </w:r>
            <w:r w:rsidR="00A538D2" w:rsidRPr="008D19CE">
              <w:rPr>
                <w:rStyle w:val="Hyperlink"/>
                <w:rFonts w:cs="Calibri"/>
                <w:webHidden/>
                <w:color w:val="0070C0"/>
                <w:sz w:val="24"/>
              </w:rPr>
              <w:instrText xml:space="preserve"> PAGEREF _Toc104980356 \h </w:instrText>
            </w:r>
            <w:r w:rsidR="00A538D2" w:rsidRPr="008D19CE">
              <w:rPr>
                <w:rStyle w:val="Hyperlink"/>
                <w:rFonts w:cs="Calibri"/>
                <w:webHidden/>
                <w:color w:val="0070C0"/>
                <w:sz w:val="24"/>
              </w:rPr>
            </w:r>
            <w:r w:rsidR="00A538D2" w:rsidRPr="008D19CE">
              <w:rPr>
                <w:rStyle w:val="Hyperlink"/>
                <w:rFonts w:cs="Calibri"/>
                <w:webHidden/>
                <w:color w:val="0070C0"/>
                <w:sz w:val="24"/>
              </w:rPr>
              <w:fldChar w:fldCharType="separate"/>
            </w:r>
            <w:r w:rsidR="008C3E07">
              <w:rPr>
                <w:rStyle w:val="Hyperlink"/>
                <w:rFonts w:cs="Calibri"/>
                <w:webHidden/>
                <w:color w:val="0070C0"/>
                <w:sz w:val="24"/>
              </w:rPr>
              <w:t>60</w:t>
            </w:r>
            <w:r w:rsidR="00A538D2" w:rsidRPr="008D19CE">
              <w:rPr>
                <w:rStyle w:val="Hyperlink"/>
                <w:rFonts w:cs="Calibri"/>
                <w:webHidden/>
                <w:color w:val="0070C0"/>
                <w:sz w:val="24"/>
              </w:rPr>
              <w:fldChar w:fldCharType="end"/>
            </w:r>
          </w:hyperlink>
        </w:p>
        <w:p w:rsidR="00A538D2" w:rsidRPr="001323FC" w:rsidRDefault="00ED218A" w:rsidP="00FC729E">
          <w:pPr>
            <w:pStyle w:val="TOC2"/>
            <w:spacing w:line="276" w:lineRule="auto"/>
            <w:rPr>
              <w:rStyle w:val="Hyperlink"/>
              <w:color w:val="0070C0"/>
              <w:sz w:val="20"/>
            </w:rPr>
          </w:pPr>
          <w:hyperlink w:anchor="_Toc104980357" w:history="1">
            <w:r w:rsidR="00A538D2" w:rsidRPr="001323FC">
              <w:rPr>
                <w:rStyle w:val="Hyperlink"/>
                <w:rFonts w:asciiTheme="majorHAnsi" w:hAnsiTheme="majorHAnsi"/>
                <w:color w:val="0070C0"/>
                <w:sz w:val="20"/>
              </w:rPr>
              <w:t>8.1</w:t>
            </w:r>
            <w:r w:rsidR="00A538D2" w:rsidRPr="001323FC">
              <w:rPr>
                <w:rStyle w:val="Hyperlink"/>
                <w:color w:val="0070C0"/>
                <w:sz w:val="20"/>
              </w:rPr>
              <w:tab/>
            </w:r>
            <w:r w:rsidR="00A538D2" w:rsidRPr="001323FC">
              <w:rPr>
                <w:rStyle w:val="Hyperlink"/>
                <w:rFonts w:asciiTheme="majorHAnsi" w:hAnsiTheme="majorHAnsi"/>
                <w:color w:val="0070C0"/>
                <w:sz w:val="20"/>
              </w:rPr>
              <w:t>Shtojca 1 - Zbatimi dhe monitorimi i parimeve dhe rregullave fiskale</w:t>
            </w:r>
            <w:r w:rsidR="00A538D2" w:rsidRPr="001323FC">
              <w:rPr>
                <w:rStyle w:val="Hyperlink"/>
                <w:webHidden/>
                <w:color w:val="0070C0"/>
                <w:sz w:val="20"/>
              </w:rPr>
              <w:tab/>
            </w:r>
            <w:r w:rsidR="00ED403D">
              <w:rPr>
                <w:rStyle w:val="Hyperlink"/>
                <w:webHidden/>
                <w:color w:val="0070C0"/>
                <w:sz w:val="20"/>
              </w:rPr>
              <w:tab/>
            </w:r>
            <w:r w:rsidR="00A538D2" w:rsidRPr="001323FC">
              <w:rPr>
                <w:rStyle w:val="Hyperlink"/>
                <w:webHidden/>
                <w:color w:val="0070C0"/>
                <w:sz w:val="20"/>
              </w:rPr>
              <w:fldChar w:fldCharType="begin"/>
            </w:r>
            <w:r w:rsidR="00A538D2" w:rsidRPr="001323FC">
              <w:rPr>
                <w:rStyle w:val="Hyperlink"/>
                <w:webHidden/>
                <w:color w:val="0070C0"/>
                <w:sz w:val="20"/>
              </w:rPr>
              <w:instrText xml:space="preserve"> PAGEREF _Toc104980357 \h </w:instrText>
            </w:r>
            <w:r w:rsidR="00A538D2" w:rsidRPr="001323FC">
              <w:rPr>
                <w:rStyle w:val="Hyperlink"/>
                <w:webHidden/>
                <w:color w:val="0070C0"/>
                <w:sz w:val="20"/>
              </w:rPr>
            </w:r>
            <w:r w:rsidR="00A538D2" w:rsidRPr="001323FC">
              <w:rPr>
                <w:rStyle w:val="Hyperlink"/>
                <w:webHidden/>
                <w:color w:val="0070C0"/>
                <w:sz w:val="20"/>
              </w:rPr>
              <w:fldChar w:fldCharType="separate"/>
            </w:r>
            <w:r w:rsidR="008C3E07">
              <w:rPr>
                <w:rStyle w:val="Hyperlink"/>
                <w:webHidden/>
                <w:color w:val="0070C0"/>
                <w:sz w:val="20"/>
              </w:rPr>
              <w:t>62</w:t>
            </w:r>
            <w:r w:rsidR="00A538D2" w:rsidRPr="001323FC">
              <w:rPr>
                <w:rStyle w:val="Hyperlink"/>
                <w:webHidden/>
                <w:color w:val="0070C0"/>
                <w:sz w:val="20"/>
              </w:rPr>
              <w:fldChar w:fldCharType="end"/>
            </w:r>
          </w:hyperlink>
        </w:p>
        <w:p w:rsidR="00A538D2" w:rsidRPr="001323FC" w:rsidRDefault="00ED218A" w:rsidP="00FC729E">
          <w:pPr>
            <w:pStyle w:val="TOC2"/>
            <w:spacing w:line="276" w:lineRule="auto"/>
            <w:rPr>
              <w:rStyle w:val="Hyperlink"/>
              <w:color w:val="0070C0"/>
              <w:sz w:val="20"/>
            </w:rPr>
          </w:pPr>
          <w:hyperlink w:anchor="_Toc104980358" w:history="1">
            <w:r w:rsidR="00A538D2" w:rsidRPr="001323FC">
              <w:rPr>
                <w:rStyle w:val="Hyperlink"/>
                <w:rFonts w:asciiTheme="majorHAnsi" w:hAnsiTheme="majorHAnsi"/>
                <w:color w:val="0070C0"/>
                <w:sz w:val="20"/>
              </w:rPr>
              <w:t>8.2</w:t>
            </w:r>
            <w:r w:rsidR="00A538D2" w:rsidRPr="001323FC">
              <w:rPr>
                <w:rStyle w:val="Hyperlink"/>
                <w:color w:val="0070C0"/>
                <w:sz w:val="20"/>
              </w:rPr>
              <w:tab/>
            </w:r>
            <w:r w:rsidR="00A538D2" w:rsidRPr="001323FC">
              <w:rPr>
                <w:rStyle w:val="Hyperlink"/>
                <w:rFonts w:asciiTheme="majorHAnsi" w:hAnsiTheme="majorHAnsi"/>
                <w:color w:val="0070C0"/>
                <w:sz w:val="20"/>
              </w:rPr>
              <w:t>Shtojca 2 – Efektet e paketës fiskale 202</w:t>
            </w:r>
            <w:r w:rsidR="00556E22">
              <w:rPr>
                <w:rStyle w:val="Hyperlink"/>
                <w:rFonts w:asciiTheme="majorHAnsi" w:hAnsiTheme="majorHAnsi"/>
                <w:color w:val="0070C0"/>
                <w:sz w:val="20"/>
              </w:rPr>
              <w:t>2</w:t>
            </w:r>
            <w:r w:rsidR="00A538D2" w:rsidRPr="001323FC">
              <w:rPr>
                <w:rStyle w:val="Hyperlink"/>
                <w:webHidden/>
                <w:color w:val="0070C0"/>
                <w:sz w:val="20"/>
              </w:rPr>
              <w:tab/>
            </w:r>
            <w:r w:rsidR="00ED403D">
              <w:rPr>
                <w:rStyle w:val="Hyperlink"/>
                <w:webHidden/>
                <w:color w:val="0070C0"/>
                <w:sz w:val="20"/>
              </w:rPr>
              <w:tab/>
            </w:r>
            <w:r w:rsidR="00A538D2" w:rsidRPr="001323FC">
              <w:rPr>
                <w:rStyle w:val="Hyperlink"/>
                <w:webHidden/>
                <w:color w:val="0070C0"/>
                <w:sz w:val="20"/>
              </w:rPr>
              <w:fldChar w:fldCharType="begin"/>
            </w:r>
            <w:r w:rsidR="00A538D2" w:rsidRPr="001323FC">
              <w:rPr>
                <w:rStyle w:val="Hyperlink"/>
                <w:webHidden/>
                <w:color w:val="0070C0"/>
                <w:sz w:val="20"/>
              </w:rPr>
              <w:instrText xml:space="preserve"> PAGEREF _Toc104980358 \h </w:instrText>
            </w:r>
            <w:r w:rsidR="00A538D2" w:rsidRPr="001323FC">
              <w:rPr>
                <w:rStyle w:val="Hyperlink"/>
                <w:webHidden/>
                <w:color w:val="0070C0"/>
                <w:sz w:val="20"/>
              </w:rPr>
            </w:r>
            <w:r w:rsidR="00A538D2" w:rsidRPr="001323FC">
              <w:rPr>
                <w:rStyle w:val="Hyperlink"/>
                <w:webHidden/>
                <w:color w:val="0070C0"/>
                <w:sz w:val="20"/>
              </w:rPr>
              <w:fldChar w:fldCharType="separate"/>
            </w:r>
            <w:r w:rsidR="008C3E07">
              <w:rPr>
                <w:rStyle w:val="Hyperlink"/>
                <w:webHidden/>
                <w:color w:val="0070C0"/>
                <w:sz w:val="20"/>
              </w:rPr>
              <w:t>65</w:t>
            </w:r>
            <w:r w:rsidR="00A538D2" w:rsidRPr="001323FC">
              <w:rPr>
                <w:rStyle w:val="Hyperlink"/>
                <w:webHidden/>
                <w:color w:val="0070C0"/>
                <w:sz w:val="20"/>
              </w:rPr>
              <w:fldChar w:fldCharType="end"/>
            </w:r>
          </w:hyperlink>
        </w:p>
        <w:p w:rsidR="00A538D2" w:rsidRPr="001323FC" w:rsidRDefault="00ED218A" w:rsidP="00FC729E">
          <w:pPr>
            <w:pStyle w:val="TOC2"/>
            <w:spacing w:line="276" w:lineRule="auto"/>
            <w:rPr>
              <w:rStyle w:val="Hyperlink"/>
              <w:color w:val="0070C0"/>
              <w:sz w:val="20"/>
            </w:rPr>
          </w:pPr>
          <w:hyperlink w:anchor="_Toc104980359" w:history="1">
            <w:r w:rsidR="00A538D2" w:rsidRPr="001323FC">
              <w:rPr>
                <w:rStyle w:val="Hyperlink"/>
                <w:rFonts w:asciiTheme="majorHAnsi" w:hAnsiTheme="majorHAnsi"/>
                <w:color w:val="0070C0"/>
                <w:sz w:val="20"/>
              </w:rPr>
              <w:t>8.3</w:t>
            </w:r>
            <w:r w:rsidR="00A538D2" w:rsidRPr="001323FC">
              <w:rPr>
                <w:rStyle w:val="Hyperlink"/>
                <w:color w:val="0070C0"/>
                <w:sz w:val="20"/>
              </w:rPr>
              <w:tab/>
            </w:r>
            <w:r w:rsidR="00A538D2" w:rsidRPr="001323FC">
              <w:rPr>
                <w:rStyle w:val="Hyperlink"/>
                <w:rFonts w:asciiTheme="majorHAnsi" w:hAnsiTheme="majorHAnsi"/>
                <w:color w:val="0070C0"/>
                <w:sz w:val="20"/>
              </w:rPr>
              <w:t xml:space="preserve">Shtojca 3 </w:t>
            </w:r>
            <w:r w:rsidR="00C244E2">
              <w:rPr>
                <w:rStyle w:val="Hyperlink"/>
                <w:rFonts w:asciiTheme="majorHAnsi" w:hAnsiTheme="majorHAnsi"/>
                <w:color w:val="0070C0"/>
                <w:sz w:val="20"/>
              </w:rPr>
              <w:t xml:space="preserve">– </w:t>
            </w:r>
            <w:r w:rsidR="00A538D2" w:rsidRPr="001323FC">
              <w:rPr>
                <w:rStyle w:val="Hyperlink"/>
                <w:rFonts w:asciiTheme="majorHAnsi" w:hAnsiTheme="majorHAnsi"/>
                <w:color w:val="0070C0"/>
                <w:sz w:val="20"/>
              </w:rPr>
              <w:t>Treguesit</w:t>
            </w:r>
            <w:r w:rsidR="00C244E2">
              <w:rPr>
                <w:rStyle w:val="Hyperlink"/>
                <w:rFonts w:asciiTheme="majorHAnsi" w:hAnsiTheme="majorHAnsi"/>
                <w:color w:val="0070C0"/>
                <w:sz w:val="20"/>
              </w:rPr>
              <w:t xml:space="preserve"> </w:t>
            </w:r>
            <w:r w:rsidR="00A538D2" w:rsidRPr="001323FC">
              <w:rPr>
                <w:rStyle w:val="Hyperlink"/>
                <w:rFonts w:asciiTheme="majorHAnsi" w:hAnsiTheme="majorHAnsi"/>
                <w:color w:val="0070C0"/>
                <w:sz w:val="20"/>
              </w:rPr>
              <w:t>kryesorë të performancës sipas ministrive të linjës</w:t>
            </w:r>
            <w:r w:rsidR="00A538D2" w:rsidRPr="001323FC">
              <w:rPr>
                <w:rStyle w:val="Hyperlink"/>
                <w:webHidden/>
                <w:color w:val="0070C0"/>
                <w:sz w:val="20"/>
              </w:rPr>
              <w:tab/>
            </w:r>
            <w:r w:rsidR="00ED403D">
              <w:rPr>
                <w:rStyle w:val="Hyperlink"/>
                <w:webHidden/>
                <w:color w:val="0070C0"/>
                <w:sz w:val="20"/>
              </w:rPr>
              <w:tab/>
            </w:r>
            <w:r w:rsidR="00A538D2" w:rsidRPr="001323FC">
              <w:rPr>
                <w:rStyle w:val="Hyperlink"/>
                <w:webHidden/>
                <w:color w:val="0070C0"/>
                <w:sz w:val="20"/>
              </w:rPr>
              <w:fldChar w:fldCharType="begin"/>
            </w:r>
            <w:r w:rsidR="00A538D2" w:rsidRPr="001323FC">
              <w:rPr>
                <w:rStyle w:val="Hyperlink"/>
                <w:webHidden/>
                <w:color w:val="0070C0"/>
                <w:sz w:val="20"/>
              </w:rPr>
              <w:instrText xml:space="preserve"> PAGEREF _Toc104980359 \h </w:instrText>
            </w:r>
            <w:r w:rsidR="00A538D2" w:rsidRPr="001323FC">
              <w:rPr>
                <w:rStyle w:val="Hyperlink"/>
                <w:webHidden/>
                <w:color w:val="0070C0"/>
                <w:sz w:val="20"/>
              </w:rPr>
            </w:r>
            <w:r w:rsidR="00A538D2" w:rsidRPr="001323FC">
              <w:rPr>
                <w:rStyle w:val="Hyperlink"/>
                <w:webHidden/>
                <w:color w:val="0070C0"/>
                <w:sz w:val="20"/>
              </w:rPr>
              <w:fldChar w:fldCharType="separate"/>
            </w:r>
            <w:r w:rsidR="008C3E07">
              <w:rPr>
                <w:rStyle w:val="Hyperlink"/>
                <w:webHidden/>
                <w:color w:val="0070C0"/>
                <w:sz w:val="20"/>
              </w:rPr>
              <w:t>67</w:t>
            </w:r>
            <w:r w:rsidR="00A538D2" w:rsidRPr="001323FC">
              <w:rPr>
                <w:rStyle w:val="Hyperlink"/>
                <w:webHidden/>
                <w:color w:val="0070C0"/>
                <w:sz w:val="20"/>
              </w:rPr>
              <w:fldChar w:fldCharType="end"/>
            </w:r>
          </w:hyperlink>
        </w:p>
        <w:p w:rsidR="00A538D2" w:rsidRPr="008D19CE" w:rsidRDefault="00ED218A" w:rsidP="00FC729E">
          <w:pPr>
            <w:pStyle w:val="TOC3"/>
            <w:spacing w:before="0" w:after="0" w:line="276" w:lineRule="auto"/>
            <w:rPr>
              <w:rStyle w:val="Hyperlink"/>
              <w:color w:val="0070C0"/>
            </w:rPr>
          </w:pPr>
          <w:hyperlink w:anchor="_Toc104980360" w:history="1">
            <w:r w:rsidR="00A538D2" w:rsidRPr="008D19CE">
              <w:rPr>
                <w:rStyle w:val="Hyperlink"/>
                <w:b w:val="0"/>
                <w:color w:val="0070C0"/>
              </w:rPr>
              <w:t>8.3.1</w:t>
            </w:r>
            <w:r w:rsidR="00A538D2" w:rsidRPr="008D19CE">
              <w:rPr>
                <w:rStyle w:val="Hyperlink"/>
                <w:color w:val="0070C0"/>
              </w:rPr>
              <w:tab/>
            </w:r>
            <w:r w:rsidR="00A538D2" w:rsidRPr="008D19CE">
              <w:rPr>
                <w:rStyle w:val="Hyperlink"/>
                <w:b w:val="0"/>
                <w:color w:val="0070C0"/>
              </w:rPr>
              <w:t>Shëndetësia dhe Mbrojtja Sociale</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_Toc104980360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68</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61" w:history="1">
            <w:r w:rsidR="00A538D2" w:rsidRPr="008D19CE">
              <w:rPr>
                <w:rStyle w:val="Hyperlink"/>
                <w:b w:val="0"/>
                <w:color w:val="0070C0"/>
              </w:rPr>
              <w:t>8.3.2</w:t>
            </w:r>
            <w:r w:rsidR="00A538D2" w:rsidRPr="008D19CE">
              <w:rPr>
                <w:rStyle w:val="Hyperlink"/>
                <w:color w:val="0070C0"/>
              </w:rPr>
              <w:tab/>
            </w:r>
            <w:r w:rsidR="00A538D2" w:rsidRPr="008D19CE">
              <w:rPr>
                <w:rStyle w:val="Hyperlink"/>
                <w:b w:val="0"/>
                <w:color w:val="0070C0"/>
              </w:rPr>
              <w:t>Arsimi</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_Toc104980361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70</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62" w:history="1">
            <w:r w:rsidR="00A538D2" w:rsidRPr="008D19CE">
              <w:rPr>
                <w:rStyle w:val="Hyperlink"/>
                <w:b w:val="0"/>
                <w:color w:val="0070C0"/>
              </w:rPr>
              <w:t>8.3.3</w:t>
            </w:r>
            <w:r w:rsidR="00A538D2" w:rsidRPr="008D19CE">
              <w:rPr>
                <w:rStyle w:val="Hyperlink"/>
                <w:color w:val="0070C0"/>
              </w:rPr>
              <w:tab/>
            </w:r>
            <w:r w:rsidR="00A538D2" w:rsidRPr="008D19CE">
              <w:rPr>
                <w:rStyle w:val="Hyperlink"/>
                <w:b w:val="0"/>
                <w:color w:val="0070C0"/>
              </w:rPr>
              <w:t>Bujqësia dhe Zhvillimi Rural</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_Toc104980362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72</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63" w:history="1">
            <w:r w:rsidR="00A538D2" w:rsidRPr="008D19CE">
              <w:rPr>
                <w:rStyle w:val="Hyperlink"/>
                <w:b w:val="0"/>
                <w:color w:val="0070C0"/>
              </w:rPr>
              <w:t>8.3.4</w:t>
            </w:r>
            <w:r w:rsidR="00A538D2" w:rsidRPr="008D19CE">
              <w:rPr>
                <w:rStyle w:val="Hyperlink"/>
                <w:color w:val="0070C0"/>
              </w:rPr>
              <w:tab/>
            </w:r>
            <w:r w:rsidR="00A538D2" w:rsidRPr="008D19CE">
              <w:rPr>
                <w:rStyle w:val="Hyperlink"/>
                <w:b w:val="0"/>
                <w:color w:val="0070C0"/>
              </w:rPr>
              <w:t>Infrastruktura dhe Energjia</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_Toc104980363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74</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64" w:history="1">
            <w:r w:rsidR="00A538D2" w:rsidRPr="008D19CE">
              <w:rPr>
                <w:rStyle w:val="Hyperlink"/>
                <w:b w:val="0"/>
                <w:color w:val="0070C0"/>
              </w:rPr>
              <w:t>8.3.5</w:t>
            </w:r>
            <w:r w:rsidR="00A538D2" w:rsidRPr="008D19CE">
              <w:rPr>
                <w:rStyle w:val="Hyperlink"/>
                <w:color w:val="0070C0"/>
              </w:rPr>
              <w:tab/>
            </w:r>
            <w:r w:rsidR="00A538D2" w:rsidRPr="008D19CE">
              <w:rPr>
                <w:rStyle w:val="Hyperlink"/>
                <w:b w:val="0"/>
                <w:color w:val="0070C0"/>
              </w:rPr>
              <w:t>Turizmi dhe Mjedisi</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_Toc104980364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78</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65" w:history="1">
            <w:r w:rsidR="00A538D2" w:rsidRPr="008D19CE">
              <w:rPr>
                <w:rStyle w:val="Hyperlink"/>
                <w:b w:val="0"/>
                <w:color w:val="0070C0"/>
              </w:rPr>
              <w:t>8.3.6</w:t>
            </w:r>
            <w:r w:rsidR="00A538D2" w:rsidRPr="008D19CE">
              <w:rPr>
                <w:rStyle w:val="Hyperlink"/>
                <w:color w:val="0070C0"/>
              </w:rPr>
              <w:tab/>
            </w:r>
            <w:r w:rsidR="00A538D2" w:rsidRPr="008D19CE">
              <w:rPr>
                <w:rStyle w:val="Hyperlink"/>
                <w:b w:val="0"/>
                <w:color w:val="0070C0"/>
              </w:rPr>
              <w:t>Drejtësia</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_Toc104980365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79</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66" w:history="1">
            <w:r w:rsidR="00A538D2" w:rsidRPr="008D19CE">
              <w:rPr>
                <w:rStyle w:val="Hyperlink"/>
                <w:b w:val="0"/>
                <w:color w:val="0070C0"/>
              </w:rPr>
              <w:t>8.3.7</w:t>
            </w:r>
            <w:r w:rsidR="00A538D2" w:rsidRPr="008D19CE">
              <w:rPr>
                <w:rStyle w:val="Hyperlink"/>
                <w:color w:val="0070C0"/>
              </w:rPr>
              <w:tab/>
            </w:r>
            <w:r w:rsidR="00A538D2" w:rsidRPr="008D19CE">
              <w:rPr>
                <w:rStyle w:val="Hyperlink"/>
                <w:b w:val="0"/>
                <w:color w:val="0070C0"/>
              </w:rPr>
              <w:t>Institucionet e Sistemit të Drejtësisë</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_Toc104980366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80</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67" w:history="1">
            <w:r w:rsidR="00A538D2" w:rsidRPr="008D19CE">
              <w:rPr>
                <w:rStyle w:val="Hyperlink"/>
                <w:b w:val="0"/>
                <w:color w:val="0070C0"/>
              </w:rPr>
              <w:t>8.3.8</w:t>
            </w:r>
            <w:r w:rsidR="00A538D2" w:rsidRPr="008D19CE">
              <w:rPr>
                <w:rStyle w:val="Hyperlink"/>
                <w:color w:val="0070C0"/>
              </w:rPr>
              <w:tab/>
            </w:r>
            <w:r w:rsidR="00A538D2" w:rsidRPr="008D19CE">
              <w:rPr>
                <w:rStyle w:val="Hyperlink"/>
                <w:b w:val="0"/>
                <w:color w:val="0070C0"/>
              </w:rPr>
              <w:t>Financat, Ekonomia, Punësimi dhe Arsimi Profesional</w:t>
            </w:r>
            <w:r w:rsidR="00A538D2" w:rsidRPr="008D19CE">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_Toc104980367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81</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68" w:history="1">
            <w:r w:rsidR="00A538D2" w:rsidRPr="008D19CE">
              <w:rPr>
                <w:rStyle w:val="Hyperlink"/>
                <w:b w:val="0"/>
                <w:color w:val="0070C0"/>
              </w:rPr>
              <w:t>8.3.9</w:t>
            </w:r>
            <w:r w:rsidR="00A538D2" w:rsidRPr="008D19CE">
              <w:rPr>
                <w:rStyle w:val="Hyperlink"/>
                <w:color w:val="0070C0"/>
              </w:rPr>
              <w:tab/>
            </w:r>
            <w:r w:rsidR="00A538D2" w:rsidRPr="008D19CE">
              <w:rPr>
                <w:rStyle w:val="Hyperlink"/>
                <w:b w:val="0"/>
                <w:color w:val="0070C0"/>
              </w:rPr>
              <w:t>Mbrojtja</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_Toc104980368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83</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69" w:history="1">
            <w:r w:rsidR="00A538D2" w:rsidRPr="008D19CE">
              <w:rPr>
                <w:rStyle w:val="Hyperlink"/>
                <w:b w:val="0"/>
                <w:color w:val="0070C0"/>
              </w:rPr>
              <w:t>8.3.10</w:t>
            </w:r>
            <w:r w:rsidR="00A538D2" w:rsidRPr="008D19CE">
              <w:rPr>
                <w:rStyle w:val="Hyperlink"/>
                <w:color w:val="0070C0"/>
              </w:rPr>
              <w:tab/>
            </w:r>
            <w:r w:rsidR="00A538D2" w:rsidRPr="008D19CE">
              <w:rPr>
                <w:rStyle w:val="Hyperlink"/>
                <w:b w:val="0"/>
                <w:color w:val="0070C0"/>
              </w:rPr>
              <w:t>Kultura</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_Toc104980369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84</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70" w:history="1">
            <w:r w:rsidR="00A538D2" w:rsidRPr="008D19CE">
              <w:rPr>
                <w:rStyle w:val="Hyperlink"/>
                <w:b w:val="0"/>
                <w:color w:val="0070C0"/>
              </w:rPr>
              <w:t>8.3.11</w:t>
            </w:r>
            <w:r w:rsidR="00A538D2" w:rsidRPr="008D19CE">
              <w:rPr>
                <w:rStyle w:val="Hyperlink"/>
                <w:color w:val="0070C0"/>
              </w:rPr>
              <w:tab/>
            </w:r>
            <w:r w:rsidR="00A538D2" w:rsidRPr="008D19CE">
              <w:rPr>
                <w:rStyle w:val="Hyperlink"/>
                <w:b w:val="0"/>
                <w:color w:val="0070C0"/>
              </w:rPr>
              <w:t>Rendi dhe Siguria Publike</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_Toc104980370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86</w:t>
            </w:r>
            <w:r w:rsidR="00A538D2" w:rsidRPr="008D19CE">
              <w:rPr>
                <w:rStyle w:val="Hyperlink"/>
                <w:b w:val="0"/>
                <w:webHidden/>
                <w:color w:val="0070C0"/>
              </w:rPr>
              <w:fldChar w:fldCharType="end"/>
            </w:r>
          </w:hyperlink>
        </w:p>
        <w:p w:rsidR="00A538D2" w:rsidRPr="008D19CE" w:rsidRDefault="00ED218A" w:rsidP="00FC729E">
          <w:pPr>
            <w:pStyle w:val="TOC3"/>
            <w:spacing w:before="0" w:after="0" w:line="276" w:lineRule="auto"/>
            <w:rPr>
              <w:rStyle w:val="Hyperlink"/>
              <w:color w:val="0070C0"/>
            </w:rPr>
          </w:pPr>
          <w:hyperlink w:anchor="_Toc104980371" w:history="1">
            <w:r w:rsidR="00A538D2" w:rsidRPr="008D19CE">
              <w:rPr>
                <w:rStyle w:val="Hyperlink"/>
                <w:b w:val="0"/>
                <w:color w:val="0070C0"/>
              </w:rPr>
              <w:t>8.3.12</w:t>
            </w:r>
            <w:r w:rsidR="00A538D2" w:rsidRPr="008D19CE">
              <w:rPr>
                <w:rStyle w:val="Hyperlink"/>
                <w:color w:val="0070C0"/>
              </w:rPr>
              <w:tab/>
            </w:r>
            <w:r w:rsidR="00A538D2" w:rsidRPr="008D19CE">
              <w:rPr>
                <w:rStyle w:val="Hyperlink"/>
                <w:b w:val="0"/>
                <w:color w:val="0070C0"/>
              </w:rPr>
              <w:t>Politika e Jashtme</w:t>
            </w:r>
            <w:r w:rsidR="00A538D2" w:rsidRPr="008D19CE">
              <w:rPr>
                <w:rStyle w:val="Hyperlink"/>
                <w:b w:val="0"/>
                <w:webHidden/>
                <w:color w:val="0070C0"/>
              </w:rPr>
              <w:tab/>
            </w:r>
            <w:r w:rsidR="00ED403D">
              <w:rPr>
                <w:rStyle w:val="Hyperlink"/>
                <w:b w:val="0"/>
                <w:webHidden/>
                <w:color w:val="0070C0"/>
              </w:rPr>
              <w:tab/>
            </w:r>
            <w:r w:rsidR="00A538D2" w:rsidRPr="008D19CE">
              <w:rPr>
                <w:rStyle w:val="Hyperlink"/>
                <w:b w:val="0"/>
                <w:webHidden/>
                <w:color w:val="0070C0"/>
              </w:rPr>
              <w:fldChar w:fldCharType="begin"/>
            </w:r>
            <w:r w:rsidR="00A538D2" w:rsidRPr="008D19CE">
              <w:rPr>
                <w:rStyle w:val="Hyperlink"/>
                <w:b w:val="0"/>
                <w:webHidden/>
                <w:color w:val="0070C0"/>
              </w:rPr>
              <w:instrText xml:space="preserve"> PAGEREF _Toc104980371 \h </w:instrText>
            </w:r>
            <w:r w:rsidR="00A538D2" w:rsidRPr="008D19CE">
              <w:rPr>
                <w:rStyle w:val="Hyperlink"/>
                <w:b w:val="0"/>
                <w:webHidden/>
                <w:color w:val="0070C0"/>
              </w:rPr>
            </w:r>
            <w:r w:rsidR="00A538D2" w:rsidRPr="008D19CE">
              <w:rPr>
                <w:rStyle w:val="Hyperlink"/>
                <w:b w:val="0"/>
                <w:webHidden/>
                <w:color w:val="0070C0"/>
              </w:rPr>
              <w:fldChar w:fldCharType="separate"/>
            </w:r>
            <w:r w:rsidR="008C3E07">
              <w:rPr>
                <w:rStyle w:val="Hyperlink"/>
                <w:b w:val="0"/>
                <w:webHidden/>
                <w:color w:val="0070C0"/>
              </w:rPr>
              <w:t>87</w:t>
            </w:r>
            <w:r w:rsidR="00A538D2" w:rsidRPr="008D19CE">
              <w:rPr>
                <w:rStyle w:val="Hyperlink"/>
                <w:b w:val="0"/>
                <w:webHidden/>
                <w:color w:val="0070C0"/>
              </w:rPr>
              <w:fldChar w:fldCharType="end"/>
            </w:r>
          </w:hyperlink>
        </w:p>
        <w:p w:rsidR="005209FF" w:rsidRPr="00476D2E" w:rsidRDefault="005209FF" w:rsidP="00FC729E">
          <w:pPr>
            <w:pStyle w:val="TOC3"/>
            <w:spacing w:before="0" w:line="276" w:lineRule="auto"/>
          </w:pPr>
          <w:r w:rsidRPr="008D19CE">
            <w:rPr>
              <w:bCs/>
            </w:rPr>
            <w:fldChar w:fldCharType="end"/>
          </w:r>
        </w:p>
      </w:sdtContent>
    </w:sdt>
    <w:p w:rsidR="007F44B9" w:rsidRPr="00476D2E" w:rsidRDefault="007F44B9" w:rsidP="00FC729E">
      <w:pPr>
        <w:snapToGrid w:val="0"/>
        <w:jc w:val="center"/>
        <w:rPr>
          <w:rFonts w:cs="Calibri"/>
          <w:lang w:val="sq-AL"/>
        </w:rPr>
      </w:pPr>
    </w:p>
    <w:p w:rsidR="007F44B9" w:rsidRPr="00476D2E" w:rsidRDefault="007F44B9" w:rsidP="00FC729E">
      <w:pPr>
        <w:rPr>
          <w:rFonts w:cs="Calibri"/>
          <w:lang w:val="sq-AL"/>
        </w:rPr>
        <w:sectPr w:rsidR="007F44B9" w:rsidRPr="00476D2E" w:rsidSect="00B83536">
          <w:pgSz w:w="12240" w:h="15840"/>
          <w:pgMar w:top="1440" w:right="907" w:bottom="1440" w:left="806" w:header="720" w:footer="720" w:gutter="0"/>
          <w:cols w:space="720"/>
          <w:docGrid w:linePitch="360"/>
        </w:sectPr>
      </w:pPr>
    </w:p>
    <w:p w:rsidR="009158B4" w:rsidRPr="004D0CC0" w:rsidRDefault="009158B4" w:rsidP="00FC729E">
      <w:pPr>
        <w:pStyle w:val="TableofFigures"/>
        <w:tabs>
          <w:tab w:val="right" w:leader="dot" w:pos="10440"/>
        </w:tabs>
        <w:spacing w:before="0"/>
        <w:jc w:val="center"/>
        <w:rPr>
          <w:rFonts w:ascii="Calibri" w:hAnsi="Calibri" w:cs="Calibri"/>
          <w:b/>
          <w:color w:val="C00000"/>
          <w:lang w:val="sq-AL"/>
        </w:rPr>
      </w:pPr>
      <w:r w:rsidRPr="004D0CC0">
        <w:rPr>
          <w:rFonts w:ascii="Calibri" w:hAnsi="Calibri" w:cs="Calibri"/>
          <w:b/>
          <w:color w:val="C00000"/>
          <w:lang w:val="sq-AL"/>
        </w:rPr>
        <w:lastRenderedPageBreak/>
        <w:t>TABELA DHE GRAFIK</w:t>
      </w:r>
      <w:r w:rsidR="00C33B16" w:rsidRPr="004D0CC0">
        <w:rPr>
          <w:rFonts w:ascii="Calibri" w:hAnsi="Calibri" w:cs="Calibri"/>
          <w:b/>
          <w:color w:val="C00000"/>
          <w:lang w:val="sq-AL"/>
        </w:rPr>
        <w:t>Ë</w:t>
      </w:r>
    </w:p>
    <w:p w:rsidR="00B70BE3" w:rsidRPr="00B70BE3" w:rsidRDefault="009158B4"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r w:rsidRPr="00B70BE3">
        <w:rPr>
          <w:rStyle w:val="Hyperlink"/>
          <w:rFonts w:asciiTheme="majorHAnsi" w:hAnsiTheme="majorHAnsi" w:cs="Calibri"/>
          <w:noProof/>
          <w:color w:val="0070C0"/>
          <w:sz w:val="16"/>
          <w:szCs w:val="18"/>
          <w:lang w:val="sq-AL"/>
        </w:rPr>
        <w:fldChar w:fldCharType="begin"/>
      </w:r>
      <w:r w:rsidRPr="00B70BE3">
        <w:rPr>
          <w:rStyle w:val="Hyperlink"/>
          <w:rFonts w:asciiTheme="majorHAnsi" w:hAnsiTheme="majorHAnsi" w:cs="Calibri"/>
          <w:noProof/>
          <w:color w:val="0070C0"/>
          <w:sz w:val="16"/>
          <w:szCs w:val="18"/>
          <w:lang w:val="sq-AL"/>
        </w:rPr>
        <w:instrText xml:space="preserve"> TOC \h \z \c "Tabela" </w:instrText>
      </w:r>
      <w:r w:rsidRPr="00B70BE3">
        <w:rPr>
          <w:rStyle w:val="Hyperlink"/>
          <w:rFonts w:asciiTheme="majorHAnsi" w:hAnsiTheme="majorHAnsi" w:cs="Calibri"/>
          <w:noProof/>
          <w:color w:val="0070C0"/>
          <w:sz w:val="16"/>
          <w:szCs w:val="18"/>
          <w:lang w:val="sq-AL"/>
        </w:rPr>
        <w:fldChar w:fldCharType="separate"/>
      </w:r>
      <w:hyperlink w:anchor="_Toc136526327" w:history="1">
        <w:r w:rsidR="00B70BE3" w:rsidRPr="00B70BE3">
          <w:rPr>
            <w:rStyle w:val="Hyperlink"/>
            <w:rFonts w:asciiTheme="majorHAnsi" w:hAnsiTheme="majorHAnsi" w:cs="Calibri"/>
            <w:noProof/>
            <w:color w:val="0070C0"/>
            <w:sz w:val="16"/>
            <w:szCs w:val="18"/>
            <w:lang w:val="sq-AL"/>
          </w:rPr>
          <w:t>Tabela 1 Produkti i Brendshëm Bruto</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_Toc136526327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9</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28" w:history="1">
        <w:r w:rsidR="00B70BE3" w:rsidRPr="00B70BE3">
          <w:rPr>
            <w:rStyle w:val="Hyperlink"/>
            <w:rFonts w:asciiTheme="majorHAnsi" w:hAnsiTheme="majorHAnsi" w:cs="Calibri"/>
            <w:noProof/>
            <w:color w:val="0070C0"/>
            <w:sz w:val="16"/>
            <w:szCs w:val="18"/>
            <w:lang w:val="sq-AL"/>
          </w:rPr>
          <w:t>Tabela 2  Norma e papunësisë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_Toc136526328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9</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29" w:history="1">
        <w:r w:rsidR="00B70BE3" w:rsidRPr="00B70BE3">
          <w:rPr>
            <w:rStyle w:val="Hyperlink"/>
            <w:rFonts w:asciiTheme="majorHAnsi" w:hAnsiTheme="majorHAnsi" w:cs="Calibri"/>
            <w:noProof/>
            <w:color w:val="0070C0"/>
            <w:sz w:val="16"/>
            <w:szCs w:val="18"/>
            <w:lang w:val="sq-AL"/>
          </w:rPr>
          <w:t>Tabela 3 Bilanci tregtar</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_Toc136526329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30" w:history="1">
        <w:r w:rsidR="00B70BE3" w:rsidRPr="00B70BE3">
          <w:rPr>
            <w:rStyle w:val="Hyperlink"/>
            <w:rFonts w:asciiTheme="majorHAnsi" w:hAnsiTheme="majorHAnsi" w:cs="Calibri"/>
            <w:noProof/>
            <w:color w:val="0070C0"/>
            <w:sz w:val="16"/>
            <w:szCs w:val="18"/>
            <w:lang w:val="sq-AL"/>
          </w:rPr>
          <w:t>Tabela 4 Norma e inflacionit</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_Toc136526330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31" w:history="1">
        <w:r w:rsidR="00B70BE3" w:rsidRPr="00B70BE3">
          <w:rPr>
            <w:rStyle w:val="Hyperlink"/>
            <w:rFonts w:asciiTheme="majorHAnsi" w:hAnsiTheme="majorHAnsi" w:cs="Calibri"/>
            <w:noProof/>
            <w:color w:val="0070C0"/>
            <w:sz w:val="16"/>
            <w:szCs w:val="18"/>
            <w:lang w:val="sq-AL"/>
          </w:rPr>
          <w:t>Tabela 5 Bilanci fiskal</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_Toc136526331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32" w:history="1">
        <w:r w:rsidR="00B70BE3" w:rsidRPr="00B70BE3">
          <w:rPr>
            <w:rStyle w:val="Hyperlink"/>
            <w:rFonts w:asciiTheme="majorHAnsi" w:hAnsiTheme="majorHAnsi" w:cs="Calibri"/>
            <w:noProof/>
            <w:color w:val="0070C0"/>
            <w:sz w:val="16"/>
            <w:szCs w:val="18"/>
            <w:lang w:val="sq-AL"/>
          </w:rPr>
          <w:t>Tabela 6 Borxhi publik</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_Toc136526332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33" w:history="1">
        <w:r w:rsidR="00B70BE3" w:rsidRPr="00B70BE3">
          <w:rPr>
            <w:rStyle w:val="Hyperlink"/>
            <w:rFonts w:asciiTheme="majorHAnsi" w:hAnsiTheme="majorHAnsi" w:cs="Calibri"/>
            <w:noProof/>
            <w:color w:val="0070C0"/>
            <w:sz w:val="16"/>
            <w:szCs w:val="18"/>
            <w:lang w:val="sq-AL"/>
          </w:rPr>
          <w:t>Tabela 7 Treguesit e të ardhurave kryesore (në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_Toc136526333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14</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34" w:history="1">
        <w:r w:rsidR="00B70BE3" w:rsidRPr="00B70BE3">
          <w:rPr>
            <w:rStyle w:val="Hyperlink"/>
            <w:rFonts w:asciiTheme="majorHAnsi" w:hAnsiTheme="majorHAnsi" w:cs="Calibri"/>
            <w:noProof/>
            <w:color w:val="0070C0"/>
            <w:sz w:val="16"/>
            <w:szCs w:val="18"/>
            <w:lang w:val="sq-AL"/>
          </w:rPr>
          <w:t>Tabela 8 Të ardhurat nga tatimet dhe doganat (në milionë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_Toc136526334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18</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35" w:history="1">
        <w:r w:rsidR="00B70BE3" w:rsidRPr="00B70BE3">
          <w:rPr>
            <w:rStyle w:val="Hyperlink"/>
            <w:rFonts w:asciiTheme="majorHAnsi" w:hAnsiTheme="majorHAnsi" w:cs="Calibri"/>
            <w:noProof/>
            <w:color w:val="0070C0"/>
            <w:sz w:val="16"/>
            <w:szCs w:val="18"/>
            <w:lang w:val="sq-AL"/>
          </w:rPr>
          <w:t>Tabela 9 Performanca e të ardhurave nga akciza: mallrat kryesorë 2021 - 2020</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_Toc136526335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21</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36" w:history="1">
        <w:r w:rsidR="00B70BE3" w:rsidRPr="00B70BE3">
          <w:rPr>
            <w:rStyle w:val="Hyperlink"/>
            <w:rFonts w:asciiTheme="majorHAnsi" w:hAnsiTheme="majorHAnsi" w:cs="Calibri"/>
            <w:noProof/>
            <w:color w:val="0070C0"/>
            <w:sz w:val="16"/>
            <w:szCs w:val="18"/>
            <w:lang w:val="sq-AL"/>
          </w:rPr>
          <w:t>Tabela 10 Shpenzimet sipas funksionit (në milionë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_Toc136526336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32</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37" w:history="1">
        <w:r w:rsidR="00B70BE3" w:rsidRPr="00B70BE3">
          <w:rPr>
            <w:rStyle w:val="Hyperlink"/>
            <w:rFonts w:asciiTheme="majorHAnsi" w:hAnsiTheme="majorHAnsi" w:cs="Calibri"/>
            <w:noProof/>
            <w:color w:val="0070C0"/>
            <w:sz w:val="16"/>
            <w:szCs w:val="18"/>
            <w:lang w:val="sq-AL"/>
          </w:rPr>
          <w:t>Tabela 11 Të ardhurat dhe shpenzimet e pushtetit vendor, sipas natyrës</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_Toc136526337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44</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38" w:history="1">
        <w:r w:rsidR="00B70BE3" w:rsidRPr="00B70BE3">
          <w:rPr>
            <w:rStyle w:val="Hyperlink"/>
            <w:rFonts w:asciiTheme="majorHAnsi" w:hAnsiTheme="majorHAnsi" w:cs="Calibri"/>
            <w:noProof/>
            <w:color w:val="0070C0"/>
            <w:sz w:val="16"/>
            <w:szCs w:val="18"/>
            <w:lang w:val="sq-AL"/>
          </w:rPr>
          <w:t>Tabela 12 Matrica e riskut</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_Toc136526338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46</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39" w:history="1">
        <w:r w:rsidR="00B70BE3" w:rsidRPr="00B70BE3">
          <w:rPr>
            <w:rStyle w:val="Hyperlink"/>
            <w:rFonts w:asciiTheme="majorHAnsi" w:hAnsiTheme="majorHAnsi" w:cs="Calibri"/>
            <w:noProof/>
            <w:color w:val="0070C0"/>
            <w:sz w:val="16"/>
            <w:szCs w:val="18"/>
            <w:lang w:val="sq-AL"/>
          </w:rPr>
          <w:t>Tabela 13 Të dhënat mbi impaktin e sektorit të energjisë në financat publike sipas periudhave përkatëse (në milion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_Toc136526339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40" w:history="1">
        <w:r w:rsidR="00B70BE3" w:rsidRPr="00B70BE3">
          <w:rPr>
            <w:rStyle w:val="Hyperlink"/>
            <w:rFonts w:asciiTheme="majorHAnsi" w:hAnsiTheme="majorHAnsi" w:cs="Calibri"/>
            <w:noProof/>
            <w:color w:val="0070C0"/>
            <w:sz w:val="16"/>
            <w:szCs w:val="18"/>
            <w:lang w:val="sq-AL"/>
          </w:rPr>
          <w:t>Tabela 14 Detyrimet e ndërsjella midis ndërmarjeve të sektorit energjitik, ML/IB,MFE dhe DPT:</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_Toc136526340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41" w:history="1">
        <w:r w:rsidR="00B70BE3" w:rsidRPr="00B70BE3">
          <w:rPr>
            <w:rStyle w:val="Hyperlink"/>
            <w:rFonts w:asciiTheme="majorHAnsi" w:hAnsiTheme="majorHAnsi" w:cs="Calibri"/>
            <w:noProof/>
            <w:color w:val="0070C0"/>
            <w:sz w:val="16"/>
            <w:szCs w:val="18"/>
            <w:lang w:val="sq-AL"/>
          </w:rPr>
          <w:t>Tabela 15 Të dhënat financiare për Sektorin Energjitik (në mijë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_Toc136526341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51</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42" w:history="1">
        <w:r w:rsidR="00B70BE3" w:rsidRPr="00B70BE3">
          <w:rPr>
            <w:rStyle w:val="Hyperlink"/>
            <w:rFonts w:asciiTheme="majorHAnsi" w:hAnsiTheme="majorHAnsi" w:cs="Calibri"/>
            <w:noProof/>
            <w:color w:val="0070C0"/>
            <w:sz w:val="16"/>
            <w:szCs w:val="18"/>
            <w:lang w:val="sq-AL"/>
          </w:rPr>
          <w:t>Tabela 16 Të dhënat financiare 12 mujore për OSHEE Group Sh.a (në mijë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_Toc136526342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51</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43" w:history="1">
        <w:r w:rsidR="00B70BE3" w:rsidRPr="00B70BE3">
          <w:rPr>
            <w:rStyle w:val="Hyperlink"/>
            <w:rFonts w:asciiTheme="majorHAnsi" w:hAnsiTheme="majorHAnsi" w:cs="Calibri"/>
            <w:noProof/>
            <w:color w:val="0070C0"/>
            <w:sz w:val="16"/>
            <w:szCs w:val="18"/>
            <w:lang w:val="sq-AL"/>
          </w:rPr>
          <w:t>Tabela 17 Të dhënat financiare 12 mujore për KESH sh.a (në mijë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_Toc136526343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51</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44" w:history="1">
        <w:r w:rsidR="00B70BE3" w:rsidRPr="00B70BE3">
          <w:rPr>
            <w:rStyle w:val="Hyperlink"/>
            <w:rFonts w:asciiTheme="majorHAnsi" w:hAnsiTheme="majorHAnsi" w:cs="Calibri"/>
            <w:noProof/>
            <w:color w:val="0070C0"/>
            <w:sz w:val="16"/>
            <w:szCs w:val="18"/>
            <w:lang w:val="sq-AL"/>
          </w:rPr>
          <w:t>Tabela 18 Të dhënat financiare 12 mujore për OST Sh.a (në mijë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_Toc136526344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52</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45" w:history="1">
        <w:r w:rsidR="00B70BE3" w:rsidRPr="00B70BE3">
          <w:rPr>
            <w:rStyle w:val="Hyperlink"/>
            <w:rFonts w:asciiTheme="majorHAnsi" w:hAnsiTheme="majorHAnsi" w:cs="Calibri"/>
            <w:noProof/>
            <w:color w:val="0070C0"/>
            <w:sz w:val="16"/>
            <w:szCs w:val="18"/>
            <w:lang w:val="sq-AL"/>
          </w:rPr>
          <w:t>Tabela 19 Detyrimet e prapambetura në nivel vendor sipas kategorive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_Toc136526345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56</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46" w:history="1">
        <w:r w:rsidR="00B70BE3" w:rsidRPr="00B70BE3">
          <w:rPr>
            <w:rStyle w:val="Hyperlink"/>
            <w:rFonts w:asciiTheme="majorHAnsi" w:hAnsiTheme="majorHAnsi" w:cs="Calibri"/>
            <w:noProof/>
            <w:color w:val="0070C0"/>
            <w:sz w:val="16"/>
            <w:szCs w:val="18"/>
            <w:lang w:val="sq-AL"/>
          </w:rPr>
          <w:t>Tabela 20 Koncesionet/PPP-të aktive me mbështetje nga buxheti i shtetit (në mijë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_Toc136526346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58</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47" w:history="1">
        <w:r w:rsidR="00B70BE3" w:rsidRPr="00B70BE3">
          <w:rPr>
            <w:rStyle w:val="Hyperlink"/>
            <w:rFonts w:asciiTheme="majorHAnsi" w:hAnsiTheme="majorHAnsi" w:cs="Calibri"/>
            <w:noProof/>
            <w:color w:val="0070C0"/>
            <w:sz w:val="16"/>
            <w:szCs w:val="18"/>
            <w:lang w:val="sq-AL"/>
          </w:rPr>
          <w:t>Tabela 21 Detyrimet faktike dhe kontigjente nga vendimet e GJEDNJ-së (në EUR)</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_Toc136526347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59</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48" w:history="1">
        <w:r w:rsidR="00B70BE3" w:rsidRPr="00B70BE3">
          <w:rPr>
            <w:rStyle w:val="Hyperlink"/>
            <w:rFonts w:asciiTheme="majorHAnsi" w:hAnsiTheme="majorHAnsi" w:cs="Calibri"/>
            <w:noProof/>
            <w:color w:val="0070C0"/>
            <w:sz w:val="16"/>
            <w:szCs w:val="18"/>
            <w:lang w:val="sq-AL"/>
          </w:rPr>
          <w:t>Tabela 22 Detyrime për vendimet e Arbitrazhit Ndërkombëtar (në EUR)</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_Toc136526348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61</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49" w:history="1">
        <w:r w:rsidR="00B70BE3" w:rsidRPr="00B70BE3">
          <w:rPr>
            <w:rStyle w:val="Hyperlink"/>
            <w:rFonts w:asciiTheme="majorHAnsi" w:hAnsiTheme="majorHAnsi" w:cs="Calibri"/>
            <w:noProof/>
            <w:color w:val="0070C0"/>
            <w:sz w:val="16"/>
            <w:szCs w:val="18"/>
            <w:lang w:val="sq-AL"/>
          </w:rPr>
          <w:t>Tabela 23 Treguesit kryesorë të performancës 2022, sipas ministrive të linjës</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_Toc136526349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67</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50" w:history="1">
        <w:r w:rsidR="00B70BE3" w:rsidRPr="00B70BE3">
          <w:rPr>
            <w:rStyle w:val="Hyperlink"/>
            <w:rFonts w:asciiTheme="majorHAnsi" w:hAnsiTheme="majorHAnsi" w:cs="Calibri"/>
            <w:noProof/>
            <w:color w:val="0070C0"/>
            <w:sz w:val="16"/>
            <w:szCs w:val="18"/>
            <w:lang w:val="sq-AL"/>
          </w:rPr>
          <w:t>Tabela 24 Realizimi i buxhetit 2022 në disa institucione kryesore qendrore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_Toc136526350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67</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51" w:history="1">
        <w:r w:rsidR="00B70BE3" w:rsidRPr="00B70BE3">
          <w:rPr>
            <w:rStyle w:val="Hyperlink"/>
            <w:rFonts w:asciiTheme="majorHAnsi" w:hAnsiTheme="majorHAnsi" w:cs="Calibri"/>
            <w:noProof/>
            <w:color w:val="0070C0"/>
            <w:sz w:val="16"/>
            <w:szCs w:val="18"/>
            <w:lang w:val="sq-AL"/>
          </w:rPr>
          <w:t>Tabela 25 Realizimi i buxhetit 2022 për Ministrinë e Shëndetësisë dhe Mbrojtjes Sociale (në mijë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_Toc136526351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68</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52" w:history="1">
        <w:r w:rsidR="00B70BE3" w:rsidRPr="00B70BE3">
          <w:rPr>
            <w:rStyle w:val="Hyperlink"/>
            <w:rFonts w:asciiTheme="majorHAnsi" w:hAnsiTheme="majorHAnsi" w:cs="Calibri"/>
            <w:noProof/>
            <w:color w:val="0070C0"/>
            <w:sz w:val="16"/>
            <w:szCs w:val="18"/>
            <w:lang w:val="sq-AL"/>
          </w:rPr>
          <w:t>Tabela 26 Realizimi i buxhetit 2022 për Ministrinë e Arsimit, Sportit dhe Rinisë (në mijë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_Toc136526352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70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53" w:history="1">
        <w:r w:rsidR="00B70BE3" w:rsidRPr="00B70BE3">
          <w:rPr>
            <w:rStyle w:val="Hyperlink"/>
            <w:rFonts w:asciiTheme="majorHAnsi" w:hAnsiTheme="majorHAnsi" w:cs="Calibri"/>
            <w:noProof/>
            <w:color w:val="0070C0"/>
            <w:sz w:val="16"/>
            <w:szCs w:val="18"/>
            <w:lang w:val="sq-AL"/>
          </w:rPr>
          <w:t>Tabela 27 Realizimi i buxhetit 2022 për Ministrinë e Bujqësisë dhe Zhvillimit Rural (në mijë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_Toc136526353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72</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54" w:history="1">
        <w:r w:rsidR="00B70BE3" w:rsidRPr="00B70BE3">
          <w:rPr>
            <w:rStyle w:val="Hyperlink"/>
            <w:rFonts w:asciiTheme="majorHAnsi" w:hAnsiTheme="majorHAnsi" w:cs="Calibri"/>
            <w:noProof/>
            <w:color w:val="0070C0"/>
            <w:sz w:val="16"/>
            <w:szCs w:val="18"/>
            <w:lang w:val="sq-AL"/>
          </w:rPr>
          <w:t>Tabela 28 Realizimi i buxhetit 2022 për Ministrinë e Infrastrukturës dhe Energjisë (në mijë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_Toc136526354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74</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55" w:history="1">
        <w:r w:rsidR="00B70BE3" w:rsidRPr="00B70BE3">
          <w:rPr>
            <w:rStyle w:val="Hyperlink"/>
            <w:rFonts w:asciiTheme="majorHAnsi" w:hAnsiTheme="majorHAnsi" w:cs="Calibri"/>
            <w:noProof/>
            <w:color w:val="0070C0"/>
            <w:sz w:val="16"/>
            <w:szCs w:val="18"/>
            <w:lang w:val="sq-AL"/>
          </w:rPr>
          <w:t>Tabela 29 Realizimi i buxhetit 2022 për Ministrinë e Turizmit dhe Mjedisit</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_Toc136526355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78</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56" w:history="1">
        <w:r w:rsidR="00B70BE3" w:rsidRPr="00B70BE3">
          <w:rPr>
            <w:rStyle w:val="Hyperlink"/>
            <w:rFonts w:asciiTheme="majorHAnsi" w:hAnsiTheme="majorHAnsi" w:cs="Calibri"/>
            <w:noProof/>
            <w:color w:val="0070C0"/>
            <w:sz w:val="16"/>
            <w:szCs w:val="18"/>
            <w:lang w:val="sq-AL"/>
          </w:rPr>
          <w:t>Tabela 30 Realizimi i buxhetit 2022 për Ministrinë e Drejtësisë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_Toc136526356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79</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57" w:history="1">
        <w:r w:rsidR="00B70BE3" w:rsidRPr="00B70BE3">
          <w:rPr>
            <w:rStyle w:val="Hyperlink"/>
            <w:rFonts w:asciiTheme="majorHAnsi" w:hAnsiTheme="majorHAnsi" w:cs="Calibri"/>
            <w:noProof/>
            <w:color w:val="0070C0"/>
            <w:sz w:val="16"/>
            <w:szCs w:val="18"/>
            <w:lang w:val="sq-AL"/>
          </w:rPr>
          <w:t>Tabela 31 Realizimi i buxhetit 2022 për Institucionet e Drejtësisë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_Toc136526357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80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58" w:history="1">
        <w:r w:rsidR="00B70BE3" w:rsidRPr="00B70BE3">
          <w:rPr>
            <w:rStyle w:val="Hyperlink"/>
            <w:rFonts w:asciiTheme="majorHAnsi" w:hAnsiTheme="majorHAnsi" w:cs="Calibri"/>
            <w:noProof/>
            <w:color w:val="0070C0"/>
            <w:sz w:val="16"/>
            <w:szCs w:val="18"/>
            <w:lang w:val="sq-AL"/>
          </w:rPr>
          <w:t>Tabela 32 Realizimi i buxhetit 2022 për Ministrinë e Financave dhe Ekonomisë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_Toc136526358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81</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59" w:history="1">
        <w:r w:rsidR="00B70BE3" w:rsidRPr="00B70BE3">
          <w:rPr>
            <w:rStyle w:val="Hyperlink"/>
            <w:rFonts w:asciiTheme="majorHAnsi" w:hAnsiTheme="majorHAnsi" w:cs="Calibri"/>
            <w:noProof/>
            <w:color w:val="0070C0"/>
            <w:sz w:val="16"/>
            <w:szCs w:val="18"/>
            <w:lang w:val="sq-AL"/>
          </w:rPr>
          <w:t>Tabela 33 Realizimi i buxhetit 2022 për Ministrinë e Mbrojtjes</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_Toc136526359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83</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60" w:history="1">
        <w:r w:rsidR="00B70BE3" w:rsidRPr="00B70BE3">
          <w:rPr>
            <w:rStyle w:val="Hyperlink"/>
            <w:rFonts w:asciiTheme="majorHAnsi" w:hAnsiTheme="majorHAnsi" w:cs="Calibri"/>
            <w:noProof/>
            <w:color w:val="0070C0"/>
            <w:sz w:val="16"/>
            <w:szCs w:val="18"/>
            <w:lang w:val="sq-AL"/>
          </w:rPr>
          <w:t>Tabela 34 Realizimi i buxhetit 2022 për Ministrinë e Kulturës</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_Toc136526360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84</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61" w:history="1">
        <w:r w:rsidR="00B70BE3" w:rsidRPr="00B70BE3">
          <w:rPr>
            <w:rStyle w:val="Hyperlink"/>
            <w:rFonts w:asciiTheme="majorHAnsi" w:hAnsiTheme="majorHAnsi" w:cs="Calibri"/>
            <w:noProof/>
            <w:color w:val="0070C0"/>
            <w:sz w:val="16"/>
            <w:szCs w:val="18"/>
            <w:lang w:val="sq-AL"/>
          </w:rPr>
          <w:t>Tabela 35 Realizimi i buxhetit 2022 për Ministrinë e Brendshme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_Toc136526361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86</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362" w:history="1">
        <w:r w:rsidR="00B70BE3" w:rsidRPr="00B70BE3">
          <w:rPr>
            <w:rStyle w:val="Hyperlink"/>
            <w:rFonts w:asciiTheme="majorHAnsi" w:hAnsiTheme="majorHAnsi" w:cs="Calibri"/>
            <w:noProof/>
            <w:color w:val="0070C0"/>
            <w:sz w:val="16"/>
            <w:szCs w:val="18"/>
            <w:lang w:val="sq-AL"/>
          </w:rPr>
          <w:t>Tabela 36 Realizimi i buxhetit 2022 për Ministrinë për Evropën dhe Punët e Jashtme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_Toc136526362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87</w:t>
        </w:r>
        <w:r w:rsidR="00B70BE3" w:rsidRPr="00B70BE3">
          <w:rPr>
            <w:rStyle w:val="Hyperlink"/>
            <w:rFonts w:asciiTheme="majorHAnsi" w:hAnsiTheme="majorHAnsi" w:cs="Calibri"/>
            <w:noProof/>
            <w:webHidden/>
            <w:color w:val="0070C0"/>
            <w:sz w:val="16"/>
            <w:szCs w:val="18"/>
            <w:lang w:val="sq-AL"/>
          </w:rPr>
          <w:fldChar w:fldCharType="end"/>
        </w:r>
      </w:hyperlink>
    </w:p>
    <w:p w:rsidR="009158B4" w:rsidRPr="00476D2E" w:rsidRDefault="009158B4" w:rsidP="00B70BE3">
      <w:pPr>
        <w:pStyle w:val="TableofFigures"/>
        <w:tabs>
          <w:tab w:val="right" w:leader="dot" w:pos="10430"/>
        </w:tabs>
        <w:spacing w:before="0" w:line="240" w:lineRule="auto"/>
        <w:rPr>
          <w:rStyle w:val="Hyperlink"/>
          <w:rFonts w:ascii="Calibri" w:hAnsi="Calibri" w:cs="Calibri"/>
          <w:noProof/>
          <w:color w:val="17406D" w:themeColor="text2"/>
          <w:sz w:val="18"/>
          <w:lang w:val="sq-AL"/>
        </w:rPr>
      </w:pPr>
      <w:r w:rsidRPr="00B70BE3">
        <w:rPr>
          <w:rStyle w:val="Hyperlink"/>
          <w:rFonts w:asciiTheme="majorHAnsi" w:hAnsiTheme="majorHAnsi" w:cs="Calibri"/>
          <w:noProof/>
          <w:color w:val="0070C0"/>
          <w:sz w:val="16"/>
          <w:szCs w:val="18"/>
          <w:lang w:val="sq-AL"/>
        </w:rPr>
        <w:fldChar w:fldCharType="end"/>
      </w:r>
    </w:p>
    <w:p w:rsidR="00B70BE3" w:rsidRPr="00B70BE3" w:rsidRDefault="009158B4"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r w:rsidRPr="00CF3000">
        <w:rPr>
          <w:rStyle w:val="Hyperlink"/>
          <w:rFonts w:asciiTheme="majorHAnsi" w:hAnsiTheme="majorHAnsi" w:cs="Calibri"/>
          <w:noProof/>
          <w:color w:val="0070C0"/>
          <w:sz w:val="16"/>
          <w:szCs w:val="18"/>
          <w:lang w:val="sq-AL"/>
        </w:rPr>
        <w:fldChar w:fldCharType="begin"/>
      </w:r>
      <w:r w:rsidRPr="00CF3000">
        <w:rPr>
          <w:rStyle w:val="Hyperlink"/>
          <w:rFonts w:asciiTheme="majorHAnsi" w:hAnsiTheme="majorHAnsi" w:cs="Calibri"/>
          <w:noProof/>
          <w:color w:val="0070C0"/>
          <w:sz w:val="16"/>
          <w:szCs w:val="18"/>
          <w:lang w:val="sq-AL"/>
        </w:rPr>
        <w:instrText xml:space="preserve"> TOC \h \z \c "Grafiku" </w:instrText>
      </w:r>
      <w:r w:rsidRPr="00CF3000">
        <w:rPr>
          <w:rStyle w:val="Hyperlink"/>
          <w:rFonts w:asciiTheme="majorHAnsi" w:hAnsiTheme="majorHAnsi" w:cs="Calibri"/>
          <w:noProof/>
          <w:color w:val="0070C0"/>
          <w:sz w:val="16"/>
          <w:szCs w:val="18"/>
          <w:lang w:val="sq-AL"/>
        </w:rPr>
        <w:fldChar w:fldCharType="separate"/>
      </w:r>
      <w:hyperlink w:anchor="_Toc136526446" w:history="1">
        <w:r w:rsidR="00B70BE3" w:rsidRPr="00B70BE3">
          <w:rPr>
            <w:rStyle w:val="Hyperlink"/>
            <w:rFonts w:asciiTheme="majorHAnsi" w:hAnsiTheme="majorHAnsi" w:cs="Calibri"/>
            <w:noProof/>
            <w:color w:val="0070C0"/>
            <w:sz w:val="16"/>
            <w:szCs w:val="18"/>
            <w:lang w:val="sq-AL"/>
          </w:rPr>
          <w:t>Grafiku 1 Shpenzimet e përgjithshme publike ndaj PBB-së (në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_Toc136526446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7</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47" w:history="1">
        <w:r w:rsidR="00B70BE3" w:rsidRPr="00B70BE3">
          <w:rPr>
            <w:rStyle w:val="Hyperlink"/>
            <w:rFonts w:asciiTheme="majorHAnsi" w:hAnsiTheme="majorHAnsi" w:cs="Calibri"/>
            <w:noProof/>
            <w:color w:val="0070C0"/>
            <w:sz w:val="16"/>
            <w:szCs w:val="18"/>
            <w:lang w:val="sq-AL"/>
          </w:rPr>
          <w:t>Grafiku 2 Të Ardhurat e përgjithshme (në miliardë lekë) ndaj PBB-së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_Toc136526447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13</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48" w:history="1">
        <w:r w:rsidR="00B70BE3" w:rsidRPr="00B70BE3">
          <w:rPr>
            <w:rStyle w:val="Hyperlink"/>
            <w:rFonts w:asciiTheme="majorHAnsi" w:hAnsiTheme="majorHAnsi" w:cs="Calibri"/>
            <w:noProof/>
            <w:color w:val="0070C0"/>
            <w:sz w:val="16"/>
            <w:szCs w:val="18"/>
            <w:lang w:val="sq-AL"/>
          </w:rPr>
          <w:t>Grafiku 3 Ecuria e zërave kryesorë të të ardhurave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_Toc136526448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13</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49" w:history="1">
        <w:r w:rsidR="00B70BE3" w:rsidRPr="00B70BE3">
          <w:rPr>
            <w:rStyle w:val="Hyperlink"/>
            <w:rFonts w:asciiTheme="majorHAnsi" w:hAnsiTheme="majorHAnsi" w:cs="Calibri"/>
            <w:noProof/>
            <w:color w:val="0070C0"/>
            <w:sz w:val="16"/>
            <w:szCs w:val="18"/>
            <w:lang w:val="sq-AL"/>
          </w:rPr>
          <w:t>Grafiku 4 Të ardhurat e përgjithshme (në miliardë lekë), sipas kategorive kryesore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_Toc136526449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14</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50" w:history="1">
        <w:r w:rsidR="00B70BE3" w:rsidRPr="00B70BE3">
          <w:rPr>
            <w:rStyle w:val="Hyperlink"/>
            <w:rFonts w:asciiTheme="majorHAnsi" w:hAnsiTheme="majorHAnsi" w:cs="Calibri"/>
            <w:noProof/>
            <w:color w:val="0070C0"/>
            <w:sz w:val="16"/>
            <w:szCs w:val="18"/>
            <w:lang w:val="sq-AL"/>
          </w:rPr>
          <w:t>Grafiku 5 Të ardhura nga pushteti vendor në vite (në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_Toc136526450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15</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51" w:history="1">
        <w:r w:rsidR="00B70BE3" w:rsidRPr="00B70BE3">
          <w:rPr>
            <w:rStyle w:val="Hyperlink"/>
            <w:rFonts w:asciiTheme="majorHAnsi" w:hAnsiTheme="majorHAnsi" w:cs="Calibri"/>
            <w:noProof/>
            <w:color w:val="0070C0"/>
            <w:sz w:val="16"/>
            <w:szCs w:val="18"/>
            <w:lang w:val="sq-AL"/>
          </w:rPr>
          <w:t>Grafiku 6 Përbërja e të ardhurave nga pushteti vendor sipas zërave kryesorë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_Toc136526451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15</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52" w:history="1">
        <w:r w:rsidR="00B70BE3" w:rsidRPr="00B70BE3">
          <w:rPr>
            <w:rStyle w:val="Hyperlink"/>
            <w:rFonts w:asciiTheme="majorHAnsi" w:hAnsiTheme="majorHAnsi" w:cs="Calibri"/>
            <w:noProof/>
            <w:color w:val="0070C0"/>
            <w:sz w:val="16"/>
            <w:szCs w:val="18"/>
            <w:lang w:val="sq-AL"/>
          </w:rPr>
          <w:t>Grafiku 7 Të ardhurat nga fondet speciale në vite (në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_Toc136526452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16</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53" w:history="1">
        <w:r w:rsidR="00B70BE3" w:rsidRPr="00B70BE3">
          <w:rPr>
            <w:rStyle w:val="Hyperlink"/>
            <w:rFonts w:asciiTheme="majorHAnsi" w:hAnsiTheme="majorHAnsi" w:cs="Calibri"/>
            <w:noProof/>
            <w:color w:val="0070C0"/>
            <w:sz w:val="16"/>
            <w:szCs w:val="18"/>
            <w:lang w:val="sq-AL"/>
          </w:rPr>
          <w:t>Grafiku 8 Përbërja e të ardhurave nga fondet speciale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_Toc136526453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16</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54" w:history="1">
        <w:r w:rsidR="00B70BE3" w:rsidRPr="00B70BE3">
          <w:rPr>
            <w:rStyle w:val="Hyperlink"/>
            <w:rFonts w:asciiTheme="majorHAnsi" w:hAnsiTheme="majorHAnsi" w:cs="Calibri"/>
            <w:noProof/>
            <w:color w:val="0070C0"/>
            <w:sz w:val="16"/>
            <w:szCs w:val="18"/>
            <w:lang w:val="sq-AL"/>
          </w:rPr>
          <w:t>Grafiku 9 Përbërja e të ardhurave jotatimore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_Toc136526454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16</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55" w:history="1">
        <w:r w:rsidR="00B70BE3" w:rsidRPr="00B70BE3">
          <w:rPr>
            <w:rStyle w:val="Hyperlink"/>
            <w:rFonts w:asciiTheme="majorHAnsi" w:hAnsiTheme="majorHAnsi" w:cs="Calibri"/>
            <w:noProof/>
            <w:color w:val="0070C0"/>
            <w:sz w:val="16"/>
            <w:szCs w:val="18"/>
            <w:lang w:val="sq-AL"/>
          </w:rPr>
          <w:t>Grafiku 10 Të ardhura nga tatimet dhe doganat në vite (në miliardë lekë) dhe në % të PBB-së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_Toc136526455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17</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56" w:history="1">
        <w:r w:rsidR="00B70BE3" w:rsidRPr="00B70BE3">
          <w:rPr>
            <w:rStyle w:val="Hyperlink"/>
            <w:rFonts w:asciiTheme="majorHAnsi" w:hAnsiTheme="majorHAnsi" w:cs="Calibri"/>
            <w:noProof/>
            <w:color w:val="0070C0"/>
            <w:sz w:val="16"/>
            <w:szCs w:val="18"/>
            <w:lang w:val="sq-AL"/>
          </w:rPr>
          <w:t>Grafiku 11 Të ardhurat nga tatimet dhe doganat sipas llojit</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_Toc136526456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17</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57" w:history="1">
        <w:r w:rsidR="00B70BE3" w:rsidRPr="00B70BE3">
          <w:rPr>
            <w:rStyle w:val="Hyperlink"/>
            <w:rFonts w:asciiTheme="majorHAnsi" w:hAnsiTheme="majorHAnsi" w:cs="Calibri"/>
            <w:noProof/>
            <w:color w:val="0070C0"/>
            <w:sz w:val="16"/>
            <w:szCs w:val="18"/>
            <w:lang w:val="sq-AL"/>
          </w:rPr>
          <w:t>Grafiku 12 Të ardhurat doganore, rritja vjetore sipas llojit të taksave 2022 - 2021 (në milionë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_Toc136526457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18</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58" w:history="1">
        <w:r w:rsidR="00B70BE3" w:rsidRPr="00B70BE3">
          <w:rPr>
            <w:rStyle w:val="Hyperlink"/>
            <w:rFonts w:asciiTheme="majorHAnsi" w:hAnsiTheme="majorHAnsi" w:cs="Calibri"/>
            <w:noProof/>
            <w:color w:val="0070C0"/>
            <w:sz w:val="16"/>
            <w:szCs w:val="18"/>
            <w:lang w:val="sq-AL"/>
          </w:rPr>
          <w:t>Grafiku 13 Të ardhurat tatimore, rritja vjetore sipas llojit të taksave (në milionë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_Toc136526458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19</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59" w:history="1">
        <w:r w:rsidR="00B70BE3" w:rsidRPr="00B70BE3">
          <w:rPr>
            <w:rStyle w:val="Hyperlink"/>
            <w:rFonts w:asciiTheme="majorHAnsi" w:hAnsiTheme="majorHAnsi" w:cs="Calibri"/>
            <w:noProof/>
            <w:color w:val="0070C0"/>
            <w:sz w:val="16"/>
            <w:szCs w:val="18"/>
            <w:lang w:val="sq-AL"/>
          </w:rPr>
          <w:t>Grafiku 14 Të ardhurat tatimore, sipas sektorëve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_Toc136526459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19</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60" w:history="1">
        <w:r w:rsidR="00B70BE3" w:rsidRPr="00B70BE3">
          <w:rPr>
            <w:rStyle w:val="Hyperlink"/>
            <w:rFonts w:asciiTheme="majorHAnsi" w:hAnsiTheme="majorHAnsi" w:cs="Calibri"/>
            <w:noProof/>
            <w:color w:val="0070C0"/>
            <w:sz w:val="16"/>
            <w:szCs w:val="18"/>
            <w:lang w:val="sq-AL"/>
          </w:rPr>
          <w:t>Grafiku 15 TVSH-ja brenda vendit, sipas sektorëve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_Toc136526460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61" w:history="1">
        <w:r w:rsidR="00B70BE3" w:rsidRPr="00B70BE3">
          <w:rPr>
            <w:rStyle w:val="Hyperlink"/>
            <w:rFonts w:asciiTheme="majorHAnsi" w:hAnsiTheme="majorHAnsi" w:cs="Calibri"/>
            <w:noProof/>
            <w:color w:val="0070C0"/>
            <w:sz w:val="16"/>
            <w:szCs w:val="18"/>
            <w:lang w:val="sq-AL"/>
          </w:rPr>
          <w:t>Grafiku 16 Rimbursimi i TVSH-së në vite (në milionë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_Toc136526461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62" w:history="1">
        <w:r w:rsidR="00B70BE3" w:rsidRPr="00B70BE3">
          <w:rPr>
            <w:rStyle w:val="Hyperlink"/>
            <w:rFonts w:asciiTheme="majorHAnsi" w:hAnsiTheme="majorHAnsi" w:cs="Calibri"/>
            <w:noProof/>
            <w:color w:val="0070C0"/>
            <w:sz w:val="16"/>
            <w:szCs w:val="18"/>
            <w:lang w:val="sq-AL"/>
          </w:rPr>
          <w:t>Grafiku 17 Akciza në vite (miliard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_Toc136526462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21</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63" w:history="1">
        <w:r w:rsidR="00B70BE3" w:rsidRPr="00B70BE3">
          <w:rPr>
            <w:rStyle w:val="Hyperlink"/>
            <w:rFonts w:asciiTheme="majorHAnsi" w:hAnsiTheme="majorHAnsi" w:cs="Calibri"/>
            <w:noProof/>
            <w:color w:val="0070C0"/>
            <w:sz w:val="16"/>
            <w:szCs w:val="18"/>
            <w:lang w:val="sq-AL"/>
          </w:rPr>
          <w:t>Grafiku 18 Akciza sipas natyrës së mallrave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_Toc136526463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22</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64" w:history="1">
        <w:r w:rsidR="00B70BE3" w:rsidRPr="00B70BE3">
          <w:rPr>
            <w:rStyle w:val="Hyperlink"/>
            <w:rFonts w:asciiTheme="majorHAnsi" w:hAnsiTheme="majorHAnsi" w:cs="Calibri"/>
            <w:noProof/>
            <w:color w:val="0070C0"/>
            <w:sz w:val="16"/>
            <w:szCs w:val="18"/>
            <w:lang w:val="sq-AL"/>
          </w:rPr>
          <w:t>Grafiku 19 TAP në vite (në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_Toc136526464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22</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65" w:history="1">
        <w:r w:rsidR="00B70BE3" w:rsidRPr="00B70BE3">
          <w:rPr>
            <w:rStyle w:val="Hyperlink"/>
            <w:rFonts w:asciiTheme="majorHAnsi" w:hAnsiTheme="majorHAnsi" w:cs="Calibri"/>
            <w:noProof/>
            <w:color w:val="0070C0"/>
            <w:sz w:val="16"/>
            <w:szCs w:val="18"/>
            <w:lang w:val="sq-AL"/>
          </w:rPr>
          <w:t>Grafiku 20 TAP sipas zërave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_Toc136526465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23</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66" w:history="1">
        <w:r w:rsidR="00B70BE3" w:rsidRPr="00B70BE3">
          <w:rPr>
            <w:rStyle w:val="Hyperlink"/>
            <w:rFonts w:asciiTheme="majorHAnsi" w:hAnsiTheme="majorHAnsi" w:cs="Calibri"/>
            <w:noProof/>
            <w:color w:val="0070C0"/>
            <w:sz w:val="16"/>
            <w:szCs w:val="18"/>
            <w:lang w:val="sq-AL"/>
          </w:rPr>
          <w:t>Grafiku 21 TAP sipas sektorve ekonomik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_Toc136526466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23</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67" w:history="1">
        <w:r w:rsidR="00B70BE3" w:rsidRPr="00B70BE3">
          <w:rPr>
            <w:rStyle w:val="Hyperlink"/>
            <w:rFonts w:asciiTheme="majorHAnsi" w:hAnsiTheme="majorHAnsi" w:cs="Calibri"/>
            <w:noProof/>
            <w:color w:val="0070C0"/>
            <w:sz w:val="16"/>
            <w:szCs w:val="18"/>
            <w:lang w:val="sq-AL"/>
          </w:rPr>
          <w:t>Grafiku 22 Tatimi mbi fitimin në vite (në miliard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_Toc136526467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23</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68" w:history="1">
        <w:r w:rsidR="00B70BE3" w:rsidRPr="00B70BE3">
          <w:rPr>
            <w:rStyle w:val="Hyperlink"/>
            <w:rFonts w:asciiTheme="majorHAnsi" w:hAnsiTheme="majorHAnsi" w:cs="Calibri"/>
            <w:noProof/>
            <w:color w:val="0070C0"/>
            <w:sz w:val="16"/>
            <w:szCs w:val="18"/>
            <w:lang w:val="sq-AL"/>
          </w:rPr>
          <w:t>Grafiku 23 Tatimi mbi fitimin sipas sektorëvë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_Toc136526468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24</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69" w:history="1">
        <w:r w:rsidR="00B70BE3" w:rsidRPr="00B70BE3">
          <w:rPr>
            <w:rStyle w:val="Hyperlink"/>
            <w:rFonts w:asciiTheme="majorHAnsi" w:hAnsiTheme="majorHAnsi" w:cs="Calibri"/>
            <w:noProof/>
            <w:color w:val="0070C0"/>
            <w:sz w:val="16"/>
            <w:szCs w:val="18"/>
            <w:lang w:val="sq-AL"/>
          </w:rPr>
          <w:t>Grafiku 24 Kontribuesit aktivë për sigurimet shoqërore dhe shëndetësore, sipas llojit të biznesit</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_Toc136526469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25</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70" w:history="1">
        <w:r w:rsidR="00B70BE3" w:rsidRPr="00B70BE3">
          <w:rPr>
            <w:rStyle w:val="Hyperlink"/>
            <w:rFonts w:asciiTheme="majorHAnsi" w:hAnsiTheme="majorHAnsi" w:cs="Calibri"/>
            <w:noProof/>
            <w:color w:val="0070C0"/>
            <w:sz w:val="16"/>
            <w:szCs w:val="18"/>
            <w:lang w:val="sq-AL"/>
          </w:rPr>
          <w:t>Grafiku 25 Kontribuesit aktivë për sigurimet shoqërore dhe shëndetësore, sipas sektorit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_Toc136526470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25</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71" w:history="1">
        <w:r w:rsidR="00B70BE3" w:rsidRPr="00B70BE3">
          <w:rPr>
            <w:rStyle w:val="Hyperlink"/>
            <w:rFonts w:asciiTheme="majorHAnsi" w:hAnsiTheme="majorHAnsi" w:cs="Calibri"/>
            <w:noProof/>
            <w:color w:val="0070C0"/>
            <w:sz w:val="16"/>
            <w:szCs w:val="18"/>
            <w:lang w:val="sq-AL"/>
          </w:rPr>
          <w:t>Grafiku 26 Shpenzimet e përgjithshme korrente dhe kapitale (mld  lekë) dhe ritmi i rritjes vjetore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_Toc136526471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26</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72" w:history="1">
        <w:r w:rsidR="00B70BE3" w:rsidRPr="00B70BE3">
          <w:rPr>
            <w:rStyle w:val="Hyperlink"/>
            <w:rFonts w:asciiTheme="majorHAnsi" w:hAnsiTheme="majorHAnsi" w:cs="Calibri"/>
            <w:noProof/>
            <w:color w:val="0070C0"/>
            <w:sz w:val="16"/>
            <w:szCs w:val="18"/>
            <w:lang w:val="sq-AL"/>
          </w:rPr>
          <w:t>Grafiku 27 Shpenzimet korrente dhe kapitale plan dhe fakt ndaj totalit të shpenzimeve (mln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_Toc136526472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26</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73" w:history="1">
        <w:r w:rsidR="00B70BE3" w:rsidRPr="00B70BE3">
          <w:rPr>
            <w:rStyle w:val="Hyperlink"/>
            <w:rFonts w:asciiTheme="majorHAnsi" w:hAnsiTheme="majorHAnsi" w:cs="Calibri"/>
            <w:noProof/>
            <w:color w:val="0070C0"/>
            <w:sz w:val="16"/>
            <w:szCs w:val="18"/>
            <w:lang w:val="sq-AL"/>
          </w:rPr>
          <w:t>Grafiku 28 Struktura e shpenzimeve korente, kapitale dhe raporti me PBB-në ndër vite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_Toc136526473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26</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74" w:history="1">
        <w:r w:rsidR="00B70BE3" w:rsidRPr="00B70BE3">
          <w:rPr>
            <w:rStyle w:val="Hyperlink"/>
            <w:rFonts w:asciiTheme="majorHAnsi" w:hAnsiTheme="majorHAnsi" w:cs="Calibri"/>
            <w:noProof/>
            <w:color w:val="0070C0"/>
            <w:sz w:val="16"/>
            <w:szCs w:val="18"/>
            <w:lang w:val="sq-AL"/>
          </w:rPr>
          <w:t>Grafiku 29 Shpenzimet korente dhe ritmi i rritjes së tyre (milion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_Toc136526474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27</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75" w:history="1">
        <w:r w:rsidR="00B70BE3" w:rsidRPr="00B70BE3">
          <w:rPr>
            <w:rStyle w:val="Hyperlink"/>
            <w:rFonts w:asciiTheme="majorHAnsi" w:hAnsiTheme="majorHAnsi" w:cs="Calibri"/>
            <w:noProof/>
            <w:color w:val="0070C0"/>
            <w:sz w:val="16"/>
            <w:szCs w:val="18"/>
            <w:lang w:val="sq-AL"/>
          </w:rPr>
          <w:t>Grafiku 30 Struktura e shpenzimeve korrente (milion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_Toc136526475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27</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76" w:history="1">
        <w:r w:rsidR="00B70BE3" w:rsidRPr="00B70BE3">
          <w:rPr>
            <w:rStyle w:val="Hyperlink"/>
            <w:rFonts w:asciiTheme="majorHAnsi" w:hAnsiTheme="majorHAnsi" w:cs="Calibri"/>
            <w:noProof/>
            <w:color w:val="0070C0"/>
            <w:sz w:val="16"/>
            <w:szCs w:val="18"/>
            <w:lang w:val="sq-AL"/>
          </w:rPr>
          <w:t>Grafiku 31 Shpenzimet e personelit në vite dhe ritmi i rritjes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_Toc136526476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28</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77" w:history="1">
        <w:r w:rsidR="00B70BE3" w:rsidRPr="00B70BE3">
          <w:rPr>
            <w:rStyle w:val="Hyperlink"/>
            <w:rFonts w:asciiTheme="majorHAnsi" w:hAnsiTheme="majorHAnsi" w:cs="Calibri"/>
            <w:noProof/>
            <w:color w:val="0070C0"/>
            <w:sz w:val="16"/>
            <w:szCs w:val="18"/>
            <w:lang w:val="sq-AL"/>
          </w:rPr>
          <w:t>Grafiku 32 Shpenzimet për interesa në vite dhe ritmi i rritjes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_Toc136526477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28</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78" w:history="1">
        <w:r w:rsidR="00B70BE3" w:rsidRPr="00B70BE3">
          <w:rPr>
            <w:rStyle w:val="Hyperlink"/>
            <w:rFonts w:asciiTheme="majorHAnsi" w:hAnsiTheme="majorHAnsi" w:cs="Calibri"/>
            <w:noProof/>
            <w:color w:val="0070C0"/>
            <w:sz w:val="16"/>
            <w:szCs w:val="18"/>
            <w:lang w:val="sq-AL"/>
          </w:rPr>
          <w:t>Grafiku 33 Shpenzimet operative e të mirëmbajtjes dhe ritmi i rritjes vjetore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_Toc136526478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28</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79" w:history="1">
        <w:r w:rsidR="00B70BE3" w:rsidRPr="00B70BE3">
          <w:rPr>
            <w:rStyle w:val="Hyperlink"/>
            <w:rFonts w:asciiTheme="majorHAnsi" w:hAnsiTheme="majorHAnsi" w:cs="Calibri"/>
            <w:noProof/>
            <w:color w:val="0070C0"/>
            <w:sz w:val="16"/>
            <w:szCs w:val="18"/>
            <w:lang w:val="sq-AL"/>
          </w:rPr>
          <w:t>Grafiku 34 Shpenzimet per subvencione dhe ritmi i rritjes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_Toc136526479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29</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80" w:history="1">
        <w:r w:rsidR="00B70BE3" w:rsidRPr="00B70BE3">
          <w:rPr>
            <w:rStyle w:val="Hyperlink"/>
            <w:rFonts w:asciiTheme="majorHAnsi" w:hAnsiTheme="majorHAnsi" w:cs="Calibri"/>
            <w:noProof/>
            <w:color w:val="0070C0"/>
            <w:sz w:val="16"/>
            <w:szCs w:val="18"/>
            <w:lang w:val="sq-AL"/>
          </w:rPr>
          <w:t>Grafiku 35 Shpenzimet per sigurimet shoqërore dhe shëndetësore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_Toc136526480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29</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81" w:history="1">
        <w:r w:rsidR="00B70BE3" w:rsidRPr="00B70BE3">
          <w:rPr>
            <w:rStyle w:val="Hyperlink"/>
            <w:rFonts w:asciiTheme="majorHAnsi" w:hAnsiTheme="majorHAnsi" w:cs="Calibri"/>
            <w:noProof/>
            <w:color w:val="0070C0"/>
            <w:sz w:val="16"/>
            <w:szCs w:val="18"/>
            <w:lang w:val="sq-AL"/>
          </w:rPr>
          <w:t>Grafiku 36 Shpenzimet per ndihmën ekonomike, PAK dhe papunësinë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_Toc136526481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30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82" w:history="1">
        <w:r w:rsidR="00B70BE3" w:rsidRPr="00B70BE3">
          <w:rPr>
            <w:rStyle w:val="Hyperlink"/>
            <w:rFonts w:asciiTheme="majorHAnsi" w:hAnsiTheme="majorHAnsi" w:cs="Calibri"/>
            <w:noProof/>
            <w:color w:val="0070C0"/>
            <w:sz w:val="16"/>
            <w:szCs w:val="18"/>
            <w:lang w:val="sq-AL"/>
          </w:rPr>
          <w:t>Grafiku 37 Shpenzimet Kapitale dhe burimi i financimit të tyre (në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_Toc136526482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31</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83" w:history="1">
        <w:r w:rsidR="00B70BE3" w:rsidRPr="00B70BE3">
          <w:rPr>
            <w:rStyle w:val="Hyperlink"/>
            <w:rFonts w:asciiTheme="majorHAnsi" w:hAnsiTheme="majorHAnsi" w:cs="Calibri"/>
            <w:noProof/>
            <w:color w:val="0070C0"/>
            <w:sz w:val="16"/>
            <w:szCs w:val="18"/>
            <w:lang w:val="sq-AL"/>
          </w:rPr>
          <w:t>Grafiku 38 Transferta e pakushtëzuar dhe ritmi i ndryshimit në vite.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_Toc136526483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39</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84" w:history="1">
        <w:r w:rsidR="00B70BE3" w:rsidRPr="00B70BE3">
          <w:rPr>
            <w:rStyle w:val="Hyperlink"/>
            <w:rFonts w:asciiTheme="majorHAnsi" w:hAnsiTheme="majorHAnsi" w:cs="Calibri"/>
            <w:noProof/>
            <w:color w:val="0070C0"/>
            <w:sz w:val="16"/>
            <w:szCs w:val="18"/>
            <w:lang w:val="sq-AL"/>
          </w:rPr>
          <w:t>Grafiku 39 Realizimi i të ardhurave tatimore dhe jotatimore (në milion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_Toc136526484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85" w:history="1">
        <w:r w:rsidR="00B70BE3" w:rsidRPr="00B70BE3">
          <w:rPr>
            <w:rStyle w:val="Hyperlink"/>
            <w:rFonts w:asciiTheme="majorHAnsi" w:hAnsiTheme="majorHAnsi" w:cs="Calibri"/>
            <w:noProof/>
            <w:color w:val="0070C0"/>
            <w:sz w:val="16"/>
            <w:szCs w:val="18"/>
            <w:lang w:val="sq-AL"/>
          </w:rPr>
          <w:t>Grafiku 40 Të ardhurat e pushtetit vendor në vite dhe ritmi i ndryshimit.</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_Toc136526485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86" w:history="1">
        <w:r w:rsidR="00B70BE3" w:rsidRPr="00B70BE3">
          <w:rPr>
            <w:rStyle w:val="Hyperlink"/>
            <w:rFonts w:asciiTheme="majorHAnsi" w:hAnsiTheme="majorHAnsi" w:cs="Calibri"/>
            <w:noProof/>
            <w:color w:val="0070C0"/>
            <w:sz w:val="16"/>
            <w:szCs w:val="18"/>
            <w:lang w:val="sq-AL"/>
          </w:rPr>
          <w:t>Grafiku 41 Të ardhurat vendore në raport me totalin e të ardhurave publike dhe PBB.</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_Toc136526486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40</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87" w:history="1">
        <w:r w:rsidR="00B70BE3" w:rsidRPr="00B70BE3">
          <w:rPr>
            <w:rStyle w:val="Hyperlink"/>
            <w:rFonts w:asciiTheme="majorHAnsi" w:hAnsiTheme="majorHAnsi" w:cs="Calibri"/>
            <w:noProof/>
            <w:color w:val="0070C0"/>
            <w:sz w:val="16"/>
            <w:szCs w:val="18"/>
            <w:lang w:val="sq-AL"/>
          </w:rPr>
          <w:t>Grafiku 42 Të ardhurat e veta të pushtetit vendor sipas burimit në vite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_Toc136526487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41</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88" w:history="1">
        <w:r w:rsidR="00B70BE3" w:rsidRPr="00B70BE3">
          <w:rPr>
            <w:rStyle w:val="Hyperlink"/>
            <w:rFonts w:asciiTheme="majorHAnsi" w:hAnsiTheme="majorHAnsi" w:cs="Calibri"/>
            <w:noProof/>
            <w:color w:val="0070C0"/>
            <w:sz w:val="16"/>
            <w:szCs w:val="18"/>
            <w:lang w:val="sq-AL"/>
          </w:rPr>
          <w:t>Grafiku 43 Shpenzimet e buxhetit vendor sipas burimit të financimit në vite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_Toc136526488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42</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89" w:history="1">
        <w:r w:rsidR="00B70BE3" w:rsidRPr="00B70BE3">
          <w:rPr>
            <w:rStyle w:val="Hyperlink"/>
            <w:rFonts w:asciiTheme="majorHAnsi" w:hAnsiTheme="majorHAnsi" w:cs="Calibri"/>
            <w:noProof/>
            <w:color w:val="0070C0"/>
            <w:sz w:val="16"/>
            <w:szCs w:val="18"/>
            <w:lang w:val="sq-AL"/>
          </w:rPr>
          <w:t>Grafiku 44 Shpenzimet e pushtetit vendor në rritje dhe ritmi i rritjes së tyre (në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_Toc136526489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43</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90" w:history="1">
        <w:r w:rsidR="00B70BE3" w:rsidRPr="00B70BE3">
          <w:rPr>
            <w:rStyle w:val="Hyperlink"/>
            <w:rFonts w:asciiTheme="majorHAnsi" w:hAnsiTheme="majorHAnsi" w:cs="Calibri"/>
            <w:noProof/>
            <w:color w:val="0070C0"/>
            <w:sz w:val="16"/>
            <w:szCs w:val="18"/>
            <w:lang w:val="sq-AL"/>
          </w:rPr>
          <w:t>Grafiku 45 Shpenzimet e pushtetit vendor sipas klasifikimit ekonomik (në milionë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_Toc136526490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43</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91" w:history="1">
        <w:r w:rsidR="00B70BE3" w:rsidRPr="00B70BE3">
          <w:rPr>
            <w:rStyle w:val="Hyperlink"/>
            <w:rFonts w:asciiTheme="majorHAnsi" w:hAnsiTheme="majorHAnsi" w:cs="Calibri"/>
            <w:noProof/>
            <w:color w:val="0070C0"/>
            <w:sz w:val="16"/>
            <w:szCs w:val="18"/>
            <w:lang w:val="sq-AL"/>
          </w:rPr>
          <w:t>Grafiku 46 Sektori quasi publik sipas numrit të ndërmarrjeve</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_Toc136526491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47</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92" w:history="1">
        <w:r w:rsidR="00B70BE3" w:rsidRPr="00B70BE3">
          <w:rPr>
            <w:rStyle w:val="Hyperlink"/>
            <w:rFonts w:asciiTheme="majorHAnsi" w:hAnsiTheme="majorHAnsi" w:cs="Calibri"/>
            <w:noProof/>
            <w:color w:val="0070C0"/>
            <w:sz w:val="16"/>
            <w:szCs w:val="18"/>
            <w:lang w:val="sq-AL"/>
          </w:rPr>
          <w:t>Grafiku 47 Ecuria e nivelit të arkëtimeve të OSHEE Group sh.a (në miliardë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_Toc136526492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48</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93" w:history="1">
        <w:r w:rsidR="00B70BE3" w:rsidRPr="00B70BE3">
          <w:rPr>
            <w:rStyle w:val="Hyperlink"/>
            <w:rFonts w:asciiTheme="majorHAnsi" w:hAnsiTheme="majorHAnsi" w:cs="Calibri"/>
            <w:noProof/>
            <w:color w:val="0070C0"/>
            <w:sz w:val="16"/>
            <w:szCs w:val="18"/>
            <w:lang w:val="sq-AL"/>
          </w:rPr>
          <w:t>Grafiku 48 Ecuria e nivelit të humbjeve në rrjet për OSHEE Group sh.a (në %)</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_Toc136526493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48</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94" w:history="1">
        <w:r w:rsidR="00B70BE3" w:rsidRPr="00B70BE3">
          <w:rPr>
            <w:rStyle w:val="Hyperlink"/>
            <w:rFonts w:asciiTheme="majorHAnsi" w:hAnsiTheme="majorHAnsi" w:cs="Calibri"/>
            <w:noProof/>
            <w:color w:val="0070C0"/>
            <w:sz w:val="16"/>
            <w:szCs w:val="18"/>
            <w:lang w:val="sq-AL"/>
          </w:rPr>
          <w:t>Grafiku 49 Stoku i detyrimeve të prapambetura e Sektorit Ujësjellës-Kanalizime ndaj OSHEE Group Sh.a (në mld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_Toc136526494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53</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95" w:history="1">
        <w:r w:rsidR="00B70BE3" w:rsidRPr="00B70BE3">
          <w:rPr>
            <w:rStyle w:val="Hyperlink"/>
            <w:rFonts w:asciiTheme="majorHAnsi" w:hAnsiTheme="majorHAnsi" w:cs="Calibri"/>
            <w:noProof/>
            <w:color w:val="0070C0"/>
            <w:sz w:val="16"/>
            <w:szCs w:val="18"/>
            <w:lang w:val="sq-AL"/>
          </w:rPr>
          <w:t>Grafiku 50 Stoku i detyrimeve të prapambetura të qeverisjes së përgjithshme, në mln lekë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_Toc136526495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54</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96" w:history="1">
        <w:r w:rsidR="00B70BE3" w:rsidRPr="00B70BE3">
          <w:rPr>
            <w:rStyle w:val="Hyperlink"/>
            <w:rFonts w:asciiTheme="majorHAnsi" w:hAnsiTheme="majorHAnsi" w:cs="Calibri"/>
            <w:noProof/>
            <w:color w:val="0070C0"/>
            <w:sz w:val="16"/>
            <w:szCs w:val="18"/>
            <w:lang w:val="sq-AL"/>
          </w:rPr>
          <w:t>Grafiku 51 Stoku i detyrimeve të Ministrisë së Energjisë dhe Infrastrukturës dhe ministrive të tjera</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_Toc136526496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55</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97" w:history="1">
        <w:r w:rsidR="00B70BE3" w:rsidRPr="00B70BE3">
          <w:rPr>
            <w:rStyle w:val="Hyperlink"/>
            <w:rFonts w:asciiTheme="majorHAnsi" w:hAnsiTheme="majorHAnsi" w:cs="Calibri"/>
            <w:noProof/>
            <w:color w:val="0070C0"/>
            <w:sz w:val="16"/>
            <w:szCs w:val="18"/>
            <w:lang w:val="sq-AL"/>
          </w:rPr>
          <w:t>Grafiku 52 Stoku i detyrimeve të prapambetura qendrore sipas zërave kryesorë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_Toc136526497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55</w:t>
        </w:r>
        <w:r w:rsidR="00B70BE3" w:rsidRPr="00B70BE3">
          <w:rPr>
            <w:rStyle w:val="Hyperlink"/>
            <w:rFonts w:asciiTheme="majorHAnsi" w:hAnsiTheme="majorHAnsi" w:cs="Calibri"/>
            <w:noProof/>
            <w:webHidden/>
            <w:color w:val="0070C0"/>
            <w:sz w:val="16"/>
            <w:szCs w:val="18"/>
            <w:lang w:val="sq-AL"/>
          </w:rPr>
          <w:fldChar w:fldCharType="end"/>
        </w:r>
      </w:hyperlink>
    </w:p>
    <w:p w:rsidR="00B70BE3" w:rsidRPr="00B70BE3" w:rsidRDefault="00ED218A" w:rsidP="00B70BE3">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hyperlink w:anchor="_Toc136526498" w:history="1">
        <w:r w:rsidR="00B70BE3" w:rsidRPr="00B70BE3">
          <w:rPr>
            <w:rStyle w:val="Hyperlink"/>
            <w:rFonts w:asciiTheme="majorHAnsi" w:hAnsiTheme="majorHAnsi" w:cs="Calibri"/>
            <w:noProof/>
            <w:color w:val="0070C0"/>
            <w:sz w:val="16"/>
            <w:szCs w:val="18"/>
            <w:lang w:val="sq-AL"/>
          </w:rPr>
          <w:t>Grafiku 53 Stoku i detyrimeve të prapambetura vendore sipas zërave kryesorë</w:t>
        </w:r>
        <w:r w:rsidR="00B70BE3" w:rsidRPr="00B70BE3">
          <w:rPr>
            <w:rStyle w:val="Hyperlink"/>
            <w:rFonts w:asciiTheme="majorHAnsi" w:hAnsiTheme="majorHAnsi" w:cs="Calibri"/>
            <w:noProof/>
            <w:webHidden/>
            <w:color w:val="0070C0"/>
            <w:sz w:val="16"/>
            <w:szCs w:val="18"/>
            <w:lang w:val="sq-AL"/>
          </w:rPr>
          <w:tab/>
        </w:r>
        <w:r w:rsidR="00B70BE3" w:rsidRPr="00B70BE3">
          <w:rPr>
            <w:rStyle w:val="Hyperlink"/>
            <w:rFonts w:asciiTheme="majorHAnsi" w:hAnsiTheme="majorHAnsi" w:cs="Calibri"/>
            <w:noProof/>
            <w:webHidden/>
            <w:color w:val="0070C0"/>
            <w:sz w:val="16"/>
            <w:szCs w:val="18"/>
            <w:lang w:val="sq-AL"/>
          </w:rPr>
          <w:fldChar w:fldCharType="begin"/>
        </w:r>
        <w:r w:rsidR="00B70BE3" w:rsidRPr="00B70BE3">
          <w:rPr>
            <w:rStyle w:val="Hyperlink"/>
            <w:rFonts w:asciiTheme="majorHAnsi" w:hAnsiTheme="majorHAnsi" w:cs="Calibri"/>
            <w:noProof/>
            <w:webHidden/>
            <w:color w:val="0070C0"/>
            <w:sz w:val="16"/>
            <w:szCs w:val="18"/>
            <w:lang w:val="sq-AL"/>
          </w:rPr>
          <w:instrText xml:space="preserve"> PAGEREF _Toc136526498 \h </w:instrText>
        </w:r>
        <w:r w:rsidR="00B70BE3" w:rsidRPr="00B70BE3">
          <w:rPr>
            <w:rStyle w:val="Hyperlink"/>
            <w:rFonts w:asciiTheme="majorHAnsi" w:hAnsiTheme="majorHAnsi" w:cs="Calibri"/>
            <w:noProof/>
            <w:webHidden/>
            <w:color w:val="0070C0"/>
            <w:sz w:val="16"/>
            <w:szCs w:val="18"/>
            <w:lang w:val="sq-AL"/>
          </w:rPr>
        </w:r>
        <w:r w:rsidR="00B70BE3" w:rsidRPr="00B70BE3">
          <w:rPr>
            <w:rStyle w:val="Hyperlink"/>
            <w:rFonts w:asciiTheme="majorHAnsi" w:hAnsiTheme="majorHAnsi" w:cs="Calibri"/>
            <w:noProof/>
            <w:webHidden/>
            <w:color w:val="0070C0"/>
            <w:sz w:val="16"/>
            <w:szCs w:val="18"/>
            <w:lang w:val="sq-AL"/>
          </w:rPr>
          <w:fldChar w:fldCharType="separate"/>
        </w:r>
        <w:r w:rsidR="008C3E07">
          <w:rPr>
            <w:rStyle w:val="Hyperlink"/>
            <w:rFonts w:asciiTheme="majorHAnsi" w:hAnsiTheme="majorHAnsi" w:cs="Calibri"/>
            <w:noProof/>
            <w:webHidden/>
            <w:color w:val="0070C0"/>
            <w:sz w:val="16"/>
            <w:szCs w:val="18"/>
            <w:lang w:val="sq-AL"/>
          </w:rPr>
          <w:t>56</w:t>
        </w:r>
        <w:r w:rsidR="00B70BE3" w:rsidRPr="00B70BE3">
          <w:rPr>
            <w:rStyle w:val="Hyperlink"/>
            <w:rFonts w:asciiTheme="majorHAnsi" w:hAnsiTheme="majorHAnsi" w:cs="Calibri"/>
            <w:noProof/>
            <w:webHidden/>
            <w:color w:val="0070C0"/>
            <w:sz w:val="16"/>
            <w:szCs w:val="18"/>
            <w:lang w:val="sq-AL"/>
          </w:rPr>
          <w:fldChar w:fldCharType="end"/>
        </w:r>
      </w:hyperlink>
    </w:p>
    <w:p w:rsidR="009158B4" w:rsidRPr="004E15B6" w:rsidRDefault="009158B4" w:rsidP="008F59CB">
      <w:pPr>
        <w:pStyle w:val="TableofFigures"/>
        <w:tabs>
          <w:tab w:val="right" w:leader="dot" w:pos="10430"/>
        </w:tabs>
        <w:spacing w:before="0" w:line="240" w:lineRule="auto"/>
        <w:rPr>
          <w:rStyle w:val="Hyperlink"/>
          <w:rFonts w:asciiTheme="majorHAnsi" w:hAnsiTheme="majorHAnsi" w:cs="Calibri"/>
          <w:noProof/>
          <w:color w:val="0070C0"/>
          <w:sz w:val="16"/>
          <w:szCs w:val="18"/>
          <w:lang w:val="sq-AL"/>
        </w:rPr>
      </w:pPr>
      <w:r w:rsidRPr="00CF3000">
        <w:rPr>
          <w:rStyle w:val="Hyperlink"/>
          <w:rFonts w:asciiTheme="majorHAnsi" w:hAnsiTheme="majorHAnsi" w:cs="Calibri"/>
          <w:noProof/>
          <w:color w:val="0070C0"/>
          <w:sz w:val="16"/>
          <w:szCs w:val="18"/>
          <w:lang w:val="sq-AL"/>
        </w:rPr>
        <w:fldChar w:fldCharType="end"/>
      </w:r>
    </w:p>
    <w:p w:rsidR="009158B4" w:rsidRPr="00476D2E" w:rsidRDefault="009158B4" w:rsidP="00FC729E">
      <w:pPr>
        <w:spacing w:before="0"/>
        <w:rPr>
          <w:rFonts w:cs="Calibri"/>
          <w:color w:val="4389D7" w:themeColor="text2" w:themeTint="99"/>
          <w:sz w:val="18"/>
          <w:lang w:val="sq-AL"/>
        </w:rPr>
        <w:sectPr w:rsidR="009158B4" w:rsidRPr="00476D2E" w:rsidSect="00D60122">
          <w:pgSz w:w="12240" w:h="15840"/>
          <w:pgMar w:top="1440" w:right="900" w:bottom="1440" w:left="900" w:header="720" w:footer="720" w:gutter="0"/>
          <w:cols w:space="720"/>
          <w:docGrid w:linePitch="360"/>
        </w:sectPr>
      </w:pPr>
    </w:p>
    <w:p w:rsidR="00FC0A43" w:rsidRPr="00F21132" w:rsidRDefault="008B6B58" w:rsidP="00FC729E">
      <w:pPr>
        <w:pStyle w:val="Fiskale1"/>
        <w:rPr>
          <w:rFonts w:ascii="Calibri" w:hAnsi="Calibri" w:cs="Calibri"/>
        </w:rPr>
      </w:pPr>
      <w:bookmarkStart w:id="1" w:name="_Toc10033256"/>
      <w:bookmarkStart w:id="2" w:name="_Toc10721393"/>
      <w:bookmarkStart w:id="3" w:name="_Toc104980309"/>
      <w:r w:rsidRPr="00F21132">
        <w:rPr>
          <w:rFonts w:ascii="Calibri" w:hAnsi="Calibri" w:cs="Calibri"/>
        </w:rPr>
        <w:lastRenderedPageBreak/>
        <w:t>REZULTATI I BUXHETIT TË KONSOLIDUAR</w:t>
      </w:r>
      <w:bookmarkEnd w:id="1"/>
      <w:bookmarkEnd w:id="2"/>
      <w:bookmarkEnd w:id="3"/>
      <w:r w:rsidR="003560F2" w:rsidRPr="00F21132">
        <w:rPr>
          <w:rFonts w:ascii="Calibri" w:hAnsi="Calibri" w:cs="Calibri"/>
        </w:rPr>
        <w:t xml:space="preserve"> </w:t>
      </w:r>
    </w:p>
    <w:p w:rsidR="007834A2" w:rsidRPr="007834A2" w:rsidRDefault="007834A2" w:rsidP="00FC729E">
      <w:pPr>
        <w:pStyle w:val="Caption"/>
        <w:keepNext/>
        <w:rPr>
          <w:i w:val="0"/>
          <w:iCs w:val="0"/>
          <w:color w:val="auto"/>
          <w:sz w:val="22"/>
          <w:szCs w:val="24"/>
          <w:lang w:val="sq-AL"/>
        </w:rPr>
      </w:pPr>
      <w:r w:rsidRPr="007834A2">
        <w:rPr>
          <w:i w:val="0"/>
          <w:iCs w:val="0"/>
          <w:color w:val="auto"/>
          <w:sz w:val="22"/>
          <w:szCs w:val="24"/>
          <w:lang w:val="sq-AL"/>
        </w:rPr>
        <w:t xml:space="preserve">Ekonomia e vendit e përballoi relativisht mirë ndikimin e pandemisë dhe tërmetit, ku përpara kësaj, recesioni gjatë vitit 2020 ishte dukshëm më i butë se pritshmëritë fillestare dhe rimëkëmbja gjatë vitit 2021 ishte dukshëm më e fortë se sa pritej fillimisht. Goditjet globale të ofertës në energji dhe mallra të tjera bazë, të shkaktuar nga lufta në Ukrainë, sigurisht që kanë pasur dhe do të vazhdojnë të ketë një ndikim negativ edhe në ekonominë tonë. Fillimi i luftës në Ukrainë ndërpreu ritmin e rritjes pasi goditjet e ofertës u reflektuan në kosto më të larta, inflacion të lartë dhe rritje të pasigurisë. Megjithatë, deri më tani, ekonomia gjithashtu e ka përballuar relativisht mirë këtë goditje të fundit globale të ofertës së energjisë dhe mallrave, veçanërisht duke e parë atë në kontekstin e problemeve që po kalon pjesa më e madhe e ekonomive në botë. </w:t>
      </w:r>
    </w:p>
    <w:p w:rsidR="007834A2" w:rsidRPr="007834A2" w:rsidRDefault="007834A2" w:rsidP="00FC729E">
      <w:pPr>
        <w:pStyle w:val="Caption"/>
        <w:keepNext/>
        <w:rPr>
          <w:i w:val="0"/>
          <w:iCs w:val="0"/>
          <w:color w:val="auto"/>
          <w:sz w:val="22"/>
          <w:szCs w:val="24"/>
          <w:lang w:val="sq-AL"/>
        </w:rPr>
      </w:pPr>
      <w:r w:rsidRPr="007834A2">
        <w:rPr>
          <w:i w:val="0"/>
          <w:iCs w:val="0"/>
          <w:color w:val="auto"/>
          <w:sz w:val="22"/>
          <w:szCs w:val="24"/>
          <w:lang w:val="sq-AL"/>
        </w:rPr>
        <w:t>Rritja ekonomike ishte e fortë në tremujorin e parë të 2022 prej rreth 6.96</w:t>
      </w:r>
      <w:r>
        <w:rPr>
          <w:i w:val="0"/>
          <w:iCs w:val="0"/>
          <w:color w:val="auto"/>
          <w:sz w:val="22"/>
          <w:szCs w:val="24"/>
          <w:lang w:val="sq-AL"/>
        </w:rPr>
        <w:t>%</w:t>
      </w:r>
      <w:r w:rsidRPr="007834A2">
        <w:rPr>
          <w:i w:val="0"/>
          <w:iCs w:val="0"/>
          <w:color w:val="auto"/>
          <w:sz w:val="22"/>
          <w:szCs w:val="24"/>
          <w:lang w:val="sq-AL"/>
        </w:rPr>
        <w:t>, më pas u ngadalësua ndjeshëm në 3.10</w:t>
      </w:r>
      <w:r>
        <w:rPr>
          <w:i w:val="0"/>
          <w:iCs w:val="0"/>
          <w:color w:val="auto"/>
          <w:sz w:val="22"/>
          <w:szCs w:val="24"/>
          <w:lang w:val="sq-AL"/>
        </w:rPr>
        <w:t>%</w:t>
      </w:r>
      <w:r w:rsidR="00E45A1E">
        <w:rPr>
          <w:i w:val="0"/>
          <w:iCs w:val="0"/>
          <w:color w:val="auto"/>
          <w:sz w:val="22"/>
          <w:szCs w:val="24"/>
          <w:lang w:val="sq-AL"/>
        </w:rPr>
        <w:t xml:space="preserve"> </w:t>
      </w:r>
      <w:r w:rsidRPr="007834A2">
        <w:rPr>
          <w:i w:val="0"/>
          <w:iCs w:val="0"/>
          <w:color w:val="auto"/>
          <w:sz w:val="22"/>
          <w:szCs w:val="24"/>
          <w:lang w:val="sq-AL"/>
        </w:rPr>
        <w:t>në tremujorin e dytë, kryesisht për shkak të pasigurisë së menjëhershme të ngritur nga fillimi i luftës në Ukrainë. Rritja rifitoi sërish disi ritmin në tremujorin e tretë dhe të katërt në 4.93 dhe 4.73</w:t>
      </w:r>
      <w:r>
        <w:rPr>
          <w:i w:val="0"/>
          <w:iCs w:val="0"/>
          <w:color w:val="auto"/>
          <w:sz w:val="22"/>
          <w:szCs w:val="24"/>
          <w:lang w:val="sq-AL"/>
        </w:rPr>
        <w:t>%</w:t>
      </w:r>
      <w:r w:rsidRPr="007834A2">
        <w:rPr>
          <w:i w:val="0"/>
          <w:iCs w:val="0"/>
          <w:color w:val="auto"/>
          <w:sz w:val="22"/>
          <w:szCs w:val="24"/>
          <w:lang w:val="sq-AL"/>
        </w:rPr>
        <w:t>, për shkak të një sezoni turistik relativisht mjaft të mirë dhe performancës së sektorit të ndërtimit. Rritja kumulative në vitin 2022 ishte rreth 4.84</w:t>
      </w:r>
      <w:r>
        <w:rPr>
          <w:i w:val="0"/>
          <w:iCs w:val="0"/>
          <w:color w:val="auto"/>
          <w:sz w:val="22"/>
          <w:szCs w:val="24"/>
          <w:lang w:val="sq-AL"/>
        </w:rPr>
        <w:t>%</w:t>
      </w:r>
      <w:r w:rsidRPr="007834A2">
        <w:rPr>
          <w:i w:val="0"/>
          <w:iCs w:val="0"/>
          <w:color w:val="auto"/>
          <w:sz w:val="22"/>
          <w:szCs w:val="24"/>
          <w:lang w:val="sq-AL"/>
        </w:rPr>
        <w:t xml:space="preserve"> e gjeneruar kryesisht nga kërkesa e brendshme, si konsumi dhe investimet, si dhe kërkesa e huaj neto. Nga ana e ofertës, tregtia, shërbimet e lidhura me turizmin dhe ndërtimi kanë udhëhequr rritjen në vitin 2022. Rritje pozitive kanë pasur edhe sektorët e tjerë kryesorë, me përjashtim natyrisht të energjisë elektrike që ka pasur një vit jo të mirë hidrik, veçanërisht krahasuar me 2021. Gjithashtu, rritja reale për bujqësinë përgjatë vitit ka qenë neutrale. Ekonomia në 2022 pati një ecuri të mirë të të gjithë sektorëve kryesorë me kontribut më të lartë në ekonomi. Në tremujorin e katërt të 2022, sektori i ndërtimit u rrit me 14.5%, industria me 6.2%, tregtia me shumicë me 5.6%, informacioni dhe komunikimi me 13.8%, aktiviteti financiar i sigurimeve me 12.97%. I vetmi sektor që pati një ecuri më të ngadaltë ishte bujqësia, rezultati i së cilës ishte i ndikuar kryesisht nga rritja e çmimeve në tregjet ndërkombëtare dhe vendase.</w:t>
      </w:r>
    </w:p>
    <w:p w:rsidR="007834A2" w:rsidRPr="007834A2" w:rsidRDefault="007834A2" w:rsidP="00FC729E">
      <w:pPr>
        <w:pStyle w:val="Caption"/>
        <w:keepNext/>
        <w:rPr>
          <w:i w:val="0"/>
          <w:iCs w:val="0"/>
          <w:color w:val="auto"/>
          <w:sz w:val="22"/>
          <w:szCs w:val="24"/>
          <w:lang w:val="sq-AL"/>
        </w:rPr>
      </w:pPr>
      <w:r w:rsidRPr="007834A2">
        <w:rPr>
          <w:i w:val="0"/>
          <w:iCs w:val="0"/>
          <w:color w:val="auto"/>
          <w:sz w:val="22"/>
          <w:szCs w:val="24"/>
          <w:lang w:val="sq-AL"/>
        </w:rPr>
        <w:t>Tregu i punës gjatë vitit 2022 ka shënuar trend rënës të shkallës së papunësisë dhe nivel më të lartë të punësimit. Ky trend pasqyron dinamikën pozitive të situatës së përgjithshme ekonomike në Shqipëri. Të dhënat më të fundit të INSTAT sipas Anketës Tremujore të Forcave Punëtore (ATFP) për vitin 2022, tregojnë se shkalla zyrtare e papunësisë për grupmoshat 15-64 vjeç është 11.3%, krahasuar me 12.1% që ishte për të njëjtën periudhë të një viti më parë. Sa i përket grupmoshës së punës 15 vjeç e lart, shkalla zyrtare e papunësisë në vitin 2022 ishte 11%. Për vitin 2022 mesatarisht, numri i punonjësve të grupmoshës 15-64 vjeç është rritur me +4.8% krahasuar me një vit më parë.</w:t>
      </w:r>
    </w:p>
    <w:p w:rsidR="007834A2" w:rsidRDefault="007834A2" w:rsidP="00B40107">
      <w:pPr>
        <w:pStyle w:val="Caption"/>
        <w:keepNext/>
        <w:spacing w:after="0"/>
        <w:rPr>
          <w:i w:val="0"/>
          <w:iCs w:val="0"/>
          <w:color w:val="auto"/>
          <w:sz w:val="22"/>
          <w:szCs w:val="24"/>
          <w:lang w:val="sq-AL"/>
        </w:rPr>
      </w:pPr>
      <w:r w:rsidRPr="007834A2">
        <w:rPr>
          <w:i w:val="0"/>
          <w:iCs w:val="0"/>
          <w:color w:val="auto"/>
          <w:sz w:val="22"/>
          <w:szCs w:val="24"/>
          <w:lang w:val="sq-AL"/>
        </w:rPr>
        <w:t>Përsa i përket të dhënave të tregtisë së jashtme, ato gjithashtu kanë rezultuar pozitive, si në vëllim, ashtu edhe në vlerë. Për vitin 2022 eksportet e mallrave arritën  vlerën 487mld lekë, duke u rritur me 32.0%, ndërkohë importet e mallrave arritën vlerën 950mld lekë, duke u rritur me 18.7%, krahasuar me një vit më parë. Deficiti tregtar arriti vlerën 464mld lekë, duke u rritur me 7.3%, krahasuar me të njëjtën periudhë të 2021.</w:t>
      </w:r>
      <w:r>
        <w:rPr>
          <w:i w:val="0"/>
          <w:iCs w:val="0"/>
          <w:color w:val="auto"/>
          <w:sz w:val="22"/>
          <w:szCs w:val="24"/>
          <w:lang w:val="sq-AL"/>
        </w:rPr>
        <w:t xml:space="preserve"> </w:t>
      </w:r>
      <w:r w:rsidRPr="007834A2">
        <w:rPr>
          <w:i w:val="0"/>
          <w:iCs w:val="0"/>
          <w:color w:val="auto"/>
          <w:sz w:val="22"/>
          <w:szCs w:val="24"/>
          <w:lang w:val="sq-AL"/>
        </w:rPr>
        <w:t>Shkëmbimet tregtare</w:t>
      </w:r>
      <w:r>
        <w:rPr>
          <w:i w:val="0"/>
          <w:iCs w:val="0"/>
          <w:color w:val="auto"/>
          <w:sz w:val="22"/>
          <w:szCs w:val="24"/>
          <w:lang w:val="sq-AL"/>
        </w:rPr>
        <w:t xml:space="preserve"> </w:t>
      </w:r>
      <w:r w:rsidRPr="007834A2">
        <w:rPr>
          <w:i w:val="0"/>
          <w:iCs w:val="0"/>
          <w:color w:val="auto"/>
          <w:sz w:val="22"/>
          <w:szCs w:val="24"/>
          <w:lang w:val="sq-AL"/>
        </w:rPr>
        <w:t>me vendet e BE zënë 59% të gjithë tregtisë. Në periudhën Janar</w:t>
      </w:r>
      <w:r>
        <w:rPr>
          <w:i w:val="0"/>
          <w:iCs w:val="0"/>
          <w:color w:val="auto"/>
          <w:sz w:val="22"/>
          <w:szCs w:val="24"/>
          <w:lang w:val="sq-AL"/>
        </w:rPr>
        <w:t>-</w:t>
      </w:r>
      <w:r w:rsidRPr="007834A2">
        <w:rPr>
          <w:i w:val="0"/>
          <w:iCs w:val="0"/>
          <w:color w:val="auto"/>
          <w:sz w:val="22"/>
          <w:szCs w:val="24"/>
          <w:lang w:val="sq-AL"/>
        </w:rPr>
        <w:t>Dhjetor 2022, eksportet drejt vendeve të BE</w:t>
      </w:r>
      <w:r>
        <w:rPr>
          <w:i w:val="0"/>
          <w:iCs w:val="0"/>
          <w:color w:val="auto"/>
          <w:sz w:val="22"/>
          <w:szCs w:val="24"/>
          <w:lang w:val="sq-AL"/>
        </w:rPr>
        <w:t xml:space="preserve"> </w:t>
      </w:r>
      <w:r w:rsidRPr="007834A2">
        <w:rPr>
          <w:i w:val="0"/>
          <w:iCs w:val="0"/>
          <w:color w:val="auto"/>
          <w:sz w:val="22"/>
          <w:szCs w:val="24"/>
          <w:lang w:val="sq-AL"/>
        </w:rPr>
        <w:t>zënë 73.4% të eksporteve gjithsej dhe importet nga vendet e BE zënë 51.6% të importeve gjithsej. Partnerët kryesorë tregtarë janë: Italia (29%), Turqia (8.4%), Greqia (6.9%) dhe Gjermania (6.3%).</w:t>
      </w:r>
      <w:r w:rsidR="00B40107">
        <w:rPr>
          <w:i w:val="0"/>
          <w:iCs w:val="0"/>
          <w:color w:val="auto"/>
          <w:sz w:val="22"/>
          <w:szCs w:val="24"/>
          <w:lang w:val="sq-AL"/>
        </w:rPr>
        <w:t xml:space="preserve"> </w:t>
      </w:r>
      <w:r w:rsidRPr="007834A2">
        <w:rPr>
          <w:i w:val="0"/>
          <w:iCs w:val="0"/>
          <w:color w:val="auto"/>
          <w:sz w:val="22"/>
          <w:szCs w:val="24"/>
          <w:lang w:val="sq-AL"/>
        </w:rPr>
        <w:t>Përgjatë vitit 2022, bilanci i përgjithshëm i pagesave rezultoi negativ me rënie të mjeteve të rezervës valutore rreth 70</w:t>
      </w:r>
      <w:r>
        <w:rPr>
          <w:i w:val="0"/>
          <w:iCs w:val="0"/>
          <w:color w:val="auto"/>
          <w:sz w:val="22"/>
          <w:szCs w:val="24"/>
          <w:lang w:val="sq-AL"/>
        </w:rPr>
        <w:t>mln</w:t>
      </w:r>
      <w:r w:rsidRPr="007834A2">
        <w:rPr>
          <w:i w:val="0"/>
          <w:iCs w:val="0"/>
          <w:color w:val="auto"/>
          <w:sz w:val="22"/>
          <w:szCs w:val="24"/>
          <w:lang w:val="sq-AL"/>
        </w:rPr>
        <w:t xml:space="preserve"> </w:t>
      </w:r>
      <w:r>
        <w:rPr>
          <w:i w:val="0"/>
          <w:iCs w:val="0"/>
          <w:color w:val="auto"/>
          <w:sz w:val="22"/>
          <w:szCs w:val="24"/>
          <w:lang w:val="sq-AL"/>
        </w:rPr>
        <w:t>EUR</w:t>
      </w:r>
      <w:r w:rsidRPr="007834A2">
        <w:rPr>
          <w:i w:val="0"/>
          <w:iCs w:val="0"/>
          <w:color w:val="auto"/>
          <w:sz w:val="22"/>
          <w:szCs w:val="24"/>
          <w:lang w:val="sq-AL"/>
        </w:rPr>
        <w:t>. Deficiti i llogarisë korrente shënon 477</w:t>
      </w:r>
      <w:r>
        <w:rPr>
          <w:i w:val="0"/>
          <w:iCs w:val="0"/>
          <w:color w:val="auto"/>
          <w:sz w:val="22"/>
          <w:szCs w:val="24"/>
          <w:lang w:val="sq-AL"/>
        </w:rPr>
        <w:t>mln EUR</w:t>
      </w:r>
      <w:r w:rsidRPr="007834A2">
        <w:rPr>
          <w:i w:val="0"/>
          <w:iCs w:val="0"/>
          <w:color w:val="auto"/>
          <w:sz w:val="22"/>
          <w:szCs w:val="24"/>
          <w:lang w:val="sq-AL"/>
        </w:rPr>
        <w:t>, i ngushtuar në terma vjetorë me rreth 63</w:t>
      </w:r>
      <w:r>
        <w:rPr>
          <w:i w:val="0"/>
          <w:iCs w:val="0"/>
          <w:color w:val="auto"/>
          <w:sz w:val="22"/>
          <w:szCs w:val="24"/>
          <w:lang w:val="sq-AL"/>
        </w:rPr>
        <w:t>mln EUR</w:t>
      </w:r>
      <w:r w:rsidRPr="007834A2">
        <w:rPr>
          <w:i w:val="0"/>
          <w:iCs w:val="0"/>
          <w:color w:val="auto"/>
          <w:sz w:val="22"/>
          <w:szCs w:val="24"/>
          <w:lang w:val="sq-AL"/>
        </w:rPr>
        <w:t xml:space="preserve"> (ose 12%) në sfondin e zgjerimit të suficitit tregtar në shërbime. Investimet e huaja direkte dhe të hyrat nga shërbimet të lidhura përgjithësisht me Turizmin pësuan rritje të konsiderueshme duke shënuar rritje vjetore respektivisht me 33% dhe 48.5%, krahasuar me vitin 2021.  </w:t>
      </w:r>
    </w:p>
    <w:p w:rsidR="00B40107" w:rsidRPr="00B40107" w:rsidRDefault="00B40107" w:rsidP="00B40107">
      <w:pPr>
        <w:rPr>
          <w:lang w:val="sq-AL"/>
        </w:rPr>
      </w:pPr>
    </w:p>
    <w:p w:rsidR="00EC655B" w:rsidRDefault="007834A2" w:rsidP="00FC729E">
      <w:pPr>
        <w:pStyle w:val="Caption"/>
        <w:keepNext/>
        <w:spacing w:before="0" w:after="0"/>
        <w:rPr>
          <w:i w:val="0"/>
          <w:iCs w:val="0"/>
          <w:color w:val="auto"/>
          <w:sz w:val="22"/>
          <w:szCs w:val="24"/>
          <w:lang w:val="sq-AL"/>
        </w:rPr>
      </w:pPr>
      <w:r w:rsidRPr="007834A2">
        <w:rPr>
          <w:i w:val="0"/>
          <w:iCs w:val="0"/>
          <w:color w:val="auto"/>
          <w:sz w:val="22"/>
          <w:szCs w:val="24"/>
          <w:lang w:val="sq-AL"/>
        </w:rPr>
        <w:lastRenderedPageBreak/>
        <w:t>Të ardhurat totale të buxhetit të konsoliduar për vitin 2022 ishin 572.79 miliardë lekë (27% e PBB) ose rreth 12% më shumë se një vit më parë. Në terma nominalë, shpenzimet e përgjithshme publike gjatë vitit 2022 ishin 651.01 miliardë lekë (30.5% e PBB) ose rreth 9.2% më shumë se në vitin 2021. Deficiti fiskal në 2022 arriti në 3.7% të PBB, nga një mesatare prej afro 4.4% në tre vitet e mëparshme</w:t>
      </w:r>
      <w:r w:rsidRPr="008A24EC">
        <w:rPr>
          <w:i w:val="0"/>
          <w:iCs w:val="0"/>
          <w:color w:val="auto"/>
          <w:sz w:val="22"/>
          <w:szCs w:val="24"/>
          <w:lang w:val="sq-AL"/>
        </w:rPr>
        <w:t xml:space="preserve">, </w:t>
      </w:r>
      <w:r w:rsidR="008A24EC" w:rsidRPr="008A24EC">
        <w:rPr>
          <w:i w:val="0"/>
          <w:iCs w:val="0"/>
          <w:color w:val="auto"/>
          <w:sz w:val="22"/>
          <w:szCs w:val="24"/>
          <w:lang w:val="sq-AL"/>
        </w:rPr>
        <w:t>ndërsa borxhi publik arriti nivelin prej 64.6% të PBB, në rënie me pothuaj 9.9 pikë %je nga viti 2021. Në këtë kontekst, borxhi publik rezultoi më i ulët se sa pritshmëritë fillestare</w:t>
      </w:r>
      <w:r w:rsidR="00B40107">
        <w:rPr>
          <w:i w:val="0"/>
          <w:iCs w:val="0"/>
          <w:color w:val="auto"/>
          <w:sz w:val="22"/>
          <w:szCs w:val="24"/>
          <w:lang w:val="sq-AL"/>
        </w:rPr>
        <w:t xml:space="preserve"> </w:t>
      </w:r>
      <w:r w:rsidR="00B40107" w:rsidRPr="00996998">
        <w:rPr>
          <w:i w:val="0"/>
          <w:iCs w:val="0"/>
          <w:color w:val="auto"/>
          <w:sz w:val="22"/>
          <w:szCs w:val="24"/>
          <w:lang w:val="sq-AL"/>
        </w:rPr>
        <w:t>(78.8%)</w:t>
      </w:r>
      <w:r w:rsidRPr="008A24EC">
        <w:rPr>
          <w:i w:val="0"/>
          <w:iCs w:val="0"/>
          <w:color w:val="auto"/>
          <w:sz w:val="22"/>
          <w:szCs w:val="24"/>
          <w:lang w:val="sq-AL"/>
        </w:rPr>
        <w:t>.</w:t>
      </w:r>
    </w:p>
    <w:p w:rsidR="008F6F59" w:rsidRPr="00476D2E" w:rsidRDefault="008F6F59" w:rsidP="00FC729E">
      <w:pPr>
        <w:pStyle w:val="Caption"/>
        <w:keepNext/>
        <w:spacing w:after="0"/>
        <w:rPr>
          <w:rFonts w:cs="Calibri"/>
          <w:lang w:val="sq-AL"/>
        </w:rPr>
      </w:pPr>
      <w:bookmarkStart w:id="4" w:name="_Toc136526446"/>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1</w:t>
      </w:r>
      <w:r w:rsidRPr="00476D2E">
        <w:rPr>
          <w:rFonts w:cs="Calibri"/>
          <w:noProof/>
          <w:lang w:val="sq-AL"/>
        </w:rPr>
        <w:fldChar w:fldCharType="end"/>
      </w:r>
      <w:r w:rsidRPr="00476D2E">
        <w:rPr>
          <w:rFonts w:cs="Calibri"/>
          <w:lang w:val="sq-AL"/>
        </w:rPr>
        <w:t xml:space="preserve"> Shpenzimet e përgjithshme publike ndaj PBB-së</w:t>
      </w:r>
      <w:r w:rsidR="00757148" w:rsidRPr="00476D2E">
        <w:rPr>
          <w:rFonts w:cs="Calibri"/>
          <w:lang w:val="sq-AL"/>
        </w:rPr>
        <w:t xml:space="preserve"> (në miliardë lekë)</w:t>
      </w:r>
      <w:bookmarkEnd w:id="4"/>
    </w:p>
    <w:p w:rsidR="008F6F59" w:rsidRPr="00476D2E" w:rsidRDefault="00EC655B" w:rsidP="00FC729E">
      <w:pPr>
        <w:spacing w:before="0"/>
        <w:jc w:val="center"/>
        <w:rPr>
          <w:rFonts w:cs="Calibri"/>
          <w:lang w:val="sq-AL"/>
        </w:rPr>
      </w:pPr>
      <w:r w:rsidRPr="0075589E">
        <w:rPr>
          <w:noProof/>
        </w:rPr>
        <w:drawing>
          <wp:inline distT="0" distB="0" distL="0" distR="0" wp14:anchorId="68669B7A" wp14:editId="43678610">
            <wp:extent cx="6423660" cy="1424940"/>
            <wp:effectExtent l="0" t="0" r="15240" b="381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F6F59" w:rsidRPr="00EE6F52" w:rsidRDefault="00153CD6" w:rsidP="00153CD6">
      <w:pPr>
        <w:spacing w:before="0" w:line="360" w:lineRule="auto"/>
        <w:ind w:firstLine="720"/>
        <w:rPr>
          <w:rFonts w:cs="Calibri"/>
          <w:i/>
          <w:sz w:val="18"/>
          <w:lang w:val="sq-AL"/>
        </w:rPr>
      </w:pPr>
      <w:r>
        <w:rPr>
          <w:rFonts w:cs="Calibri"/>
          <w:i/>
          <w:sz w:val="18"/>
          <w:lang w:val="sq-AL"/>
        </w:rPr>
        <w:t>Burimi: Ministria e Financave dhe Ekonomisë (2023)</w:t>
      </w:r>
    </w:p>
    <w:p w:rsidR="00757148" w:rsidRPr="00476D2E" w:rsidRDefault="00B40107" w:rsidP="00FC729E">
      <w:pPr>
        <w:rPr>
          <w:lang w:val="sq-AL"/>
        </w:rPr>
      </w:pPr>
      <w:bookmarkStart w:id="5" w:name="_Toc10033257"/>
      <w:bookmarkStart w:id="6" w:name="_Toc10721394"/>
      <w:r w:rsidRPr="00B40107">
        <w:rPr>
          <w:lang w:val="sq-AL"/>
        </w:rPr>
        <w:t xml:space="preserve">Gjatë vitit 2022, huamarrja në terma bruto u realizua në vlerën 386.1 miliard Lekë, nga të cilat 92.7% (ose 357.9 miliard Lekë) u financuan nëpërmjet burimeve të brendshme dhe 7.3% (ose 28.3 miliard Lekë) nëpërmjet burimeve të huaja.Financimi i deficitit </w:t>
      </w:r>
      <w:r w:rsidRPr="00B40107">
        <w:t>u realizua kryesisht nëpërmjet burimeve të brendshme, në nivelin prej 4.1% ndaj PBB. Borxhi publik neto për vitin 2022 ishte 1,364.1 miliardë lekë, ose 63.9% e PBB, në rënie nga 70.6% e PBB për vitin 2021. Stoku bruto i borxhit që përfshin dhe likuiditetin për financimin e borxhit ndaj PBB-së gjithashtu pësoi rënie, duke arritur nivelin 64.6% e PBB, në rënie me pothuaj 9.9 pikë %je nga viti 2021, dhe gjithashtu edhe ky parametër rezultoi më i ulët se sa pritshmëritë fillestare prej rreth 78.8%</w:t>
      </w:r>
      <w:r w:rsidR="00EE6F52" w:rsidRPr="00B40107">
        <w:rPr>
          <w:lang w:val="sq-AL"/>
        </w:rPr>
        <w:t>.</w:t>
      </w:r>
    </w:p>
    <w:p w:rsidR="002A00BD" w:rsidRDefault="002A00BD" w:rsidP="00FC729E">
      <w:pPr>
        <w:rPr>
          <w:rFonts w:cs="Calibri"/>
          <w:lang w:val="sq-AL"/>
        </w:rPr>
      </w:pPr>
    </w:p>
    <w:p w:rsidR="007F44B9" w:rsidRPr="00F21132" w:rsidRDefault="0048642D" w:rsidP="00FC729E">
      <w:pPr>
        <w:pStyle w:val="Heading1"/>
        <w:numPr>
          <w:ilvl w:val="0"/>
          <w:numId w:val="3"/>
        </w:numPr>
        <w:spacing w:before="0" w:after="240"/>
        <w:ind w:left="714" w:hanging="357"/>
        <w:rPr>
          <w:rFonts w:ascii="Calibri" w:hAnsi="Calibri" w:cs="Calibri"/>
          <w:b/>
          <w:lang w:val="sq-AL"/>
        </w:rPr>
      </w:pPr>
      <w:r w:rsidRPr="00476D2E">
        <w:rPr>
          <w:rFonts w:ascii="Calibri" w:eastAsiaTheme="minorEastAsia" w:hAnsi="Calibri" w:cs="Calibri"/>
          <w:color w:val="auto"/>
          <w:sz w:val="24"/>
          <w:szCs w:val="22"/>
          <w:lang w:val="sq-AL"/>
        </w:rPr>
        <w:t xml:space="preserve"> </w:t>
      </w:r>
      <w:bookmarkStart w:id="7" w:name="_Toc104980310"/>
      <w:r w:rsidR="008B6B58" w:rsidRPr="00F21132">
        <w:rPr>
          <w:rFonts w:ascii="Calibri" w:hAnsi="Calibri" w:cs="Calibri"/>
          <w:b/>
          <w:lang w:val="sq-AL"/>
        </w:rPr>
        <w:t>PASQYRË E ZHVILLIMEVE MAKROEKONOMIK</w:t>
      </w:r>
      <w:bookmarkEnd w:id="5"/>
      <w:bookmarkEnd w:id="6"/>
      <w:r w:rsidR="00DB689F" w:rsidRPr="00F21132">
        <w:rPr>
          <w:rFonts w:ascii="Calibri" w:hAnsi="Calibri" w:cs="Calibri"/>
          <w:b/>
          <w:lang w:val="sq-AL"/>
        </w:rPr>
        <w:t>E</w:t>
      </w:r>
      <w:bookmarkEnd w:id="7"/>
    </w:p>
    <w:p w:rsidR="007F44B9" w:rsidRPr="00476D2E" w:rsidRDefault="007F44B9" w:rsidP="00FC729E">
      <w:pPr>
        <w:pStyle w:val="Fiskale2"/>
        <w:rPr>
          <w:rFonts w:ascii="Calibri" w:hAnsi="Calibri" w:cs="Calibri"/>
        </w:rPr>
      </w:pPr>
      <w:bookmarkStart w:id="8" w:name="_Toc515271224"/>
      <w:bookmarkStart w:id="9" w:name="_Toc10033258"/>
      <w:bookmarkStart w:id="10" w:name="_Toc10721395"/>
      <w:bookmarkStart w:id="11" w:name="_Toc104980311"/>
      <w:r w:rsidRPr="00476D2E">
        <w:rPr>
          <w:rFonts w:ascii="Calibri" w:hAnsi="Calibri" w:cs="Calibri"/>
        </w:rPr>
        <w:t>Zhvillimet e fundit ekonomike</w:t>
      </w:r>
      <w:bookmarkEnd w:id="8"/>
      <w:bookmarkEnd w:id="9"/>
      <w:bookmarkEnd w:id="10"/>
      <w:bookmarkEnd w:id="11"/>
      <w:r w:rsidRPr="00476D2E">
        <w:rPr>
          <w:rFonts w:ascii="Calibri" w:hAnsi="Calibri" w:cs="Calibri"/>
        </w:rPr>
        <w:t xml:space="preserve"> </w:t>
      </w:r>
    </w:p>
    <w:p w:rsidR="007F44B9" w:rsidRPr="00367A4C" w:rsidRDefault="007F44B9" w:rsidP="00FC729E">
      <w:pPr>
        <w:pStyle w:val="fiskale3"/>
        <w:rPr>
          <w:rFonts w:ascii="Calibri" w:hAnsi="Calibri" w:cs="Calibri"/>
          <w:i/>
        </w:rPr>
      </w:pPr>
      <w:bookmarkStart w:id="12" w:name="_Toc104980312"/>
      <w:r w:rsidRPr="00367A4C">
        <w:rPr>
          <w:rFonts w:ascii="Calibri" w:hAnsi="Calibri" w:cs="Calibri"/>
          <w:i/>
        </w:rPr>
        <w:t>Sektori real</w:t>
      </w:r>
      <w:bookmarkEnd w:id="12"/>
    </w:p>
    <w:p w:rsidR="000B1D3A" w:rsidRDefault="00D263FD" w:rsidP="00FC729E">
      <w:pPr>
        <w:spacing w:before="0" w:after="120"/>
      </w:pPr>
      <w:r w:rsidRPr="008E4C53">
        <w:t>Për vitin 202</w:t>
      </w:r>
      <w:r>
        <w:t>2</w:t>
      </w:r>
      <w:r w:rsidRPr="008E4C53">
        <w:t xml:space="preserve">, rritja ekonomike rezultoi </w:t>
      </w:r>
      <w:r>
        <w:t>4.84</w:t>
      </w:r>
      <w:r w:rsidRPr="008E4C53">
        <w:t>%. Kjo rritje ishte e shpërndarë në të gjithë sektorët e ekonomisë, ku ndikimin kryesor e ka pasur sektori i ndërtimit me</w:t>
      </w:r>
      <w:r>
        <w:t xml:space="preserve"> rritje prej 10.7% dhe kontribut prej</w:t>
      </w:r>
      <w:r w:rsidRPr="008E4C53">
        <w:t xml:space="preserve"> 1.</w:t>
      </w:r>
      <w:r>
        <w:t>1</w:t>
      </w:r>
      <w:r w:rsidRPr="008E4C53">
        <w:t xml:space="preserve"> pikë </w:t>
      </w:r>
      <w:r w:rsidR="008136C0">
        <w:t>%</w:t>
      </w:r>
      <w:r w:rsidRPr="008E4C53">
        <w:t xml:space="preserve">je, ndërkohë që </w:t>
      </w:r>
      <w:r>
        <w:t>T</w:t>
      </w:r>
      <w:r w:rsidRPr="008E4C53">
        <w:t>regtia</w:t>
      </w:r>
      <w:r>
        <w:t xml:space="preserve"> dhe Transporti, </w:t>
      </w:r>
      <w:r w:rsidRPr="008E4C53">
        <w:t xml:space="preserve">ka pasur gjithashtu një </w:t>
      </w:r>
      <w:r>
        <w:t xml:space="preserve">rritje të fortë prej 9.9% dhe </w:t>
      </w:r>
      <w:r w:rsidRPr="008E4C53">
        <w:t>kontribut të lartë pozitiv në rritje me 1.</w:t>
      </w:r>
      <w:r>
        <w:t xml:space="preserve">51 </w:t>
      </w:r>
      <w:r w:rsidRPr="008E4C53">
        <w:t xml:space="preserve">pikë </w:t>
      </w:r>
      <w:r w:rsidR="008136C0">
        <w:t>%</w:t>
      </w:r>
      <w:r w:rsidRPr="008E4C53">
        <w:t>je</w:t>
      </w:r>
      <w:r>
        <w:t>, si</w:t>
      </w:r>
      <w:r w:rsidRPr="008E4C53">
        <w:t xml:space="preserve"> dhe </w:t>
      </w:r>
      <w:r w:rsidR="00ED218A">
        <w:t>a</w:t>
      </w:r>
      <w:r>
        <w:t>ktivitete të pasurive të paluajtshme</w:t>
      </w:r>
      <w:r w:rsidRPr="008E4C53">
        <w:t xml:space="preserve"> me</w:t>
      </w:r>
      <w:r>
        <w:t xml:space="preserve"> rritje prej 11.2% dhe kontribut prej</w:t>
      </w:r>
      <w:r w:rsidRPr="008E4C53">
        <w:t xml:space="preserve"> </w:t>
      </w:r>
      <w:r>
        <w:t xml:space="preserve">0.7 </w:t>
      </w:r>
      <w:r w:rsidRPr="008E4C53">
        <w:t xml:space="preserve">pikë </w:t>
      </w:r>
      <w:r w:rsidR="008136C0">
        <w:t>%</w:t>
      </w:r>
      <w:r w:rsidRPr="008E4C53">
        <w:t>je.</w:t>
      </w:r>
      <w:r w:rsidRPr="008E4C53">
        <w:rPr>
          <w:rFonts w:cs="Calibri"/>
          <w:lang w:val="sq-AL"/>
        </w:rPr>
        <w:t xml:space="preserve"> N</w:t>
      </w:r>
      <w:r w:rsidRPr="008E4C53">
        <w:t xml:space="preserve">dërkohë që sipas metodës së shpenzimeve, rritja ka ardhur si nga treguesit e konsumit final të popullatës, i cili ka </w:t>
      </w:r>
      <w:r>
        <w:t>shënuar një rritje prej 5.4%, me</w:t>
      </w:r>
      <w:r w:rsidRPr="008E4C53">
        <w:t xml:space="preserve"> një kontribut </w:t>
      </w:r>
      <w:r>
        <w:t>prej</w:t>
      </w:r>
      <w:r w:rsidRPr="008E4C53">
        <w:t xml:space="preserve"> </w:t>
      </w:r>
      <w:r>
        <w:t>9.8</w:t>
      </w:r>
      <w:r w:rsidRPr="008E4C53">
        <w:t xml:space="preserve"> pikë </w:t>
      </w:r>
      <w:r w:rsidR="008136C0">
        <w:t>%</w:t>
      </w:r>
      <w:r w:rsidRPr="008E4C53">
        <w:t xml:space="preserve">je në këtë rritje, ashtu edhe nga Formimi Bruto i Kapitalit Fiks (Investimet) me </w:t>
      </w:r>
      <w:r>
        <w:t xml:space="preserve">rritje 6.5% dhe </w:t>
      </w:r>
      <w:r w:rsidRPr="008E4C53">
        <w:t xml:space="preserve">një kontribut prej </w:t>
      </w:r>
      <w:r>
        <w:t>3.7</w:t>
      </w:r>
      <w:r w:rsidRPr="008E4C53">
        <w:t xml:space="preserve"> pikë </w:t>
      </w:r>
      <w:r w:rsidR="008136C0">
        <w:t>%</w:t>
      </w:r>
      <w:r w:rsidRPr="008E4C53">
        <w:t>je. Pra si investimet ashtu edhe konsumi kanë rezultuar me rritje gjatë 202</w:t>
      </w:r>
      <w:r>
        <w:t>2</w:t>
      </w:r>
      <w:r w:rsidRPr="008E4C53">
        <w:t>.</w:t>
      </w:r>
      <w:r w:rsidR="000B1D3A">
        <w:t xml:space="preserve"> </w:t>
      </w:r>
    </w:p>
    <w:p w:rsidR="00D263FD" w:rsidRPr="00D263FD" w:rsidRDefault="00D263FD" w:rsidP="00FC729E">
      <w:pPr>
        <w:spacing w:before="0" w:after="120"/>
      </w:pPr>
      <w:r>
        <w:t>Shifrat faktike të vitit 2022</w:t>
      </w:r>
      <w:r w:rsidRPr="008E4C53">
        <w:t xml:space="preserve"> për rritjen nominale të rritjes ekonomike ka sjellë në rishikim dhe të treguesve kryesorë të borxhit dhe të deficitit, kur për vitin 202</w:t>
      </w:r>
      <w:r>
        <w:t>2</w:t>
      </w:r>
      <w:r w:rsidRPr="008E4C53">
        <w:t xml:space="preserve"> treguesi i borxhit shënoi nivelin </w:t>
      </w:r>
      <w:r>
        <w:t>64.6</w:t>
      </w:r>
      <w:r w:rsidRPr="008E4C53">
        <w:t xml:space="preserve">% të </w:t>
      </w:r>
      <w:r>
        <w:t>PBB</w:t>
      </w:r>
      <w:r w:rsidRPr="008E4C53">
        <w:t xml:space="preserve">, nga </w:t>
      </w:r>
      <w:r w:rsidRPr="00367E24">
        <w:t>78.8%</w:t>
      </w:r>
      <w:r w:rsidRPr="008E4C53">
        <w:t xml:space="preserve"> që ishte sipas parashikimeve të Ministrisë së Financave dhe Ekonomisë dhe treguesi i deficitit shënoi nivelin </w:t>
      </w:r>
      <w:r>
        <w:t>3.7</w:t>
      </w:r>
      <w:r w:rsidRPr="008E4C53">
        <w:t xml:space="preserve">% nga </w:t>
      </w:r>
      <w:r>
        <w:t>5.4</w:t>
      </w:r>
      <w:r w:rsidRPr="008E4C53">
        <w:t>% që ishte në parashikimet fillestare.</w:t>
      </w:r>
      <w:r>
        <w:t xml:space="preserve"> </w:t>
      </w:r>
      <w:r w:rsidRPr="008E4C53">
        <w:t>Ecuria pozitive e aktivitetit ekonomik gjatë vitit të kaluar është mbështetur edhe nga punësimi, ku papunësia është ulur në tremujorin e fundit të vitit 202</w:t>
      </w:r>
      <w:r>
        <w:t>2</w:t>
      </w:r>
      <w:r w:rsidRPr="008E4C53">
        <w:t xml:space="preserve"> në 11.</w:t>
      </w:r>
      <w:r>
        <w:t>0</w:t>
      </w:r>
      <w:r w:rsidRPr="008E4C53">
        <w:t>%</w:t>
      </w:r>
      <w:r>
        <w:t xml:space="preserve"> për grupmoshën 15-64 vjeç</w:t>
      </w:r>
      <w:r w:rsidRPr="008E4C53">
        <w:t>, ndërsa shkalla e punësimit është rritur dhe ka arritur në 5</w:t>
      </w:r>
      <w:r>
        <w:t>6.3</w:t>
      </w:r>
      <w:r w:rsidRPr="008E4C53">
        <w:t>% për popullsinë mbi 15 vjeç.</w:t>
      </w:r>
      <w:r>
        <w:t xml:space="preserve"> </w:t>
      </w:r>
      <w:r w:rsidRPr="008E4C53">
        <w:t xml:space="preserve">Gjithashtu, edhe paga mesatare ka pësuar rritje me </w:t>
      </w:r>
      <w:r>
        <w:t>10.</w:t>
      </w:r>
      <w:r w:rsidRPr="008E4C53">
        <w:t xml:space="preserve">8% në krahasim me një vit më parë, duke rezultuar në </w:t>
      </w:r>
      <w:r>
        <w:t>66.013</w:t>
      </w:r>
      <w:r w:rsidRPr="008E4C53">
        <w:t xml:space="preserve"> lekë në fund të vitit 202</w:t>
      </w:r>
      <w:r>
        <w:t>2</w:t>
      </w:r>
      <w:r w:rsidRPr="00476D2E">
        <w:rPr>
          <w:rFonts w:cs="Calibri"/>
          <w:lang w:val="sq-AL"/>
        </w:rPr>
        <w:t>.</w:t>
      </w:r>
    </w:p>
    <w:p w:rsidR="007F44B9" w:rsidRPr="00367A4C" w:rsidRDefault="007F44B9" w:rsidP="00FC729E">
      <w:pPr>
        <w:pStyle w:val="fiskale3"/>
        <w:spacing w:before="0"/>
        <w:rPr>
          <w:rFonts w:ascii="Calibri" w:hAnsi="Calibri" w:cs="Calibri"/>
          <w:i/>
        </w:rPr>
      </w:pPr>
      <w:bookmarkStart w:id="13" w:name="_Toc104980313"/>
      <w:r w:rsidRPr="00367A4C">
        <w:rPr>
          <w:rFonts w:ascii="Calibri" w:hAnsi="Calibri" w:cs="Calibri"/>
          <w:i/>
        </w:rPr>
        <w:lastRenderedPageBreak/>
        <w:t>Sektori monetar</w:t>
      </w:r>
      <w:bookmarkEnd w:id="13"/>
    </w:p>
    <w:p w:rsidR="00FD62C9" w:rsidRPr="007D7531" w:rsidRDefault="00FD62C9" w:rsidP="00FC729E">
      <w:pPr>
        <w:spacing w:before="0"/>
        <w:rPr>
          <w:rFonts w:cs="Calibri"/>
          <w:lang w:val="sq-AL"/>
        </w:rPr>
      </w:pPr>
      <w:bookmarkStart w:id="14" w:name="_Hlk138151926"/>
      <w:r>
        <w:rPr>
          <w:rFonts w:cs="Calibri"/>
          <w:lang w:val="sq-AL"/>
        </w:rPr>
        <w:t>Gjatë vitit 2022</w:t>
      </w:r>
      <w:r w:rsidRPr="007D7531">
        <w:rPr>
          <w:rFonts w:cs="Calibri"/>
          <w:lang w:val="sq-AL"/>
        </w:rPr>
        <w:t>, inflacioni mesatar rezultoi</w:t>
      </w:r>
      <w:r>
        <w:rPr>
          <w:rFonts w:cs="Calibri"/>
          <w:lang w:val="sq-AL"/>
        </w:rPr>
        <w:t xml:space="preserve"> 6.7%, ndërkohë inflacioni i fundvitit rezultoi </w:t>
      </w:r>
      <w:r w:rsidRPr="007D7531">
        <w:rPr>
          <w:rFonts w:cs="Calibri"/>
          <w:lang w:val="sq-AL"/>
        </w:rPr>
        <w:t>7</w:t>
      </w:r>
      <w:r>
        <w:rPr>
          <w:rFonts w:cs="Calibri"/>
          <w:lang w:val="sq-AL"/>
        </w:rPr>
        <w:t>.4</w:t>
      </w:r>
      <w:r w:rsidRPr="007D7531">
        <w:rPr>
          <w:rFonts w:cs="Calibri"/>
          <w:lang w:val="sq-AL"/>
        </w:rPr>
        <w:t xml:space="preserve">%. Nga tërësia e mallrave dhe shërbimeve që përbëjnë shportën e konsumit, ato </w:t>
      </w:r>
      <w:r>
        <w:rPr>
          <w:rFonts w:cs="Calibri"/>
          <w:lang w:val="sq-AL"/>
        </w:rPr>
        <w:t>që</w:t>
      </w:r>
      <w:r w:rsidRPr="007D7531">
        <w:rPr>
          <w:rFonts w:cs="Calibri"/>
          <w:lang w:val="sq-AL"/>
        </w:rPr>
        <w:t xml:space="preserve"> </w:t>
      </w:r>
      <w:r>
        <w:rPr>
          <w:rFonts w:cs="Calibri"/>
          <w:lang w:val="sq-AL"/>
        </w:rPr>
        <w:t xml:space="preserve">ndikuan më tepër në </w:t>
      </w:r>
      <w:r w:rsidRPr="007D7531">
        <w:rPr>
          <w:rFonts w:cs="Calibri"/>
          <w:lang w:val="sq-AL"/>
        </w:rPr>
        <w:t>inflacionin</w:t>
      </w:r>
      <w:r w:rsidRPr="007D7531">
        <w:rPr>
          <w:rFonts w:cs="Calibri"/>
          <w:szCs w:val="22"/>
          <w:lang w:val="sq-AL"/>
        </w:rPr>
        <w:t xml:space="preserve"> e përgjithshëm ishin: </w:t>
      </w:r>
    </w:p>
    <w:p w:rsidR="00FD62C9" w:rsidRPr="005E7E62" w:rsidRDefault="00FD62C9" w:rsidP="00C71069">
      <w:pPr>
        <w:numPr>
          <w:ilvl w:val="0"/>
          <w:numId w:val="44"/>
        </w:numPr>
        <w:autoSpaceDE w:val="0"/>
        <w:autoSpaceDN w:val="0"/>
        <w:adjustRightInd w:val="0"/>
        <w:spacing w:line="240" w:lineRule="auto"/>
        <w:ind w:left="374" w:hanging="187"/>
        <w:rPr>
          <w:rFonts w:asciiTheme="majorHAnsi" w:hAnsiTheme="majorHAnsi" w:cstheme="majorHAnsi"/>
          <w:i/>
          <w:szCs w:val="22"/>
          <w:lang w:val="da-DK"/>
        </w:rPr>
      </w:pPr>
      <w:r w:rsidRPr="005E7E62">
        <w:rPr>
          <w:rFonts w:asciiTheme="majorHAnsi" w:hAnsiTheme="majorHAnsi" w:cstheme="majorHAnsi"/>
          <w:i/>
          <w:szCs w:val="22"/>
          <w:lang w:val="da-DK"/>
        </w:rPr>
        <w:t xml:space="preserve">“Ushqime dhe pije joalkolike” me rritje vjetore të çmimit prej +14.2%, duke kontribuar me +4.98 pikë </w:t>
      </w:r>
      <w:r w:rsidR="008136C0">
        <w:rPr>
          <w:rFonts w:asciiTheme="majorHAnsi" w:hAnsiTheme="majorHAnsi" w:cstheme="majorHAnsi"/>
          <w:i/>
          <w:szCs w:val="22"/>
          <w:lang w:val="da-DK"/>
        </w:rPr>
        <w:t>%</w:t>
      </w:r>
      <w:r w:rsidRPr="005E7E62">
        <w:rPr>
          <w:rFonts w:asciiTheme="majorHAnsi" w:hAnsiTheme="majorHAnsi" w:cstheme="majorHAnsi"/>
          <w:i/>
          <w:szCs w:val="22"/>
          <w:lang w:val="da-DK"/>
        </w:rPr>
        <w:t>je në inflacionin e përgjithshëm prej +7.4%.</w:t>
      </w:r>
    </w:p>
    <w:p w:rsidR="00FD62C9" w:rsidRPr="005E7E62" w:rsidRDefault="00FD62C9" w:rsidP="00C71069">
      <w:pPr>
        <w:numPr>
          <w:ilvl w:val="0"/>
          <w:numId w:val="44"/>
        </w:numPr>
        <w:autoSpaceDE w:val="0"/>
        <w:autoSpaceDN w:val="0"/>
        <w:adjustRightInd w:val="0"/>
        <w:spacing w:line="240" w:lineRule="auto"/>
        <w:ind w:left="374" w:hanging="187"/>
        <w:rPr>
          <w:rFonts w:asciiTheme="majorHAnsi" w:hAnsiTheme="majorHAnsi" w:cstheme="majorHAnsi"/>
          <w:i/>
          <w:szCs w:val="22"/>
          <w:lang w:val="da-DK"/>
        </w:rPr>
      </w:pPr>
      <w:r w:rsidRPr="005E7E62">
        <w:rPr>
          <w:rFonts w:asciiTheme="majorHAnsi" w:hAnsiTheme="majorHAnsi" w:cstheme="majorHAnsi"/>
          <w:i/>
          <w:szCs w:val="22"/>
          <w:lang w:val="da-DK"/>
        </w:rPr>
        <w:t xml:space="preserve">“Qera, ujë lëndë djegëse dhe energji” me rritje vjetore të çmimit prej +2.8%, duke kontribuar me +0.54 pikë </w:t>
      </w:r>
      <w:r w:rsidR="008136C0">
        <w:rPr>
          <w:rFonts w:asciiTheme="majorHAnsi" w:hAnsiTheme="majorHAnsi" w:cstheme="majorHAnsi"/>
          <w:i/>
          <w:szCs w:val="22"/>
          <w:lang w:val="da-DK"/>
        </w:rPr>
        <w:t>%</w:t>
      </w:r>
      <w:r w:rsidRPr="005E7E62">
        <w:rPr>
          <w:rFonts w:asciiTheme="majorHAnsi" w:hAnsiTheme="majorHAnsi" w:cstheme="majorHAnsi"/>
          <w:i/>
          <w:szCs w:val="22"/>
          <w:lang w:val="da-DK"/>
        </w:rPr>
        <w:t>je në inflacionin e përgjithshëm prej +7.4%.</w:t>
      </w:r>
    </w:p>
    <w:p w:rsidR="00FD62C9" w:rsidRPr="005E7E62" w:rsidRDefault="00FD62C9" w:rsidP="00C71069">
      <w:pPr>
        <w:numPr>
          <w:ilvl w:val="0"/>
          <w:numId w:val="44"/>
        </w:numPr>
        <w:autoSpaceDE w:val="0"/>
        <w:autoSpaceDN w:val="0"/>
        <w:adjustRightInd w:val="0"/>
        <w:spacing w:line="240" w:lineRule="auto"/>
        <w:ind w:left="374" w:hanging="187"/>
        <w:rPr>
          <w:rFonts w:asciiTheme="majorHAnsi" w:hAnsiTheme="majorHAnsi" w:cstheme="majorHAnsi"/>
          <w:i/>
          <w:szCs w:val="22"/>
          <w:lang w:val="da-DK"/>
        </w:rPr>
      </w:pPr>
      <w:r w:rsidRPr="005E7E62">
        <w:rPr>
          <w:rFonts w:asciiTheme="majorHAnsi" w:hAnsiTheme="majorHAnsi" w:cstheme="majorHAnsi"/>
          <w:i/>
          <w:szCs w:val="22"/>
          <w:lang w:val="da-DK"/>
        </w:rPr>
        <w:t xml:space="preserve">“Transport” me rritje vjetore të çmimit prej +6.0%, duke kontribuar me +0.36 pikë </w:t>
      </w:r>
      <w:r w:rsidR="008136C0">
        <w:rPr>
          <w:rFonts w:asciiTheme="majorHAnsi" w:hAnsiTheme="majorHAnsi" w:cstheme="majorHAnsi"/>
          <w:i/>
          <w:szCs w:val="22"/>
          <w:lang w:val="da-DK"/>
        </w:rPr>
        <w:t>%</w:t>
      </w:r>
      <w:r w:rsidRPr="005E7E62">
        <w:rPr>
          <w:rFonts w:asciiTheme="majorHAnsi" w:hAnsiTheme="majorHAnsi" w:cstheme="majorHAnsi"/>
          <w:i/>
          <w:szCs w:val="22"/>
          <w:lang w:val="da-DK"/>
        </w:rPr>
        <w:t xml:space="preserve">je në inflacionin e përgjithshëm prej +7.4%. </w:t>
      </w:r>
    </w:p>
    <w:p w:rsidR="00FD62C9" w:rsidRPr="005E7E62" w:rsidRDefault="00FD62C9" w:rsidP="00C71069">
      <w:pPr>
        <w:numPr>
          <w:ilvl w:val="0"/>
          <w:numId w:val="44"/>
        </w:numPr>
        <w:autoSpaceDE w:val="0"/>
        <w:autoSpaceDN w:val="0"/>
        <w:adjustRightInd w:val="0"/>
        <w:spacing w:line="240" w:lineRule="auto"/>
        <w:ind w:left="374" w:hanging="187"/>
        <w:rPr>
          <w:rFonts w:asciiTheme="majorHAnsi" w:hAnsiTheme="majorHAnsi" w:cstheme="majorHAnsi"/>
          <w:i/>
          <w:szCs w:val="22"/>
          <w:lang w:val="da-DK"/>
        </w:rPr>
      </w:pPr>
      <w:r w:rsidRPr="005E7E62">
        <w:rPr>
          <w:rFonts w:asciiTheme="majorHAnsi" w:hAnsiTheme="majorHAnsi" w:cstheme="majorHAnsi"/>
          <w:i/>
          <w:szCs w:val="22"/>
          <w:lang w:val="da-DK"/>
        </w:rPr>
        <w:t xml:space="preserve">“Mobilim, pajisje shtëpie dhe mirëmbajtje”, me rritje vjetore +6.5%, duke kontribuar me +0.48 pikë </w:t>
      </w:r>
      <w:r w:rsidR="008136C0">
        <w:rPr>
          <w:rFonts w:asciiTheme="majorHAnsi" w:hAnsiTheme="majorHAnsi" w:cstheme="majorHAnsi"/>
          <w:i/>
          <w:szCs w:val="22"/>
          <w:lang w:val="da-DK"/>
        </w:rPr>
        <w:t>%</w:t>
      </w:r>
      <w:r w:rsidRPr="005E7E62">
        <w:rPr>
          <w:rFonts w:asciiTheme="majorHAnsi" w:hAnsiTheme="majorHAnsi" w:cstheme="majorHAnsi"/>
          <w:i/>
          <w:szCs w:val="22"/>
          <w:lang w:val="da-DK"/>
        </w:rPr>
        <w:t>je në inflacionin e përgjithshëm prej +7.4%.</w:t>
      </w:r>
    </w:p>
    <w:p w:rsidR="00FD62C9" w:rsidRPr="005E7E62" w:rsidRDefault="00FD62C9" w:rsidP="00C71069">
      <w:pPr>
        <w:numPr>
          <w:ilvl w:val="0"/>
          <w:numId w:val="44"/>
        </w:numPr>
        <w:autoSpaceDE w:val="0"/>
        <w:autoSpaceDN w:val="0"/>
        <w:adjustRightInd w:val="0"/>
        <w:spacing w:line="240" w:lineRule="auto"/>
        <w:ind w:left="374" w:hanging="187"/>
        <w:rPr>
          <w:rFonts w:asciiTheme="majorHAnsi" w:hAnsiTheme="majorHAnsi" w:cstheme="majorHAnsi"/>
          <w:i/>
          <w:szCs w:val="22"/>
          <w:lang w:val="da-DK"/>
        </w:rPr>
      </w:pPr>
      <w:r w:rsidRPr="005E7E62">
        <w:rPr>
          <w:rFonts w:asciiTheme="majorHAnsi" w:hAnsiTheme="majorHAnsi" w:cstheme="majorHAnsi"/>
          <w:i/>
          <w:szCs w:val="22"/>
          <w:lang w:val="da-DK"/>
        </w:rPr>
        <w:t xml:space="preserve">“Pije alkolike dhe duhan” me rritje vjetore të çmimit prej +5.5%, duke kontribuar me +0.28 pikë </w:t>
      </w:r>
      <w:r w:rsidR="008136C0">
        <w:rPr>
          <w:rFonts w:asciiTheme="majorHAnsi" w:hAnsiTheme="majorHAnsi" w:cstheme="majorHAnsi"/>
          <w:i/>
          <w:szCs w:val="22"/>
          <w:lang w:val="da-DK"/>
        </w:rPr>
        <w:t>%</w:t>
      </w:r>
      <w:r w:rsidRPr="005E7E62">
        <w:rPr>
          <w:rFonts w:asciiTheme="majorHAnsi" w:hAnsiTheme="majorHAnsi" w:cstheme="majorHAnsi"/>
          <w:i/>
          <w:szCs w:val="22"/>
          <w:lang w:val="da-DK"/>
        </w:rPr>
        <w:t>je në inflacionin e përgjithshëm prej +7.4%.</w:t>
      </w:r>
    </w:p>
    <w:p w:rsidR="00FD62C9" w:rsidRPr="005E7E62" w:rsidRDefault="00FD62C9" w:rsidP="00C71069">
      <w:pPr>
        <w:numPr>
          <w:ilvl w:val="0"/>
          <w:numId w:val="44"/>
        </w:numPr>
        <w:autoSpaceDE w:val="0"/>
        <w:autoSpaceDN w:val="0"/>
        <w:adjustRightInd w:val="0"/>
        <w:spacing w:line="240" w:lineRule="auto"/>
        <w:ind w:left="374" w:hanging="187"/>
        <w:rPr>
          <w:rFonts w:asciiTheme="majorHAnsi" w:hAnsiTheme="majorHAnsi" w:cstheme="majorHAnsi"/>
          <w:i/>
          <w:szCs w:val="22"/>
          <w:lang w:val="da-DK"/>
        </w:rPr>
      </w:pPr>
      <w:r w:rsidRPr="005E7E62">
        <w:rPr>
          <w:rFonts w:asciiTheme="majorHAnsi" w:hAnsiTheme="majorHAnsi" w:cstheme="majorHAnsi"/>
          <w:i/>
          <w:szCs w:val="22"/>
          <w:lang w:val="da-DK"/>
        </w:rPr>
        <w:t xml:space="preserve">“Hotele, kafene dhe restorante” me rritje vjetore të çmimit prej +5.2%, duke kontribuar me +0.24 pikë </w:t>
      </w:r>
      <w:r w:rsidR="008136C0">
        <w:rPr>
          <w:rFonts w:asciiTheme="majorHAnsi" w:hAnsiTheme="majorHAnsi" w:cstheme="majorHAnsi"/>
          <w:i/>
          <w:szCs w:val="22"/>
          <w:lang w:val="da-DK"/>
        </w:rPr>
        <w:t>%</w:t>
      </w:r>
      <w:r w:rsidRPr="005E7E62">
        <w:rPr>
          <w:rFonts w:asciiTheme="majorHAnsi" w:hAnsiTheme="majorHAnsi" w:cstheme="majorHAnsi"/>
          <w:i/>
          <w:szCs w:val="22"/>
          <w:lang w:val="da-DK"/>
        </w:rPr>
        <w:t>je në inflacionin e përgjithshëm prej +7.4%.</w:t>
      </w:r>
    </w:p>
    <w:bookmarkEnd w:id="14"/>
    <w:p w:rsidR="008F59CB" w:rsidRPr="008F59CB" w:rsidRDefault="008F59CB" w:rsidP="00FC729E">
      <w:pPr>
        <w:spacing w:before="0"/>
        <w:rPr>
          <w:rFonts w:asciiTheme="majorHAnsi" w:hAnsiTheme="majorHAnsi" w:cstheme="majorHAnsi"/>
          <w:sz w:val="8"/>
          <w:szCs w:val="22"/>
          <w:lang w:val="sq-AL"/>
        </w:rPr>
      </w:pPr>
    </w:p>
    <w:p w:rsidR="00D71DB3" w:rsidRPr="00476D2E" w:rsidRDefault="00FD62C9" w:rsidP="00FC729E">
      <w:pPr>
        <w:spacing w:before="0"/>
        <w:rPr>
          <w:rFonts w:cs="Calibri"/>
          <w:lang w:val="sq-AL"/>
        </w:rPr>
      </w:pPr>
      <w:r w:rsidRPr="00B74277">
        <w:rPr>
          <w:rFonts w:asciiTheme="majorHAnsi" w:hAnsiTheme="majorHAnsi" w:cstheme="majorHAnsi"/>
          <w:szCs w:val="22"/>
          <w:lang w:val="sq-AL"/>
        </w:rPr>
        <w:t xml:space="preserve">Në vitin 2022, stoku total i kredive bankare pati një rritje me 7.1% krahasuar me vitin 2021. </w:t>
      </w:r>
      <w:r w:rsidRPr="00B74277">
        <w:rPr>
          <w:rFonts w:asciiTheme="majorHAnsi" w:hAnsiTheme="majorHAnsi" w:cstheme="majorHAnsi"/>
          <w:noProof/>
          <w:szCs w:val="22"/>
        </w:rPr>
        <w:t>Stoku i kredive në lekë shënoi një rritje prej 6.1%, ndërsa ai në valutë rritje prej 8.1%, krahasuar me muajin dhjetor të vitit të kaluar.</w:t>
      </w:r>
      <w:r w:rsidRPr="00B74277">
        <w:rPr>
          <w:rFonts w:asciiTheme="majorHAnsi" w:hAnsiTheme="majorHAnsi" w:cstheme="majorHAnsi"/>
          <w:szCs w:val="22"/>
          <w:lang w:val="sq-AL"/>
        </w:rPr>
        <w:t xml:space="preserve"> Pjesa më e madhe e kontributit në rritjen e stokut total të kredisë gjatë kësaj periudhe ka ardhur prej kredive akorduar bizneseve.</w:t>
      </w:r>
      <w:r>
        <w:rPr>
          <w:rFonts w:asciiTheme="majorHAnsi" w:hAnsiTheme="majorHAnsi" w:cstheme="majorHAnsi"/>
          <w:szCs w:val="22"/>
          <w:lang w:val="sq-AL"/>
        </w:rPr>
        <w:t xml:space="preserve"> </w:t>
      </w:r>
      <w:r w:rsidRPr="00B74277">
        <w:rPr>
          <w:rFonts w:asciiTheme="majorHAnsi" w:hAnsiTheme="majorHAnsi" w:cstheme="majorHAnsi"/>
          <w:noProof/>
          <w:szCs w:val="22"/>
        </w:rPr>
        <w:t xml:space="preserve">Stoku i kredive akorduar bizneseve jo-financiare (private dhe publike) për muajin dhjetor 2022 shënoi një rritje me 4.3%. Kredia vetëm për bizneset private jo-financiare u rrit me 4.2%, duke kontribuar pozitivisht me 2.5 pikë </w:t>
      </w:r>
      <w:r w:rsidR="008136C0">
        <w:rPr>
          <w:rFonts w:asciiTheme="majorHAnsi" w:hAnsiTheme="majorHAnsi" w:cstheme="majorHAnsi"/>
          <w:noProof/>
          <w:szCs w:val="22"/>
        </w:rPr>
        <w:t>%</w:t>
      </w:r>
      <w:r w:rsidRPr="00B74277">
        <w:rPr>
          <w:rFonts w:asciiTheme="majorHAnsi" w:hAnsiTheme="majorHAnsi" w:cstheme="majorHAnsi"/>
          <w:noProof/>
          <w:szCs w:val="22"/>
        </w:rPr>
        <w:t xml:space="preserve">je në ndryshimin e stokut total të kredisë. Ndërsa, stoku i kredive akorduar bizneseve publike jo-financiare për muajin dhjetor të vitit 2022 ka shënuar rritje me 5.3%, krahasuar me dhjetor 2021, me kontribut pozitiv prej 0.2 pikë </w:t>
      </w:r>
      <w:r w:rsidR="008136C0">
        <w:rPr>
          <w:rFonts w:asciiTheme="majorHAnsi" w:hAnsiTheme="majorHAnsi" w:cstheme="majorHAnsi"/>
          <w:noProof/>
          <w:szCs w:val="22"/>
        </w:rPr>
        <w:t>%</w:t>
      </w:r>
      <w:r w:rsidRPr="00B74277">
        <w:rPr>
          <w:rFonts w:asciiTheme="majorHAnsi" w:hAnsiTheme="majorHAnsi" w:cstheme="majorHAnsi"/>
          <w:noProof/>
          <w:szCs w:val="22"/>
        </w:rPr>
        <w:t xml:space="preserve">je. </w:t>
      </w:r>
      <w:r w:rsidRPr="00B74277">
        <w:rPr>
          <w:rFonts w:asciiTheme="majorHAnsi" w:hAnsiTheme="majorHAnsi" w:cstheme="majorHAnsi"/>
          <w:szCs w:val="22"/>
          <w:lang w:val="sq-AL"/>
        </w:rPr>
        <w:t xml:space="preserve">Stoku i kredive akorduar individëve deri në muajin dhjetor të vitit 2022, ka shënuar rritje prej 11.8%, krahasuar me dhjetorin e vitit 2021, duke kontribuar pozitivisht në ndryshimin e stokut total të kredisë me 4.1 pikë </w:t>
      </w:r>
      <w:r w:rsidR="008136C0">
        <w:rPr>
          <w:rFonts w:asciiTheme="majorHAnsi" w:hAnsiTheme="majorHAnsi" w:cstheme="majorHAnsi"/>
          <w:szCs w:val="22"/>
          <w:lang w:val="sq-AL"/>
        </w:rPr>
        <w:t>%</w:t>
      </w:r>
      <w:r w:rsidRPr="00B74277">
        <w:rPr>
          <w:rFonts w:asciiTheme="majorHAnsi" w:hAnsiTheme="majorHAnsi" w:cstheme="majorHAnsi"/>
          <w:szCs w:val="22"/>
          <w:lang w:val="sq-AL"/>
        </w:rPr>
        <w:t>je</w:t>
      </w:r>
      <w:r w:rsidRPr="00B74277">
        <w:rPr>
          <w:rFonts w:asciiTheme="majorHAnsi" w:hAnsiTheme="majorHAnsi" w:cstheme="majorHAnsi"/>
          <w:noProof/>
          <w:szCs w:val="22"/>
        </w:rPr>
        <w:t xml:space="preserve">. </w:t>
      </w:r>
      <w:r w:rsidRPr="00B74277">
        <w:rPr>
          <w:rFonts w:asciiTheme="majorHAnsi" w:hAnsiTheme="majorHAnsi" w:cstheme="majorHAnsi"/>
          <w:szCs w:val="22"/>
          <w:lang w:val="sq-AL"/>
        </w:rPr>
        <w:t xml:space="preserve">Raporti i kredive me probleme zbriti në nivelin 5.05% në muajin dhjetor, duke pasqyruar masat konkrete të ndërmarra nga Banka e Shqipërisë për reduktimin e tyre, si dhe përmirësimin e ambientit ekonomik dhe të gjendjes financiare të kredimarrësve. </w:t>
      </w:r>
      <w:r w:rsidRPr="00162F3F">
        <w:rPr>
          <w:rFonts w:asciiTheme="majorHAnsi" w:hAnsiTheme="majorHAnsi" w:cstheme="majorHAnsi"/>
          <w:i/>
          <w:szCs w:val="22"/>
          <w:lang w:val="sq-AL"/>
        </w:rPr>
        <w:t>Monedha shqiptare</w:t>
      </w:r>
      <w:r w:rsidRPr="00B74277">
        <w:rPr>
          <w:rFonts w:asciiTheme="majorHAnsi" w:hAnsiTheme="majorHAnsi" w:cstheme="majorHAnsi"/>
          <w:szCs w:val="22"/>
          <w:lang w:val="sq-AL"/>
        </w:rPr>
        <w:t xml:space="preserve"> ka vijuar të ketë një kurs këmbimi përgjithësisht të stabilizuar kundrejt valutave kryesore në tregun e këmbimit valutor. Pёrgjatё vitit 2022, kursi i këmbimit Lek/EUR shënoi mesatarisht nivelin 118.97, ndërsa kursi ndaj dollarit Lek/Dollar arriti në 113.04</w:t>
      </w:r>
      <w:r w:rsidR="00A664DE" w:rsidRPr="00476D2E">
        <w:rPr>
          <w:rFonts w:cs="Calibri"/>
          <w:lang w:val="sq-AL"/>
        </w:rPr>
        <w:t xml:space="preserve">. </w:t>
      </w:r>
    </w:p>
    <w:p w:rsidR="00D71DB3" w:rsidRDefault="00D71DB3" w:rsidP="00FC729E">
      <w:pPr>
        <w:autoSpaceDE w:val="0"/>
        <w:autoSpaceDN w:val="0"/>
        <w:adjustRightInd w:val="0"/>
        <w:contextualSpacing/>
        <w:rPr>
          <w:rFonts w:cs="Calibri"/>
          <w:noProof/>
          <w:sz w:val="12"/>
          <w:lang w:val="sq-AL"/>
        </w:rPr>
      </w:pPr>
    </w:p>
    <w:p w:rsidR="00FD62C9" w:rsidRPr="002A00BD" w:rsidRDefault="00FD62C9" w:rsidP="00FC729E">
      <w:pPr>
        <w:autoSpaceDE w:val="0"/>
        <w:autoSpaceDN w:val="0"/>
        <w:adjustRightInd w:val="0"/>
        <w:contextualSpacing/>
        <w:rPr>
          <w:rFonts w:cs="Calibri"/>
          <w:noProof/>
          <w:sz w:val="12"/>
          <w:lang w:val="sq-AL"/>
        </w:rPr>
      </w:pPr>
    </w:p>
    <w:p w:rsidR="007F44B9" w:rsidRPr="00FD62C9" w:rsidRDefault="007F44B9" w:rsidP="00FC729E">
      <w:pPr>
        <w:pStyle w:val="fiskale3"/>
        <w:rPr>
          <w:rFonts w:ascii="Calibri" w:hAnsi="Calibri" w:cs="Calibri"/>
          <w:i/>
        </w:rPr>
      </w:pPr>
      <w:bookmarkStart w:id="15" w:name="_Toc104980314"/>
      <w:r w:rsidRPr="00FD62C9">
        <w:rPr>
          <w:rFonts w:ascii="Calibri" w:hAnsi="Calibri" w:cs="Calibri"/>
          <w:i/>
        </w:rPr>
        <w:t>Sektori i jashtëm</w:t>
      </w:r>
      <w:bookmarkEnd w:id="15"/>
    </w:p>
    <w:p w:rsidR="000A00DD" w:rsidRDefault="00FD62C9" w:rsidP="00FC729E">
      <w:pPr>
        <w:spacing w:before="0"/>
        <w:rPr>
          <w:rFonts w:asciiTheme="majorHAnsi" w:hAnsiTheme="majorHAnsi" w:cstheme="majorHAnsi"/>
          <w:color w:val="000000"/>
          <w:szCs w:val="22"/>
          <w:lang w:val="sq-AL" w:eastAsia="sq-AL"/>
        </w:rPr>
      </w:pPr>
      <w:bookmarkStart w:id="16" w:name="_Toc515271225"/>
      <w:bookmarkStart w:id="17" w:name="_Toc10033259"/>
      <w:bookmarkStart w:id="18" w:name="_Toc10721396"/>
      <w:bookmarkStart w:id="19" w:name="_Hlk138151992"/>
      <w:r w:rsidRPr="00007A4B">
        <w:rPr>
          <w:rFonts w:asciiTheme="majorHAnsi" w:hAnsiTheme="majorHAnsi" w:cstheme="majorHAnsi"/>
          <w:szCs w:val="22"/>
          <w:lang w:val="sq-AL"/>
        </w:rPr>
        <w:t xml:space="preserve">Eksportet për periudhёn janar - dhjetor 2022 shënuan rritje prej +32.0% krahasuar me një vit më parë, ndёrsa vetёm pёr muajin dhjetor 2022 eksportet shёnuan rritje prej +26.1% nё krahasim me muajin dhjetor 2021. Në dhjetor 2022, eksportet e mallrave arritën vlerën 40.22 mld lekë, duke u rritur me 26.1%, në krahasim me të njëjtën periudhë të një viti më parë dhe duke u ulur me 4.5% në krahasim me nëntor 2022. Rritja vjetore e eksporteve prej 26.1%, këtë muaj është ndikuar nga grupet: “Minerale lëndë djegëse, energji elektrike” me kontribut +17.5 pikë </w:t>
      </w:r>
      <w:r w:rsidR="008136C0">
        <w:rPr>
          <w:rFonts w:asciiTheme="majorHAnsi" w:hAnsiTheme="majorHAnsi" w:cstheme="majorHAnsi"/>
          <w:szCs w:val="22"/>
          <w:lang w:val="sq-AL"/>
        </w:rPr>
        <w:t>%</w:t>
      </w:r>
      <w:r w:rsidRPr="00007A4B">
        <w:rPr>
          <w:rFonts w:asciiTheme="majorHAnsi" w:hAnsiTheme="majorHAnsi" w:cstheme="majorHAnsi"/>
          <w:szCs w:val="22"/>
          <w:lang w:val="sq-AL"/>
        </w:rPr>
        <w:t xml:space="preserve">je, “Ushqime, pije, duhan” me +4.0 pikë </w:t>
      </w:r>
      <w:r w:rsidR="008136C0">
        <w:rPr>
          <w:rFonts w:asciiTheme="majorHAnsi" w:hAnsiTheme="majorHAnsi" w:cstheme="majorHAnsi"/>
          <w:szCs w:val="22"/>
          <w:lang w:val="sq-AL"/>
        </w:rPr>
        <w:t>%</w:t>
      </w:r>
      <w:r w:rsidRPr="00007A4B">
        <w:rPr>
          <w:rFonts w:asciiTheme="majorHAnsi" w:hAnsiTheme="majorHAnsi" w:cstheme="majorHAnsi"/>
          <w:szCs w:val="22"/>
          <w:lang w:val="sq-AL"/>
        </w:rPr>
        <w:t>je.</w:t>
      </w:r>
      <w:r>
        <w:rPr>
          <w:rFonts w:asciiTheme="majorHAnsi" w:hAnsiTheme="majorHAnsi" w:cstheme="majorHAnsi"/>
          <w:szCs w:val="22"/>
          <w:lang w:val="sq-AL"/>
        </w:rPr>
        <w:t xml:space="preserve"> </w:t>
      </w:r>
      <w:r w:rsidRPr="00007A4B">
        <w:rPr>
          <w:rFonts w:asciiTheme="majorHAnsi" w:hAnsiTheme="majorHAnsi" w:cstheme="majorHAnsi"/>
          <w:szCs w:val="22"/>
          <w:lang w:val="sq-AL"/>
        </w:rPr>
        <w:t xml:space="preserve">Importet e mallrave për periudhёn janar – dhjetor 2022 shënuan rritje prej +18.7% krahasuar me një vit më parё, ndërsa vetëm për muajin dhjetor 2022 importet shënuan rritje vjetore prej +7.7% në krahasim me muajin dhjetor 2021. </w:t>
      </w:r>
      <w:r w:rsidRPr="00007A4B">
        <w:rPr>
          <w:rFonts w:asciiTheme="majorHAnsi" w:hAnsiTheme="majorHAnsi" w:cstheme="majorHAnsi"/>
          <w:color w:val="000000"/>
          <w:szCs w:val="22"/>
          <w:lang w:val="da-DK" w:eastAsia="sq-AL"/>
        </w:rPr>
        <w:t>Në dhjetor 2022 importet e mallrave arritën vlerën 94.57 mld lekë, duke u ritur me 7.7%, në krahasim me një vit më parë dhe duke u ritur me 22.3%, në krahasim me nëntor 2022</w:t>
      </w:r>
      <w:r w:rsidRPr="00007A4B">
        <w:rPr>
          <w:rFonts w:asciiTheme="majorHAnsi" w:hAnsiTheme="majorHAnsi" w:cstheme="majorHAnsi"/>
          <w:color w:val="000000"/>
          <w:szCs w:val="22"/>
          <w:lang w:val="sq-AL" w:eastAsia="sq-AL"/>
        </w:rPr>
        <w:t xml:space="preserve">. </w:t>
      </w:r>
    </w:p>
    <w:p w:rsidR="000A00DD" w:rsidRDefault="000A00DD" w:rsidP="00FC729E">
      <w:pPr>
        <w:spacing w:before="0"/>
        <w:rPr>
          <w:rFonts w:asciiTheme="majorHAnsi" w:hAnsiTheme="majorHAnsi" w:cstheme="majorHAnsi"/>
          <w:color w:val="000000"/>
          <w:szCs w:val="22"/>
          <w:lang w:val="sq-AL" w:eastAsia="sq-AL"/>
        </w:rPr>
      </w:pPr>
    </w:p>
    <w:p w:rsidR="00A664DE" w:rsidRPr="000B1D3A" w:rsidRDefault="00FD62C9" w:rsidP="00FC729E">
      <w:pPr>
        <w:spacing w:before="0"/>
        <w:rPr>
          <w:rFonts w:asciiTheme="majorHAnsi" w:hAnsiTheme="majorHAnsi" w:cstheme="majorHAnsi"/>
          <w:szCs w:val="22"/>
          <w:lang w:val="sq-AL"/>
        </w:rPr>
      </w:pPr>
      <w:r w:rsidRPr="00007A4B">
        <w:rPr>
          <w:rFonts w:asciiTheme="majorHAnsi" w:hAnsiTheme="majorHAnsi" w:cstheme="majorHAnsi"/>
          <w:color w:val="000000"/>
          <w:szCs w:val="22"/>
          <w:lang w:val="sq-AL" w:eastAsia="sq-AL"/>
        </w:rPr>
        <w:lastRenderedPageBreak/>
        <w:t xml:space="preserve">Rritja vjetore e importeve prej 7.7%, këtë muaj është ndikuar kryesisht nga grupet: “Minerale, lëndë djegëse, energji elektrike” me 9.6 pikë </w:t>
      </w:r>
      <w:r w:rsidR="008136C0">
        <w:rPr>
          <w:rFonts w:asciiTheme="majorHAnsi" w:hAnsiTheme="majorHAnsi" w:cstheme="majorHAnsi"/>
          <w:color w:val="000000"/>
          <w:szCs w:val="22"/>
          <w:lang w:val="sq-AL" w:eastAsia="sq-AL"/>
        </w:rPr>
        <w:t>%</w:t>
      </w:r>
      <w:r w:rsidRPr="00007A4B">
        <w:rPr>
          <w:rFonts w:asciiTheme="majorHAnsi" w:hAnsiTheme="majorHAnsi" w:cstheme="majorHAnsi"/>
          <w:color w:val="000000"/>
          <w:szCs w:val="22"/>
          <w:lang w:val="sq-AL" w:eastAsia="sq-AL"/>
        </w:rPr>
        <w:t xml:space="preserve">je, “Makineri, pajisje dhe pjesë këmbimi” me kontribut +3.8 pikë </w:t>
      </w:r>
      <w:r w:rsidR="008136C0">
        <w:rPr>
          <w:rFonts w:asciiTheme="majorHAnsi" w:hAnsiTheme="majorHAnsi" w:cstheme="majorHAnsi"/>
          <w:color w:val="000000"/>
          <w:szCs w:val="22"/>
          <w:lang w:val="sq-AL" w:eastAsia="sq-AL"/>
        </w:rPr>
        <w:t>%</w:t>
      </w:r>
      <w:r w:rsidRPr="00007A4B">
        <w:rPr>
          <w:rFonts w:asciiTheme="majorHAnsi" w:hAnsiTheme="majorHAnsi" w:cstheme="majorHAnsi"/>
          <w:color w:val="000000"/>
          <w:szCs w:val="22"/>
          <w:lang w:val="sq-AL" w:eastAsia="sq-AL"/>
        </w:rPr>
        <w:t xml:space="preserve">je. </w:t>
      </w:r>
      <w:r w:rsidRPr="00007A4B">
        <w:rPr>
          <w:rFonts w:asciiTheme="majorHAnsi" w:hAnsiTheme="majorHAnsi" w:cstheme="majorHAnsi"/>
          <w:szCs w:val="22"/>
          <w:lang w:val="sq-AL"/>
        </w:rPr>
        <w:t>Për vitin 2022, deficiti tregtar arriti vlerën 463,59 mld lekë, duke u përkeqësuar me 7.3% krahasuar me të njëjtën periudhë të 2021.</w:t>
      </w:r>
      <w:r w:rsidRPr="00007A4B">
        <w:rPr>
          <w:rFonts w:asciiTheme="majorHAnsi" w:hAnsiTheme="majorHAnsi" w:cstheme="majorHAnsi"/>
          <w:szCs w:val="22"/>
        </w:rPr>
        <w:t xml:space="preserve"> </w:t>
      </w:r>
      <w:r w:rsidRPr="00007A4B">
        <w:rPr>
          <w:rFonts w:asciiTheme="majorHAnsi" w:hAnsiTheme="majorHAnsi" w:cstheme="majorHAnsi"/>
          <w:szCs w:val="22"/>
          <w:lang w:val="sq-AL"/>
        </w:rPr>
        <w:t xml:space="preserve">Deficiti tregtar i këtij muaji është 54.34 mld lekë, duke u përmirësua me 2.9%, krahasuar me dhjetor 2021 dhe duke u përkeqësuar me 54.24%, në krahasim me nëntor 2022. </w:t>
      </w:r>
      <w:r w:rsidRPr="004277F5">
        <w:rPr>
          <w:rFonts w:cs="Calibri"/>
          <w:szCs w:val="22"/>
          <w:lang w:val="sq-AL"/>
        </w:rPr>
        <w:t xml:space="preserve">Shkëmbimet tregtare, për vitin </w:t>
      </w:r>
      <w:r>
        <w:rPr>
          <w:rFonts w:cs="Calibri"/>
          <w:szCs w:val="22"/>
          <w:lang w:val="sq-AL"/>
        </w:rPr>
        <w:t>2022, me vendet e BE-së zënë 59.0</w:t>
      </w:r>
      <w:r w:rsidRPr="004277F5">
        <w:rPr>
          <w:rFonts w:cs="Calibri"/>
          <w:szCs w:val="22"/>
          <w:lang w:val="sq-AL"/>
        </w:rPr>
        <w:t>% të gjithë</w:t>
      </w:r>
      <w:r>
        <w:rPr>
          <w:rFonts w:cs="Calibri"/>
          <w:szCs w:val="22"/>
          <w:lang w:val="sq-AL"/>
        </w:rPr>
        <w:t xml:space="preserve"> tregtisë. Në periudhën Janar-Dhjetor 2022</w:t>
      </w:r>
      <w:r w:rsidRPr="004277F5">
        <w:rPr>
          <w:rFonts w:cs="Calibri"/>
          <w:szCs w:val="22"/>
          <w:lang w:val="sq-AL"/>
        </w:rPr>
        <w:t>, eksporte</w:t>
      </w:r>
      <w:r>
        <w:rPr>
          <w:rFonts w:cs="Calibri"/>
          <w:szCs w:val="22"/>
          <w:lang w:val="sq-AL"/>
        </w:rPr>
        <w:t>t drejt vendeve të BE-së zënë 73.4</w:t>
      </w:r>
      <w:r w:rsidRPr="004277F5">
        <w:rPr>
          <w:rFonts w:cs="Calibri"/>
          <w:szCs w:val="22"/>
          <w:lang w:val="sq-AL"/>
        </w:rPr>
        <w:t xml:space="preserve">% të eksporteve gjithsej dhe </w:t>
      </w:r>
      <w:r>
        <w:rPr>
          <w:rFonts w:cs="Calibri"/>
          <w:szCs w:val="22"/>
          <w:lang w:val="sq-AL"/>
        </w:rPr>
        <w:t>importet nga vendet e BE zënë 51.6 % të importeve</w:t>
      </w:r>
      <w:r w:rsidRPr="004277F5">
        <w:rPr>
          <w:rFonts w:cs="Calibri"/>
          <w:szCs w:val="22"/>
          <w:lang w:val="sq-AL"/>
        </w:rPr>
        <w:t>. Partnerët kryesorë tregtarë janë: Italia (29</w:t>
      </w:r>
      <w:r>
        <w:rPr>
          <w:rFonts w:cs="Calibri"/>
          <w:szCs w:val="22"/>
          <w:lang w:val="sq-AL"/>
        </w:rPr>
        <w:t>.0%), Turqia (8.4%), Greqia (6.9</w:t>
      </w:r>
      <w:r w:rsidRPr="004277F5">
        <w:rPr>
          <w:rFonts w:cs="Calibri"/>
          <w:szCs w:val="22"/>
          <w:lang w:val="sq-AL"/>
        </w:rPr>
        <w:t>%) dhe Gjermania (6</w:t>
      </w:r>
      <w:r>
        <w:rPr>
          <w:rFonts w:cs="Calibri"/>
          <w:szCs w:val="22"/>
          <w:lang w:val="sq-AL"/>
        </w:rPr>
        <w:t>.3</w:t>
      </w:r>
      <w:r w:rsidRPr="004277F5">
        <w:rPr>
          <w:rFonts w:cs="Calibri"/>
          <w:szCs w:val="22"/>
          <w:lang w:val="sq-AL"/>
        </w:rPr>
        <w:t>%)</w:t>
      </w:r>
      <w:r w:rsidR="00A664DE" w:rsidRPr="00476D2E">
        <w:rPr>
          <w:rFonts w:cs="Calibri"/>
          <w:lang w:val="sq-AL"/>
        </w:rPr>
        <w:t>.</w:t>
      </w:r>
    </w:p>
    <w:bookmarkEnd w:id="19"/>
    <w:p w:rsidR="00FD62C9" w:rsidRPr="00476D2E" w:rsidRDefault="00FD62C9" w:rsidP="00FC729E">
      <w:pPr>
        <w:tabs>
          <w:tab w:val="left" w:pos="6480"/>
        </w:tabs>
        <w:spacing w:before="0"/>
        <w:rPr>
          <w:rFonts w:cs="Calibri"/>
          <w:lang w:val="sq-AL"/>
        </w:rPr>
      </w:pPr>
    </w:p>
    <w:p w:rsidR="007F44B9" w:rsidRPr="00476D2E" w:rsidRDefault="007F44B9" w:rsidP="00FC729E">
      <w:pPr>
        <w:pStyle w:val="Fiskale2"/>
        <w:rPr>
          <w:rFonts w:ascii="Calibri" w:hAnsi="Calibri" w:cs="Calibri"/>
        </w:rPr>
      </w:pPr>
      <w:bookmarkStart w:id="20" w:name="_Toc104980315"/>
      <w:r w:rsidRPr="00476D2E">
        <w:rPr>
          <w:rFonts w:ascii="Calibri" w:hAnsi="Calibri" w:cs="Calibri"/>
        </w:rPr>
        <w:t>Krahasimi me vendet e rajonit</w:t>
      </w:r>
      <w:bookmarkEnd w:id="16"/>
      <w:bookmarkEnd w:id="17"/>
      <w:bookmarkEnd w:id="18"/>
      <w:bookmarkEnd w:id="20"/>
    </w:p>
    <w:p w:rsidR="00A664DE" w:rsidRPr="002A00BD" w:rsidRDefault="00FD62C9" w:rsidP="00FC729E">
      <w:pPr>
        <w:tabs>
          <w:tab w:val="left" w:pos="6480"/>
        </w:tabs>
        <w:spacing w:before="0"/>
        <w:rPr>
          <w:rFonts w:asciiTheme="majorHAnsi" w:hAnsiTheme="majorHAnsi" w:cs="Calibri"/>
          <w:szCs w:val="22"/>
          <w:lang w:val="sq-AL"/>
        </w:rPr>
      </w:pPr>
      <w:r w:rsidRPr="00664DEA">
        <w:rPr>
          <w:rFonts w:asciiTheme="majorHAnsi" w:hAnsiTheme="majorHAnsi" w:cs="Calibri"/>
          <w:szCs w:val="22"/>
          <w:lang w:val="sq-AL"/>
        </w:rPr>
        <w:t>Rimëkëmbja ekonomike në Ballkanin Perëndimor u moderua në vitin 2022, e ndikuar nga pasojat e agresionit të Rusisë kundër Ukrainës, me PBB-në e rajonit që u rrit me 3.2%, krahasuar me 7.7% në vitin 2021. Ngadalësimi i rritjes vjetore të prodhimit ishte më i theksuar në gjysmën e dytë të vitit, e ndikuar kryesisht nga Serbia, ekonomia më e madhe në rajon. Në tremujorin e katërt të 2022, PBB-ja e rajonit u rrit me vetëm 1.6% në terma vjetore. Në përputhje me ngadalësimin e aktivitetit ekonomik, rritja mesatare e punësimit në Ballkanin Perëndimor u ngadalësua në 1.4% për vitin 2022. Përfitimet nga punësimi çuan në një ulje të shkallës së papunësisë, ndërsa pjesëmarrja në fuqinë punëtore është ulur në disa vende. Megjithatë, normat e papunësisë në rajon mbetet e lartë, duke filluar nga 9.4% në Serbi në rreth 17% në Kosovë.</w:t>
      </w:r>
      <w:r>
        <w:rPr>
          <w:rFonts w:asciiTheme="majorHAnsi" w:hAnsiTheme="majorHAnsi" w:cs="Calibri"/>
          <w:szCs w:val="22"/>
          <w:lang w:val="sq-AL"/>
        </w:rPr>
        <w:t xml:space="preserve"> </w:t>
      </w:r>
      <w:r w:rsidRPr="00664DEA">
        <w:rPr>
          <w:rFonts w:asciiTheme="majorHAnsi" w:hAnsiTheme="majorHAnsi" w:cs="Calibri"/>
          <w:szCs w:val="22"/>
          <w:lang w:val="sq-AL"/>
        </w:rPr>
        <w:t xml:space="preserve">Në </w:t>
      </w:r>
      <w:r w:rsidRPr="00664DEA">
        <w:rPr>
          <w:rFonts w:asciiTheme="majorHAnsi" w:hAnsiTheme="majorHAnsi" w:cs="Calibri"/>
          <w:i/>
          <w:szCs w:val="22"/>
          <w:lang w:val="sq-AL"/>
        </w:rPr>
        <w:t>Shqipëri</w:t>
      </w:r>
      <w:r w:rsidRPr="00664DEA">
        <w:rPr>
          <w:rFonts w:asciiTheme="majorHAnsi" w:hAnsiTheme="majorHAnsi" w:cs="Calibri"/>
          <w:szCs w:val="22"/>
          <w:lang w:val="sq-AL"/>
        </w:rPr>
        <w:t>, p</w:t>
      </w:r>
      <w:r w:rsidRPr="00664DEA">
        <w:rPr>
          <w:rFonts w:asciiTheme="majorHAnsi" w:hAnsiTheme="majorHAnsi"/>
          <w:szCs w:val="22"/>
          <w:lang w:val="sq-AL"/>
        </w:rPr>
        <w:t>rodukti i brendshëm bruto për tremujorin e katërt të vitit 2022 vlerësohet me rritje prej 4.73%, kundrejt tremujorit të katërt të vitit 2021. Ndërkohë, për vitin 2022 Shqipëria është vlereësuar me një rritje prej 4.84%, krahasuar me vitin 2021, ndikuar kryesisht nga konsumi privat</w:t>
      </w:r>
      <w:r w:rsidR="0083420F" w:rsidRPr="00246736">
        <w:rPr>
          <w:rFonts w:asciiTheme="majorHAnsi" w:hAnsiTheme="majorHAnsi"/>
          <w:szCs w:val="22"/>
          <w:lang w:val="sq-AL"/>
        </w:rPr>
        <w:t>.</w:t>
      </w:r>
    </w:p>
    <w:p w:rsidR="00A664DE" w:rsidRDefault="00A664DE" w:rsidP="00FC729E">
      <w:pPr>
        <w:pStyle w:val="Caption"/>
        <w:keepNext/>
        <w:spacing w:after="0"/>
        <w:rPr>
          <w:rFonts w:cs="Calibri"/>
          <w:lang w:val="sq-AL"/>
        </w:rPr>
      </w:pPr>
      <w:bookmarkStart w:id="21" w:name="_Toc136526327"/>
      <w:r w:rsidRPr="00476D2E">
        <w:rPr>
          <w:rFonts w:cs="Calibri"/>
          <w:lang w:val="sq-AL"/>
        </w:rPr>
        <w:t xml:space="preserve">Tabela </w:t>
      </w:r>
      <w:r w:rsidRPr="00476D2E">
        <w:rPr>
          <w:rFonts w:cs="Calibri"/>
          <w:lang w:val="sq-AL"/>
        </w:rPr>
        <w:fldChar w:fldCharType="begin"/>
      </w:r>
      <w:r w:rsidRPr="00476D2E">
        <w:rPr>
          <w:rFonts w:cs="Calibri"/>
          <w:lang w:val="sq-AL"/>
        </w:rPr>
        <w:instrText xml:space="preserve"> SEQ Tabela \* ARABIC </w:instrText>
      </w:r>
      <w:r w:rsidRPr="00476D2E">
        <w:rPr>
          <w:rFonts w:cs="Calibri"/>
          <w:lang w:val="sq-AL"/>
        </w:rPr>
        <w:fldChar w:fldCharType="separate"/>
      </w:r>
      <w:r w:rsidR="008C3E07">
        <w:rPr>
          <w:rFonts w:cs="Calibri"/>
          <w:noProof/>
          <w:lang w:val="sq-AL"/>
        </w:rPr>
        <w:t>1</w:t>
      </w:r>
      <w:r w:rsidRPr="00476D2E">
        <w:rPr>
          <w:rFonts w:cs="Calibri"/>
          <w:lang w:val="sq-AL"/>
        </w:rPr>
        <w:fldChar w:fldCharType="end"/>
      </w:r>
      <w:r w:rsidRPr="00476D2E">
        <w:rPr>
          <w:rFonts w:cs="Calibri"/>
          <w:lang w:val="sq-AL"/>
        </w:rPr>
        <w:t xml:space="preserve"> Produkti i Brendshëm Bruto</w:t>
      </w:r>
      <w:bookmarkEnd w:id="21"/>
    </w:p>
    <w:tbl>
      <w:tblPr>
        <w:tblStyle w:val="GridTable4-Accent11"/>
        <w:tblW w:w="4023" w:type="pct"/>
        <w:jc w:val="center"/>
        <w:tblLook w:val="04A0" w:firstRow="1" w:lastRow="0" w:firstColumn="1" w:lastColumn="0" w:noHBand="0" w:noVBand="1"/>
      </w:tblPr>
      <w:tblGrid>
        <w:gridCol w:w="5522"/>
        <w:gridCol w:w="1493"/>
        <w:gridCol w:w="1449"/>
      </w:tblGrid>
      <w:tr w:rsidR="00FD62C9" w:rsidRPr="00476D2E" w:rsidTr="008136C0">
        <w:trPr>
          <w:cnfStyle w:val="100000000000" w:firstRow="1" w:lastRow="0" w:firstColumn="0" w:lastColumn="0" w:oddVBand="0" w:evenVBand="0" w:oddHBand="0" w:evenHBand="0" w:firstRowFirstColumn="0" w:firstRowLastColumn="0" w:lastRowFirstColumn="0" w:lastRowLastColumn="0"/>
          <w:trHeight w:val="405"/>
          <w:jc w:val="center"/>
        </w:trPr>
        <w:tc>
          <w:tcPr>
            <w:cnfStyle w:val="001000000000" w:firstRow="0" w:lastRow="0" w:firstColumn="1" w:lastColumn="0" w:oddVBand="0" w:evenVBand="0" w:oddHBand="0" w:evenHBand="0" w:firstRowFirstColumn="0" w:firstRowLastColumn="0" w:lastRowFirstColumn="0" w:lastRowLastColumn="0"/>
            <w:tcW w:w="3262" w:type="pct"/>
            <w:hideMark/>
          </w:tcPr>
          <w:p w:rsidR="00FD62C9" w:rsidRPr="00476D2E" w:rsidRDefault="00FD62C9" w:rsidP="008F59CB">
            <w:pPr>
              <w:spacing w:before="0" w:line="240" w:lineRule="auto"/>
              <w:jc w:val="center"/>
              <w:rPr>
                <w:rFonts w:cs="Calibri"/>
                <w:bCs w:val="0"/>
                <w:sz w:val="18"/>
                <w:szCs w:val="20"/>
                <w:lang w:val="sq-AL"/>
              </w:rPr>
            </w:pPr>
            <w:bookmarkStart w:id="22" w:name="_Toc515446548"/>
            <w:r w:rsidRPr="00476D2E">
              <w:rPr>
                <w:rFonts w:cs="Calibri"/>
                <w:bCs w:val="0"/>
                <w:sz w:val="18"/>
                <w:szCs w:val="20"/>
                <w:lang w:val="sq-AL"/>
              </w:rPr>
              <w:t>Produkti i Brendshëm Bruto</w:t>
            </w:r>
            <w:r w:rsidRPr="00476D2E">
              <w:rPr>
                <w:rFonts w:cs="Calibri"/>
                <w:b w:val="0"/>
                <w:bCs w:val="0"/>
                <w:i/>
                <w:sz w:val="18"/>
                <w:szCs w:val="20"/>
                <w:lang w:val="sq-AL"/>
              </w:rPr>
              <w:t xml:space="preserve"> </w:t>
            </w:r>
            <w:r w:rsidRPr="00476D2E">
              <w:rPr>
                <w:rFonts w:cs="Calibri"/>
                <w:b w:val="0"/>
                <w:i/>
                <w:iCs/>
                <w:sz w:val="18"/>
                <w:szCs w:val="20"/>
                <w:lang w:val="sq-AL"/>
              </w:rPr>
              <w:t>(rritja vjetore ne %, në terma reale)</w:t>
            </w:r>
          </w:p>
        </w:tc>
        <w:tc>
          <w:tcPr>
            <w:tcW w:w="882" w:type="pct"/>
            <w:hideMark/>
          </w:tcPr>
          <w:p w:rsidR="00FD62C9" w:rsidRPr="00476D2E"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20</w:t>
            </w:r>
            <w:r>
              <w:rPr>
                <w:rFonts w:cs="Calibri"/>
                <w:sz w:val="18"/>
                <w:szCs w:val="20"/>
                <w:lang w:val="sq-AL"/>
              </w:rPr>
              <w:t>21</w:t>
            </w:r>
          </w:p>
        </w:tc>
        <w:tc>
          <w:tcPr>
            <w:tcW w:w="856" w:type="pct"/>
            <w:hideMark/>
          </w:tcPr>
          <w:p w:rsidR="00FD62C9" w:rsidRPr="00476D2E"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202</w:t>
            </w:r>
            <w:r>
              <w:rPr>
                <w:rFonts w:cs="Calibri"/>
                <w:sz w:val="18"/>
                <w:szCs w:val="20"/>
                <w:lang w:val="sq-AL"/>
              </w:rPr>
              <w:t>2</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90"/>
          <w:jc w:val="center"/>
        </w:trPr>
        <w:tc>
          <w:tcPr>
            <w:cnfStyle w:val="001000000000" w:firstRow="0" w:lastRow="0" w:firstColumn="1" w:lastColumn="0" w:oddVBand="0" w:evenVBand="0" w:oddHBand="0" w:evenHBand="0" w:firstRowFirstColumn="0" w:firstRowLastColumn="0" w:lastRowFirstColumn="0" w:lastRowLastColumn="0"/>
            <w:tcW w:w="3262" w:type="pct"/>
            <w:noWrap/>
            <w:hideMark/>
          </w:tcPr>
          <w:p w:rsidR="00FD62C9" w:rsidRPr="00476D2E" w:rsidRDefault="00FD62C9" w:rsidP="008F59CB">
            <w:pPr>
              <w:spacing w:before="0" w:line="240" w:lineRule="auto"/>
              <w:rPr>
                <w:rFonts w:cs="Calibri"/>
                <w:b w:val="0"/>
                <w:sz w:val="18"/>
                <w:szCs w:val="20"/>
                <w:lang w:val="sq-AL"/>
              </w:rPr>
            </w:pPr>
            <w:r w:rsidRPr="00476D2E">
              <w:rPr>
                <w:rFonts w:cs="Calibri"/>
                <w:b w:val="0"/>
                <w:sz w:val="18"/>
                <w:szCs w:val="20"/>
                <w:lang w:val="sq-AL"/>
              </w:rPr>
              <w:t>Maqedonia e Veriut</w:t>
            </w:r>
          </w:p>
        </w:tc>
        <w:tc>
          <w:tcPr>
            <w:tcW w:w="882"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3.9</w:t>
            </w:r>
          </w:p>
        </w:tc>
        <w:tc>
          <w:tcPr>
            <w:tcW w:w="856"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2</w:t>
            </w:r>
            <w:r w:rsidRPr="00476D2E">
              <w:rPr>
                <w:rFonts w:cs="Calibri"/>
                <w:sz w:val="18"/>
                <w:szCs w:val="20"/>
                <w:lang w:val="sq-AL"/>
              </w:rPr>
              <w:t>.</w:t>
            </w:r>
            <w:r>
              <w:rPr>
                <w:rFonts w:cs="Calibri"/>
                <w:sz w:val="18"/>
                <w:szCs w:val="20"/>
                <w:lang w:val="sq-AL"/>
              </w:rPr>
              <w:t>1</w:t>
            </w:r>
          </w:p>
        </w:tc>
      </w:tr>
      <w:tr w:rsidR="00FD62C9" w:rsidRPr="00476D2E" w:rsidTr="008136C0">
        <w:trPr>
          <w:trHeight w:val="75"/>
          <w:jc w:val="center"/>
        </w:trPr>
        <w:tc>
          <w:tcPr>
            <w:cnfStyle w:val="001000000000" w:firstRow="0" w:lastRow="0" w:firstColumn="1" w:lastColumn="0" w:oddVBand="0" w:evenVBand="0" w:oddHBand="0" w:evenHBand="0" w:firstRowFirstColumn="0" w:firstRowLastColumn="0" w:lastRowFirstColumn="0" w:lastRowLastColumn="0"/>
            <w:tcW w:w="3262" w:type="pct"/>
            <w:noWrap/>
            <w:hideMark/>
          </w:tcPr>
          <w:p w:rsidR="00FD62C9" w:rsidRPr="00476D2E" w:rsidRDefault="00FD62C9" w:rsidP="008F59CB">
            <w:pPr>
              <w:spacing w:before="0" w:line="240" w:lineRule="auto"/>
              <w:rPr>
                <w:rFonts w:cs="Calibri"/>
                <w:b w:val="0"/>
                <w:sz w:val="18"/>
                <w:szCs w:val="20"/>
                <w:lang w:val="sq-AL"/>
              </w:rPr>
            </w:pPr>
            <w:r w:rsidRPr="00476D2E">
              <w:rPr>
                <w:rFonts w:cs="Calibri"/>
                <w:b w:val="0"/>
                <w:sz w:val="18"/>
                <w:szCs w:val="20"/>
                <w:lang w:val="sq-AL"/>
              </w:rPr>
              <w:t>Mali i ZI</w:t>
            </w:r>
          </w:p>
        </w:tc>
        <w:tc>
          <w:tcPr>
            <w:tcW w:w="882"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13</w:t>
            </w:r>
            <w:r w:rsidRPr="00476D2E">
              <w:rPr>
                <w:rFonts w:cs="Calibri"/>
                <w:sz w:val="18"/>
                <w:szCs w:val="20"/>
                <w:lang w:val="sq-AL"/>
              </w:rPr>
              <w:t>.</w:t>
            </w:r>
            <w:r>
              <w:rPr>
                <w:rFonts w:cs="Calibri"/>
                <w:sz w:val="18"/>
                <w:szCs w:val="20"/>
                <w:lang w:val="sq-AL"/>
              </w:rPr>
              <w:t>0</w:t>
            </w:r>
          </w:p>
        </w:tc>
        <w:tc>
          <w:tcPr>
            <w:tcW w:w="856"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6.1</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3262" w:type="pct"/>
            <w:noWrap/>
            <w:hideMark/>
          </w:tcPr>
          <w:p w:rsidR="00FD62C9" w:rsidRPr="00476D2E" w:rsidRDefault="00FD62C9" w:rsidP="008F59CB">
            <w:pPr>
              <w:spacing w:before="0" w:line="240" w:lineRule="auto"/>
              <w:rPr>
                <w:rFonts w:cs="Calibri"/>
                <w:b w:val="0"/>
                <w:sz w:val="18"/>
                <w:szCs w:val="20"/>
                <w:lang w:val="sq-AL"/>
              </w:rPr>
            </w:pPr>
            <w:r w:rsidRPr="00476D2E">
              <w:rPr>
                <w:rFonts w:cs="Calibri"/>
                <w:b w:val="0"/>
                <w:sz w:val="18"/>
                <w:szCs w:val="20"/>
                <w:lang w:val="sq-AL"/>
              </w:rPr>
              <w:t>Serbia</w:t>
            </w:r>
          </w:p>
        </w:tc>
        <w:tc>
          <w:tcPr>
            <w:tcW w:w="882"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7</w:t>
            </w:r>
            <w:r w:rsidRPr="00476D2E">
              <w:rPr>
                <w:rFonts w:cs="Calibri"/>
                <w:sz w:val="18"/>
                <w:szCs w:val="20"/>
                <w:lang w:val="sq-AL"/>
              </w:rPr>
              <w:t>.</w:t>
            </w:r>
            <w:r>
              <w:rPr>
                <w:rFonts w:cs="Calibri"/>
                <w:sz w:val="18"/>
                <w:szCs w:val="20"/>
                <w:lang w:val="sq-AL"/>
              </w:rPr>
              <w:t>5</w:t>
            </w:r>
          </w:p>
        </w:tc>
        <w:tc>
          <w:tcPr>
            <w:tcW w:w="856"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2</w:t>
            </w:r>
            <w:r w:rsidRPr="00476D2E">
              <w:rPr>
                <w:rFonts w:cs="Calibri"/>
                <w:sz w:val="18"/>
                <w:szCs w:val="20"/>
                <w:lang w:val="sq-AL"/>
              </w:rPr>
              <w:t>.</w:t>
            </w:r>
            <w:r>
              <w:rPr>
                <w:rFonts w:cs="Calibri"/>
                <w:sz w:val="18"/>
                <w:szCs w:val="20"/>
                <w:lang w:val="sq-AL"/>
              </w:rPr>
              <w:t>3</w:t>
            </w:r>
          </w:p>
        </w:tc>
      </w:tr>
      <w:tr w:rsidR="00FD62C9" w:rsidRPr="00476D2E" w:rsidTr="008136C0">
        <w:trPr>
          <w:trHeight w:val="75"/>
          <w:jc w:val="center"/>
        </w:trPr>
        <w:tc>
          <w:tcPr>
            <w:cnfStyle w:val="001000000000" w:firstRow="0" w:lastRow="0" w:firstColumn="1" w:lastColumn="0" w:oddVBand="0" w:evenVBand="0" w:oddHBand="0" w:evenHBand="0" w:firstRowFirstColumn="0" w:firstRowLastColumn="0" w:lastRowFirstColumn="0" w:lastRowLastColumn="0"/>
            <w:tcW w:w="3262" w:type="pct"/>
            <w:noWrap/>
            <w:hideMark/>
          </w:tcPr>
          <w:p w:rsidR="00FD62C9" w:rsidRPr="00476D2E" w:rsidRDefault="00FD62C9" w:rsidP="008F59CB">
            <w:pPr>
              <w:spacing w:before="0" w:line="240" w:lineRule="auto"/>
              <w:rPr>
                <w:rFonts w:cs="Calibri"/>
                <w:sz w:val="18"/>
                <w:szCs w:val="20"/>
                <w:lang w:val="sq-AL"/>
              </w:rPr>
            </w:pPr>
            <w:r w:rsidRPr="00476D2E">
              <w:rPr>
                <w:rFonts w:cs="Calibri"/>
                <w:sz w:val="18"/>
                <w:szCs w:val="20"/>
                <w:lang w:val="sq-AL"/>
              </w:rPr>
              <w:t>Shqipëria</w:t>
            </w:r>
          </w:p>
        </w:tc>
        <w:tc>
          <w:tcPr>
            <w:tcW w:w="882"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8"/>
                <w:szCs w:val="20"/>
                <w:lang w:val="sq-AL"/>
              </w:rPr>
            </w:pPr>
            <w:r>
              <w:rPr>
                <w:rFonts w:cs="Calibri"/>
                <w:b/>
                <w:sz w:val="18"/>
                <w:szCs w:val="20"/>
                <w:lang w:val="sq-AL"/>
              </w:rPr>
              <w:t>8</w:t>
            </w:r>
            <w:r w:rsidRPr="00476D2E">
              <w:rPr>
                <w:rFonts w:cs="Calibri"/>
                <w:b/>
                <w:sz w:val="18"/>
                <w:szCs w:val="20"/>
                <w:lang w:val="sq-AL"/>
              </w:rPr>
              <w:t>.</w:t>
            </w:r>
            <w:r>
              <w:rPr>
                <w:rFonts w:cs="Calibri"/>
                <w:b/>
                <w:sz w:val="18"/>
                <w:szCs w:val="20"/>
                <w:lang w:val="sq-AL"/>
              </w:rPr>
              <w:t>5</w:t>
            </w:r>
          </w:p>
        </w:tc>
        <w:tc>
          <w:tcPr>
            <w:tcW w:w="856"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8"/>
                <w:szCs w:val="20"/>
                <w:lang w:val="sq-AL"/>
              </w:rPr>
            </w:pPr>
            <w:r>
              <w:rPr>
                <w:rFonts w:cs="Calibri"/>
                <w:b/>
                <w:sz w:val="18"/>
                <w:szCs w:val="20"/>
                <w:lang w:val="sq-AL"/>
              </w:rPr>
              <w:t>4</w:t>
            </w:r>
            <w:r w:rsidRPr="00476D2E">
              <w:rPr>
                <w:rFonts w:cs="Calibri"/>
                <w:b/>
                <w:sz w:val="18"/>
                <w:szCs w:val="20"/>
                <w:lang w:val="sq-AL"/>
              </w:rPr>
              <w:t>.</w:t>
            </w:r>
            <w:r>
              <w:rPr>
                <w:rFonts w:cs="Calibri"/>
                <w:b/>
                <w:sz w:val="18"/>
                <w:szCs w:val="20"/>
                <w:lang w:val="sq-AL"/>
              </w:rPr>
              <w:t>8</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75"/>
          <w:jc w:val="center"/>
        </w:trPr>
        <w:tc>
          <w:tcPr>
            <w:cnfStyle w:val="001000000000" w:firstRow="0" w:lastRow="0" w:firstColumn="1" w:lastColumn="0" w:oddVBand="0" w:evenVBand="0" w:oddHBand="0" w:evenHBand="0" w:firstRowFirstColumn="0" w:firstRowLastColumn="0" w:lastRowFirstColumn="0" w:lastRowLastColumn="0"/>
            <w:tcW w:w="3262" w:type="pct"/>
            <w:noWrap/>
            <w:hideMark/>
          </w:tcPr>
          <w:p w:rsidR="00FD62C9" w:rsidRPr="00476D2E" w:rsidRDefault="00FD62C9" w:rsidP="008F59CB">
            <w:pPr>
              <w:spacing w:before="0" w:line="240" w:lineRule="auto"/>
              <w:rPr>
                <w:rFonts w:cs="Calibri"/>
                <w:b w:val="0"/>
                <w:sz w:val="18"/>
                <w:szCs w:val="20"/>
                <w:lang w:val="sq-AL"/>
              </w:rPr>
            </w:pPr>
            <w:r w:rsidRPr="00476D2E">
              <w:rPr>
                <w:rFonts w:cs="Calibri"/>
                <w:b w:val="0"/>
                <w:sz w:val="18"/>
                <w:szCs w:val="20"/>
                <w:lang w:val="sq-AL"/>
              </w:rPr>
              <w:t>Bosnja dhe Hercegovina</w:t>
            </w:r>
          </w:p>
        </w:tc>
        <w:tc>
          <w:tcPr>
            <w:tcW w:w="882"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7</w:t>
            </w:r>
            <w:r w:rsidRPr="00476D2E">
              <w:rPr>
                <w:rFonts w:cs="Calibri"/>
                <w:sz w:val="18"/>
                <w:szCs w:val="20"/>
                <w:lang w:val="sq-AL"/>
              </w:rPr>
              <w:t>.</w:t>
            </w:r>
            <w:r>
              <w:rPr>
                <w:rFonts w:cs="Calibri"/>
                <w:sz w:val="18"/>
                <w:szCs w:val="20"/>
                <w:lang w:val="sq-AL"/>
              </w:rPr>
              <w:t>1</w:t>
            </w:r>
          </w:p>
        </w:tc>
        <w:tc>
          <w:tcPr>
            <w:tcW w:w="856"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4</w:t>
            </w:r>
            <w:r w:rsidRPr="00476D2E">
              <w:rPr>
                <w:rFonts w:cs="Calibri"/>
                <w:sz w:val="18"/>
                <w:szCs w:val="20"/>
                <w:lang w:val="sq-AL"/>
              </w:rPr>
              <w:t>.</w:t>
            </w:r>
            <w:r>
              <w:rPr>
                <w:rFonts w:cs="Calibri"/>
                <w:sz w:val="18"/>
                <w:szCs w:val="20"/>
                <w:lang w:val="sq-AL"/>
              </w:rPr>
              <w:t>0</w:t>
            </w:r>
          </w:p>
        </w:tc>
      </w:tr>
      <w:tr w:rsidR="00FD62C9" w:rsidRPr="00476D2E" w:rsidTr="008136C0">
        <w:trPr>
          <w:trHeight w:val="75"/>
          <w:jc w:val="center"/>
        </w:trPr>
        <w:tc>
          <w:tcPr>
            <w:cnfStyle w:val="001000000000" w:firstRow="0" w:lastRow="0" w:firstColumn="1" w:lastColumn="0" w:oddVBand="0" w:evenVBand="0" w:oddHBand="0" w:evenHBand="0" w:firstRowFirstColumn="0" w:firstRowLastColumn="0" w:lastRowFirstColumn="0" w:lastRowLastColumn="0"/>
            <w:tcW w:w="3262" w:type="pct"/>
            <w:noWrap/>
            <w:hideMark/>
          </w:tcPr>
          <w:p w:rsidR="00FD62C9" w:rsidRPr="00476D2E" w:rsidRDefault="00FD62C9" w:rsidP="008F59CB">
            <w:pPr>
              <w:spacing w:before="0" w:line="240" w:lineRule="auto"/>
              <w:rPr>
                <w:rFonts w:cs="Calibri"/>
                <w:b w:val="0"/>
                <w:sz w:val="18"/>
                <w:szCs w:val="20"/>
                <w:lang w:val="sq-AL"/>
              </w:rPr>
            </w:pPr>
            <w:r w:rsidRPr="00476D2E">
              <w:rPr>
                <w:rFonts w:cs="Calibri"/>
                <w:b w:val="0"/>
                <w:sz w:val="18"/>
                <w:szCs w:val="20"/>
                <w:lang w:val="sq-AL"/>
              </w:rPr>
              <w:t>Kosova</w:t>
            </w:r>
          </w:p>
        </w:tc>
        <w:tc>
          <w:tcPr>
            <w:tcW w:w="882"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10</w:t>
            </w:r>
            <w:r w:rsidRPr="00476D2E">
              <w:rPr>
                <w:rFonts w:cs="Calibri"/>
                <w:sz w:val="18"/>
                <w:szCs w:val="20"/>
                <w:lang w:val="sq-AL"/>
              </w:rPr>
              <w:t>.</w:t>
            </w:r>
            <w:r>
              <w:rPr>
                <w:rFonts w:cs="Calibri"/>
                <w:sz w:val="18"/>
                <w:szCs w:val="20"/>
                <w:lang w:val="sq-AL"/>
              </w:rPr>
              <w:t>7</w:t>
            </w:r>
          </w:p>
        </w:tc>
        <w:tc>
          <w:tcPr>
            <w:tcW w:w="856"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3</w:t>
            </w:r>
            <w:r w:rsidRPr="00476D2E">
              <w:rPr>
                <w:rFonts w:cs="Calibri"/>
                <w:sz w:val="18"/>
                <w:szCs w:val="20"/>
                <w:lang w:val="sq-AL"/>
              </w:rPr>
              <w:t>.</w:t>
            </w:r>
            <w:r>
              <w:rPr>
                <w:rFonts w:cs="Calibri"/>
                <w:sz w:val="18"/>
                <w:szCs w:val="20"/>
                <w:lang w:val="sq-AL"/>
              </w:rPr>
              <w:t>5</w:t>
            </w:r>
          </w:p>
        </w:tc>
      </w:tr>
    </w:tbl>
    <w:p w:rsidR="00CC50CE" w:rsidRPr="00476D2E" w:rsidRDefault="00CC50CE" w:rsidP="00FC729E">
      <w:pPr>
        <w:spacing w:before="0"/>
        <w:ind w:left="720" w:firstLine="720"/>
        <w:rPr>
          <w:rFonts w:cs="Calibri"/>
          <w:lang w:val="sq-AL"/>
        </w:rPr>
      </w:pPr>
      <w:r w:rsidRPr="00476D2E">
        <w:rPr>
          <w:rFonts w:cs="Calibri"/>
          <w:i/>
          <w:sz w:val="18"/>
          <w:szCs w:val="18"/>
          <w:lang w:val="sq-AL"/>
        </w:rPr>
        <w:t>Burimi: Directorate-General for Economic and Financial Affairs (DG-ECFIN)</w:t>
      </w:r>
    </w:p>
    <w:p w:rsidR="0005408D" w:rsidRDefault="00FD62C9" w:rsidP="00FC729E">
      <w:pPr>
        <w:rPr>
          <w:rFonts w:cs="Calibri"/>
          <w:lang w:val="sq-AL"/>
        </w:rPr>
      </w:pPr>
      <w:r w:rsidRPr="00664DEA">
        <w:rPr>
          <w:rStyle w:val="q4iawc"/>
          <w:lang w:val="sq-AL"/>
        </w:rPr>
        <w:t>Në përputhje me ngadalësimin e aktivitetit ekonomik, rritja mesatare e punësimit u ngadalësua në 1.4%  në Ballkanin Perëndimor për vitin 2022. Përfitimet nga punësimi çuan në një ulje të shkallës së papunësisë, ndërsa pjesëmarrja në fuqinë punëtore është ulur në disa vende të rajonit. Megjithatë, normat e papunësisë në rajon mbetën të larta, duke filluar nga 9.4% në Serbi në rreth 17% në Kosovë</w:t>
      </w:r>
      <w:r w:rsidR="00A664DE" w:rsidRPr="00476D2E">
        <w:rPr>
          <w:rFonts w:cs="Calibri"/>
          <w:lang w:val="sq-AL"/>
        </w:rPr>
        <w:t>.</w:t>
      </w:r>
    </w:p>
    <w:p w:rsidR="0049325D" w:rsidRPr="002A00BD" w:rsidRDefault="0049325D" w:rsidP="00FC729E">
      <w:pPr>
        <w:spacing w:before="0"/>
        <w:rPr>
          <w:rFonts w:cs="Calibri"/>
          <w:sz w:val="8"/>
          <w:szCs w:val="8"/>
          <w:lang w:val="sq-AL"/>
        </w:rPr>
      </w:pPr>
    </w:p>
    <w:p w:rsidR="00A664DE" w:rsidRDefault="00A664DE" w:rsidP="00FC729E">
      <w:pPr>
        <w:pStyle w:val="Caption"/>
        <w:keepNext/>
        <w:spacing w:before="0" w:after="0"/>
        <w:rPr>
          <w:rFonts w:cs="Calibri"/>
          <w:lang w:val="sq-AL"/>
        </w:rPr>
      </w:pPr>
      <w:bookmarkStart w:id="23" w:name="_Toc136526328"/>
      <w:r w:rsidRPr="00476D2E">
        <w:rPr>
          <w:rFonts w:cs="Calibri"/>
          <w:lang w:val="sq-AL"/>
        </w:rPr>
        <w:t xml:space="preserve">Tabela </w:t>
      </w:r>
      <w:r w:rsidRPr="00476D2E">
        <w:rPr>
          <w:rFonts w:cs="Calibri"/>
          <w:lang w:val="sq-AL"/>
        </w:rPr>
        <w:fldChar w:fldCharType="begin"/>
      </w:r>
      <w:r w:rsidRPr="00476D2E">
        <w:rPr>
          <w:rFonts w:cs="Calibri"/>
          <w:lang w:val="sq-AL"/>
        </w:rPr>
        <w:instrText xml:space="preserve"> SEQ Tabela \* ARABIC </w:instrText>
      </w:r>
      <w:r w:rsidRPr="00476D2E">
        <w:rPr>
          <w:rFonts w:cs="Calibri"/>
          <w:lang w:val="sq-AL"/>
        </w:rPr>
        <w:fldChar w:fldCharType="separate"/>
      </w:r>
      <w:r w:rsidR="008C3E07">
        <w:rPr>
          <w:rFonts w:cs="Calibri"/>
          <w:noProof/>
          <w:lang w:val="sq-AL"/>
        </w:rPr>
        <w:t>2</w:t>
      </w:r>
      <w:r w:rsidRPr="00476D2E">
        <w:rPr>
          <w:rFonts w:cs="Calibri"/>
          <w:noProof/>
          <w:lang w:val="sq-AL"/>
        </w:rPr>
        <w:fldChar w:fldCharType="end"/>
      </w:r>
      <w:r w:rsidRPr="00476D2E">
        <w:rPr>
          <w:rFonts w:cs="Calibri"/>
          <w:lang w:val="sq-AL"/>
        </w:rPr>
        <w:t xml:space="preserve"> </w:t>
      </w:r>
      <w:r w:rsidR="00B70BE3">
        <w:rPr>
          <w:rFonts w:cs="Calibri"/>
          <w:lang w:val="sq-AL"/>
        </w:rPr>
        <w:t xml:space="preserve"> </w:t>
      </w:r>
      <w:r w:rsidRPr="00476D2E">
        <w:rPr>
          <w:rFonts w:cs="Calibri"/>
          <w:lang w:val="sq-AL"/>
        </w:rPr>
        <w:t>Norma e papunësisë</w:t>
      </w:r>
      <w:bookmarkEnd w:id="23"/>
    </w:p>
    <w:tbl>
      <w:tblPr>
        <w:tblStyle w:val="GridTable4-Accent11"/>
        <w:tblW w:w="4343" w:type="pct"/>
        <w:jc w:val="center"/>
        <w:tblLook w:val="04A0" w:firstRow="1" w:lastRow="0" w:firstColumn="1" w:lastColumn="0" w:noHBand="0" w:noVBand="1"/>
      </w:tblPr>
      <w:tblGrid>
        <w:gridCol w:w="5953"/>
        <w:gridCol w:w="1610"/>
        <w:gridCol w:w="1575"/>
      </w:tblGrid>
      <w:tr w:rsidR="00FD62C9" w:rsidRPr="00476D2E" w:rsidTr="008136C0">
        <w:trPr>
          <w:cnfStyle w:val="100000000000" w:firstRow="1" w:lastRow="0" w:firstColumn="0" w:lastColumn="0" w:oddVBand="0" w:evenVBand="0" w:oddHBand="0" w:evenHBand="0" w:firstRowFirstColumn="0" w:firstRowLastColumn="0" w:lastRowFirstColumn="0" w:lastRowLastColumn="0"/>
          <w:trHeight w:val="332"/>
          <w:jc w:val="center"/>
        </w:trPr>
        <w:tc>
          <w:tcPr>
            <w:cnfStyle w:val="001000000000" w:firstRow="0" w:lastRow="0" w:firstColumn="1" w:lastColumn="0" w:oddVBand="0" w:evenVBand="0" w:oddHBand="0" w:evenHBand="0" w:firstRowFirstColumn="0" w:firstRowLastColumn="0" w:lastRowFirstColumn="0" w:lastRowLastColumn="0"/>
            <w:tcW w:w="3257" w:type="pct"/>
            <w:hideMark/>
          </w:tcPr>
          <w:p w:rsidR="00FD62C9" w:rsidRPr="00476D2E" w:rsidRDefault="00FD62C9" w:rsidP="008F59CB">
            <w:pPr>
              <w:spacing w:before="0" w:line="240" w:lineRule="auto"/>
              <w:jc w:val="center"/>
              <w:rPr>
                <w:rFonts w:cs="Calibri"/>
                <w:bCs w:val="0"/>
                <w:sz w:val="18"/>
                <w:szCs w:val="20"/>
                <w:lang w:val="sq-AL"/>
              </w:rPr>
            </w:pPr>
            <w:r w:rsidRPr="00476D2E">
              <w:rPr>
                <w:rFonts w:cs="Calibri"/>
                <w:bCs w:val="0"/>
                <w:sz w:val="18"/>
                <w:szCs w:val="20"/>
                <w:lang w:val="sq-AL"/>
              </w:rPr>
              <w:t xml:space="preserve">Norma e Papunësisë </w:t>
            </w:r>
            <w:r w:rsidRPr="00476D2E">
              <w:rPr>
                <w:rFonts w:cs="Calibri"/>
                <w:b w:val="0"/>
                <w:bCs w:val="0"/>
                <w:i/>
                <w:iCs/>
                <w:sz w:val="18"/>
                <w:szCs w:val="20"/>
                <w:lang w:val="sq-AL"/>
              </w:rPr>
              <w:t>(mesatare vjetore, nё %)</w:t>
            </w:r>
          </w:p>
        </w:tc>
        <w:tc>
          <w:tcPr>
            <w:tcW w:w="881" w:type="pct"/>
            <w:hideMark/>
          </w:tcPr>
          <w:p w:rsidR="00FD62C9" w:rsidRPr="00476D2E"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20</w:t>
            </w:r>
            <w:r>
              <w:rPr>
                <w:rFonts w:cs="Calibri"/>
                <w:sz w:val="18"/>
                <w:szCs w:val="20"/>
                <w:lang w:val="sq-AL"/>
              </w:rPr>
              <w:t>21</w:t>
            </w:r>
          </w:p>
        </w:tc>
        <w:tc>
          <w:tcPr>
            <w:tcW w:w="863" w:type="pct"/>
            <w:hideMark/>
          </w:tcPr>
          <w:p w:rsidR="00FD62C9" w:rsidRPr="00476D2E"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202</w:t>
            </w:r>
            <w:r>
              <w:rPr>
                <w:rFonts w:cs="Calibri"/>
                <w:sz w:val="18"/>
                <w:szCs w:val="20"/>
                <w:lang w:val="sq-AL"/>
              </w:rPr>
              <w:t>2</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3257" w:type="pct"/>
            <w:noWrap/>
            <w:hideMark/>
          </w:tcPr>
          <w:p w:rsidR="00FD62C9" w:rsidRPr="00476D2E" w:rsidRDefault="00FD62C9" w:rsidP="008F59CB">
            <w:pPr>
              <w:spacing w:before="0" w:line="240" w:lineRule="auto"/>
              <w:rPr>
                <w:rFonts w:cs="Calibri"/>
                <w:b w:val="0"/>
                <w:sz w:val="18"/>
                <w:szCs w:val="20"/>
                <w:lang w:val="sq-AL"/>
              </w:rPr>
            </w:pPr>
            <w:r w:rsidRPr="00476D2E">
              <w:rPr>
                <w:rFonts w:cs="Calibri"/>
                <w:b w:val="0"/>
                <w:sz w:val="18"/>
                <w:szCs w:val="20"/>
                <w:lang w:val="sq-AL"/>
              </w:rPr>
              <w:t>Maqedonia e Veriut</w:t>
            </w:r>
          </w:p>
        </w:tc>
        <w:tc>
          <w:tcPr>
            <w:tcW w:w="881"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476D2E">
              <w:rPr>
                <w:rFonts w:cs="Calibri"/>
                <w:sz w:val="18"/>
                <w:szCs w:val="20"/>
                <w:lang w:val="sq-AL"/>
              </w:rPr>
              <w:t>1</w:t>
            </w:r>
            <w:r>
              <w:rPr>
                <w:rFonts w:cs="Calibri"/>
                <w:sz w:val="18"/>
                <w:szCs w:val="20"/>
                <w:lang w:val="sq-AL"/>
              </w:rPr>
              <w:t>5</w:t>
            </w:r>
            <w:r w:rsidRPr="00476D2E">
              <w:rPr>
                <w:rFonts w:cs="Calibri"/>
                <w:sz w:val="18"/>
                <w:szCs w:val="20"/>
                <w:lang w:val="sq-AL"/>
              </w:rPr>
              <w:t>.</w:t>
            </w:r>
            <w:r>
              <w:rPr>
                <w:rFonts w:cs="Calibri"/>
                <w:sz w:val="18"/>
                <w:szCs w:val="20"/>
                <w:lang w:val="sq-AL"/>
              </w:rPr>
              <w:t>8</w:t>
            </w:r>
          </w:p>
        </w:tc>
        <w:tc>
          <w:tcPr>
            <w:tcW w:w="863"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476D2E">
              <w:rPr>
                <w:rFonts w:cs="Calibri"/>
                <w:sz w:val="18"/>
                <w:szCs w:val="20"/>
                <w:lang w:val="sq-AL"/>
              </w:rPr>
              <w:t>1</w:t>
            </w:r>
            <w:r>
              <w:rPr>
                <w:rFonts w:cs="Calibri"/>
                <w:sz w:val="18"/>
                <w:szCs w:val="20"/>
                <w:lang w:val="sq-AL"/>
              </w:rPr>
              <w:t>4</w:t>
            </w:r>
            <w:r w:rsidRPr="00476D2E">
              <w:rPr>
                <w:rFonts w:cs="Calibri"/>
                <w:sz w:val="18"/>
                <w:szCs w:val="20"/>
                <w:lang w:val="sq-AL"/>
              </w:rPr>
              <w:t>.</w:t>
            </w:r>
            <w:r>
              <w:rPr>
                <w:rFonts w:cs="Calibri"/>
                <w:sz w:val="18"/>
                <w:szCs w:val="20"/>
                <w:lang w:val="sq-AL"/>
              </w:rPr>
              <w:t>5</w:t>
            </w:r>
          </w:p>
        </w:tc>
      </w:tr>
      <w:tr w:rsidR="00FD62C9" w:rsidRPr="00476D2E" w:rsidTr="008136C0">
        <w:trPr>
          <w:trHeight w:val="234"/>
          <w:jc w:val="center"/>
        </w:trPr>
        <w:tc>
          <w:tcPr>
            <w:cnfStyle w:val="001000000000" w:firstRow="0" w:lastRow="0" w:firstColumn="1" w:lastColumn="0" w:oddVBand="0" w:evenVBand="0" w:oddHBand="0" w:evenHBand="0" w:firstRowFirstColumn="0" w:firstRowLastColumn="0" w:lastRowFirstColumn="0" w:lastRowLastColumn="0"/>
            <w:tcW w:w="3257" w:type="pct"/>
            <w:noWrap/>
            <w:hideMark/>
          </w:tcPr>
          <w:p w:rsidR="00FD62C9" w:rsidRPr="00476D2E" w:rsidRDefault="00FD62C9" w:rsidP="008F59CB">
            <w:pPr>
              <w:spacing w:before="0" w:line="240" w:lineRule="auto"/>
              <w:rPr>
                <w:rFonts w:cs="Calibri"/>
                <w:b w:val="0"/>
                <w:sz w:val="18"/>
                <w:szCs w:val="20"/>
                <w:lang w:val="sq-AL"/>
              </w:rPr>
            </w:pPr>
            <w:r w:rsidRPr="00476D2E">
              <w:rPr>
                <w:rFonts w:cs="Calibri"/>
                <w:b w:val="0"/>
                <w:sz w:val="18"/>
                <w:szCs w:val="20"/>
                <w:lang w:val="sq-AL"/>
              </w:rPr>
              <w:t>Mali i ZI</w:t>
            </w:r>
          </w:p>
        </w:tc>
        <w:tc>
          <w:tcPr>
            <w:tcW w:w="881"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1</w:t>
            </w:r>
            <w:r>
              <w:rPr>
                <w:rFonts w:cs="Calibri"/>
                <w:sz w:val="18"/>
                <w:szCs w:val="20"/>
                <w:lang w:val="sq-AL"/>
              </w:rPr>
              <w:t>6</w:t>
            </w:r>
            <w:r w:rsidRPr="00476D2E">
              <w:rPr>
                <w:rFonts w:cs="Calibri"/>
                <w:sz w:val="18"/>
                <w:szCs w:val="20"/>
                <w:lang w:val="sq-AL"/>
              </w:rPr>
              <w:t>.</w:t>
            </w:r>
            <w:r>
              <w:rPr>
                <w:rFonts w:cs="Calibri"/>
                <w:sz w:val="18"/>
                <w:szCs w:val="20"/>
                <w:lang w:val="sq-AL"/>
              </w:rPr>
              <w:t>9</w:t>
            </w:r>
          </w:p>
        </w:tc>
        <w:tc>
          <w:tcPr>
            <w:tcW w:w="863"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1</w:t>
            </w:r>
            <w:r>
              <w:rPr>
                <w:rFonts w:cs="Calibri"/>
                <w:sz w:val="18"/>
                <w:szCs w:val="20"/>
                <w:lang w:val="sq-AL"/>
              </w:rPr>
              <w:t>5</w:t>
            </w:r>
            <w:r w:rsidRPr="00476D2E">
              <w:rPr>
                <w:rFonts w:cs="Calibri"/>
                <w:sz w:val="18"/>
                <w:szCs w:val="20"/>
                <w:lang w:val="sq-AL"/>
              </w:rPr>
              <w:t>.</w:t>
            </w:r>
            <w:r>
              <w:rPr>
                <w:rFonts w:cs="Calibri"/>
                <w:sz w:val="18"/>
                <w:szCs w:val="20"/>
                <w:lang w:val="sq-AL"/>
              </w:rPr>
              <w:t>1</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73"/>
          <w:jc w:val="center"/>
        </w:trPr>
        <w:tc>
          <w:tcPr>
            <w:cnfStyle w:val="001000000000" w:firstRow="0" w:lastRow="0" w:firstColumn="1" w:lastColumn="0" w:oddVBand="0" w:evenVBand="0" w:oddHBand="0" w:evenHBand="0" w:firstRowFirstColumn="0" w:firstRowLastColumn="0" w:lastRowFirstColumn="0" w:lastRowLastColumn="0"/>
            <w:tcW w:w="3257" w:type="pct"/>
            <w:noWrap/>
            <w:hideMark/>
          </w:tcPr>
          <w:p w:rsidR="00FD62C9" w:rsidRPr="00476D2E" w:rsidRDefault="00FD62C9" w:rsidP="008F59CB">
            <w:pPr>
              <w:spacing w:before="0" w:line="240" w:lineRule="auto"/>
              <w:rPr>
                <w:rFonts w:cs="Calibri"/>
                <w:b w:val="0"/>
                <w:sz w:val="18"/>
                <w:szCs w:val="20"/>
                <w:lang w:val="sq-AL"/>
              </w:rPr>
            </w:pPr>
            <w:r w:rsidRPr="00476D2E">
              <w:rPr>
                <w:rFonts w:cs="Calibri"/>
                <w:b w:val="0"/>
                <w:sz w:val="18"/>
                <w:szCs w:val="20"/>
                <w:lang w:val="sq-AL"/>
              </w:rPr>
              <w:t>Serbia</w:t>
            </w:r>
          </w:p>
        </w:tc>
        <w:tc>
          <w:tcPr>
            <w:tcW w:w="881"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11.0</w:t>
            </w:r>
          </w:p>
        </w:tc>
        <w:tc>
          <w:tcPr>
            <w:tcW w:w="863"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9.4</w:t>
            </w:r>
          </w:p>
        </w:tc>
      </w:tr>
      <w:tr w:rsidR="00FD62C9" w:rsidRPr="00476D2E" w:rsidTr="008136C0">
        <w:trPr>
          <w:trHeight w:val="207"/>
          <w:jc w:val="center"/>
        </w:trPr>
        <w:tc>
          <w:tcPr>
            <w:cnfStyle w:val="001000000000" w:firstRow="0" w:lastRow="0" w:firstColumn="1" w:lastColumn="0" w:oddVBand="0" w:evenVBand="0" w:oddHBand="0" w:evenHBand="0" w:firstRowFirstColumn="0" w:firstRowLastColumn="0" w:lastRowFirstColumn="0" w:lastRowLastColumn="0"/>
            <w:tcW w:w="3257" w:type="pct"/>
            <w:noWrap/>
            <w:hideMark/>
          </w:tcPr>
          <w:p w:rsidR="00FD62C9" w:rsidRPr="00476D2E" w:rsidRDefault="00FD62C9" w:rsidP="008F59CB">
            <w:pPr>
              <w:spacing w:before="0" w:line="240" w:lineRule="auto"/>
              <w:rPr>
                <w:rFonts w:cs="Calibri"/>
                <w:sz w:val="18"/>
                <w:szCs w:val="20"/>
                <w:lang w:val="sq-AL"/>
              </w:rPr>
            </w:pPr>
            <w:r w:rsidRPr="00476D2E">
              <w:rPr>
                <w:rFonts w:cs="Calibri"/>
                <w:sz w:val="18"/>
                <w:szCs w:val="20"/>
                <w:lang w:val="sq-AL"/>
              </w:rPr>
              <w:t>Shqipëria</w:t>
            </w:r>
          </w:p>
        </w:tc>
        <w:tc>
          <w:tcPr>
            <w:tcW w:w="881"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8"/>
                <w:szCs w:val="20"/>
                <w:lang w:val="sq-AL"/>
              </w:rPr>
            </w:pPr>
            <w:r w:rsidRPr="00476D2E">
              <w:rPr>
                <w:rFonts w:cs="Calibri"/>
                <w:b/>
                <w:sz w:val="18"/>
                <w:szCs w:val="20"/>
                <w:lang w:val="sq-AL"/>
              </w:rPr>
              <w:t>12.</w:t>
            </w:r>
            <w:r>
              <w:rPr>
                <w:rFonts w:cs="Calibri"/>
                <w:b/>
                <w:sz w:val="18"/>
                <w:szCs w:val="20"/>
                <w:lang w:val="sq-AL"/>
              </w:rPr>
              <w:t>1</w:t>
            </w:r>
          </w:p>
        </w:tc>
        <w:tc>
          <w:tcPr>
            <w:tcW w:w="863"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8"/>
                <w:szCs w:val="20"/>
                <w:lang w:val="sq-AL"/>
              </w:rPr>
            </w:pPr>
            <w:r w:rsidRPr="00476D2E">
              <w:rPr>
                <w:rFonts w:cs="Calibri"/>
                <w:b/>
                <w:sz w:val="18"/>
                <w:szCs w:val="20"/>
                <w:lang w:val="sq-AL"/>
              </w:rPr>
              <w:t>1</w:t>
            </w:r>
            <w:r>
              <w:rPr>
                <w:rFonts w:cs="Calibri"/>
                <w:b/>
                <w:sz w:val="18"/>
                <w:szCs w:val="20"/>
                <w:lang w:val="sq-AL"/>
              </w:rPr>
              <w:t>1</w:t>
            </w:r>
            <w:r w:rsidRPr="00476D2E">
              <w:rPr>
                <w:rFonts w:cs="Calibri"/>
                <w:b/>
                <w:sz w:val="18"/>
                <w:szCs w:val="20"/>
                <w:lang w:val="sq-AL"/>
              </w:rPr>
              <w:t>.</w:t>
            </w:r>
            <w:r>
              <w:rPr>
                <w:rFonts w:cs="Calibri"/>
                <w:b/>
                <w:sz w:val="18"/>
                <w:szCs w:val="20"/>
                <w:lang w:val="sq-AL"/>
              </w:rPr>
              <w:t>3</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114"/>
          <w:jc w:val="center"/>
        </w:trPr>
        <w:tc>
          <w:tcPr>
            <w:cnfStyle w:val="001000000000" w:firstRow="0" w:lastRow="0" w:firstColumn="1" w:lastColumn="0" w:oddVBand="0" w:evenVBand="0" w:oddHBand="0" w:evenHBand="0" w:firstRowFirstColumn="0" w:firstRowLastColumn="0" w:lastRowFirstColumn="0" w:lastRowLastColumn="0"/>
            <w:tcW w:w="3257" w:type="pct"/>
            <w:noWrap/>
            <w:hideMark/>
          </w:tcPr>
          <w:p w:rsidR="00FD62C9" w:rsidRPr="00476D2E" w:rsidRDefault="00FD62C9" w:rsidP="008F59CB">
            <w:pPr>
              <w:spacing w:before="0" w:line="240" w:lineRule="auto"/>
              <w:rPr>
                <w:rFonts w:cs="Calibri"/>
                <w:b w:val="0"/>
                <w:sz w:val="18"/>
                <w:szCs w:val="20"/>
                <w:lang w:val="sq-AL"/>
              </w:rPr>
            </w:pPr>
            <w:r w:rsidRPr="00476D2E">
              <w:rPr>
                <w:rFonts w:cs="Calibri"/>
                <w:b w:val="0"/>
                <w:sz w:val="18"/>
                <w:szCs w:val="20"/>
                <w:lang w:val="sq-AL"/>
              </w:rPr>
              <w:t>Bosnja dhe Hercegovina</w:t>
            </w:r>
          </w:p>
        </w:tc>
        <w:tc>
          <w:tcPr>
            <w:tcW w:w="881"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476D2E">
              <w:rPr>
                <w:rFonts w:cs="Calibri"/>
                <w:sz w:val="18"/>
                <w:szCs w:val="20"/>
                <w:lang w:val="sq-AL"/>
              </w:rPr>
              <w:t>1</w:t>
            </w:r>
            <w:r>
              <w:rPr>
                <w:rFonts w:cs="Calibri"/>
                <w:sz w:val="18"/>
                <w:szCs w:val="20"/>
                <w:lang w:val="sq-AL"/>
              </w:rPr>
              <w:t>7</w:t>
            </w:r>
            <w:r w:rsidRPr="00476D2E">
              <w:rPr>
                <w:rFonts w:cs="Calibri"/>
                <w:sz w:val="18"/>
                <w:szCs w:val="20"/>
                <w:lang w:val="sq-AL"/>
              </w:rPr>
              <w:t>.</w:t>
            </w:r>
            <w:r>
              <w:rPr>
                <w:rFonts w:cs="Calibri"/>
                <w:sz w:val="18"/>
                <w:szCs w:val="20"/>
                <w:lang w:val="sq-AL"/>
              </w:rPr>
              <w:t>4</w:t>
            </w:r>
          </w:p>
        </w:tc>
        <w:tc>
          <w:tcPr>
            <w:tcW w:w="863"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476D2E">
              <w:rPr>
                <w:rFonts w:cs="Calibri"/>
                <w:sz w:val="18"/>
                <w:szCs w:val="20"/>
                <w:lang w:val="sq-AL"/>
              </w:rPr>
              <w:t>1</w:t>
            </w:r>
            <w:r>
              <w:rPr>
                <w:rFonts w:cs="Calibri"/>
                <w:sz w:val="18"/>
                <w:szCs w:val="20"/>
                <w:lang w:val="sq-AL"/>
              </w:rPr>
              <w:t>5</w:t>
            </w:r>
            <w:r w:rsidRPr="00476D2E">
              <w:rPr>
                <w:rFonts w:cs="Calibri"/>
                <w:sz w:val="18"/>
                <w:szCs w:val="20"/>
                <w:lang w:val="sq-AL"/>
              </w:rPr>
              <w:t>.</w:t>
            </w:r>
            <w:r>
              <w:rPr>
                <w:rFonts w:cs="Calibri"/>
                <w:sz w:val="18"/>
                <w:szCs w:val="20"/>
                <w:lang w:val="sq-AL"/>
              </w:rPr>
              <w:t>4</w:t>
            </w:r>
          </w:p>
        </w:tc>
      </w:tr>
      <w:tr w:rsidR="00FD62C9" w:rsidRPr="00476D2E" w:rsidTr="008136C0">
        <w:trPr>
          <w:trHeight w:val="73"/>
          <w:jc w:val="center"/>
        </w:trPr>
        <w:tc>
          <w:tcPr>
            <w:cnfStyle w:val="001000000000" w:firstRow="0" w:lastRow="0" w:firstColumn="1" w:lastColumn="0" w:oddVBand="0" w:evenVBand="0" w:oddHBand="0" w:evenHBand="0" w:firstRowFirstColumn="0" w:firstRowLastColumn="0" w:lastRowFirstColumn="0" w:lastRowLastColumn="0"/>
            <w:tcW w:w="3257" w:type="pct"/>
            <w:noWrap/>
            <w:hideMark/>
          </w:tcPr>
          <w:p w:rsidR="00FD62C9" w:rsidRPr="00476D2E" w:rsidRDefault="00FD62C9" w:rsidP="008F59CB">
            <w:pPr>
              <w:spacing w:before="0" w:line="240" w:lineRule="auto"/>
              <w:rPr>
                <w:rFonts w:cs="Calibri"/>
                <w:b w:val="0"/>
                <w:sz w:val="18"/>
                <w:szCs w:val="20"/>
                <w:lang w:val="sq-AL"/>
              </w:rPr>
            </w:pPr>
            <w:r w:rsidRPr="00476D2E">
              <w:rPr>
                <w:rFonts w:cs="Calibri"/>
                <w:b w:val="0"/>
                <w:sz w:val="18"/>
                <w:szCs w:val="20"/>
                <w:lang w:val="sq-AL"/>
              </w:rPr>
              <w:t>Kosova</w:t>
            </w:r>
          </w:p>
        </w:tc>
        <w:tc>
          <w:tcPr>
            <w:tcW w:w="881"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2</w:t>
            </w:r>
            <w:r>
              <w:rPr>
                <w:rFonts w:cs="Calibri"/>
                <w:sz w:val="18"/>
                <w:szCs w:val="20"/>
                <w:lang w:val="sq-AL"/>
              </w:rPr>
              <w:t>0</w:t>
            </w:r>
            <w:r w:rsidRPr="00476D2E">
              <w:rPr>
                <w:rFonts w:cs="Calibri"/>
                <w:sz w:val="18"/>
                <w:szCs w:val="20"/>
                <w:lang w:val="sq-AL"/>
              </w:rPr>
              <w:t>.</w:t>
            </w:r>
            <w:r>
              <w:rPr>
                <w:rFonts w:cs="Calibri"/>
                <w:sz w:val="18"/>
                <w:szCs w:val="20"/>
                <w:lang w:val="sq-AL"/>
              </w:rPr>
              <w:t>7</w:t>
            </w:r>
          </w:p>
        </w:tc>
        <w:tc>
          <w:tcPr>
            <w:tcW w:w="863"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n.a</w:t>
            </w:r>
          </w:p>
        </w:tc>
      </w:tr>
    </w:tbl>
    <w:p w:rsidR="00DE5664" w:rsidRPr="00476D2E" w:rsidRDefault="00A664DE" w:rsidP="00FC729E">
      <w:pPr>
        <w:spacing w:before="0"/>
        <w:ind w:firstLine="720"/>
        <w:rPr>
          <w:rFonts w:cs="Calibri"/>
          <w:sz w:val="8"/>
          <w:szCs w:val="8"/>
          <w:lang w:val="sq-AL"/>
        </w:rPr>
      </w:pPr>
      <w:r w:rsidRPr="00476D2E">
        <w:rPr>
          <w:rFonts w:cs="Calibri"/>
          <w:i/>
          <w:sz w:val="18"/>
          <w:szCs w:val="18"/>
          <w:lang w:val="sq-AL"/>
        </w:rPr>
        <w:t>Burimi: Directorate-General for Economic and Financial Affairs (DG-ECFIN)</w:t>
      </w:r>
      <w:bookmarkStart w:id="24" w:name="_Toc515446549"/>
      <w:bookmarkEnd w:id="22"/>
    </w:p>
    <w:p w:rsidR="00A664DE" w:rsidRDefault="00FD62C9" w:rsidP="004251C6">
      <w:pPr>
        <w:spacing w:before="0" w:line="240" w:lineRule="auto"/>
        <w:rPr>
          <w:rFonts w:cs="Calibri"/>
          <w:lang w:val="sq-AL"/>
        </w:rPr>
      </w:pPr>
      <w:r w:rsidRPr="00664DEA">
        <w:rPr>
          <w:bCs/>
          <w:lang w:val="sq-AL"/>
        </w:rPr>
        <w:t>Deficiti i llogarisë korrente qëndroi në 6.8% të PBB-së për vitin 2022 në rajon, niveli më i lartë në dhjetë vitet e fundit</w:t>
      </w:r>
      <w:r w:rsidRPr="00664DEA">
        <w:rPr>
          <w:lang w:val="sq-AL"/>
        </w:rPr>
        <w:t>. Kjo ka ardhur kryesisht si pasojë e rritjes së deficitit të tregtisë së mallrave, ndikuar nga sektori i energjisë, i cili ka tejkaluar efektet pozitive në eksportet e shërbimeve dhe flukseve më të larta hyrëse të remitancave</w:t>
      </w:r>
      <w:r w:rsidR="00A664DE" w:rsidRPr="00476D2E">
        <w:rPr>
          <w:rFonts w:cs="Calibri"/>
          <w:lang w:val="sq-AL"/>
        </w:rPr>
        <w:t>.</w:t>
      </w:r>
      <w:bookmarkStart w:id="25" w:name="_Toc515446550"/>
      <w:bookmarkEnd w:id="24"/>
    </w:p>
    <w:p w:rsidR="00A664DE" w:rsidRDefault="00A664DE" w:rsidP="008F59CB">
      <w:pPr>
        <w:pStyle w:val="Caption"/>
        <w:keepNext/>
        <w:spacing w:before="0" w:after="0" w:line="240" w:lineRule="auto"/>
        <w:rPr>
          <w:rFonts w:cs="Calibri"/>
          <w:lang w:val="sq-AL"/>
        </w:rPr>
      </w:pPr>
      <w:bookmarkStart w:id="26" w:name="_Toc136526329"/>
      <w:r w:rsidRPr="00476D2E">
        <w:rPr>
          <w:rFonts w:cs="Calibri"/>
          <w:lang w:val="sq-AL"/>
        </w:rPr>
        <w:lastRenderedPageBreak/>
        <w:t xml:space="preserve">Tabela </w:t>
      </w:r>
      <w:r w:rsidRPr="00476D2E">
        <w:rPr>
          <w:rFonts w:cs="Calibri"/>
          <w:lang w:val="sq-AL"/>
        </w:rPr>
        <w:fldChar w:fldCharType="begin"/>
      </w:r>
      <w:r w:rsidRPr="00476D2E">
        <w:rPr>
          <w:rFonts w:cs="Calibri"/>
          <w:lang w:val="sq-AL"/>
        </w:rPr>
        <w:instrText xml:space="preserve"> SEQ Tabela \* ARABIC </w:instrText>
      </w:r>
      <w:r w:rsidRPr="00476D2E">
        <w:rPr>
          <w:rFonts w:cs="Calibri"/>
          <w:lang w:val="sq-AL"/>
        </w:rPr>
        <w:fldChar w:fldCharType="separate"/>
      </w:r>
      <w:r w:rsidR="008C3E07">
        <w:rPr>
          <w:rFonts w:cs="Calibri"/>
          <w:noProof/>
          <w:lang w:val="sq-AL"/>
        </w:rPr>
        <w:t>3</w:t>
      </w:r>
      <w:r w:rsidRPr="00476D2E">
        <w:rPr>
          <w:rFonts w:cs="Calibri"/>
          <w:noProof/>
          <w:lang w:val="sq-AL"/>
        </w:rPr>
        <w:fldChar w:fldCharType="end"/>
      </w:r>
      <w:r w:rsidR="00B70BE3">
        <w:rPr>
          <w:rFonts w:cs="Calibri"/>
          <w:noProof/>
          <w:lang w:val="sq-AL"/>
        </w:rPr>
        <w:t xml:space="preserve"> </w:t>
      </w:r>
      <w:r w:rsidRPr="00476D2E">
        <w:rPr>
          <w:rFonts w:cs="Calibri"/>
          <w:lang w:val="sq-AL"/>
        </w:rPr>
        <w:t>Bilanci tregtar</w:t>
      </w:r>
      <w:bookmarkEnd w:id="26"/>
    </w:p>
    <w:tbl>
      <w:tblPr>
        <w:tblStyle w:val="GridTable4-Accent11"/>
        <w:tblW w:w="4204" w:type="pct"/>
        <w:jc w:val="center"/>
        <w:tblLook w:val="04A0" w:firstRow="1" w:lastRow="0" w:firstColumn="1" w:lastColumn="0" w:noHBand="0" w:noVBand="1"/>
      </w:tblPr>
      <w:tblGrid>
        <w:gridCol w:w="5760"/>
        <w:gridCol w:w="1558"/>
        <w:gridCol w:w="1527"/>
      </w:tblGrid>
      <w:tr w:rsidR="00FD62C9" w:rsidRPr="00476D2E" w:rsidTr="008136C0">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3256" w:type="pct"/>
            <w:hideMark/>
          </w:tcPr>
          <w:p w:rsidR="00FD62C9" w:rsidRPr="00476D2E" w:rsidRDefault="00FD62C9" w:rsidP="008F59CB">
            <w:pPr>
              <w:spacing w:before="0" w:line="240" w:lineRule="auto"/>
              <w:jc w:val="center"/>
              <w:rPr>
                <w:rFonts w:cs="Calibri"/>
                <w:bCs w:val="0"/>
                <w:sz w:val="18"/>
                <w:szCs w:val="20"/>
                <w:lang w:val="sq-AL"/>
              </w:rPr>
            </w:pPr>
            <w:r w:rsidRPr="00476D2E">
              <w:rPr>
                <w:rFonts w:cs="Calibri"/>
                <w:bCs w:val="0"/>
                <w:sz w:val="18"/>
                <w:szCs w:val="20"/>
                <w:lang w:val="sq-AL"/>
              </w:rPr>
              <w:t xml:space="preserve">Deficiti i llogarisë korrente </w:t>
            </w:r>
            <w:r w:rsidRPr="00476D2E">
              <w:rPr>
                <w:rFonts w:cs="Calibri"/>
                <w:b w:val="0"/>
                <w:bCs w:val="0"/>
                <w:i/>
                <w:sz w:val="18"/>
                <w:szCs w:val="20"/>
                <w:lang w:val="sq-AL"/>
              </w:rPr>
              <w:t>(në % të PBB)</w:t>
            </w:r>
            <w:r w:rsidRPr="00476D2E">
              <w:rPr>
                <w:rStyle w:val="FootnoteReference"/>
                <w:rFonts w:cs="Calibri"/>
                <w:b w:val="0"/>
                <w:bCs w:val="0"/>
                <w:i/>
                <w:sz w:val="18"/>
                <w:szCs w:val="20"/>
                <w:lang w:val="sq-AL"/>
              </w:rPr>
              <w:footnoteReference w:id="1"/>
            </w:r>
          </w:p>
        </w:tc>
        <w:tc>
          <w:tcPr>
            <w:tcW w:w="881" w:type="pct"/>
            <w:hideMark/>
          </w:tcPr>
          <w:p w:rsidR="00FD62C9" w:rsidRPr="00476D2E"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20</w:t>
            </w:r>
            <w:r>
              <w:rPr>
                <w:rFonts w:cs="Calibri"/>
                <w:sz w:val="18"/>
                <w:szCs w:val="20"/>
                <w:lang w:val="sq-AL"/>
              </w:rPr>
              <w:t>21</w:t>
            </w:r>
          </w:p>
        </w:tc>
        <w:tc>
          <w:tcPr>
            <w:tcW w:w="863" w:type="pct"/>
            <w:hideMark/>
          </w:tcPr>
          <w:p w:rsidR="00FD62C9" w:rsidRPr="00476D2E"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202</w:t>
            </w:r>
            <w:r>
              <w:rPr>
                <w:rFonts w:cs="Calibri"/>
                <w:sz w:val="18"/>
                <w:szCs w:val="20"/>
                <w:lang w:val="sq-AL"/>
              </w:rPr>
              <w:t>2</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213"/>
          <w:jc w:val="center"/>
        </w:trPr>
        <w:tc>
          <w:tcPr>
            <w:cnfStyle w:val="001000000000" w:firstRow="0" w:lastRow="0" w:firstColumn="1" w:lastColumn="0" w:oddVBand="0" w:evenVBand="0" w:oddHBand="0" w:evenHBand="0" w:firstRowFirstColumn="0" w:firstRowLastColumn="0" w:lastRowFirstColumn="0" w:lastRowLastColumn="0"/>
            <w:tcW w:w="3256" w:type="pct"/>
            <w:noWrap/>
            <w:hideMark/>
          </w:tcPr>
          <w:p w:rsidR="00FD62C9" w:rsidRPr="00476D2E" w:rsidRDefault="00FD62C9" w:rsidP="008F59CB">
            <w:pPr>
              <w:spacing w:before="0" w:line="240" w:lineRule="auto"/>
              <w:rPr>
                <w:rFonts w:cs="Calibri"/>
                <w:sz w:val="18"/>
                <w:szCs w:val="20"/>
                <w:lang w:val="sq-AL"/>
              </w:rPr>
            </w:pPr>
            <w:r w:rsidRPr="00476D2E">
              <w:rPr>
                <w:rFonts w:cs="Calibri"/>
                <w:b w:val="0"/>
                <w:sz w:val="18"/>
                <w:szCs w:val="20"/>
                <w:lang w:val="sq-AL"/>
              </w:rPr>
              <w:t>Maqedonia e Veriut</w:t>
            </w:r>
          </w:p>
        </w:tc>
        <w:tc>
          <w:tcPr>
            <w:tcW w:w="881"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476D2E">
              <w:rPr>
                <w:rFonts w:cs="Calibri"/>
                <w:sz w:val="18"/>
                <w:szCs w:val="20"/>
                <w:lang w:val="sq-AL"/>
              </w:rPr>
              <w:t>-3.</w:t>
            </w:r>
            <w:r>
              <w:rPr>
                <w:rFonts w:cs="Calibri"/>
                <w:sz w:val="18"/>
                <w:szCs w:val="20"/>
                <w:lang w:val="sq-AL"/>
              </w:rPr>
              <w:t>1</w:t>
            </w:r>
          </w:p>
        </w:tc>
        <w:tc>
          <w:tcPr>
            <w:tcW w:w="863"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476D2E">
              <w:rPr>
                <w:rFonts w:cs="Calibri"/>
                <w:sz w:val="18"/>
                <w:szCs w:val="20"/>
                <w:lang w:val="sq-AL"/>
              </w:rPr>
              <w:t>-</w:t>
            </w:r>
            <w:r>
              <w:rPr>
                <w:rFonts w:cs="Calibri"/>
                <w:sz w:val="18"/>
                <w:szCs w:val="20"/>
                <w:lang w:val="sq-AL"/>
              </w:rPr>
              <w:t>6</w:t>
            </w:r>
            <w:r w:rsidRPr="00476D2E">
              <w:rPr>
                <w:rFonts w:cs="Calibri"/>
                <w:sz w:val="18"/>
                <w:szCs w:val="20"/>
                <w:lang w:val="sq-AL"/>
              </w:rPr>
              <w:t>.</w:t>
            </w:r>
            <w:r>
              <w:rPr>
                <w:rFonts w:cs="Calibri"/>
                <w:sz w:val="18"/>
                <w:szCs w:val="20"/>
                <w:lang w:val="sq-AL"/>
              </w:rPr>
              <w:t>0</w:t>
            </w:r>
          </w:p>
        </w:tc>
      </w:tr>
      <w:tr w:rsidR="00FD62C9" w:rsidRPr="00476D2E" w:rsidTr="008136C0">
        <w:trPr>
          <w:trHeight w:val="139"/>
          <w:jc w:val="center"/>
        </w:trPr>
        <w:tc>
          <w:tcPr>
            <w:cnfStyle w:val="001000000000" w:firstRow="0" w:lastRow="0" w:firstColumn="1" w:lastColumn="0" w:oddVBand="0" w:evenVBand="0" w:oddHBand="0" w:evenHBand="0" w:firstRowFirstColumn="0" w:firstRowLastColumn="0" w:lastRowFirstColumn="0" w:lastRowLastColumn="0"/>
            <w:tcW w:w="3256" w:type="pct"/>
            <w:noWrap/>
            <w:hideMark/>
          </w:tcPr>
          <w:p w:rsidR="00FD62C9" w:rsidRPr="00476D2E" w:rsidRDefault="00FD62C9" w:rsidP="008F59CB">
            <w:pPr>
              <w:spacing w:before="0" w:line="240" w:lineRule="auto"/>
              <w:rPr>
                <w:rFonts w:cs="Calibri"/>
                <w:sz w:val="18"/>
                <w:szCs w:val="20"/>
                <w:lang w:val="sq-AL"/>
              </w:rPr>
            </w:pPr>
            <w:r w:rsidRPr="00476D2E">
              <w:rPr>
                <w:rFonts w:cs="Calibri"/>
                <w:b w:val="0"/>
                <w:sz w:val="18"/>
                <w:szCs w:val="20"/>
                <w:lang w:val="sq-AL"/>
              </w:rPr>
              <w:t>Mali i ZI</w:t>
            </w:r>
          </w:p>
        </w:tc>
        <w:tc>
          <w:tcPr>
            <w:tcW w:w="881"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w:t>
            </w:r>
            <w:r>
              <w:rPr>
                <w:rFonts w:cs="Calibri"/>
                <w:sz w:val="18"/>
                <w:szCs w:val="20"/>
                <w:lang w:val="sq-AL"/>
              </w:rPr>
              <w:t>9</w:t>
            </w:r>
            <w:r w:rsidRPr="00476D2E">
              <w:rPr>
                <w:rFonts w:cs="Calibri"/>
                <w:sz w:val="18"/>
                <w:szCs w:val="20"/>
                <w:lang w:val="sq-AL"/>
              </w:rPr>
              <w:t>.</w:t>
            </w:r>
            <w:r>
              <w:rPr>
                <w:rFonts w:cs="Calibri"/>
                <w:sz w:val="18"/>
                <w:szCs w:val="20"/>
                <w:lang w:val="sq-AL"/>
              </w:rPr>
              <w:t>2</w:t>
            </w:r>
          </w:p>
        </w:tc>
        <w:tc>
          <w:tcPr>
            <w:tcW w:w="863"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w:t>
            </w:r>
            <w:r>
              <w:rPr>
                <w:rFonts w:cs="Calibri"/>
                <w:sz w:val="18"/>
                <w:szCs w:val="20"/>
                <w:lang w:val="sq-AL"/>
              </w:rPr>
              <w:t>13</w:t>
            </w:r>
            <w:r w:rsidRPr="00476D2E">
              <w:rPr>
                <w:rFonts w:cs="Calibri"/>
                <w:sz w:val="18"/>
                <w:szCs w:val="20"/>
                <w:lang w:val="sq-AL"/>
              </w:rPr>
              <w:t>.</w:t>
            </w:r>
            <w:r>
              <w:rPr>
                <w:rFonts w:cs="Calibri"/>
                <w:sz w:val="18"/>
                <w:szCs w:val="20"/>
                <w:lang w:val="sq-AL"/>
              </w:rPr>
              <w:t>3</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3256" w:type="pct"/>
            <w:noWrap/>
            <w:hideMark/>
          </w:tcPr>
          <w:p w:rsidR="00FD62C9" w:rsidRPr="00476D2E" w:rsidRDefault="00FD62C9" w:rsidP="008F59CB">
            <w:pPr>
              <w:spacing w:before="0" w:line="240" w:lineRule="auto"/>
              <w:rPr>
                <w:rFonts w:cs="Calibri"/>
                <w:sz w:val="18"/>
                <w:szCs w:val="20"/>
                <w:lang w:val="sq-AL"/>
              </w:rPr>
            </w:pPr>
            <w:r w:rsidRPr="00476D2E">
              <w:rPr>
                <w:rFonts w:cs="Calibri"/>
                <w:b w:val="0"/>
                <w:sz w:val="18"/>
                <w:szCs w:val="20"/>
                <w:lang w:val="sq-AL"/>
              </w:rPr>
              <w:t>Serbia</w:t>
            </w:r>
          </w:p>
        </w:tc>
        <w:tc>
          <w:tcPr>
            <w:tcW w:w="881"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476D2E">
              <w:rPr>
                <w:rFonts w:cs="Calibri"/>
                <w:sz w:val="18"/>
                <w:szCs w:val="20"/>
                <w:lang w:val="sq-AL"/>
              </w:rPr>
              <w:t>-</w:t>
            </w:r>
            <w:r>
              <w:rPr>
                <w:rFonts w:cs="Calibri"/>
                <w:sz w:val="18"/>
                <w:szCs w:val="20"/>
                <w:lang w:val="sq-AL"/>
              </w:rPr>
              <w:t>4</w:t>
            </w:r>
            <w:r w:rsidRPr="00476D2E">
              <w:rPr>
                <w:rFonts w:cs="Calibri"/>
                <w:sz w:val="18"/>
                <w:szCs w:val="20"/>
                <w:lang w:val="sq-AL"/>
              </w:rPr>
              <w:t>.</w:t>
            </w:r>
            <w:r>
              <w:rPr>
                <w:rFonts w:cs="Calibri"/>
                <w:sz w:val="18"/>
                <w:szCs w:val="20"/>
                <w:lang w:val="sq-AL"/>
              </w:rPr>
              <w:t>2</w:t>
            </w:r>
          </w:p>
        </w:tc>
        <w:tc>
          <w:tcPr>
            <w:tcW w:w="863"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476D2E">
              <w:rPr>
                <w:rFonts w:cs="Calibri"/>
                <w:sz w:val="18"/>
                <w:szCs w:val="20"/>
                <w:lang w:val="sq-AL"/>
              </w:rPr>
              <w:t>-</w:t>
            </w:r>
            <w:r>
              <w:rPr>
                <w:rFonts w:cs="Calibri"/>
                <w:sz w:val="18"/>
                <w:szCs w:val="20"/>
                <w:lang w:val="sq-AL"/>
              </w:rPr>
              <w:t>6</w:t>
            </w:r>
            <w:r w:rsidRPr="00476D2E">
              <w:rPr>
                <w:rFonts w:cs="Calibri"/>
                <w:sz w:val="18"/>
                <w:szCs w:val="20"/>
                <w:lang w:val="sq-AL"/>
              </w:rPr>
              <w:t>.</w:t>
            </w:r>
            <w:r>
              <w:rPr>
                <w:rFonts w:cs="Calibri"/>
                <w:sz w:val="18"/>
                <w:szCs w:val="20"/>
                <w:lang w:val="sq-AL"/>
              </w:rPr>
              <w:t>9</w:t>
            </w:r>
          </w:p>
        </w:tc>
      </w:tr>
      <w:tr w:rsidR="00FD62C9" w:rsidRPr="00476D2E" w:rsidTr="008136C0">
        <w:trPr>
          <w:trHeight w:val="259"/>
          <w:jc w:val="center"/>
        </w:trPr>
        <w:tc>
          <w:tcPr>
            <w:cnfStyle w:val="001000000000" w:firstRow="0" w:lastRow="0" w:firstColumn="1" w:lastColumn="0" w:oddVBand="0" w:evenVBand="0" w:oddHBand="0" w:evenHBand="0" w:firstRowFirstColumn="0" w:firstRowLastColumn="0" w:lastRowFirstColumn="0" w:lastRowLastColumn="0"/>
            <w:tcW w:w="3256" w:type="pct"/>
            <w:noWrap/>
            <w:hideMark/>
          </w:tcPr>
          <w:p w:rsidR="00FD62C9" w:rsidRPr="00476D2E" w:rsidRDefault="00FD62C9" w:rsidP="008F59CB">
            <w:pPr>
              <w:spacing w:before="0" w:line="240" w:lineRule="auto"/>
              <w:rPr>
                <w:rFonts w:cs="Calibri"/>
                <w:sz w:val="18"/>
                <w:szCs w:val="20"/>
                <w:lang w:val="sq-AL"/>
              </w:rPr>
            </w:pPr>
            <w:r w:rsidRPr="00476D2E">
              <w:rPr>
                <w:rFonts w:cs="Calibri"/>
                <w:sz w:val="18"/>
                <w:szCs w:val="20"/>
                <w:lang w:val="sq-AL"/>
              </w:rPr>
              <w:t>Shqipëria</w:t>
            </w:r>
          </w:p>
        </w:tc>
        <w:tc>
          <w:tcPr>
            <w:tcW w:w="881"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8"/>
                <w:szCs w:val="20"/>
                <w:lang w:val="sq-AL"/>
              </w:rPr>
            </w:pPr>
            <w:r w:rsidRPr="00476D2E">
              <w:rPr>
                <w:rFonts w:cs="Calibri"/>
                <w:b/>
                <w:sz w:val="18"/>
                <w:szCs w:val="20"/>
                <w:lang w:val="sq-AL"/>
              </w:rPr>
              <w:t>-</w:t>
            </w:r>
            <w:r>
              <w:rPr>
                <w:rFonts w:cs="Calibri"/>
                <w:b/>
                <w:sz w:val="18"/>
                <w:szCs w:val="20"/>
                <w:lang w:val="sq-AL"/>
              </w:rPr>
              <w:t>7</w:t>
            </w:r>
            <w:r w:rsidRPr="00476D2E">
              <w:rPr>
                <w:rFonts w:cs="Calibri"/>
                <w:b/>
                <w:sz w:val="18"/>
                <w:szCs w:val="20"/>
                <w:lang w:val="sq-AL"/>
              </w:rPr>
              <w:t>.</w:t>
            </w:r>
            <w:r>
              <w:rPr>
                <w:rFonts w:cs="Calibri"/>
                <w:b/>
                <w:sz w:val="18"/>
                <w:szCs w:val="20"/>
                <w:lang w:val="sq-AL"/>
              </w:rPr>
              <w:t>6</w:t>
            </w:r>
          </w:p>
        </w:tc>
        <w:tc>
          <w:tcPr>
            <w:tcW w:w="863"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8"/>
                <w:szCs w:val="20"/>
                <w:lang w:val="sq-AL"/>
              </w:rPr>
            </w:pPr>
            <w:r w:rsidRPr="00476D2E">
              <w:rPr>
                <w:rFonts w:cs="Calibri"/>
                <w:b/>
                <w:sz w:val="18"/>
                <w:szCs w:val="20"/>
                <w:lang w:val="sq-AL"/>
              </w:rPr>
              <w:t>-</w:t>
            </w:r>
            <w:r>
              <w:rPr>
                <w:rFonts w:cs="Calibri"/>
                <w:b/>
                <w:sz w:val="18"/>
                <w:szCs w:val="20"/>
                <w:lang w:val="sq-AL"/>
              </w:rPr>
              <w:t>6</w:t>
            </w:r>
            <w:r w:rsidRPr="00476D2E">
              <w:rPr>
                <w:rFonts w:cs="Calibri"/>
                <w:b/>
                <w:sz w:val="18"/>
                <w:szCs w:val="20"/>
                <w:lang w:val="sq-AL"/>
              </w:rPr>
              <w:t>.</w:t>
            </w:r>
            <w:r>
              <w:rPr>
                <w:rFonts w:cs="Calibri"/>
                <w:b/>
                <w:sz w:val="18"/>
                <w:szCs w:val="20"/>
                <w:lang w:val="sq-AL"/>
              </w:rPr>
              <w:t>2</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216"/>
          <w:jc w:val="center"/>
        </w:trPr>
        <w:tc>
          <w:tcPr>
            <w:cnfStyle w:val="001000000000" w:firstRow="0" w:lastRow="0" w:firstColumn="1" w:lastColumn="0" w:oddVBand="0" w:evenVBand="0" w:oddHBand="0" w:evenHBand="0" w:firstRowFirstColumn="0" w:firstRowLastColumn="0" w:lastRowFirstColumn="0" w:lastRowLastColumn="0"/>
            <w:tcW w:w="3256" w:type="pct"/>
            <w:noWrap/>
            <w:hideMark/>
          </w:tcPr>
          <w:p w:rsidR="00FD62C9" w:rsidRPr="00476D2E" w:rsidRDefault="00FD62C9" w:rsidP="008F59CB">
            <w:pPr>
              <w:spacing w:before="0" w:line="240" w:lineRule="auto"/>
              <w:rPr>
                <w:rFonts w:cs="Calibri"/>
                <w:sz w:val="18"/>
                <w:szCs w:val="20"/>
                <w:lang w:val="sq-AL"/>
              </w:rPr>
            </w:pPr>
            <w:r w:rsidRPr="00476D2E">
              <w:rPr>
                <w:rFonts w:cs="Calibri"/>
                <w:b w:val="0"/>
                <w:sz w:val="18"/>
                <w:szCs w:val="20"/>
                <w:lang w:val="sq-AL"/>
              </w:rPr>
              <w:t>Bosnja dhe Hercegovina</w:t>
            </w:r>
          </w:p>
        </w:tc>
        <w:tc>
          <w:tcPr>
            <w:tcW w:w="881"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476D2E">
              <w:rPr>
                <w:rFonts w:cs="Calibri"/>
                <w:sz w:val="18"/>
                <w:szCs w:val="20"/>
                <w:lang w:val="sq-AL"/>
              </w:rPr>
              <w:t>-</w:t>
            </w:r>
            <w:r>
              <w:rPr>
                <w:rFonts w:cs="Calibri"/>
                <w:sz w:val="18"/>
                <w:szCs w:val="20"/>
                <w:lang w:val="sq-AL"/>
              </w:rPr>
              <w:t>2</w:t>
            </w:r>
            <w:r w:rsidRPr="00476D2E">
              <w:rPr>
                <w:rFonts w:cs="Calibri"/>
                <w:sz w:val="18"/>
                <w:szCs w:val="20"/>
                <w:lang w:val="sq-AL"/>
              </w:rPr>
              <w:t>.</w:t>
            </w:r>
            <w:r>
              <w:rPr>
                <w:rFonts w:cs="Calibri"/>
                <w:sz w:val="18"/>
                <w:szCs w:val="20"/>
                <w:lang w:val="sq-AL"/>
              </w:rPr>
              <w:t>4</w:t>
            </w:r>
          </w:p>
        </w:tc>
        <w:tc>
          <w:tcPr>
            <w:tcW w:w="863"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476D2E">
              <w:rPr>
                <w:rFonts w:cs="Calibri"/>
                <w:sz w:val="18"/>
                <w:szCs w:val="20"/>
                <w:lang w:val="sq-AL"/>
              </w:rPr>
              <w:t>-</w:t>
            </w:r>
            <w:r>
              <w:rPr>
                <w:rFonts w:cs="Calibri"/>
                <w:sz w:val="18"/>
                <w:szCs w:val="20"/>
                <w:lang w:val="sq-AL"/>
              </w:rPr>
              <w:t>4</w:t>
            </w:r>
            <w:r w:rsidRPr="00476D2E">
              <w:rPr>
                <w:rFonts w:cs="Calibri"/>
                <w:sz w:val="18"/>
                <w:szCs w:val="20"/>
                <w:lang w:val="sq-AL"/>
              </w:rPr>
              <w:t>.</w:t>
            </w:r>
            <w:r>
              <w:rPr>
                <w:rFonts w:cs="Calibri"/>
                <w:sz w:val="18"/>
                <w:szCs w:val="20"/>
                <w:lang w:val="sq-AL"/>
              </w:rPr>
              <w:t>5</w:t>
            </w:r>
          </w:p>
        </w:tc>
      </w:tr>
      <w:tr w:rsidR="00FD62C9" w:rsidRPr="00476D2E" w:rsidTr="008136C0">
        <w:trPr>
          <w:trHeight w:val="144"/>
          <w:jc w:val="center"/>
        </w:trPr>
        <w:tc>
          <w:tcPr>
            <w:cnfStyle w:val="001000000000" w:firstRow="0" w:lastRow="0" w:firstColumn="1" w:lastColumn="0" w:oddVBand="0" w:evenVBand="0" w:oddHBand="0" w:evenHBand="0" w:firstRowFirstColumn="0" w:firstRowLastColumn="0" w:lastRowFirstColumn="0" w:lastRowLastColumn="0"/>
            <w:tcW w:w="3256" w:type="pct"/>
            <w:noWrap/>
            <w:hideMark/>
          </w:tcPr>
          <w:p w:rsidR="00FD62C9" w:rsidRPr="00476D2E" w:rsidRDefault="00FD62C9" w:rsidP="008F59CB">
            <w:pPr>
              <w:spacing w:before="0" w:line="240" w:lineRule="auto"/>
              <w:rPr>
                <w:rFonts w:cs="Calibri"/>
                <w:sz w:val="18"/>
                <w:szCs w:val="20"/>
                <w:lang w:val="sq-AL"/>
              </w:rPr>
            </w:pPr>
            <w:r w:rsidRPr="00476D2E">
              <w:rPr>
                <w:rFonts w:cs="Calibri"/>
                <w:b w:val="0"/>
                <w:sz w:val="18"/>
                <w:szCs w:val="20"/>
                <w:lang w:val="sq-AL"/>
              </w:rPr>
              <w:t>Kosova</w:t>
            </w:r>
          </w:p>
        </w:tc>
        <w:tc>
          <w:tcPr>
            <w:tcW w:w="881"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w:t>
            </w:r>
            <w:r>
              <w:rPr>
                <w:rFonts w:cs="Calibri"/>
                <w:sz w:val="18"/>
                <w:szCs w:val="20"/>
                <w:lang w:val="sq-AL"/>
              </w:rPr>
              <w:t>8</w:t>
            </w:r>
            <w:r w:rsidRPr="00476D2E">
              <w:rPr>
                <w:rFonts w:cs="Calibri"/>
                <w:sz w:val="18"/>
                <w:szCs w:val="20"/>
                <w:lang w:val="sq-AL"/>
              </w:rPr>
              <w:t>.</w:t>
            </w:r>
            <w:r>
              <w:rPr>
                <w:rFonts w:cs="Calibri"/>
                <w:sz w:val="18"/>
                <w:szCs w:val="20"/>
                <w:lang w:val="sq-AL"/>
              </w:rPr>
              <w:t>7</w:t>
            </w:r>
          </w:p>
        </w:tc>
        <w:tc>
          <w:tcPr>
            <w:tcW w:w="863"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w:t>
            </w:r>
            <w:r>
              <w:rPr>
                <w:rFonts w:cs="Calibri"/>
                <w:sz w:val="18"/>
                <w:szCs w:val="20"/>
                <w:lang w:val="sq-AL"/>
              </w:rPr>
              <w:t>10</w:t>
            </w:r>
            <w:r w:rsidRPr="00476D2E">
              <w:rPr>
                <w:rFonts w:cs="Calibri"/>
                <w:sz w:val="18"/>
                <w:szCs w:val="20"/>
                <w:lang w:val="sq-AL"/>
              </w:rPr>
              <w:t>.</w:t>
            </w:r>
            <w:r>
              <w:rPr>
                <w:rFonts w:cs="Calibri"/>
                <w:sz w:val="18"/>
                <w:szCs w:val="20"/>
                <w:lang w:val="sq-AL"/>
              </w:rPr>
              <w:t>5</w:t>
            </w:r>
          </w:p>
        </w:tc>
      </w:tr>
    </w:tbl>
    <w:p w:rsidR="005A06E2" w:rsidRPr="00476D2E" w:rsidRDefault="00CC50CE" w:rsidP="00036B4F">
      <w:pPr>
        <w:spacing w:before="0" w:line="240" w:lineRule="auto"/>
        <w:ind w:firstLine="720"/>
        <w:rPr>
          <w:rFonts w:cs="Calibri"/>
          <w:lang w:val="sq-AL"/>
        </w:rPr>
      </w:pPr>
      <w:r w:rsidRPr="00476D2E">
        <w:rPr>
          <w:rFonts w:cs="Calibri"/>
          <w:i/>
          <w:sz w:val="18"/>
          <w:szCs w:val="18"/>
          <w:lang w:val="sq-AL"/>
        </w:rPr>
        <w:t>Burimi: Directorate-General for Economic and Financial Affairs (DG-ECFIN)</w:t>
      </w:r>
    </w:p>
    <w:p w:rsidR="00C74005" w:rsidRPr="00476D2E" w:rsidRDefault="00FD62C9" w:rsidP="004251C6">
      <w:pPr>
        <w:spacing w:before="0" w:line="240" w:lineRule="auto"/>
        <w:rPr>
          <w:rFonts w:cs="Calibri"/>
          <w:lang w:val="sq-AL"/>
        </w:rPr>
      </w:pPr>
      <w:r w:rsidRPr="00664DEA">
        <w:rPr>
          <w:rFonts w:cs="Calibri"/>
          <w:lang w:val="sq-AL"/>
        </w:rPr>
        <w:t>Inflacioni mesatar vjetor u rrit në nivelet më të larta të disa dekadave në vitin 2022, por në shumicën e vëndeve të rajonit (me përjashtim të Serbisë), inflacioni total ka zbritur krahasuar me kulmin e arritur në vjeshtën e vitit 2022</w:t>
      </w:r>
      <w:r w:rsidR="00C74005" w:rsidRPr="00476D2E">
        <w:rPr>
          <w:rFonts w:cs="Calibri"/>
          <w:lang w:val="sq-AL"/>
        </w:rPr>
        <w:t xml:space="preserve">. </w:t>
      </w:r>
    </w:p>
    <w:p w:rsidR="00A664DE" w:rsidRDefault="00A664DE" w:rsidP="00FC729E">
      <w:pPr>
        <w:pStyle w:val="Caption"/>
        <w:keepNext/>
        <w:spacing w:after="0"/>
        <w:rPr>
          <w:rFonts w:cs="Calibri"/>
          <w:lang w:val="sq-AL"/>
        </w:rPr>
      </w:pPr>
      <w:bookmarkStart w:id="27" w:name="_Toc136526330"/>
      <w:bookmarkEnd w:id="25"/>
      <w:r w:rsidRPr="00476D2E">
        <w:rPr>
          <w:rFonts w:cs="Calibri"/>
          <w:lang w:val="sq-AL"/>
        </w:rPr>
        <w:t xml:space="preserve">Tabela </w:t>
      </w:r>
      <w:r w:rsidRPr="00476D2E">
        <w:rPr>
          <w:rFonts w:cs="Calibri"/>
          <w:lang w:val="sq-AL"/>
        </w:rPr>
        <w:fldChar w:fldCharType="begin"/>
      </w:r>
      <w:r w:rsidRPr="00476D2E">
        <w:rPr>
          <w:rFonts w:cs="Calibri"/>
          <w:lang w:val="sq-AL"/>
        </w:rPr>
        <w:instrText xml:space="preserve"> SEQ Tabela \* ARABIC </w:instrText>
      </w:r>
      <w:r w:rsidRPr="00476D2E">
        <w:rPr>
          <w:rFonts w:cs="Calibri"/>
          <w:lang w:val="sq-AL"/>
        </w:rPr>
        <w:fldChar w:fldCharType="separate"/>
      </w:r>
      <w:r w:rsidR="008C3E07">
        <w:rPr>
          <w:rFonts w:cs="Calibri"/>
          <w:noProof/>
          <w:lang w:val="sq-AL"/>
        </w:rPr>
        <w:t>4</w:t>
      </w:r>
      <w:r w:rsidRPr="00476D2E">
        <w:rPr>
          <w:rFonts w:cs="Calibri"/>
          <w:noProof/>
          <w:lang w:val="sq-AL"/>
        </w:rPr>
        <w:fldChar w:fldCharType="end"/>
      </w:r>
      <w:r w:rsidR="00B70BE3">
        <w:rPr>
          <w:rFonts w:cs="Calibri"/>
          <w:noProof/>
          <w:lang w:val="sq-AL"/>
        </w:rPr>
        <w:t xml:space="preserve"> </w:t>
      </w:r>
      <w:r w:rsidRPr="00476D2E">
        <w:rPr>
          <w:rFonts w:cs="Calibri"/>
          <w:lang w:val="sq-AL"/>
        </w:rPr>
        <w:t>Norma e inflacionit</w:t>
      </w:r>
      <w:bookmarkEnd w:id="27"/>
    </w:p>
    <w:tbl>
      <w:tblPr>
        <w:tblStyle w:val="GridTable4-Accent11"/>
        <w:tblW w:w="4359" w:type="pct"/>
        <w:jc w:val="center"/>
        <w:tblLook w:val="04A0" w:firstRow="1" w:lastRow="0" w:firstColumn="1" w:lastColumn="0" w:noHBand="0" w:noVBand="1"/>
      </w:tblPr>
      <w:tblGrid>
        <w:gridCol w:w="5948"/>
        <w:gridCol w:w="1609"/>
        <w:gridCol w:w="1614"/>
      </w:tblGrid>
      <w:tr w:rsidR="00FD62C9" w:rsidRPr="00476D2E" w:rsidTr="008136C0">
        <w:trPr>
          <w:cnfStyle w:val="100000000000" w:firstRow="1" w:lastRow="0" w:firstColumn="0" w:lastColumn="0" w:oddVBand="0" w:evenVBand="0" w:oddHBand="0" w:evenHBand="0" w:firstRowFirstColumn="0" w:firstRowLastColumn="0" w:lastRowFirstColumn="0" w:lastRowLastColumn="0"/>
          <w:trHeight w:val="205"/>
          <w:jc w:val="center"/>
        </w:trPr>
        <w:tc>
          <w:tcPr>
            <w:cnfStyle w:val="001000000000" w:firstRow="0" w:lastRow="0" w:firstColumn="1" w:lastColumn="0" w:oddVBand="0" w:evenVBand="0" w:oddHBand="0" w:evenHBand="0" w:firstRowFirstColumn="0" w:firstRowLastColumn="0" w:lastRowFirstColumn="0" w:lastRowLastColumn="0"/>
            <w:tcW w:w="3243" w:type="pct"/>
            <w:hideMark/>
          </w:tcPr>
          <w:p w:rsidR="00FD62C9" w:rsidRPr="00476D2E" w:rsidRDefault="00FD62C9" w:rsidP="008F59CB">
            <w:pPr>
              <w:spacing w:before="0" w:line="240" w:lineRule="auto"/>
              <w:rPr>
                <w:rFonts w:cs="Calibri"/>
                <w:bCs w:val="0"/>
                <w:sz w:val="18"/>
                <w:szCs w:val="20"/>
                <w:lang w:val="sq-AL"/>
              </w:rPr>
            </w:pPr>
            <w:r w:rsidRPr="00476D2E">
              <w:rPr>
                <w:rFonts w:cs="Calibri"/>
                <w:bCs w:val="0"/>
                <w:sz w:val="18"/>
                <w:szCs w:val="20"/>
                <w:lang w:val="sq-AL"/>
              </w:rPr>
              <w:t>Indeksi i Çmimeve të Konsumit/Inflacioni</w:t>
            </w:r>
            <w:r w:rsidRPr="00476D2E">
              <w:rPr>
                <w:rFonts w:cs="Calibri"/>
                <w:b w:val="0"/>
                <w:bCs w:val="0"/>
                <w:sz w:val="18"/>
                <w:szCs w:val="20"/>
                <w:lang w:val="sq-AL"/>
              </w:rPr>
              <w:t xml:space="preserve"> </w:t>
            </w:r>
            <w:r w:rsidRPr="00476D2E">
              <w:rPr>
                <w:rFonts w:cs="Calibri"/>
                <w:b w:val="0"/>
                <w:i/>
                <w:iCs/>
                <w:sz w:val="18"/>
                <w:szCs w:val="20"/>
                <w:lang w:val="sq-AL"/>
              </w:rPr>
              <w:t>(ndryshimi vjetor në %)</w:t>
            </w:r>
          </w:p>
        </w:tc>
        <w:tc>
          <w:tcPr>
            <w:tcW w:w="877" w:type="pct"/>
            <w:hideMark/>
          </w:tcPr>
          <w:p w:rsidR="00FD62C9" w:rsidRPr="00476D2E"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20</w:t>
            </w:r>
            <w:r>
              <w:rPr>
                <w:rFonts w:cs="Calibri"/>
                <w:sz w:val="18"/>
                <w:szCs w:val="20"/>
                <w:lang w:val="sq-AL"/>
              </w:rPr>
              <w:t>21</w:t>
            </w:r>
          </w:p>
        </w:tc>
        <w:tc>
          <w:tcPr>
            <w:tcW w:w="880" w:type="pct"/>
            <w:hideMark/>
          </w:tcPr>
          <w:p w:rsidR="00FD62C9" w:rsidRPr="00476D2E"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476D2E">
              <w:rPr>
                <w:rFonts w:cs="Calibri"/>
                <w:sz w:val="18"/>
                <w:szCs w:val="20"/>
                <w:lang w:val="sq-AL"/>
              </w:rPr>
              <w:t> 202</w:t>
            </w:r>
            <w:r>
              <w:rPr>
                <w:rFonts w:cs="Calibri"/>
                <w:sz w:val="18"/>
                <w:szCs w:val="20"/>
                <w:lang w:val="sq-AL"/>
              </w:rPr>
              <w:t>2</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3243" w:type="pct"/>
            <w:noWrap/>
            <w:hideMark/>
          </w:tcPr>
          <w:p w:rsidR="00FD62C9" w:rsidRPr="00476D2E" w:rsidRDefault="00FD62C9" w:rsidP="008F59CB">
            <w:pPr>
              <w:spacing w:before="0" w:line="240" w:lineRule="auto"/>
              <w:rPr>
                <w:rFonts w:cs="Calibri"/>
                <w:sz w:val="18"/>
                <w:szCs w:val="20"/>
                <w:lang w:val="sq-AL"/>
              </w:rPr>
            </w:pPr>
            <w:r w:rsidRPr="00476D2E">
              <w:rPr>
                <w:rFonts w:cs="Calibri"/>
                <w:b w:val="0"/>
                <w:sz w:val="18"/>
                <w:szCs w:val="20"/>
                <w:lang w:val="sq-AL"/>
              </w:rPr>
              <w:t>Maqedonia e Veriut</w:t>
            </w:r>
          </w:p>
        </w:tc>
        <w:tc>
          <w:tcPr>
            <w:tcW w:w="877"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3</w:t>
            </w:r>
            <w:r w:rsidRPr="00476D2E">
              <w:rPr>
                <w:rFonts w:cs="Calibri"/>
                <w:sz w:val="18"/>
                <w:szCs w:val="20"/>
                <w:lang w:val="sq-AL"/>
              </w:rPr>
              <w:t>.</w:t>
            </w:r>
            <w:r>
              <w:rPr>
                <w:rFonts w:cs="Calibri"/>
                <w:sz w:val="18"/>
                <w:szCs w:val="20"/>
                <w:lang w:val="sq-AL"/>
              </w:rPr>
              <w:t>2</w:t>
            </w:r>
          </w:p>
        </w:tc>
        <w:tc>
          <w:tcPr>
            <w:tcW w:w="880"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14</w:t>
            </w:r>
            <w:r w:rsidRPr="00476D2E">
              <w:rPr>
                <w:rFonts w:cs="Calibri"/>
                <w:sz w:val="18"/>
                <w:szCs w:val="20"/>
                <w:lang w:val="sq-AL"/>
              </w:rPr>
              <w:t>.</w:t>
            </w:r>
            <w:r>
              <w:rPr>
                <w:rFonts w:cs="Calibri"/>
                <w:sz w:val="18"/>
                <w:szCs w:val="20"/>
                <w:lang w:val="sq-AL"/>
              </w:rPr>
              <w:t>1</w:t>
            </w:r>
          </w:p>
        </w:tc>
      </w:tr>
      <w:tr w:rsidR="00FD62C9" w:rsidRPr="00476D2E" w:rsidTr="008136C0">
        <w:trPr>
          <w:trHeight w:val="264"/>
          <w:jc w:val="center"/>
        </w:trPr>
        <w:tc>
          <w:tcPr>
            <w:cnfStyle w:val="001000000000" w:firstRow="0" w:lastRow="0" w:firstColumn="1" w:lastColumn="0" w:oddVBand="0" w:evenVBand="0" w:oddHBand="0" w:evenHBand="0" w:firstRowFirstColumn="0" w:firstRowLastColumn="0" w:lastRowFirstColumn="0" w:lastRowLastColumn="0"/>
            <w:tcW w:w="3243" w:type="pct"/>
            <w:noWrap/>
            <w:hideMark/>
          </w:tcPr>
          <w:p w:rsidR="00FD62C9" w:rsidRPr="00476D2E" w:rsidRDefault="00FD62C9" w:rsidP="008F59CB">
            <w:pPr>
              <w:spacing w:before="0" w:line="240" w:lineRule="auto"/>
              <w:rPr>
                <w:rFonts w:cs="Calibri"/>
                <w:sz w:val="18"/>
                <w:szCs w:val="20"/>
                <w:lang w:val="sq-AL"/>
              </w:rPr>
            </w:pPr>
            <w:r w:rsidRPr="00476D2E">
              <w:rPr>
                <w:rFonts w:cs="Calibri"/>
                <w:b w:val="0"/>
                <w:sz w:val="18"/>
                <w:szCs w:val="20"/>
                <w:lang w:val="sq-AL"/>
              </w:rPr>
              <w:t>Mali i ZI</w:t>
            </w:r>
          </w:p>
        </w:tc>
        <w:tc>
          <w:tcPr>
            <w:tcW w:w="877"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2</w:t>
            </w:r>
            <w:r w:rsidRPr="00476D2E">
              <w:rPr>
                <w:rFonts w:cs="Calibri"/>
                <w:sz w:val="18"/>
                <w:szCs w:val="20"/>
                <w:lang w:val="sq-AL"/>
              </w:rPr>
              <w:t>.</w:t>
            </w:r>
            <w:r>
              <w:rPr>
                <w:rFonts w:cs="Calibri"/>
                <w:sz w:val="18"/>
                <w:szCs w:val="20"/>
                <w:lang w:val="sq-AL"/>
              </w:rPr>
              <w:t>5</w:t>
            </w:r>
          </w:p>
        </w:tc>
        <w:tc>
          <w:tcPr>
            <w:tcW w:w="880"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11</w:t>
            </w:r>
            <w:r w:rsidRPr="00476D2E">
              <w:rPr>
                <w:rFonts w:cs="Calibri"/>
                <w:sz w:val="18"/>
                <w:szCs w:val="20"/>
                <w:lang w:val="sq-AL"/>
              </w:rPr>
              <w:t>.</w:t>
            </w:r>
            <w:r>
              <w:rPr>
                <w:rFonts w:cs="Calibri"/>
                <w:sz w:val="18"/>
                <w:szCs w:val="20"/>
                <w:lang w:val="sq-AL"/>
              </w:rPr>
              <w:t>9</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3243" w:type="pct"/>
            <w:noWrap/>
            <w:hideMark/>
          </w:tcPr>
          <w:p w:rsidR="00FD62C9" w:rsidRPr="00476D2E" w:rsidRDefault="00FD62C9" w:rsidP="008F59CB">
            <w:pPr>
              <w:spacing w:before="0" w:line="240" w:lineRule="auto"/>
              <w:rPr>
                <w:rFonts w:cs="Calibri"/>
                <w:sz w:val="18"/>
                <w:szCs w:val="20"/>
                <w:lang w:val="sq-AL"/>
              </w:rPr>
            </w:pPr>
            <w:r w:rsidRPr="00476D2E">
              <w:rPr>
                <w:rFonts w:cs="Calibri"/>
                <w:b w:val="0"/>
                <w:sz w:val="18"/>
                <w:szCs w:val="20"/>
                <w:lang w:val="sq-AL"/>
              </w:rPr>
              <w:t>Serbia</w:t>
            </w:r>
          </w:p>
        </w:tc>
        <w:tc>
          <w:tcPr>
            <w:tcW w:w="877"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4</w:t>
            </w:r>
            <w:r w:rsidRPr="00476D2E">
              <w:rPr>
                <w:rFonts w:cs="Calibri"/>
                <w:sz w:val="18"/>
                <w:szCs w:val="20"/>
                <w:lang w:val="sq-AL"/>
              </w:rPr>
              <w:t>.</w:t>
            </w:r>
            <w:r>
              <w:rPr>
                <w:rFonts w:cs="Calibri"/>
                <w:sz w:val="18"/>
                <w:szCs w:val="20"/>
                <w:lang w:val="sq-AL"/>
              </w:rPr>
              <w:t>1</w:t>
            </w:r>
          </w:p>
        </w:tc>
        <w:tc>
          <w:tcPr>
            <w:tcW w:w="880"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12</w:t>
            </w:r>
            <w:r w:rsidRPr="00476D2E">
              <w:rPr>
                <w:rFonts w:cs="Calibri"/>
                <w:sz w:val="18"/>
                <w:szCs w:val="20"/>
                <w:lang w:val="sq-AL"/>
              </w:rPr>
              <w:t>.</w:t>
            </w:r>
            <w:r>
              <w:rPr>
                <w:rFonts w:cs="Calibri"/>
                <w:sz w:val="18"/>
                <w:szCs w:val="20"/>
                <w:lang w:val="sq-AL"/>
              </w:rPr>
              <w:t>0</w:t>
            </w:r>
          </w:p>
        </w:tc>
      </w:tr>
      <w:tr w:rsidR="00FD62C9" w:rsidRPr="00476D2E" w:rsidTr="008136C0">
        <w:trPr>
          <w:trHeight w:val="264"/>
          <w:jc w:val="center"/>
        </w:trPr>
        <w:tc>
          <w:tcPr>
            <w:cnfStyle w:val="001000000000" w:firstRow="0" w:lastRow="0" w:firstColumn="1" w:lastColumn="0" w:oddVBand="0" w:evenVBand="0" w:oddHBand="0" w:evenHBand="0" w:firstRowFirstColumn="0" w:firstRowLastColumn="0" w:lastRowFirstColumn="0" w:lastRowLastColumn="0"/>
            <w:tcW w:w="3243" w:type="pct"/>
            <w:noWrap/>
            <w:hideMark/>
          </w:tcPr>
          <w:p w:rsidR="00FD62C9" w:rsidRPr="00476D2E" w:rsidRDefault="00FD62C9" w:rsidP="008F59CB">
            <w:pPr>
              <w:spacing w:before="0" w:line="240" w:lineRule="auto"/>
              <w:rPr>
                <w:rFonts w:cs="Calibri"/>
                <w:sz w:val="18"/>
                <w:szCs w:val="20"/>
                <w:lang w:val="sq-AL"/>
              </w:rPr>
            </w:pPr>
            <w:r w:rsidRPr="00476D2E">
              <w:rPr>
                <w:rFonts w:cs="Calibri"/>
                <w:sz w:val="18"/>
                <w:szCs w:val="20"/>
                <w:lang w:val="sq-AL"/>
              </w:rPr>
              <w:t>Shqipëria</w:t>
            </w:r>
          </w:p>
        </w:tc>
        <w:tc>
          <w:tcPr>
            <w:tcW w:w="877"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8"/>
                <w:szCs w:val="20"/>
                <w:lang w:val="sq-AL"/>
              </w:rPr>
            </w:pPr>
            <w:r>
              <w:rPr>
                <w:rFonts w:cs="Calibri"/>
                <w:b/>
                <w:sz w:val="18"/>
                <w:szCs w:val="20"/>
                <w:lang w:val="sq-AL"/>
              </w:rPr>
              <w:t>2</w:t>
            </w:r>
            <w:r w:rsidRPr="00476D2E">
              <w:rPr>
                <w:rFonts w:cs="Calibri"/>
                <w:b/>
                <w:sz w:val="18"/>
                <w:szCs w:val="20"/>
                <w:lang w:val="sq-AL"/>
              </w:rPr>
              <w:t>.</w:t>
            </w:r>
            <w:r>
              <w:rPr>
                <w:rFonts w:cs="Calibri"/>
                <w:b/>
                <w:sz w:val="18"/>
                <w:szCs w:val="20"/>
                <w:lang w:val="sq-AL"/>
              </w:rPr>
              <w:t>0</w:t>
            </w:r>
          </w:p>
        </w:tc>
        <w:tc>
          <w:tcPr>
            <w:tcW w:w="880"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8"/>
                <w:szCs w:val="20"/>
                <w:lang w:val="sq-AL"/>
              </w:rPr>
            </w:pPr>
            <w:r>
              <w:rPr>
                <w:rFonts w:cs="Calibri"/>
                <w:b/>
                <w:sz w:val="18"/>
                <w:szCs w:val="20"/>
                <w:lang w:val="sq-AL"/>
              </w:rPr>
              <w:t>6</w:t>
            </w:r>
            <w:r w:rsidRPr="00476D2E">
              <w:rPr>
                <w:rFonts w:cs="Calibri"/>
                <w:b/>
                <w:sz w:val="18"/>
                <w:szCs w:val="20"/>
                <w:lang w:val="sq-AL"/>
              </w:rPr>
              <w:t>.</w:t>
            </w:r>
            <w:r>
              <w:rPr>
                <w:rFonts w:cs="Calibri"/>
                <w:b/>
                <w:sz w:val="18"/>
                <w:szCs w:val="20"/>
                <w:lang w:val="sq-AL"/>
              </w:rPr>
              <w:t>7</w:t>
            </w:r>
          </w:p>
        </w:tc>
      </w:tr>
      <w:tr w:rsidR="00FD62C9" w:rsidRPr="00476D2E" w:rsidTr="008136C0">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3243" w:type="pct"/>
            <w:noWrap/>
            <w:hideMark/>
          </w:tcPr>
          <w:p w:rsidR="00FD62C9" w:rsidRPr="00476D2E" w:rsidRDefault="00FD62C9" w:rsidP="008F59CB">
            <w:pPr>
              <w:spacing w:before="0" w:line="240" w:lineRule="auto"/>
              <w:rPr>
                <w:rFonts w:cs="Calibri"/>
                <w:sz w:val="18"/>
                <w:szCs w:val="20"/>
                <w:lang w:val="sq-AL"/>
              </w:rPr>
            </w:pPr>
            <w:r w:rsidRPr="00476D2E">
              <w:rPr>
                <w:rFonts w:cs="Calibri"/>
                <w:b w:val="0"/>
                <w:sz w:val="18"/>
                <w:szCs w:val="20"/>
                <w:lang w:val="sq-AL"/>
              </w:rPr>
              <w:t>Bosnja dhe Hercegovina</w:t>
            </w:r>
          </w:p>
        </w:tc>
        <w:tc>
          <w:tcPr>
            <w:tcW w:w="877"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2</w:t>
            </w:r>
            <w:r w:rsidRPr="00476D2E">
              <w:rPr>
                <w:rFonts w:cs="Calibri"/>
                <w:sz w:val="18"/>
                <w:szCs w:val="20"/>
                <w:lang w:val="sq-AL"/>
              </w:rPr>
              <w:t>.</w:t>
            </w:r>
            <w:r>
              <w:rPr>
                <w:rFonts w:cs="Calibri"/>
                <w:sz w:val="18"/>
                <w:szCs w:val="20"/>
                <w:lang w:val="sq-AL"/>
              </w:rPr>
              <w:t>0</w:t>
            </w:r>
          </w:p>
        </w:tc>
        <w:tc>
          <w:tcPr>
            <w:tcW w:w="880" w:type="pct"/>
            <w:noWrap/>
            <w:hideMark/>
          </w:tcPr>
          <w:p w:rsidR="00FD62C9" w:rsidRPr="00476D2E"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14</w:t>
            </w:r>
            <w:r w:rsidRPr="00476D2E">
              <w:rPr>
                <w:rFonts w:cs="Calibri"/>
                <w:sz w:val="18"/>
                <w:szCs w:val="20"/>
                <w:lang w:val="sq-AL"/>
              </w:rPr>
              <w:t>.</w:t>
            </w:r>
            <w:r>
              <w:rPr>
                <w:rFonts w:cs="Calibri"/>
                <w:sz w:val="18"/>
                <w:szCs w:val="20"/>
                <w:lang w:val="sq-AL"/>
              </w:rPr>
              <w:t>0</w:t>
            </w:r>
          </w:p>
        </w:tc>
      </w:tr>
      <w:tr w:rsidR="00FD62C9" w:rsidRPr="00476D2E" w:rsidTr="008136C0">
        <w:trPr>
          <w:trHeight w:val="144"/>
          <w:jc w:val="center"/>
        </w:trPr>
        <w:tc>
          <w:tcPr>
            <w:cnfStyle w:val="001000000000" w:firstRow="0" w:lastRow="0" w:firstColumn="1" w:lastColumn="0" w:oddVBand="0" w:evenVBand="0" w:oddHBand="0" w:evenHBand="0" w:firstRowFirstColumn="0" w:firstRowLastColumn="0" w:lastRowFirstColumn="0" w:lastRowLastColumn="0"/>
            <w:tcW w:w="3243" w:type="pct"/>
            <w:noWrap/>
            <w:hideMark/>
          </w:tcPr>
          <w:p w:rsidR="00FD62C9" w:rsidRPr="00476D2E" w:rsidRDefault="00FD62C9" w:rsidP="008F59CB">
            <w:pPr>
              <w:spacing w:before="0" w:line="240" w:lineRule="auto"/>
              <w:rPr>
                <w:rFonts w:cs="Calibri"/>
                <w:sz w:val="18"/>
                <w:szCs w:val="20"/>
                <w:lang w:val="sq-AL"/>
              </w:rPr>
            </w:pPr>
            <w:r w:rsidRPr="00476D2E">
              <w:rPr>
                <w:rFonts w:cs="Calibri"/>
                <w:b w:val="0"/>
                <w:sz w:val="18"/>
                <w:szCs w:val="20"/>
                <w:lang w:val="sq-AL"/>
              </w:rPr>
              <w:t>Kosova</w:t>
            </w:r>
          </w:p>
        </w:tc>
        <w:tc>
          <w:tcPr>
            <w:tcW w:w="877"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3</w:t>
            </w:r>
            <w:r w:rsidRPr="00476D2E">
              <w:rPr>
                <w:rFonts w:cs="Calibri"/>
                <w:sz w:val="18"/>
                <w:szCs w:val="20"/>
                <w:lang w:val="sq-AL"/>
              </w:rPr>
              <w:t>.</w:t>
            </w:r>
            <w:r>
              <w:rPr>
                <w:rFonts w:cs="Calibri"/>
                <w:sz w:val="18"/>
                <w:szCs w:val="20"/>
                <w:lang w:val="sq-AL"/>
              </w:rPr>
              <w:t>3</w:t>
            </w:r>
          </w:p>
        </w:tc>
        <w:tc>
          <w:tcPr>
            <w:tcW w:w="880" w:type="pct"/>
            <w:noWrap/>
            <w:hideMark/>
          </w:tcPr>
          <w:p w:rsidR="00FD62C9" w:rsidRPr="00476D2E"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11</w:t>
            </w:r>
            <w:r w:rsidRPr="00476D2E">
              <w:rPr>
                <w:rFonts w:cs="Calibri"/>
                <w:sz w:val="18"/>
                <w:szCs w:val="20"/>
                <w:lang w:val="sq-AL"/>
              </w:rPr>
              <w:t>.</w:t>
            </w:r>
            <w:r>
              <w:rPr>
                <w:rFonts w:cs="Calibri"/>
                <w:sz w:val="18"/>
                <w:szCs w:val="20"/>
                <w:lang w:val="sq-AL"/>
              </w:rPr>
              <w:t>6</w:t>
            </w:r>
          </w:p>
        </w:tc>
      </w:tr>
    </w:tbl>
    <w:p w:rsidR="00CC50CE" w:rsidRPr="00476D2E" w:rsidRDefault="00CC50CE" w:rsidP="00036B4F">
      <w:pPr>
        <w:spacing w:before="0" w:line="240" w:lineRule="auto"/>
        <w:ind w:firstLine="720"/>
        <w:rPr>
          <w:rFonts w:cs="Calibri"/>
          <w:i/>
          <w:sz w:val="20"/>
          <w:szCs w:val="18"/>
          <w:lang w:val="sq-AL"/>
        </w:rPr>
      </w:pPr>
      <w:r w:rsidRPr="00476D2E">
        <w:rPr>
          <w:rFonts w:cs="Calibri"/>
          <w:i/>
          <w:sz w:val="18"/>
          <w:szCs w:val="18"/>
          <w:lang w:val="sq-AL"/>
        </w:rPr>
        <w:t>Burimi: Directorate-General for Economic and Financial Affairs (DG-ECFIN)</w:t>
      </w:r>
    </w:p>
    <w:p w:rsidR="00A664DE" w:rsidRDefault="00FD62C9" w:rsidP="00FC729E">
      <w:pPr>
        <w:spacing w:before="0"/>
        <w:rPr>
          <w:rFonts w:cs="Calibri"/>
          <w:lang w:val="sq-AL"/>
        </w:rPr>
      </w:pPr>
      <w:r w:rsidRPr="00664DEA">
        <w:rPr>
          <w:rFonts w:cs="Calibri"/>
          <w:lang w:val="sq-AL"/>
        </w:rPr>
        <w:t>Zgjerimi i vazhdueshëm ekonomik dhe inflacioni i lartë mbështetën rritjen e të ardhurave buxhetore dhe balancat fiskale u përmirësuan pothuajse në të gjitha ekonomitë e Ballkanit Perëndimor për vitin 2022</w:t>
      </w:r>
      <w:r w:rsidR="00A664DE" w:rsidRPr="00476D2E">
        <w:rPr>
          <w:rFonts w:cs="Calibri"/>
          <w:lang w:val="sq-AL"/>
        </w:rPr>
        <w:t>.</w:t>
      </w:r>
    </w:p>
    <w:p w:rsidR="00A664DE" w:rsidRDefault="00A664DE" w:rsidP="00FC729E">
      <w:pPr>
        <w:pStyle w:val="Caption"/>
        <w:keepNext/>
        <w:spacing w:after="0"/>
        <w:rPr>
          <w:rFonts w:cs="Calibri"/>
          <w:lang w:val="sq-AL"/>
        </w:rPr>
      </w:pPr>
      <w:bookmarkStart w:id="28" w:name="_Toc136526331"/>
      <w:r w:rsidRPr="00476D2E">
        <w:rPr>
          <w:rFonts w:cs="Calibri"/>
          <w:lang w:val="sq-AL"/>
        </w:rPr>
        <w:t xml:space="preserve">Tabela </w:t>
      </w:r>
      <w:r w:rsidRPr="00476D2E">
        <w:rPr>
          <w:rFonts w:cs="Calibri"/>
          <w:lang w:val="sq-AL"/>
        </w:rPr>
        <w:fldChar w:fldCharType="begin"/>
      </w:r>
      <w:r w:rsidRPr="00476D2E">
        <w:rPr>
          <w:rFonts w:cs="Calibri"/>
          <w:lang w:val="sq-AL"/>
        </w:rPr>
        <w:instrText xml:space="preserve"> SEQ Tabela \* ARABIC </w:instrText>
      </w:r>
      <w:r w:rsidRPr="00476D2E">
        <w:rPr>
          <w:rFonts w:cs="Calibri"/>
          <w:lang w:val="sq-AL"/>
        </w:rPr>
        <w:fldChar w:fldCharType="separate"/>
      </w:r>
      <w:r w:rsidR="008C3E07">
        <w:rPr>
          <w:rFonts w:cs="Calibri"/>
          <w:noProof/>
          <w:lang w:val="sq-AL"/>
        </w:rPr>
        <w:t>5</w:t>
      </w:r>
      <w:r w:rsidRPr="00476D2E">
        <w:rPr>
          <w:rFonts w:cs="Calibri"/>
          <w:noProof/>
          <w:lang w:val="sq-AL"/>
        </w:rPr>
        <w:fldChar w:fldCharType="end"/>
      </w:r>
      <w:r w:rsidR="00B70BE3">
        <w:rPr>
          <w:rFonts w:cs="Calibri"/>
          <w:noProof/>
          <w:lang w:val="sq-AL"/>
        </w:rPr>
        <w:t xml:space="preserve"> </w:t>
      </w:r>
      <w:r w:rsidRPr="00476D2E">
        <w:rPr>
          <w:rFonts w:cs="Calibri"/>
          <w:lang w:val="sq-AL"/>
        </w:rPr>
        <w:t>Bilanci fiskal</w:t>
      </w:r>
      <w:bookmarkEnd w:id="28"/>
    </w:p>
    <w:tbl>
      <w:tblPr>
        <w:tblStyle w:val="GridTable4-Accent11"/>
        <w:tblW w:w="4567" w:type="pct"/>
        <w:jc w:val="center"/>
        <w:tblLook w:val="04A0" w:firstRow="1" w:lastRow="0" w:firstColumn="1" w:lastColumn="0" w:noHBand="0" w:noVBand="1"/>
      </w:tblPr>
      <w:tblGrid>
        <w:gridCol w:w="5425"/>
        <w:gridCol w:w="2502"/>
        <w:gridCol w:w="1682"/>
      </w:tblGrid>
      <w:tr w:rsidR="00FD62C9" w:rsidRPr="0005408D" w:rsidTr="008136C0">
        <w:trPr>
          <w:cnfStyle w:val="100000000000" w:firstRow="1" w:lastRow="0" w:firstColumn="0" w:lastColumn="0" w:oddVBand="0" w:evenVBand="0" w:oddHBand="0"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2823" w:type="pct"/>
            <w:hideMark/>
          </w:tcPr>
          <w:p w:rsidR="00FD62C9" w:rsidRPr="0005408D" w:rsidRDefault="00FD62C9" w:rsidP="008F59CB">
            <w:pPr>
              <w:spacing w:before="0" w:line="240" w:lineRule="auto"/>
              <w:jc w:val="left"/>
              <w:rPr>
                <w:rFonts w:cs="Calibri"/>
                <w:bCs w:val="0"/>
                <w:sz w:val="18"/>
                <w:szCs w:val="20"/>
                <w:lang w:val="sq-AL"/>
              </w:rPr>
            </w:pPr>
            <w:r w:rsidRPr="0005408D">
              <w:rPr>
                <w:rFonts w:cs="Calibri"/>
                <w:bCs w:val="0"/>
                <w:sz w:val="18"/>
                <w:szCs w:val="20"/>
                <w:lang w:val="sq-AL"/>
              </w:rPr>
              <w:t>B</w:t>
            </w:r>
            <w:r>
              <w:rPr>
                <w:rFonts w:cs="Calibri"/>
                <w:bCs w:val="0"/>
                <w:sz w:val="18"/>
                <w:szCs w:val="20"/>
                <w:lang w:val="sq-AL"/>
              </w:rPr>
              <w:t>a</w:t>
            </w:r>
            <w:r w:rsidRPr="0005408D">
              <w:rPr>
                <w:rFonts w:cs="Calibri"/>
                <w:bCs w:val="0"/>
                <w:sz w:val="18"/>
                <w:szCs w:val="20"/>
                <w:lang w:val="sq-AL"/>
              </w:rPr>
              <w:t xml:space="preserve">lanca e përgjithshme e qeverisë/Deficiti fiskal </w:t>
            </w:r>
            <w:r w:rsidRPr="0005408D">
              <w:rPr>
                <w:rFonts w:cs="Calibri"/>
                <w:b w:val="0"/>
                <w:i/>
                <w:iCs/>
                <w:sz w:val="18"/>
                <w:szCs w:val="20"/>
                <w:lang w:val="sq-AL"/>
              </w:rPr>
              <w:t>(në % të PBB)</w:t>
            </w:r>
          </w:p>
        </w:tc>
        <w:tc>
          <w:tcPr>
            <w:tcW w:w="1302" w:type="pct"/>
            <w:hideMark/>
          </w:tcPr>
          <w:p w:rsidR="00FD62C9" w:rsidRPr="0005408D"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05408D">
              <w:rPr>
                <w:rFonts w:cs="Calibri"/>
                <w:sz w:val="18"/>
                <w:szCs w:val="20"/>
                <w:lang w:val="sq-AL"/>
              </w:rPr>
              <w:t> 202</w:t>
            </w:r>
            <w:r>
              <w:rPr>
                <w:rFonts w:cs="Calibri"/>
                <w:sz w:val="18"/>
                <w:szCs w:val="20"/>
                <w:lang w:val="sq-AL"/>
              </w:rPr>
              <w:t>1</w:t>
            </w:r>
          </w:p>
        </w:tc>
        <w:tc>
          <w:tcPr>
            <w:tcW w:w="875" w:type="pct"/>
            <w:hideMark/>
          </w:tcPr>
          <w:p w:rsidR="00FD62C9" w:rsidRPr="0005408D"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05408D">
              <w:rPr>
                <w:rFonts w:cs="Calibri"/>
                <w:sz w:val="18"/>
                <w:szCs w:val="20"/>
                <w:lang w:val="sq-AL"/>
              </w:rPr>
              <w:t>202</w:t>
            </w:r>
            <w:r>
              <w:rPr>
                <w:rFonts w:cs="Calibri"/>
                <w:sz w:val="18"/>
                <w:szCs w:val="20"/>
                <w:lang w:val="sq-AL"/>
              </w:rPr>
              <w:t>2</w:t>
            </w:r>
          </w:p>
        </w:tc>
      </w:tr>
      <w:tr w:rsidR="00FD62C9" w:rsidRPr="0005408D" w:rsidTr="008136C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23" w:type="pct"/>
            <w:noWrap/>
            <w:hideMark/>
          </w:tcPr>
          <w:p w:rsidR="00FD62C9" w:rsidRPr="0005408D" w:rsidRDefault="00FD62C9" w:rsidP="008F59CB">
            <w:pPr>
              <w:spacing w:before="0" w:line="240" w:lineRule="auto"/>
              <w:rPr>
                <w:rFonts w:cs="Calibri"/>
                <w:sz w:val="18"/>
                <w:szCs w:val="20"/>
                <w:lang w:val="sq-AL"/>
              </w:rPr>
            </w:pPr>
            <w:r w:rsidRPr="0005408D">
              <w:rPr>
                <w:rFonts w:cs="Calibri"/>
                <w:b w:val="0"/>
                <w:sz w:val="18"/>
                <w:szCs w:val="20"/>
                <w:lang w:val="sq-AL"/>
              </w:rPr>
              <w:t>Maqedonia e Veriut***</w:t>
            </w:r>
          </w:p>
        </w:tc>
        <w:tc>
          <w:tcPr>
            <w:tcW w:w="1302" w:type="pct"/>
            <w:noWrap/>
            <w:hideMark/>
          </w:tcPr>
          <w:p w:rsidR="00FD62C9" w:rsidRPr="0005408D"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05408D">
              <w:rPr>
                <w:rFonts w:cs="Calibri"/>
                <w:sz w:val="18"/>
                <w:szCs w:val="20"/>
                <w:lang w:val="sq-AL"/>
              </w:rPr>
              <w:t>-</w:t>
            </w:r>
            <w:r>
              <w:rPr>
                <w:rFonts w:cs="Calibri"/>
                <w:sz w:val="18"/>
                <w:szCs w:val="20"/>
                <w:lang w:val="sq-AL"/>
              </w:rPr>
              <w:t>5</w:t>
            </w:r>
            <w:r w:rsidRPr="0005408D">
              <w:rPr>
                <w:rFonts w:cs="Calibri"/>
                <w:sz w:val="18"/>
                <w:szCs w:val="20"/>
                <w:lang w:val="sq-AL"/>
              </w:rPr>
              <w:t>.</w:t>
            </w:r>
            <w:r>
              <w:rPr>
                <w:rFonts w:cs="Calibri"/>
                <w:sz w:val="18"/>
                <w:szCs w:val="20"/>
                <w:lang w:val="sq-AL"/>
              </w:rPr>
              <w:t>4</w:t>
            </w:r>
          </w:p>
        </w:tc>
        <w:tc>
          <w:tcPr>
            <w:tcW w:w="875" w:type="pct"/>
            <w:noWrap/>
            <w:hideMark/>
          </w:tcPr>
          <w:p w:rsidR="00FD62C9" w:rsidRPr="0005408D"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05408D">
              <w:rPr>
                <w:rFonts w:cs="Calibri"/>
                <w:sz w:val="18"/>
                <w:szCs w:val="20"/>
                <w:lang w:val="sq-AL"/>
              </w:rPr>
              <w:t>-</w:t>
            </w:r>
            <w:r>
              <w:rPr>
                <w:rFonts w:cs="Calibri"/>
                <w:sz w:val="18"/>
                <w:szCs w:val="20"/>
                <w:lang w:val="sq-AL"/>
              </w:rPr>
              <w:t>4</w:t>
            </w:r>
            <w:r w:rsidRPr="0005408D">
              <w:rPr>
                <w:rFonts w:cs="Calibri"/>
                <w:sz w:val="18"/>
                <w:szCs w:val="20"/>
                <w:lang w:val="sq-AL"/>
              </w:rPr>
              <w:t>.</w:t>
            </w:r>
            <w:r>
              <w:rPr>
                <w:rFonts w:cs="Calibri"/>
                <w:sz w:val="18"/>
                <w:szCs w:val="20"/>
                <w:lang w:val="sq-AL"/>
              </w:rPr>
              <w:t>5</w:t>
            </w:r>
          </w:p>
        </w:tc>
      </w:tr>
      <w:tr w:rsidR="00FD62C9" w:rsidRPr="0005408D" w:rsidTr="008136C0">
        <w:trPr>
          <w:trHeight w:val="255"/>
          <w:jc w:val="center"/>
        </w:trPr>
        <w:tc>
          <w:tcPr>
            <w:cnfStyle w:val="001000000000" w:firstRow="0" w:lastRow="0" w:firstColumn="1" w:lastColumn="0" w:oddVBand="0" w:evenVBand="0" w:oddHBand="0" w:evenHBand="0" w:firstRowFirstColumn="0" w:firstRowLastColumn="0" w:lastRowFirstColumn="0" w:lastRowLastColumn="0"/>
            <w:tcW w:w="2823" w:type="pct"/>
            <w:noWrap/>
            <w:hideMark/>
          </w:tcPr>
          <w:p w:rsidR="00FD62C9" w:rsidRPr="0005408D" w:rsidRDefault="00FD62C9" w:rsidP="008F59CB">
            <w:pPr>
              <w:spacing w:before="0" w:line="240" w:lineRule="auto"/>
              <w:rPr>
                <w:rFonts w:cs="Calibri"/>
                <w:sz w:val="18"/>
                <w:szCs w:val="20"/>
                <w:lang w:val="sq-AL"/>
              </w:rPr>
            </w:pPr>
            <w:r w:rsidRPr="0005408D">
              <w:rPr>
                <w:rFonts w:cs="Calibri"/>
                <w:b w:val="0"/>
                <w:sz w:val="18"/>
                <w:szCs w:val="20"/>
                <w:lang w:val="sq-AL"/>
              </w:rPr>
              <w:t>Mali i ZI**</w:t>
            </w:r>
          </w:p>
        </w:tc>
        <w:tc>
          <w:tcPr>
            <w:tcW w:w="1302" w:type="pct"/>
            <w:noWrap/>
            <w:hideMark/>
          </w:tcPr>
          <w:p w:rsidR="00FD62C9" w:rsidRPr="0005408D"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05408D">
              <w:rPr>
                <w:rFonts w:cs="Calibri"/>
                <w:sz w:val="18"/>
                <w:szCs w:val="20"/>
                <w:lang w:val="sq-AL"/>
              </w:rPr>
              <w:t>-1.</w:t>
            </w:r>
            <w:r>
              <w:rPr>
                <w:rFonts w:cs="Calibri"/>
                <w:sz w:val="18"/>
                <w:szCs w:val="20"/>
                <w:lang w:val="sq-AL"/>
              </w:rPr>
              <w:t>9</w:t>
            </w:r>
          </w:p>
        </w:tc>
        <w:tc>
          <w:tcPr>
            <w:tcW w:w="875" w:type="pct"/>
            <w:noWrap/>
            <w:hideMark/>
          </w:tcPr>
          <w:p w:rsidR="00FD62C9" w:rsidRPr="0005408D"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5</w:t>
            </w:r>
            <w:r w:rsidRPr="0005408D">
              <w:rPr>
                <w:rFonts w:cs="Calibri"/>
                <w:sz w:val="18"/>
                <w:szCs w:val="20"/>
                <w:lang w:val="sq-AL"/>
              </w:rPr>
              <w:t>.</w:t>
            </w:r>
            <w:r>
              <w:rPr>
                <w:rFonts w:cs="Calibri"/>
                <w:sz w:val="18"/>
                <w:szCs w:val="20"/>
                <w:lang w:val="sq-AL"/>
              </w:rPr>
              <w:t>2</w:t>
            </w:r>
          </w:p>
        </w:tc>
      </w:tr>
      <w:tr w:rsidR="00FD62C9" w:rsidRPr="0005408D" w:rsidTr="008136C0">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2823" w:type="pct"/>
            <w:noWrap/>
            <w:hideMark/>
          </w:tcPr>
          <w:p w:rsidR="00FD62C9" w:rsidRPr="0005408D" w:rsidRDefault="00FD62C9" w:rsidP="008F59CB">
            <w:pPr>
              <w:spacing w:before="0" w:line="240" w:lineRule="auto"/>
              <w:rPr>
                <w:rFonts w:cs="Calibri"/>
                <w:sz w:val="18"/>
                <w:szCs w:val="20"/>
                <w:lang w:val="sq-AL"/>
              </w:rPr>
            </w:pPr>
            <w:r w:rsidRPr="0005408D">
              <w:rPr>
                <w:rFonts w:cs="Calibri"/>
                <w:b w:val="0"/>
                <w:sz w:val="18"/>
                <w:szCs w:val="20"/>
                <w:lang w:val="sq-AL"/>
              </w:rPr>
              <w:t>Serbia***</w:t>
            </w:r>
          </w:p>
        </w:tc>
        <w:tc>
          <w:tcPr>
            <w:tcW w:w="1302" w:type="pct"/>
            <w:noWrap/>
            <w:hideMark/>
          </w:tcPr>
          <w:p w:rsidR="00FD62C9" w:rsidRPr="0005408D"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05408D">
              <w:rPr>
                <w:rFonts w:cs="Calibri"/>
                <w:sz w:val="18"/>
                <w:szCs w:val="20"/>
                <w:lang w:val="sq-AL"/>
              </w:rPr>
              <w:t>-</w:t>
            </w:r>
            <w:r>
              <w:rPr>
                <w:rFonts w:cs="Calibri"/>
                <w:sz w:val="18"/>
                <w:szCs w:val="20"/>
                <w:lang w:val="sq-AL"/>
              </w:rPr>
              <w:t>4</w:t>
            </w:r>
            <w:r w:rsidRPr="0005408D">
              <w:rPr>
                <w:rFonts w:cs="Calibri"/>
                <w:sz w:val="18"/>
                <w:szCs w:val="20"/>
                <w:lang w:val="sq-AL"/>
              </w:rPr>
              <w:t>.</w:t>
            </w:r>
            <w:r>
              <w:rPr>
                <w:rFonts w:cs="Calibri"/>
                <w:sz w:val="18"/>
                <w:szCs w:val="20"/>
                <w:lang w:val="sq-AL"/>
              </w:rPr>
              <w:t>1</w:t>
            </w:r>
          </w:p>
        </w:tc>
        <w:tc>
          <w:tcPr>
            <w:tcW w:w="875" w:type="pct"/>
            <w:noWrap/>
            <w:hideMark/>
          </w:tcPr>
          <w:p w:rsidR="00FD62C9" w:rsidRPr="0005408D"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05408D">
              <w:rPr>
                <w:rFonts w:cs="Calibri"/>
                <w:sz w:val="18"/>
                <w:szCs w:val="20"/>
                <w:lang w:val="sq-AL"/>
              </w:rPr>
              <w:t>-</w:t>
            </w:r>
            <w:r>
              <w:rPr>
                <w:rFonts w:cs="Calibri"/>
                <w:sz w:val="18"/>
                <w:szCs w:val="20"/>
                <w:lang w:val="sq-AL"/>
              </w:rPr>
              <w:t>3</w:t>
            </w:r>
            <w:r w:rsidRPr="0005408D">
              <w:rPr>
                <w:rFonts w:cs="Calibri"/>
                <w:sz w:val="18"/>
                <w:szCs w:val="20"/>
                <w:lang w:val="sq-AL"/>
              </w:rPr>
              <w:t>.1</w:t>
            </w:r>
          </w:p>
        </w:tc>
      </w:tr>
      <w:tr w:rsidR="00FD62C9" w:rsidRPr="0049325D" w:rsidTr="008136C0">
        <w:trPr>
          <w:trHeight w:val="255"/>
          <w:jc w:val="center"/>
        </w:trPr>
        <w:tc>
          <w:tcPr>
            <w:cnfStyle w:val="001000000000" w:firstRow="0" w:lastRow="0" w:firstColumn="1" w:lastColumn="0" w:oddVBand="0" w:evenVBand="0" w:oddHBand="0" w:evenHBand="0" w:firstRowFirstColumn="0" w:firstRowLastColumn="0" w:lastRowFirstColumn="0" w:lastRowLastColumn="0"/>
            <w:tcW w:w="2823" w:type="pct"/>
            <w:noWrap/>
            <w:hideMark/>
          </w:tcPr>
          <w:p w:rsidR="00FD62C9" w:rsidRPr="0049325D" w:rsidRDefault="00FD62C9" w:rsidP="008F59CB">
            <w:pPr>
              <w:spacing w:before="0" w:line="240" w:lineRule="auto"/>
              <w:rPr>
                <w:rFonts w:cs="Calibri"/>
                <w:sz w:val="19"/>
                <w:szCs w:val="19"/>
                <w:lang w:val="sq-AL"/>
              </w:rPr>
            </w:pPr>
            <w:r w:rsidRPr="0049325D">
              <w:rPr>
                <w:rFonts w:cs="Calibri"/>
                <w:sz w:val="19"/>
                <w:szCs w:val="19"/>
                <w:lang w:val="sq-AL"/>
              </w:rPr>
              <w:t>Shqipëria**</w:t>
            </w:r>
          </w:p>
        </w:tc>
        <w:tc>
          <w:tcPr>
            <w:tcW w:w="1302" w:type="pct"/>
            <w:noWrap/>
            <w:hideMark/>
          </w:tcPr>
          <w:p w:rsidR="00FD62C9" w:rsidRPr="0049325D"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9"/>
                <w:szCs w:val="19"/>
                <w:lang w:val="sq-AL"/>
              </w:rPr>
            </w:pPr>
            <w:r w:rsidRPr="0049325D">
              <w:rPr>
                <w:rFonts w:cs="Calibri"/>
                <w:b/>
                <w:sz w:val="19"/>
                <w:szCs w:val="19"/>
                <w:lang w:val="sq-AL"/>
              </w:rPr>
              <w:t>-</w:t>
            </w:r>
            <w:r>
              <w:rPr>
                <w:rFonts w:cs="Calibri"/>
                <w:b/>
                <w:sz w:val="19"/>
                <w:szCs w:val="19"/>
                <w:lang w:val="sq-AL"/>
              </w:rPr>
              <w:t>4</w:t>
            </w:r>
            <w:r w:rsidRPr="0049325D">
              <w:rPr>
                <w:rFonts w:cs="Calibri"/>
                <w:b/>
                <w:sz w:val="19"/>
                <w:szCs w:val="19"/>
                <w:lang w:val="sq-AL"/>
              </w:rPr>
              <w:t>.</w:t>
            </w:r>
            <w:r>
              <w:rPr>
                <w:rFonts w:cs="Calibri"/>
                <w:b/>
                <w:sz w:val="19"/>
                <w:szCs w:val="19"/>
                <w:lang w:val="sq-AL"/>
              </w:rPr>
              <w:t>6</w:t>
            </w:r>
          </w:p>
        </w:tc>
        <w:tc>
          <w:tcPr>
            <w:tcW w:w="875" w:type="pct"/>
            <w:noWrap/>
            <w:hideMark/>
          </w:tcPr>
          <w:p w:rsidR="00FD62C9" w:rsidRPr="0049325D"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9"/>
                <w:szCs w:val="19"/>
                <w:lang w:val="sq-AL"/>
              </w:rPr>
            </w:pPr>
            <w:r w:rsidRPr="0049325D">
              <w:rPr>
                <w:rFonts w:cs="Calibri"/>
                <w:b/>
                <w:sz w:val="19"/>
                <w:szCs w:val="19"/>
                <w:lang w:val="sq-AL"/>
              </w:rPr>
              <w:t>-</w:t>
            </w:r>
            <w:r>
              <w:rPr>
                <w:rFonts w:cs="Calibri"/>
                <w:b/>
                <w:sz w:val="19"/>
                <w:szCs w:val="19"/>
                <w:lang w:val="sq-AL"/>
              </w:rPr>
              <w:t>3</w:t>
            </w:r>
            <w:r w:rsidRPr="0049325D">
              <w:rPr>
                <w:rFonts w:cs="Calibri"/>
                <w:b/>
                <w:sz w:val="19"/>
                <w:szCs w:val="19"/>
                <w:lang w:val="sq-AL"/>
              </w:rPr>
              <w:t>.</w:t>
            </w:r>
            <w:r>
              <w:rPr>
                <w:rFonts w:cs="Calibri"/>
                <w:b/>
                <w:sz w:val="19"/>
                <w:szCs w:val="19"/>
                <w:lang w:val="sq-AL"/>
              </w:rPr>
              <w:t>7</w:t>
            </w:r>
          </w:p>
        </w:tc>
      </w:tr>
      <w:tr w:rsidR="00FD62C9" w:rsidRPr="0005408D" w:rsidTr="008136C0">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823" w:type="pct"/>
            <w:noWrap/>
            <w:hideMark/>
          </w:tcPr>
          <w:p w:rsidR="00FD62C9" w:rsidRPr="0005408D" w:rsidRDefault="00FD62C9" w:rsidP="008F59CB">
            <w:pPr>
              <w:spacing w:before="0" w:line="240" w:lineRule="auto"/>
              <w:rPr>
                <w:rFonts w:cs="Calibri"/>
                <w:sz w:val="18"/>
                <w:szCs w:val="20"/>
                <w:lang w:val="sq-AL"/>
              </w:rPr>
            </w:pPr>
            <w:r w:rsidRPr="0005408D">
              <w:rPr>
                <w:rFonts w:cs="Calibri"/>
                <w:b w:val="0"/>
                <w:sz w:val="18"/>
                <w:szCs w:val="20"/>
                <w:lang w:val="sq-AL"/>
              </w:rPr>
              <w:t>Bosnja dhe Hercegovina***</w:t>
            </w:r>
          </w:p>
        </w:tc>
        <w:tc>
          <w:tcPr>
            <w:tcW w:w="1302" w:type="pct"/>
            <w:noWrap/>
            <w:hideMark/>
          </w:tcPr>
          <w:p w:rsidR="00FD62C9" w:rsidRPr="0005408D"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05408D">
              <w:rPr>
                <w:rFonts w:cs="Calibri"/>
                <w:sz w:val="18"/>
                <w:szCs w:val="20"/>
                <w:lang w:val="sq-AL"/>
              </w:rPr>
              <w:t>-</w:t>
            </w:r>
            <w:r>
              <w:rPr>
                <w:rFonts w:cs="Calibri"/>
                <w:sz w:val="18"/>
                <w:szCs w:val="20"/>
                <w:lang w:val="sq-AL"/>
              </w:rPr>
              <w:t>0</w:t>
            </w:r>
            <w:r w:rsidRPr="0005408D">
              <w:rPr>
                <w:rFonts w:cs="Calibri"/>
                <w:sz w:val="18"/>
                <w:szCs w:val="20"/>
                <w:lang w:val="sq-AL"/>
              </w:rPr>
              <w:t>.3</w:t>
            </w:r>
          </w:p>
        </w:tc>
        <w:tc>
          <w:tcPr>
            <w:tcW w:w="875" w:type="pct"/>
            <w:noWrap/>
            <w:hideMark/>
          </w:tcPr>
          <w:p w:rsidR="00FD62C9" w:rsidRPr="0005408D"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05408D">
              <w:rPr>
                <w:rFonts w:cs="Calibri"/>
                <w:sz w:val="18"/>
                <w:szCs w:val="20"/>
                <w:lang w:val="sq-AL"/>
              </w:rPr>
              <w:t>N/A</w:t>
            </w:r>
          </w:p>
        </w:tc>
      </w:tr>
      <w:tr w:rsidR="00FD62C9" w:rsidRPr="0005408D" w:rsidTr="008136C0">
        <w:trPr>
          <w:trHeight w:val="267"/>
          <w:jc w:val="center"/>
        </w:trPr>
        <w:tc>
          <w:tcPr>
            <w:cnfStyle w:val="001000000000" w:firstRow="0" w:lastRow="0" w:firstColumn="1" w:lastColumn="0" w:oddVBand="0" w:evenVBand="0" w:oddHBand="0" w:evenHBand="0" w:firstRowFirstColumn="0" w:firstRowLastColumn="0" w:lastRowFirstColumn="0" w:lastRowLastColumn="0"/>
            <w:tcW w:w="2823" w:type="pct"/>
            <w:noWrap/>
            <w:hideMark/>
          </w:tcPr>
          <w:p w:rsidR="00FD62C9" w:rsidRPr="0005408D" w:rsidRDefault="00FD62C9" w:rsidP="008F59CB">
            <w:pPr>
              <w:spacing w:before="0" w:line="240" w:lineRule="auto"/>
              <w:rPr>
                <w:rFonts w:cs="Calibri"/>
                <w:sz w:val="18"/>
                <w:szCs w:val="20"/>
                <w:lang w:val="sq-AL"/>
              </w:rPr>
            </w:pPr>
            <w:r w:rsidRPr="0005408D">
              <w:rPr>
                <w:rFonts w:cs="Calibri"/>
                <w:b w:val="0"/>
                <w:sz w:val="18"/>
                <w:szCs w:val="20"/>
                <w:lang w:val="sq-AL"/>
              </w:rPr>
              <w:t xml:space="preserve">Kosova </w:t>
            </w:r>
          </w:p>
        </w:tc>
        <w:tc>
          <w:tcPr>
            <w:tcW w:w="1302" w:type="pct"/>
            <w:noWrap/>
            <w:hideMark/>
          </w:tcPr>
          <w:p w:rsidR="00FD62C9" w:rsidRPr="0005408D"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05408D">
              <w:rPr>
                <w:rFonts w:cs="Calibri"/>
                <w:sz w:val="18"/>
                <w:szCs w:val="20"/>
                <w:lang w:val="sq-AL"/>
              </w:rPr>
              <w:t>-</w:t>
            </w:r>
            <w:r>
              <w:rPr>
                <w:rFonts w:cs="Calibri"/>
                <w:sz w:val="18"/>
                <w:szCs w:val="20"/>
                <w:lang w:val="sq-AL"/>
              </w:rPr>
              <w:t>1</w:t>
            </w:r>
            <w:r w:rsidRPr="0005408D">
              <w:rPr>
                <w:rFonts w:cs="Calibri"/>
                <w:sz w:val="18"/>
                <w:szCs w:val="20"/>
                <w:lang w:val="sq-AL"/>
              </w:rPr>
              <w:t>.</w:t>
            </w:r>
            <w:r>
              <w:rPr>
                <w:rFonts w:cs="Calibri"/>
                <w:sz w:val="18"/>
                <w:szCs w:val="20"/>
                <w:lang w:val="sq-AL"/>
              </w:rPr>
              <w:t>2</w:t>
            </w:r>
          </w:p>
        </w:tc>
        <w:tc>
          <w:tcPr>
            <w:tcW w:w="875" w:type="pct"/>
            <w:noWrap/>
            <w:hideMark/>
          </w:tcPr>
          <w:p w:rsidR="00FD62C9" w:rsidRPr="0005408D"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05408D">
              <w:rPr>
                <w:rFonts w:cs="Calibri"/>
                <w:sz w:val="18"/>
                <w:szCs w:val="20"/>
                <w:lang w:val="sq-AL"/>
              </w:rPr>
              <w:t>-</w:t>
            </w:r>
            <w:r>
              <w:rPr>
                <w:rFonts w:cs="Calibri"/>
                <w:sz w:val="18"/>
                <w:szCs w:val="20"/>
                <w:lang w:val="sq-AL"/>
              </w:rPr>
              <w:t>0</w:t>
            </w:r>
            <w:r w:rsidRPr="0005408D">
              <w:rPr>
                <w:rFonts w:cs="Calibri"/>
                <w:sz w:val="18"/>
                <w:szCs w:val="20"/>
                <w:lang w:val="sq-AL"/>
              </w:rPr>
              <w:t>.</w:t>
            </w:r>
            <w:r>
              <w:rPr>
                <w:rFonts w:cs="Calibri"/>
                <w:sz w:val="18"/>
                <w:szCs w:val="20"/>
                <w:lang w:val="sq-AL"/>
              </w:rPr>
              <w:t>5</w:t>
            </w:r>
          </w:p>
        </w:tc>
      </w:tr>
    </w:tbl>
    <w:p w:rsidR="00A664DE" w:rsidRPr="00476D2E" w:rsidRDefault="00A664DE" w:rsidP="00036B4F">
      <w:pPr>
        <w:spacing w:before="0" w:line="240" w:lineRule="auto"/>
        <w:ind w:firstLine="450"/>
        <w:rPr>
          <w:rFonts w:cs="Calibri"/>
          <w:i/>
          <w:sz w:val="18"/>
          <w:szCs w:val="18"/>
          <w:lang w:val="sq-AL"/>
        </w:rPr>
      </w:pPr>
      <w:r w:rsidRPr="00476D2E">
        <w:rPr>
          <w:rFonts w:cs="Calibri"/>
          <w:i/>
          <w:sz w:val="18"/>
          <w:szCs w:val="18"/>
          <w:lang w:val="sq-AL"/>
        </w:rPr>
        <w:t>Burimi: Directorate-General for Economic and Financial Affairs (DG-ECFIN)</w:t>
      </w:r>
    </w:p>
    <w:p w:rsidR="00A664DE" w:rsidRPr="00476D2E" w:rsidRDefault="00FD62C9" w:rsidP="004251C6">
      <w:pPr>
        <w:spacing w:before="0" w:line="240" w:lineRule="auto"/>
        <w:rPr>
          <w:rFonts w:cs="Calibri"/>
          <w:lang w:val="sq-AL"/>
        </w:rPr>
      </w:pPr>
      <w:r w:rsidRPr="00664DEA">
        <w:rPr>
          <w:rFonts w:cs="Calibri"/>
          <w:lang w:val="sq-AL"/>
        </w:rPr>
        <w:t>Raportet e borxhit publik ndaj PBB-së u ulën në krahasim me fundin e vitit 2021, pjesërisht për shkak të rritjes së fortë të nivelit nominal të PBB-së. Rënia e barrës së borxhit ishte më e theksuar në Mal të Zi dhe Shqipëri, por ato mbetën vendet me raportin më të lartë të borxhit, përkatësisht 69.5% dhe 64.6% të PBB-së në fund të vitit 2022</w:t>
      </w:r>
      <w:r w:rsidR="00A664DE" w:rsidRPr="00476D2E">
        <w:rPr>
          <w:rFonts w:cs="Calibri"/>
          <w:lang w:val="sq-AL"/>
        </w:rPr>
        <w:t>.</w:t>
      </w:r>
    </w:p>
    <w:p w:rsidR="00A664DE" w:rsidRDefault="00A664DE" w:rsidP="00FC729E">
      <w:pPr>
        <w:pStyle w:val="Caption"/>
        <w:spacing w:before="0" w:after="0"/>
        <w:rPr>
          <w:rFonts w:cs="Calibri"/>
          <w:lang w:val="sq-AL"/>
        </w:rPr>
      </w:pPr>
      <w:bookmarkStart w:id="29" w:name="_Toc136526332"/>
      <w:r w:rsidRPr="00476D2E">
        <w:rPr>
          <w:rFonts w:cs="Calibri"/>
          <w:lang w:val="sq-AL"/>
        </w:rPr>
        <w:t xml:space="preserve">Tabela </w:t>
      </w:r>
      <w:r w:rsidRPr="00476D2E">
        <w:rPr>
          <w:rFonts w:cs="Calibri"/>
          <w:lang w:val="sq-AL"/>
        </w:rPr>
        <w:fldChar w:fldCharType="begin"/>
      </w:r>
      <w:r w:rsidRPr="00476D2E">
        <w:rPr>
          <w:rFonts w:cs="Calibri"/>
          <w:lang w:val="sq-AL"/>
        </w:rPr>
        <w:instrText xml:space="preserve"> SEQ Tabela \* ARABIC </w:instrText>
      </w:r>
      <w:r w:rsidRPr="00476D2E">
        <w:rPr>
          <w:rFonts w:cs="Calibri"/>
          <w:lang w:val="sq-AL"/>
        </w:rPr>
        <w:fldChar w:fldCharType="separate"/>
      </w:r>
      <w:r w:rsidR="008C3E07">
        <w:rPr>
          <w:rFonts w:cs="Calibri"/>
          <w:noProof/>
          <w:lang w:val="sq-AL"/>
        </w:rPr>
        <w:t>6</w:t>
      </w:r>
      <w:r w:rsidRPr="00476D2E">
        <w:rPr>
          <w:rFonts w:cs="Calibri"/>
          <w:noProof/>
          <w:lang w:val="sq-AL"/>
        </w:rPr>
        <w:fldChar w:fldCharType="end"/>
      </w:r>
      <w:r w:rsidR="00B70BE3">
        <w:rPr>
          <w:rFonts w:cs="Calibri"/>
          <w:noProof/>
          <w:lang w:val="sq-AL"/>
        </w:rPr>
        <w:t xml:space="preserve"> </w:t>
      </w:r>
      <w:r w:rsidRPr="00476D2E">
        <w:rPr>
          <w:rFonts w:cs="Calibri"/>
          <w:lang w:val="sq-AL"/>
        </w:rPr>
        <w:t>Borxhi publik</w:t>
      </w:r>
      <w:bookmarkEnd w:id="29"/>
    </w:p>
    <w:tbl>
      <w:tblPr>
        <w:tblStyle w:val="GridTable4-Accent11"/>
        <w:tblW w:w="4606" w:type="pct"/>
        <w:jc w:val="center"/>
        <w:tblLook w:val="04A0" w:firstRow="1" w:lastRow="0" w:firstColumn="1" w:lastColumn="0" w:noHBand="0" w:noVBand="1"/>
      </w:tblPr>
      <w:tblGrid>
        <w:gridCol w:w="6291"/>
        <w:gridCol w:w="1704"/>
        <w:gridCol w:w="1696"/>
      </w:tblGrid>
      <w:tr w:rsidR="00FD62C9" w:rsidRPr="00754769" w:rsidTr="008136C0">
        <w:trPr>
          <w:cnfStyle w:val="100000000000" w:firstRow="1" w:lastRow="0" w:firstColumn="0" w:lastColumn="0" w:oddVBand="0" w:evenVBand="0" w:oddHBand="0"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3246" w:type="pct"/>
            <w:hideMark/>
          </w:tcPr>
          <w:p w:rsidR="00FD62C9" w:rsidRPr="00754769" w:rsidRDefault="00FD62C9" w:rsidP="008F59CB">
            <w:pPr>
              <w:spacing w:before="0" w:line="240" w:lineRule="auto"/>
              <w:jc w:val="center"/>
              <w:rPr>
                <w:rFonts w:cs="Calibri"/>
                <w:bCs w:val="0"/>
                <w:sz w:val="18"/>
                <w:szCs w:val="20"/>
                <w:lang w:val="sq-AL"/>
              </w:rPr>
            </w:pPr>
            <w:r w:rsidRPr="00754769">
              <w:rPr>
                <w:rFonts w:cs="Calibri"/>
                <w:bCs w:val="0"/>
                <w:sz w:val="18"/>
                <w:szCs w:val="20"/>
                <w:lang w:val="sq-AL"/>
              </w:rPr>
              <w:t xml:space="preserve">Borxhi publik total </w:t>
            </w:r>
            <w:r w:rsidRPr="00754769">
              <w:rPr>
                <w:rFonts w:cs="Calibri"/>
                <w:b w:val="0"/>
                <w:i/>
                <w:iCs/>
                <w:sz w:val="18"/>
                <w:szCs w:val="20"/>
                <w:lang w:val="sq-AL"/>
              </w:rPr>
              <w:t>(në % të PBB)</w:t>
            </w:r>
          </w:p>
        </w:tc>
        <w:tc>
          <w:tcPr>
            <w:tcW w:w="879" w:type="pct"/>
            <w:hideMark/>
          </w:tcPr>
          <w:p w:rsidR="00FD62C9" w:rsidRPr="00754769"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754769">
              <w:rPr>
                <w:rFonts w:cs="Calibri"/>
                <w:sz w:val="18"/>
                <w:szCs w:val="20"/>
                <w:lang w:val="sq-AL"/>
              </w:rPr>
              <w:t>202</w:t>
            </w:r>
            <w:r>
              <w:rPr>
                <w:rFonts w:cs="Calibri"/>
                <w:sz w:val="18"/>
                <w:szCs w:val="20"/>
                <w:lang w:val="sq-AL"/>
              </w:rPr>
              <w:t>1</w:t>
            </w:r>
          </w:p>
        </w:tc>
        <w:tc>
          <w:tcPr>
            <w:tcW w:w="875" w:type="pct"/>
            <w:hideMark/>
          </w:tcPr>
          <w:p w:rsidR="00FD62C9" w:rsidRPr="00754769" w:rsidRDefault="00FD62C9" w:rsidP="008F59C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sz w:val="18"/>
                <w:szCs w:val="20"/>
                <w:lang w:val="sq-AL"/>
              </w:rPr>
            </w:pPr>
            <w:r w:rsidRPr="00754769">
              <w:rPr>
                <w:rFonts w:cs="Calibri"/>
                <w:sz w:val="18"/>
                <w:szCs w:val="20"/>
                <w:lang w:val="sq-AL"/>
              </w:rPr>
              <w:t>202</w:t>
            </w:r>
            <w:r>
              <w:rPr>
                <w:rFonts w:cs="Calibri"/>
                <w:sz w:val="18"/>
                <w:szCs w:val="20"/>
                <w:lang w:val="sq-AL"/>
              </w:rPr>
              <w:t>2</w:t>
            </w:r>
          </w:p>
        </w:tc>
      </w:tr>
      <w:tr w:rsidR="00FD62C9" w:rsidRPr="00754769" w:rsidTr="008136C0">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3246" w:type="pct"/>
            <w:noWrap/>
            <w:hideMark/>
          </w:tcPr>
          <w:p w:rsidR="00FD62C9" w:rsidRPr="00754769" w:rsidRDefault="00FD62C9" w:rsidP="008F59CB">
            <w:pPr>
              <w:spacing w:before="0" w:line="240" w:lineRule="auto"/>
              <w:rPr>
                <w:rFonts w:cs="Calibri"/>
                <w:sz w:val="18"/>
                <w:szCs w:val="20"/>
                <w:lang w:val="sq-AL"/>
              </w:rPr>
            </w:pPr>
            <w:r w:rsidRPr="00754769">
              <w:rPr>
                <w:rFonts w:cs="Calibri"/>
                <w:b w:val="0"/>
                <w:sz w:val="18"/>
                <w:szCs w:val="20"/>
                <w:lang w:val="sq-AL"/>
              </w:rPr>
              <w:t>Maqedonia e Veriut</w:t>
            </w:r>
          </w:p>
        </w:tc>
        <w:tc>
          <w:tcPr>
            <w:tcW w:w="879" w:type="pct"/>
            <w:noWrap/>
            <w:hideMark/>
          </w:tcPr>
          <w:p w:rsidR="00FD62C9" w:rsidRPr="00754769"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754769">
              <w:rPr>
                <w:rFonts w:cs="Calibri"/>
                <w:sz w:val="18"/>
                <w:szCs w:val="20"/>
                <w:lang w:val="sq-AL"/>
              </w:rPr>
              <w:t>51.</w:t>
            </w:r>
            <w:r>
              <w:rPr>
                <w:rFonts w:cs="Calibri"/>
                <w:sz w:val="18"/>
                <w:szCs w:val="20"/>
                <w:lang w:val="sq-AL"/>
              </w:rPr>
              <w:t>8</w:t>
            </w:r>
          </w:p>
        </w:tc>
        <w:tc>
          <w:tcPr>
            <w:tcW w:w="875" w:type="pct"/>
            <w:noWrap/>
            <w:hideMark/>
          </w:tcPr>
          <w:p w:rsidR="00FD62C9" w:rsidRPr="00754769"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Pr>
                <w:rFonts w:cs="Calibri"/>
                <w:sz w:val="18"/>
                <w:szCs w:val="20"/>
                <w:lang w:val="sq-AL"/>
              </w:rPr>
              <w:t>48</w:t>
            </w:r>
            <w:r w:rsidRPr="00754769">
              <w:rPr>
                <w:rFonts w:cs="Calibri"/>
                <w:sz w:val="18"/>
                <w:szCs w:val="20"/>
                <w:lang w:val="sq-AL"/>
              </w:rPr>
              <w:t>.</w:t>
            </w:r>
            <w:r>
              <w:rPr>
                <w:rFonts w:cs="Calibri"/>
                <w:sz w:val="18"/>
                <w:szCs w:val="20"/>
                <w:lang w:val="sq-AL"/>
              </w:rPr>
              <w:t>7</w:t>
            </w:r>
          </w:p>
        </w:tc>
      </w:tr>
      <w:tr w:rsidR="00FD62C9" w:rsidRPr="00754769" w:rsidTr="008136C0">
        <w:trPr>
          <w:trHeight w:val="251"/>
          <w:jc w:val="center"/>
        </w:trPr>
        <w:tc>
          <w:tcPr>
            <w:cnfStyle w:val="001000000000" w:firstRow="0" w:lastRow="0" w:firstColumn="1" w:lastColumn="0" w:oddVBand="0" w:evenVBand="0" w:oddHBand="0" w:evenHBand="0" w:firstRowFirstColumn="0" w:firstRowLastColumn="0" w:lastRowFirstColumn="0" w:lastRowLastColumn="0"/>
            <w:tcW w:w="3246" w:type="pct"/>
            <w:noWrap/>
            <w:hideMark/>
          </w:tcPr>
          <w:p w:rsidR="00FD62C9" w:rsidRPr="00754769" w:rsidRDefault="00FD62C9" w:rsidP="008F59CB">
            <w:pPr>
              <w:spacing w:before="0" w:line="240" w:lineRule="auto"/>
              <w:rPr>
                <w:rFonts w:cs="Calibri"/>
                <w:sz w:val="18"/>
                <w:szCs w:val="20"/>
                <w:lang w:val="sq-AL"/>
              </w:rPr>
            </w:pPr>
            <w:r w:rsidRPr="00754769">
              <w:rPr>
                <w:rFonts w:cs="Calibri"/>
                <w:b w:val="0"/>
                <w:sz w:val="18"/>
                <w:szCs w:val="20"/>
                <w:lang w:val="sq-AL"/>
              </w:rPr>
              <w:t>Mali i ZI</w:t>
            </w:r>
          </w:p>
        </w:tc>
        <w:tc>
          <w:tcPr>
            <w:tcW w:w="879" w:type="pct"/>
            <w:noWrap/>
            <w:hideMark/>
          </w:tcPr>
          <w:p w:rsidR="00FD62C9" w:rsidRPr="00754769"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82</w:t>
            </w:r>
            <w:r w:rsidRPr="00754769">
              <w:rPr>
                <w:rFonts w:cs="Calibri"/>
                <w:sz w:val="18"/>
                <w:szCs w:val="20"/>
                <w:lang w:val="sq-AL"/>
              </w:rPr>
              <w:t>.</w:t>
            </w:r>
            <w:r>
              <w:rPr>
                <w:rFonts w:cs="Calibri"/>
                <w:sz w:val="18"/>
                <w:szCs w:val="20"/>
                <w:lang w:val="sq-AL"/>
              </w:rPr>
              <w:t>5</w:t>
            </w:r>
          </w:p>
        </w:tc>
        <w:tc>
          <w:tcPr>
            <w:tcW w:w="875" w:type="pct"/>
            <w:noWrap/>
            <w:hideMark/>
          </w:tcPr>
          <w:p w:rsidR="00FD62C9" w:rsidRPr="00754769"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Pr>
                <w:rFonts w:cs="Calibri"/>
                <w:sz w:val="18"/>
                <w:szCs w:val="20"/>
                <w:lang w:val="sq-AL"/>
              </w:rPr>
              <w:t>69</w:t>
            </w:r>
            <w:r w:rsidRPr="00754769">
              <w:rPr>
                <w:rFonts w:cs="Calibri"/>
                <w:sz w:val="18"/>
                <w:szCs w:val="20"/>
                <w:lang w:val="sq-AL"/>
              </w:rPr>
              <w:t>.</w:t>
            </w:r>
            <w:r>
              <w:rPr>
                <w:rFonts w:cs="Calibri"/>
                <w:sz w:val="18"/>
                <w:szCs w:val="20"/>
                <w:lang w:val="sq-AL"/>
              </w:rPr>
              <w:t>5</w:t>
            </w:r>
          </w:p>
        </w:tc>
      </w:tr>
      <w:tr w:rsidR="00FD62C9" w:rsidRPr="00754769" w:rsidTr="008136C0">
        <w:trPr>
          <w:cnfStyle w:val="000000100000" w:firstRow="0" w:lastRow="0" w:firstColumn="0" w:lastColumn="0" w:oddVBand="0" w:evenVBand="0" w:oddHBand="1" w:evenHBand="0" w:firstRowFirstColumn="0" w:firstRowLastColumn="0" w:lastRowFirstColumn="0" w:lastRowLastColumn="0"/>
          <w:trHeight w:val="251"/>
          <w:jc w:val="center"/>
        </w:trPr>
        <w:tc>
          <w:tcPr>
            <w:cnfStyle w:val="001000000000" w:firstRow="0" w:lastRow="0" w:firstColumn="1" w:lastColumn="0" w:oddVBand="0" w:evenVBand="0" w:oddHBand="0" w:evenHBand="0" w:firstRowFirstColumn="0" w:firstRowLastColumn="0" w:lastRowFirstColumn="0" w:lastRowLastColumn="0"/>
            <w:tcW w:w="3246" w:type="pct"/>
            <w:noWrap/>
            <w:hideMark/>
          </w:tcPr>
          <w:p w:rsidR="00FD62C9" w:rsidRPr="00754769" w:rsidRDefault="00FD62C9" w:rsidP="008F59CB">
            <w:pPr>
              <w:spacing w:before="0" w:line="240" w:lineRule="auto"/>
              <w:rPr>
                <w:rFonts w:cs="Calibri"/>
                <w:sz w:val="18"/>
                <w:szCs w:val="20"/>
                <w:lang w:val="sq-AL"/>
              </w:rPr>
            </w:pPr>
            <w:r w:rsidRPr="00754769">
              <w:rPr>
                <w:rFonts w:cs="Calibri"/>
                <w:b w:val="0"/>
                <w:sz w:val="18"/>
                <w:szCs w:val="20"/>
                <w:lang w:val="sq-AL"/>
              </w:rPr>
              <w:t>Serbia</w:t>
            </w:r>
          </w:p>
        </w:tc>
        <w:tc>
          <w:tcPr>
            <w:tcW w:w="879" w:type="pct"/>
            <w:noWrap/>
            <w:hideMark/>
          </w:tcPr>
          <w:p w:rsidR="00FD62C9" w:rsidRPr="00754769"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754769">
              <w:rPr>
                <w:rFonts w:cs="Calibri"/>
                <w:sz w:val="18"/>
                <w:szCs w:val="20"/>
                <w:lang w:val="sq-AL"/>
              </w:rPr>
              <w:t>5</w:t>
            </w:r>
            <w:r>
              <w:rPr>
                <w:rFonts w:cs="Calibri"/>
                <w:sz w:val="18"/>
                <w:szCs w:val="20"/>
                <w:lang w:val="sq-AL"/>
              </w:rPr>
              <w:t>6</w:t>
            </w:r>
            <w:r w:rsidRPr="00754769">
              <w:rPr>
                <w:rFonts w:cs="Calibri"/>
                <w:sz w:val="18"/>
                <w:szCs w:val="20"/>
                <w:lang w:val="sq-AL"/>
              </w:rPr>
              <w:t>.</w:t>
            </w:r>
            <w:r>
              <w:rPr>
                <w:rFonts w:cs="Calibri"/>
                <w:sz w:val="18"/>
                <w:szCs w:val="20"/>
                <w:lang w:val="sq-AL"/>
              </w:rPr>
              <w:t>5</w:t>
            </w:r>
          </w:p>
        </w:tc>
        <w:tc>
          <w:tcPr>
            <w:tcW w:w="875" w:type="pct"/>
            <w:noWrap/>
            <w:hideMark/>
          </w:tcPr>
          <w:p w:rsidR="00FD62C9" w:rsidRPr="00754769"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754769">
              <w:rPr>
                <w:rFonts w:cs="Calibri"/>
                <w:sz w:val="18"/>
                <w:szCs w:val="20"/>
                <w:lang w:val="sq-AL"/>
              </w:rPr>
              <w:t>5</w:t>
            </w:r>
            <w:r>
              <w:rPr>
                <w:rFonts w:cs="Calibri"/>
                <w:sz w:val="18"/>
                <w:szCs w:val="20"/>
                <w:lang w:val="sq-AL"/>
              </w:rPr>
              <w:t>5</w:t>
            </w:r>
            <w:r w:rsidRPr="00754769">
              <w:rPr>
                <w:rFonts w:cs="Calibri"/>
                <w:sz w:val="18"/>
                <w:szCs w:val="20"/>
                <w:lang w:val="sq-AL"/>
              </w:rPr>
              <w:t>.</w:t>
            </w:r>
            <w:r>
              <w:rPr>
                <w:rFonts w:cs="Calibri"/>
                <w:sz w:val="18"/>
                <w:szCs w:val="20"/>
                <w:lang w:val="sq-AL"/>
              </w:rPr>
              <w:t>2</w:t>
            </w:r>
          </w:p>
        </w:tc>
      </w:tr>
      <w:tr w:rsidR="00FD62C9" w:rsidRPr="00754769" w:rsidTr="008136C0">
        <w:trPr>
          <w:trHeight w:val="251"/>
          <w:jc w:val="center"/>
        </w:trPr>
        <w:tc>
          <w:tcPr>
            <w:cnfStyle w:val="001000000000" w:firstRow="0" w:lastRow="0" w:firstColumn="1" w:lastColumn="0" w:oddVBand="0" w:evenVBand="0" w:oddHBand="0" w:evenHBand="0" w:firstRowFirstColumn="0" w:firstRowLastColumn="0" w:lastRowFirstColumn="0" w:lastRowLastColumn="0"/>
            <w:tcW w:w="3246" w:type="pct"/>
            <w:noWrap/>
            <w:hideMark/>
          </w:tcPr>
          <w:p w:rsidR="00FD62C9" w:rsidRPr="00754769" w:rsidRDefault="00FD62C9" w:rsidP="008F59CB">
            <w:pPr>
              <w:spacing w:before="0" w:line="240" w:lineRule="auto"/>
              <w:rPr>
                <w:rFonts w:cs="Calibri"/>
                <w:sz w:val="19"/>
                <w:szCs w:val="19"/>
                <w:lang w:val="sq-AL"/>
              </w:rPr>
            </w:pPr>
            <w:r w:rsidRPr="00754769">
              <w:rPr>
                <w:rFonts w:cs="Calibri"/>
                <w:sz w:val="19"/>
                <w:szCs w:val="19"/>
                <w:lang w:val="sq-AL"/>
              </w:rPr>
              <w:t>Shqipëria</w:t>
            </w:r>
          </w:p>
        </w:tc>
        <w:tc>
          <w:tcPr>
            <w:tcW w:w="879" w:type="pct"/>
            <w:noWrap/>
            <w:hideMark/>
          </w:tcPr>
          <w:p w:rsidR="00FD62C9" w:rsidRPr="00754769"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9"/>
                <w:szCs w:val="19"/>
                <w:lang w:val="sq-AL"/>
              </w:rPr>
            </w:pPr>
            <w:r w:rsidRPr="00754769">
              <w:rPr>
                <w:rFonts w:cs="Calibri"/>
                <w:b/>
                <w:sz w:val="19"/>
                <w:szCs w:val="19"/>
                <w:lang w:val="sq-AL"/>
              </w:rPr>
              <w:t>74.</w:t>
            </w:r>
            <w:r>
              <w:rPr>
                <w:rFonts w:cs="Calibri"/>
                <w:b/>
                <w:sz w:val="19"/>
                <w:szCs w:val="19"/>
                <w:lang w:val="sq-AL"/>
              </w:rPr>
              <w:t>49</w:t>
            </w:r>
          </w:p>
        </w:tc>
        <w:tc>
          <w:tcPr>
            <w:tcW w:w="875" w:type="pct"/>
            <w:noWrap/>
            <w:hideMark/>
          </w:tcPr>
          <w:p w:rsidR="00FD62C9" w:rsidRPr="00754769"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sz w:val="19"/>
                <w:szCs w:val="19"/>
                <w:lang w:val="sq-AL"/>
              </w:rPr>
            </w:pPr>
            <w:r>
              <w:rPr>
                <w:rFonts w:cs="Calibri"/>
                <w:b/>
                <w:sz w:val="19"/>
                <w:szCs w:val="19"/>
                <w:lang w:val="sq-AL"/>
              </w:rPr>
              <w:t>64</w:t>
            </w:r>
            <w:r w:rsidRPr="00754769">
              <w:rPr>
                <w:rFonts w:cs="Calibri"/>
                <w:b/>
                <w:sz w:val="19"/>
                <w:szCs w:val="19"/>
                <w:lang w:val="sq-AL"/>
              </w:rPr>
              <w:t>.</w:t>
            </w:r>
            <w:r>
              <w:rPr>
                <w:rFonts w:cs="Calibri"/>
                <w:b/>
                <w:sz w:val="19"/>
                <w:szCs w:val="19"/>
                <w:lang w:val="sq-AL"/>
              </w:rPr>
              <w:t>58</w:t>
            </w:r>
          </w:p>
        </w:tc>
      </w:tr>
      <w:tr w:rsidR="00FD62C9" w:rsidRPr="00754769" w:rsidTr="008136C0">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3246" w:type="pct"/>
            <w:noWrap/>
            <w:hideMark/>
          </w:tcPr>
          <w:p w:rsidR="00FD62C9" w:rsidRPr="00754769" w:rsidRDefault="00FD62C9" w:rsidP="008F59CB">
            <w:pPr>
              <w:spacing w:before="0" w:line="240" w:lineRule="auto"/>
              <w:rPr>
                <w:rFonts w:cs="Calibri"/>
                <w:sz w:val="18"/>
                <w:szCs w:val="20"/>
                <w:lang w:val="sq-AL"/>
              </w:rPr>
            </w:pPr>
            <w:r w:rsidRPr="00754769">
              <w:rPr>
                <w:rFonts w:cs="Calibri"/>
                <w:b w:val="0"/>
                <w:sz w:val="18"/>
                <w:szCs w:val="20"/>
                <w:lang w:val="sq-AL"/>
              </w:rPr>
              <w:t>Bosnja dhe Hercegovina</w:t>
            </w:r>
          </w:p>
        </w:tc>
        <w:tc>
          <w:tcPr>
            <w:tcW w:w="879" w:type="pct"/>
            <w:noWrap/>
            <w:hideMark/>
          </w:tcPr>
          <w:p w:rsidR="00FD62C9" w:rsidRPr="00754769"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754769">
              <w:rPr>
                <w:rFonts w:cs="Calibri"/>
                <w:sz w:val="18"/>
                <w:szCs w:val="20"/>
                <w:lang w:val="sq-AL"/>
              </w:rPr>
              <w:t>3</w:t>
            </w:r>
            <w:r>
              <w:rPr>
                <w:rFonts w:cs="Calibri"/>
                <w:sz w:val="18"/>
                <w:szCs w:val="20"/>
                <w:lang w:val="sq-AL"/>
              </w:rPr>
              <w:t>4</w:t>
            </w:r>
            <w:r w:rsidRPr="00754769">
              <w:rPr>
                <w:rFonts w:cs="Calibri"/>
                <w:sz w:val="18"/>
                <w:szCs w:val="20"/>
                <w:lang w:val="sq-AL"/>
              </w:rPr>
              <w:t>.</w:t>
            </w:r>
            <w:r>
              <w:rPr>
                <w:rFonts w:cs="Calibri"/>
                <w:sz w:val="18"/>
                <w:szCs w:val="20"/>
                <w:lang w:val="sq-AL"/>
              </w:rPr>
              <w:t>0</w:t>
            </w:r>
          </w:p>
        </w:tc>
        <w:tc>
          <w:tcPr>
            <w:tcW w:w="875" w:type="pct"/>
            <w:noWrap/>
            <w:hideMark/>
          </w:tcPr>
          <w:p w:rsidR="00FD62C9" w:rsidRPr="00754769" w:rsidRDefault="00FD62C9" w:rsidP="008F59C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szCs w:val="20"/>
                <w:lang w:val="sq-AL"/>
              </w:rPr>
            </w:pPr>
            <w:r w:rsidRPr="00754769">
              <w:rPr>
                <w:rFonts w:cs="Calibri"/>
                <w:sz w:val="18"/>
                <w:szCs w:val="20"/>
                <w:lang w:val="sq-AL"/>
              </w:rPr>
              <w:t>3</w:t>
            </w:r>
            <w:r>
              <w:rPr>
                <w:rFonts w:cs="Calibri"/>
                <w:sz w:val="18"/>
                <w:szCs w:val="20"/>
                <w:lang w:val="sq-AL"/>
              </w:rPr>
              <w:t>4</w:t>
            </w:r>
            <w:r w:rsidRPr="00754769">
              <w:rPr>
                <w:rFonts w:cs="Calibri"/>
                <w:sz w:val="18"/>
                <w:szCs w:val="20"/>
                <w:lang w:val="sq-AL"/>
              </w:rPr>
              <w:t>.5</w:t>
            </w:r>
          </w:p>
        </w:tc>
      </w:tr>
      <w:tr w:rsidR="00FD62C9" w:rsidRPr="00754769" w:rsidTr="008136C0">
        <w:trPr>
          <w:trHeight w:val="263"/>
          <w:jc w:val="center"/>
        </w:trPr>
        <w:tc>
          <w:tcPr>
            <w:cnfStyle w:val="001000000000" w:firstRow="0" w:lastRow="0" w:firstColumn="1" w:lastColumn="0" w:oddVBand="0" w:evenVBand="0" w:oddHBand="0" w:evenHBand="0" w:firstRowFirstColumn="0" w:firstRowLastColumn="0" w:lastRowFirstColumn="0" w:lastRowLastColumn="0"/>
            <w:tcW w:w="3246" w:type="pct"/>
            <w:tcBorders>
              <w:bottom w:val="single" w:sz="4" w:space="0" w:color="0F6FC6" w:themeColor="accent1"/>
            </w:tcBorders>
            <w:noWrap/>
            <w:hideMark/>
          </w:tcPr>
          <w:p w:rsidR="00FD62C9" w:rsidRPr="00754769" w:rsidRDefault="00FD62C9" w:rsidP="008F59CB">
            <w:pPr>
              <w:spacing w:before="0" w:line="240" w:lineRule="auto"/>
              <w:rPr>
                <w:rFonts w:cs="Calibri"/>
                <w:sz w:val="18"/>
                <w:szCs w:val="20"/>
                <w:lang w:val="sq-AL"/>
              </w:rPr>
            </w:pPr>
            <w:r w:rsidRPr="00754769">
              <w:rPr>
                <w:rFonts w:cs="Calibri"/>
                <w:b w:val="0"/>
                <w:sz w:val="18"/>
                <w:szCs w:val="20"/>
                <w:lang w:val="sq-AL"/>
              </w:rPr>
              <w:t>Kosova</w:t>
            </w:r>
          </w:p>
        </w:tc>
        <w:tc>
          <w:tcPr>
            <w:tcW w:w="879" w:type="pct"/>
            <w:tcBorders>
              <w:bottom w:val="single" w:sz="4" w:space="0" w:color="0F6FC6" w:themeColor="accent1"/>
            </w:tcBorders>
            <w:noWrap/>
            <w:hideMark/>
          </w:tcPr>
          <w:p w:rsidR="00FD62C9" w:rsidRPr="00754769"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754769">
              <w:rPr>
                <w:rFonts w:cs="Calibri"/>
                <w:sz w:val="18"/>
                <w:szCs w:val="20"/>
                <w:lang w:val="sq-AL"/>
              </w:rPr>
              <w:t>2</w:t>
            </w:r>
            <w:r>
              <w:rPr>
                <w:rFonts w:cs="Calibri"/>
                <w:sz w:val="18"/>
                <w:szCs w:val="20"/>
                <w:lang w:val="sq-AL"/>
              </w:rPr>
              <w:t>1</w:t>
            </w:r>
            <w:r w:rsidRPr="00754769">
              <w:rPr>
                <w:rFonts w:cs="Calibri"/>
                <w:sz w:val="18"/>
                <w:szCs w:val="20"/>
                <w:lang w:val="sq-AL"/>
              </w:rPr>
              <w:t>.</w:t>
            </w:r>
            <w:r>
              <w:rPr>
                <w:rFonts w:cs="Calibri"/>
                <w:sz w:val="18"/>
                <w:szCs w:val="20"/>
                <w:lang w:val="sq-AL"/>
              </w:rPr>
              <w:t>5</w:t>
            </w:r>
          </w:p>
        </w:tc>
        <w:tc>
          <w:tcPr>
            <w:tcW w:w="875" w:type="pct"/>
            <w:tcBorders>
              <w:bottom w:val="single" w:sz="4" w:space="0" w:color="0F6FC6" w:themeColor="accent1"/>
            </w:tcBorders>
            <w:noWrap/>
            <w:hideMark/>
          </w:tcPr>
          <w:p w:rsidR="00FD62C9" w:rsidRPr="00754769" w:rsidRDefault="00FD62C9" w:rsidP="008F59C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20"/>
                <w:lang w:val="sq-AL"/>
              </w:rPr>
            </w:pPr>
            <w:r w:rsidRPr="00754769">
              <w:rPr>
                <w:rFonts w:cs="Calibri"/>
                <w:sz w:val="18"/>
                <w:szCs w:val="20"/>
                <w:lang w:val="sq-AL"/>
              </w:rPr>
              <w:t>2</w:t>
            </w:r>
            <w:r>
              <w:rPr>
                <w:rFonts w:cs="Calibri"/>
                <w:sz w:val="18"/>
                <w:szCs w:val="20"/>
                <w:lang w:val="sq-AL"/>
              </w:rPr>
              <w:t>0</w:t>
            </w:r>
            <w:r w:rsidRPr="00754769">
              <w:rPr>
                <w:rFonts w:cs="Calibri"/>
                <w:sz w:val="18"/>
                <w:szCs w:val="20"/>
                <w:lang w:val="sq-AL"/>
              </w:rPr>
              <w:t>.</w:t>
            </w:r>
            <w:r>
              <w:rPr>
                <w:rFonts w:cs="Calibri"/>
                <w:sz w:val="18"/>
                <w:szCs w:val="20"/>
                <w:lang w:val="sq-AL"/>
              </w:rPr>
              <w:t>7</w:t>
            </w:r>
          </w:p>
        </w:tc>
      </w:tr>
    </w:tbl>
    <w:p w:rsidR="00A664DE" w:rsidRPr="00476D2E" w:rsidRDefault="00A664DE" w:rsidP="00036B4F">
      <w:pPr>
        <w:spacing w:before="0" w:line="240" w:lineRule="auto"/>
        <w:ind w:firstLine="357"/>
        <w:rPr>
          <w:rFonts w:cs="Calibri"/>
          <w:i/>
          <w:sz w:val="18"/>
          <w:szCs w:val="18"/>
          <w:lang w:val="sq-AL"/>
        </w:rPr>
      </w:pPr>
      <w:r w:rsidRPr="00476D2E">
        <w:rPr>
          <w:rFonts w:cs="Calibri"/>
          <w:i/>
          <w:sz w:val="18"/>
          <w:szCs w:val="18"/>
          <w:lang w:val="sq-AL"/>
        </w:rPr>
        <w:t>Burimi: Directorate-General for Economic and Financial Affairs (DG-ECFIN)</w:t>
      </w:r>
    </w:p>
    <w:p w:rsidR="001779A0" w:rsidRPr="00F21132" w:rsidRDefault="008B6B58" w:rsidP="00FC729E">
      <w:pPr>
        <w:pStyle w:val="Fiskale1"/>
        <w:spacing w:after="240"/>
        <w:ind w:left="714" w:hanging="357"/>
        <w:rPr>
          <w:rFonts w:ascii="Calibri" w:hAnsi="Calibri" w:cs="Calibri"/>
        </w:rPr>
      </w:pPr>
      <w:bookmarkStart w:id="30" w:name="_Toc10033260"/>
      <w:bookmarkStart w:id="31" w:name="_Toc10721397"/>
      <w:bookmarkStart w:id="32" w:name="_Toc104980316"/>
      <w:r w:rsidRPr="00F21132">
        <w:rPr>
          <w:rFonts w:ascii="Calibri" w:hAnsi="Calibri" w:cs="Calibri"/>
        </w:rPr>
        <w:lastRenderedPageBreak/>
        <w:t>POLITIKAT FISKALE DHE REZULTATI I MBLEDHJES SË TË ARDHURAVE</w:t>
      </w:r>
      <w:bookmarkEnd w:id="30"/>
      <w:bookmarkEnd w:id="31"/>
      <w:bookmarkEnd w:id="32"/>
      <w:r w:rsidR="003560F2" w:rsidRPr="00F21132">
        <w:rPr>
          <w:rFonts w:ascii="Calibri" w:hAnsi="Calibri" w:cs="Calibri"/>
        </w:rPr>
        <w:t xml:space="preserve"> </w:t>
      </w:r>
    </w:p>
    <w:p w:rsidR="00453DA8" w:rsidRPr="00476D2E" w:rsidRDefault="00636D95" w:rsidP="00FC729E">
      <w:pPr>
        <w:pStyle w:val="Fiskale2"/>
        <w:rPr>
          <w:rFonts w:ascii="Calibri" w:hAnsi="Calibri" w:cs="Calibri"/>
        </w:rPr>
      </w:pPr>
      <w:bookmarkStart w:id="33" w:name="_Toc515271227"/>
      <w:bookmarkStart w:id="34" w:name="_Toc10033261"/>
      <w:bookmarkStart w:id="35" w:name="_Toc10721398"/>
      <w:bookmarkStart w:id="36" w:name="_Toc104980317"/>
      <w:r w:rsidRPr="00476D2E">
        <w:rPr>
          <w:rFonts w:ascii="Calibri" w:hAnsi="Calibri" w:cs="Calibri"/>
        </w:rPr>
        <w:t xml:space="preserve">Politika </w:t>
      </w:r>
      <w:r w:rsidR="00453DA8" w:rsidRPr="00476D2E">
        <w:rPr>
          <w:rFonts w:ascii="Calibri" w:hAnsi="Calibri" w:cs="Calibri"/>
        </w:rPr>
        <w:t xml:space="preserve">fiskale në vitin </w:t>
      </w:r>
      <w:r w:rsidR="0033564E" w:rsidRPr="00476D2E">
        <w:rPr>
          <w:rFonts w:ascii="Calibri" w:hAnsi="Calibri" w:cs="Calibri"/>
        </w:rPr>
        <w:t>202</w:t>
      </w:r>
      <w:r w:rsidR="005B591F">
        <w:rPr>
          <w:rFonts w:ascii="Calibri" w:hAnsi="Calibri" w:cs="Calibri"/>
        </w:rPr>
        <w:t>2</w:t>
      </w:r>
      <w:r w:rsidR="0033564E" w:rsidRPr="00476D2E">
        <w:rPr>
          <w:rFonts w:ascii="Calibri" w:hAnsi="Calibri" w:cs="Calibri"/>
        </w:rPr>
        <w:t xml:space="preserve"> </w:t>
      </w:r>
      <w:r w:rsidR="00453DA8" w:rsidRPr="00476D2E">
        <w:rPr>
          <w:rFonts w:ascii="Calibri" w:hAnsi="Calibri" w:cs="Calibri"/>
        </w:rPr>
        <w:t>dhe efektet në buxhet e në ekonomi</w:t>
      </w:r>
      <w:bookmarkEnd w:id="33"/>
      <w:bookmarkEnd w:id="34"/>
      <w:bookmarkEnd w:id="35"/>
      <w:bookmarkEnd w:id="36"/>
    </w:p>
    <w:p w:rsidR="00AD14BF" w:rsidRDefault="008136C0" w:rsidP="00FC729E">
      <w:bookmarkStart w:id="37" w:name="_Hlk138152189"/>
      <w:r w:rsidRPr="00734A96">
        <w:t>Politika fiskale në vitin 2022 ka vijuar të synojë rimëkëmbjen e ekonomisë, por dhe rishikimin e incentivave tatimore të ndërmarra nga qeveria me synim sigurimin e një sistemi taksimi të drejtë, të balancuar dhe që nxit produktivitetin dhe qëndrueshmërinë afatgjatë të ekonomisë. Ndryshimet në paketën fiskale 2022 synuan përgjithësisht korrektime në elementë të veçantë tatimesh dhe taksash, si tatimi mbi vlerën e shtuar, tatimi mbi të ardhurat, akcizat dhe taksat kombëtare. Qëllimi i paketës fiskale ka në fokus rishikimin dhe vlerësimin e normave të reduktuara dhe përjashtimeve tatimore kryesisht në lidhje me tatimet indirekte, si dhe lehtësimin e barrës tatimore për të punësuarit në lidhje me tatimin mbi të ardhurat nga punësimi. Kjo paketë bazohet në rekomandimet e FMN</w:t>
      </w:r>
      <w:r>
        <w:t xml:space="preserve"> q</w:t>
      </w:r>
      <w:r w:rsidR="00D65C9E">
        <w:t>ë</w:t>
      </w:r>
      <w:r w:rsidRPr="00734A96">
        <w:t xml:space="preserve"> sugjeron shmangien dhe eleminimin e përdorimit të incentivave tatimore si një mjet për stimulimin e sektorëve prioritarë, duke ndërtuar një sistem tatimor të barabartë dhe më gjithpërfshirës </w:t>
      </w:r>
      <w:r>
        <w:t>q</w:t>
      </w:r>
      <w:r w:rsidR="00D65C9E">
        <w:t>ë</w:t>
      </w:r>
      <w:r w:rsidRPr="00734A96">
        <w:t xml:space="preserve"> pritet të shmangë hapësirat për abuzime në fushën tatimore. Gjithashtu, kjo paketë parashikon dhe lehtësimin e barrës tatimore për të punësuarit me të ardhura të ulta, si dhe zgjerimin e pragut të sipërm të tatueshëm me 13%. </w:t>
      </w:r>
      <w:bookmarkEnd w:id="37"/>
      <w:r w:rsidRPr="00734A96">
        <w:t>Ndryshimet kryesore paraqiten si mëposhtë</w:t>
      </w:r>
      <w:r w:rsidR="00AF230B" w:rsidRPr="00AF230B">
        <w:t>:</w:t>
      </w:r>
    </w:p>
    <w:p w:rsidR="00AA33B8" w:rsidRPr="00AA33B8" w:rsidRDefault="00AA33B8" w:rsidP="00FC729E">
      <w:pPr>
        <w:rPr>
          <w:rFonts w:cs="Calibri"/>
          <w:sz w:val="4"/>
          <w:szCs w:val="12"/>
          <w:lang w:val="sq-AL" w:eastAsia="x-none"/>
        </w:rPr>
      </w:pPr>
    </w:p>
    <w:p w:rsidR="00453DA8" w:rsidRPr="005B591F" w:rsidRDefault="00453DA8" w:rsidP="00FC729E">
      <w:pPr>
        <w:pStyle w:val="fiskale3"/>
        <w:rPr>
          <w:rFonts w:ascii="Calibri" w:hAnsi="Calibri" w:cs="Calibri"/>
          <w:i/>
        </w:rPr>
      </w:pPr>
      <w:bookmarkStart w:id="38" w:name="_Toc10033262"/>
      <w:bookmarkStart w:id="39" w:name="_Toc10721399"/>
      <w:bookmarkStart w:id="40" w:name="_Toc104980318"/>
      <w:r w:rsidRPr="005B591F">
        <w:rPr>
          <w:rFonts w:ascii="Calibri" w:hAnsi="Calibri" w:cs="Calibri"/>
          <w:i/>
        </w:rPr>
        <w:t>Tatimi mbi Vlerën e Shtuar</w:t>
      </w:r>
      <w:bookmarkEnd w:id="38"/>
      <w:bookmarkEnd w:id="39"/>
      <w:bookmarkEnd w:id="40"/>
    </w:p>
    <w:p w:rsidR="00AD14BF" w:rsidRDefault="008136C0" w:rsidP="008F59CB">
      <w:pPr>
        <w:spacing w:before="0"/>
        <w:contextualSpacing/>
        <w:rPr>
          <w:rFonts w:cs="Calibri"/>
          <w:iCs/>
          <w:lang w:val="sq-AL" w:eastAsia="x-none"/>
        </w:rPr>
      </w:pPr>
      <w:r w:rsidRPr="00734A96">
        <w:rPr>
          <w:rFonts w:cs="Calibri"/>
          <w:iCs/>
          <w:lang w:val="sq-AL" w:eastAsia="x-none"/>
        </w:rPr>
        <w:t>Shkalla e reduktuar e TVSH-së prej 10% për furnizimin e inputeve bujqësore, ku përfshihen plehrat kimike, pesticidet, farat dhe fidanët, me përjashtim të hormoneve të klasifikuara në kodet 2937 të Nomenklaturës së Kombinuar të Mallrave, është miratuar me ligjin nr.111/2021 “</w:t>
      </w:r>
      <w:r w:rsidRPr="008136C0">
        <w:rPr>
          <w:rFonts w:cs="Calibri"/>
          <w:i/>
          <w:iCs/>
          <w:lang w:val="sq-AL" w:eastAsia="x-none"/>
        </w:rPr>
        <w:t>Për disa shtesa dhe ndryshime në ligjin nr.92/2014 “Për tatimin mbi vlerën e shtuar në Republikën e Shqipërisë”, të ndryshuar</w:t>
      </w:r>
      <w:r w:rsidRPr="00734A96">
        <w:rPr>
          <w:rFonts w:cs="Calibri"/>
          <w:iCs/>
          <w:lang w:val="sq-AL" w:eastAsia="x-none"/>
        </w:rPr>
        <w:t>”. Me anë të këtij ligji, me qëllim tërheqjen e investitorëve strategjikë me vlera të konsiderueshme investimi, është vendosur që vlera e kontratave të investimit në funksion të realizimit të të cilave importohen makineri dhe pajisje, nga 50 milionë lekë të bëhet 500 milionë lekë. Gjithashtu, me ligjin nr.111/2021 është shfuqizuar parashikimi lidhur me përjashtimin nga TVSH-ja në import për makineritë prodhuese të importuara nga subjektet e tatimit të thjeshtuar mbi fitimin, si dhe është ndryshuar norma e kompensimit të prodhuesit bujqësorë nga 6 për qind në 0 për qind, me qëllim zëvendësimin e saj me subvencionim direkt të sektorit të bujqësisë.</w:t>
      </w:r>
      <w:r>
        <w:rPr>
          <w:rFonts w:cs="Calibri"/>
          <w:iCs/>
          <w:lang w:val="sq-AL" w:eastAsia="x-none"/>
        </w:rPr>
        <w:t xml:space="preserve"> </w:t>
      </w:r>
      <w:r w:rsidRPr="00734A96">
        <w:rPr>
          <w:rFonts w:cs="Calibri"/>
          <w:iCs/>
          <w:lang w:val="sq-AL" w:eastAsia="x-none"/>
        </w:rPr>
        <w:t xml:space="preserve">Me </w:t>
      </w:r>
      <w:r>
        <w:rPr>
          <w:rFonts w:cs="Calibri"/>
          <w:iCs/>
          <w:lang w:val="sq-AL" w:eastAsia="x-none"/>
        </w:rPr>
        <w:t>VKM</w:t>
      </w:r>
      <w:r w:rsidRPr="00734A96">
        <w:rPr>
          <w:rFonts w:cs="Calibri"/>
          <w:iCs/>
          <w:lang w:val="sq-AL" w:eastAsia="x-none"/>
        </w:rPr>
        <w:t xml:space="preserve"> nr.128 datë </w:t>
      </w:r>
      <w:r>
        <w:rPr>
          <w:rFonts w:cs="Calibri"/>
          <w:iCs/>
          <w:lang w:val="sq-AL" w:eastAsia="x-none"/>
        </w:rPr>
        <w:t>0</w:t>
      </w:r>
      <w:r w:rsidRPr="00734A96">
        <w:rPr>
          <w:rFonts w:cs="Calibri"/>
          <w:iCs/>
          <w:lang w:val="sq-AL" w:eastAsia="x-none"/>
        </w:rPr>
        <w:t>2.</w:t>
      </w:r>
      <w:r>
        <w:rPr>
          <w:rFonts w:cs="Calibri"/>
          <w:iCs/>
          <w:lang w:val="sq-AL" w:eastAsia="x-none"/>
        </w:rPr>
        <w:t>0</w:t>
      </w:r>
      <w:r w:rsidRPr="00734A96">
        <w:rPr>
          <w:rFonts w:cs="Calibri"/>
          <w:iCs/>
          <w:lang w:val="sq-AL" w:eastAsia="x-none"/>
        </w:rPr>
        <w:t>3.2022 “</w:t>
      </w:r>
      <w:r w:rsidRPr="008136C0">
        <w:rPr>
          <w:rFonts w:cs="Calibri"/>
          <w:i/>
          <w:iCs/>
          <w:lang w:val="sq-AL" w:eastAsia="x-none"/>
        </w:rPr>
        <w:t>Për disa ndryshime dhe shtesa në VKM nr.953 datë 29.12.2014 “Për dispozitat zbatuese të ligjit nr.92/2014 ‘Për tatimin mbi vlerën e shtuar në Republikën e Shqipërisë’, të ndryshuar</w:t>
      </w:r>
      <w:r w:rsidRPr="00734A96">
        <w:rPr>
          <w:rFonts w:cs="Calibri"/>
          <w:iCs/>
          <w:lang w:val="sq-AL" w:eastAsia="x-none"/>
        </w:rPr>
        <w:t>”, është parashikuar që kufiri minimal i regjistrimit për TVSH-në, pavarësisht nga qarkullimi vjetor, për personat e tatueshëm që ofrojnë shërbime në veprimtari ekonomike sipas profesioneve të tilla si: noter, përmbarues gjyqësor shtetëror dhe privat, është z</w:t>
      </w:r>
      <w:r>
        <w:rPr>
          <w:rFonts w:cs="Calibri"/>
          <w:iCs/>
          <w:lang w:val="sq-AL" w:eastAsia="x-none"/>
        </w:rPr>
        <w:t>ero.</w:t>
      </w:r>
    </w:p>
    <w:p w:rsidR="008136C0" w:rsidRPr="008136C0" w:rsidRDefault="008136C0" w:rsidP="00FC729E">
      <w:pPr>
        <w:contextualSpacing/>
        <w:rPr>
          <w:rFonts w:cs="Calibri"/>
          <w:iCs/>
          <w:lang w:val="sq-AL" w:eastAsia="x-none"/>
        </w:rPr>
      </w:pPr>
    </w:p>
    <w:p w:rsidR="00453DA8" w:rsidRPr="005B591F" w:rsidRDefault="00453DA8" w:rsidP="00FC729E">
      <w:pPr>
        <w:pStyle w:val="fiskale3"/>
        <w:rPr>
          <w:rFonts w:ascii="Calibri" w:hAnsi="Calibri" w:cs="Calibri"/>
          <w:i/>
        </w:rPr>
      </w:pPr>
      <w:bookmarkStart w:id="41" w:name="_Toc10033263"/>
      <w:bookmarkStart w:id="42" w:name="_Toc10721400"/>
      <w:bookmarkStart w:id="43" w:name="_Toc104980319"/>
      <w:r w:rsidRPr="005B591F">
        <w:rPr>
          <w:rFonts w:ascii="Calibri" w:hAnsi="Calibri" w:cs="Calibri"/>
          <w:i/>
        </w:rPr>
        <w:t>Tatimi mbi të Ardhurat</w:t>
      </w:r>
      <w:bookmarkEnd w:id="41"/>
      <w:bookmarkEnd w:id="42"/>
      <w:bookmarkEnd w:id="43"/>
    </w:p>
    <w:p w:rsidR="00A44495" w:rsidRPr="00AA33B8" w:rsidRDefault="008136C0" w:rsidP="00FC729E">
      <w:pPr>
        <w:spacing w:before="0"/>
        <w:rPr>
          <w:rFonts w:cs="Calibri"/>
          <w:lang w:val="sq-AL" w:eastAsia="x-none"/>
        </w:rPr>
      </w:pPr>
      <w:bookmarkStart w:id="44" w:name="_Toc10033264"/>
      <w:bookmarkStart w:id="45" w:name="_Toc10721401"/>
      <w:r w:rsidRPr="00734A96">
        <w:rPr>
          <w:rFonts w:cs="Calibri"/>
          <w:lang w:val="sq-AL" w:eastAsia="x-none"/>
        </w:rPr>
        <w:t xml:space="preserve">Me Paketën Fiskale të vitit 2022, u miratua skema e re e tatimit të të ardhurave personale nga punësimi. Nga 1 Prilli 2022, hyri në fuqi rritja e pagës dysheme të patatueshme, për të ardhurat nga paga në intervalin nga 30,001 lekë/muaj deri në 40,000 lekë/muaj. Për këtë interval pagash, tatimi që do të paguhet mbi të ardhurat nga paga është 0%, duke mundësuar që çdo qytetar që siguron më pak të ardhura, të mos paguajë tatim mbi të ardhurat nga paga. Gjithashtu, u bë reduktimi i normës tatimore me 50% për tatimpaguesit me të ardhura nga paga nga 40,001 lekë/muaj deri në 50,000 lekë/muaj. Këta tatimpagues do paguajnë 0% tatim deri në shumën 30,000 lekë të ardhura mujore nga paga, dhe mbi këtë shumë do paguajnë gjysmën e normës tatimore e cila është 13% (pra 50%*13%). Kjo siguron që qytetarët me më pak të ardhura, të paguajnë tatim më të ulët mbi të ardhurat nga paga. Skema e re gjithashtu  rishikoi fashën e sipërme të taksimit progresiv. Tatimi 23% </w:t>
      </w:r>
      <w:r w:rsidRPr="008136C0">
        <w:rPr>
          <w:rFonts w:cs="Calibri"/>
          <w:highlight w:val="yellow"/>
          <w:lang w:val="sq-AL" w:eastAsia="x-none"/>
        </w:rPr>
        <w:t>parashikohet</w:t>
      </w:r>
      <w:r w:rsidRPr="00734A96">
        <w:rPr>
          <w:rFonts w:cs="Calibri"/>
          <w:lang w:val="sq-AL" w:eastAsia="x-none"/>
        </w:rPr>
        <w:t xml:space="preserve"> të ﬁllojë të aplikohet në pagat mbi 200,000 lekë/muaj, nga 150,000 lekë/muaj që është aktualisht</w:t>
      </w:r>
      <w:r w:rsidR="002D3766" w:rsidRPr="00476D2E">
        <w:rPr>
          <w:rFonts w:cs="Calibri"/>
          <w:iCs/>
          <w:lang w:val="sq-AL" w:eastAsia="x-none"/>
        </w:rPr>
        <w:t>.</w:t>
      </w:r>
    </w:p>
    <w:p w:rsidR="00453DA8" w:rsidRPr="005B591F" w:rsidRDefault="00453DA8" w:rsidP="00FC729E">
      <w:pPr>
        <w:pStyle w:val="fiskale3"/>
        <w:rPr>
          <w:rFonts w:ascii="Calibri" w:hAnsi="Calibri" w:cs="Calibri"/>
          <w:i/>
        </w:rPr>
      </w:pPr>
      <w:bookmarkStart w:id="46" w:name="_Toc104980320"/>
      <w:r w:rsidRPr="005B591F">
        <w:rPr>
          <w:rFonts w:ascii="Calibri" w:hAnsi="Calibri" w:cs="Calibri"/>
          <w:i/>
        </w:rPr>
        <w:lastRenderedPageBreak/>
        <w:t>Akciza</w:t>
      </w:r>
      <w:bookmarkEnd w:id="44"/>
      <w:bookmarkEnd w:id="45"/>
      <w:bookmarkEnd w:id="46"/>
    </w:p>
    <w:p w:rsidR="008136C0" w:rsidRPr="00734A96" w:rsidRDefault="008136C0" w:rsidP="00FC729E">
      <w:pPr>
        <w:rPr>
          <w:rFonts w:cs="Calibri"/>
          <w:iCs/>
          <w:lang w:val="sq-AL" w:eastAsia="x-none"/>
        </w:rPr>
      </w:pPr>
      <w:r w:rsidRPr="00734A96">
        <w:rPr>
          <w:rFonts w:cs="Calibri"/>
          <w:iCs/>
          <w:lang w:val="sq-AL" w:eastAsia="x-none"/>
        </w:rPr>
        <w:t>Ligji nr.114/2021 “Për disa ndryshime dhe shtesa në ligjin nr.61/2012 “</w:t>
      </w:r>
      <w:r w:rsidRPr="008136C0">
        <w:rPr>
          <w:rFonts w:cs="Calibri"/>
          <w:i/>
          <w:iCs/>
          <w:lang w:val="sq-AL" w:eastAsia="x-none"/>
        </w:rPr>
        <w:t>Për akcizat në Republikën e Shqipërisë”, i ndryshuar</w:t>
      </w:r>
      <w:r w:rsidRPr="00734A96">
        <w:rPr>
          <w:rFonts w:cs="Calibri"/>
          <w:iCs/>
          <w:lang w:val="sq-AL" w:eastAsia="x-none"/>
        </w:rPr>
        <w:t xml:space="preserve">”, hyrë në fuqi në </w:t>
      </w:r>
      <w:r>
        <w:rPr>
          <w:rFonts w:cs="Calibri"/>
          <w:iCs/>
          <w:lang w:val="sq-AL" w:eastAsia="x-none"/>
        </w:rPr>
        <w:t>J</w:t>
      </w:r>
      <w:r w:rsidRPr="00734A96">
        <w:rPr>
          <w:rFonts w:cs="Calibri"/>
          <w:iCs/>
          <w:lang w:val="sq-AL" w:eastAsia="x-none"/>
        </w:rPr>
        <w:t>anar të vitit 2022, ka parashikuar:</w:t>
      </w:r>
    </w:p>
    <w:p w:rsidR="008136C0" w:rsidRPr="008136C0" w:rsidRDefault="008136C0" w:rsidP="00C71069">
      <w:pPr>
        <w:pStyle w:val="ListParagraph"/>
        <w:numPr>
          <w:ilvl w:val="0"/>
          <w:numId w:val="15"/>
        </w:numPr>
        <w:spacing w:before="0"/>
        <w:ind w:left="450"/>
        <w:rPr>
          <w:rFonts w:cs="Calibri"/>
          <w:i/>
          <w:iCs/>
          <w:lang w:val="sq-AL" w:eastAsia="x-none"/>
        </w:rPr>
      </w:pPr>
      <w:r w:rsidRPr="008136C0">
        <w:rPr>
          <w:rFonts w:cs="Calibri"/>
          <w:i/>
          <w:iCs/>
          <w:lang w:val="sq-AL" w:eastAsia="x-none"/>
        </w:rPr>
        <w:t>Detyrimin për indeksimin automatik të tarifave specifike të akcizës për të gjitha mallrat, çdo dy vjet në masën e normës zyrtare të inflacionit të shpallur nga INSTAT për dy vitet e mëparshme me përjashtim të grupit të duhaneve për të cilat është parashikuar rritje specifike në 4 vitet e ardhshme.</w:t>
      </w:r>
    </w:p>
    <w:p w:rsidR="008136C0" w:rsidRPr="008136C0" w:rsidRDefault="008136C0" w:rsidP="00C71069">
      <w:pPr>
        <w:pStyle w:val="ListParagraph"/>
        <w:numPr>
          <w:ilvl w:val="0"/>
          <w:numId w:val="15"/>
        </w:numPr>
        <w:ind w:left="450"/>
        <w:rPr>
          <w:rFonts w:cs="Calibri"/>
          <w:i/>
          <w:iCs/>
          <w:lang w:val="sq-AL" w:eastAsia="x-none"/>
        </w:rPr>
      </w:pPr>
      <w:r w:rsidRPr="008136C0">
        <w:rPr>
          <w:rFonts w:cs="Calibri"/>
          <w:i/>
          <w:iCs/>
          <w:lang w:val="sq-AL" w:eastAsia="x-none"/>
        </w:rPr>
        <w:t>Unifikimin e akcizës për “Gazet e naftës dhe hidrokarbure të tjera gazoike”. Duke filluar nga 1 korriku 2022, të gjithë konsumatorët kanë të njëjtin nivel taksimi si për përdorim vetjak ashtu dhe për qëllime biznesi. Pra aplikohet shkalla e taksimit me akcizë 6 lekë/litri, me qëllim shmangien e  mundësisë për abuzim dhe mospagim të detyrimeve të akcizës.</w:t>
      </w:r>
    </w:p>
    <w:p w:rsidR="008136C0" w:rsidRPr="008136C0" w:rsidRDefault="008136C0" w:rsidP="00C71069">
      <w:pPr>
        <w:pStyle w:val="ListParagraph"/>
        <w:numPr>
          <w:ilvl w:val="0"/>
          <w:numId w:val="15"/>
        </w:numPr>
        <w:ind w:left="450"/>
        <w:rPr>
          <w:rFonts w:cs="Calibri"/>
          <w:i/>
          <w:iCs/>
          <w:lang w:val="sq-AL" w:eastAsia="x-none"/>
        </w:rPr>
      </w:pPr>
      <w:r w:rsidRPr="008136C0">
        <w:rPr>
          <w:rFonts w:cs="Calibri"/>
          <w:i/>
          <w:iCs/>
          <w:lang w:val="sq-AL" w:eastAsia="x-none"/>
        </w:rPr>
        <w:t>Heqjen e rimbursimit për lëndët djegëse të konsumuara në serat me ngrohje, për prodhimin e produkteve industriale dhe agroindustriale, të cilat përdoren për nevoja teknologjike të prodhimit të produkteve në këta sektorë [</w:t>
      </w:r>
      <w:r w:rsidRPr="008136C0">
        <w:rPr>
          <w:rFonts w:cs="Calibri"/>
          <w:i/>
          <w:iCs/>
          <w:sz w:val="20"/>
          <w:lang w:val="sq-AL" w:eastAsia="x-none"/>
        </w:rPr>
        <w:t>farmaceutika, tullat, çimento, birra dhe nafta bruto (rafineritë)</w:t>
      </w:r>
      <w:r w:rsidRPr="008136C0">
        <w:rPr>
          <w:rFonts w:cs="Calibri"/>
          <w:i/>
          <w:iCs/>
          <w:lang w:val="sq-AL" w:eastAsia="x-none"/>
        </w:rPr>
        <w:t>], me efekt nga 1 janar 2024. Ky ndryshim vjen si rezultat i rekomandimeve të FMN, që të gjitha përjashtimet jo standarde, normat e reduktuara dhe trajtimet preferenciale duhet të eliminohen nga TVSH-ja, akcizat dhe taksat kombëtare. Konkretisht, sipas rekomandimit të FMN, akciza e karburantit duhet të paguhet për të gjithë kaburantin e përdorur në ekonominë e vendit.</w:t>
      </w:r>
    </w:p>
    <w:p w:rsidR="008136C0" w:rsidRPr="008136C0" w:rsidRDefault="008136C0" w:rsidP="00C71069">
      <w:pPr>
        <w:pStyle w:val="ListParagraph"/>
        <w:numPr>
          <w:ilvl w:val="0"/>
          <w:numId w:val="15"/>
        </w:numPr>
        <w:ind w:left="450"/>
        <w:rPr>
          <w:rFonts w:cs="Calibri"/>
          <w:i/>
          <w:iCs/>
          <w:lang w:val="sq-AL" w:eastAsia="x-none"/>
        </w:rPr>
      </w:pPr>
      <w:r w:rsidRPr="008136C0">
        <w:rPr>
          <w:rFonts w:cs="Calibri"/>
          <w:i/>
          <w:iCs/>
          <w:lang w:val="sq-AL" w:eastAsia="x-none"/>
        </w:rPr>
        <w:t xml:space="preserve">Për duhanin dhe nënproduktet e tij, duke filluar nga viti 2022 është vendosur rritje graduale progresive e nivelit të akcizës për secilën kategori me qëllim përafrimin me nivelin minimal, sipas Direktivës së BE-së 2011/64 “On the structure and rates of excise duty applied to manufactured tobacco”, duke aplikuar një kalendar rritje 5 vjeçar (2022-2026). </w:t>
      </w:r>
    </w:p>
    <w:p w:rsidR="008136C0" w:rsidRPr="008136C0" w:rsidRDefault="008136C0" w:rsidP="00C71069">
      <w:pPr>
        <w:pStyle w:val="ListParagraph"/>
        <w:numPr>
          <w:ilvl w:val="0"/>
          <w:numId w:val="15"/>
        </w:numPr>
        <w:ind w:left="450"/>
        <w:rPr>
          <w:rFonts w:cs="Calibri"/>
          <w:i/>
          <w:iCs/>
          <w:lang w:val="sq-AL" w:eastAsia="x-none"/>
        </w:rPr>
      </w:pPr>
      <w:r w:rsidRPr="008136C0">
        <w:rPr>
          <w:rFonts w:cs="Calibri"/>
          <w:i/>
          <w:iCs/>
          <w:lang w:val="sq-AL" w:eastAsia="x-none"/>
        </w:rPr>
        <w:t>Është shtuar si produkt që paguan akcizë kategoria T403 “Shisha, nargjile” me kod 240311, e cila ndahet në “Shisha nargjile (përzierje për tymosje)”, me nivel akcize 6750 lekë/kg, e cila do të rritet për 4 vitet në vijim me 500 lekë/kg, si dhe “Shisha, nargjile (përzierje për tymosje)”, përpunuar me gjethe duhani të kultivuara në Shqipëri, me nivel akcize 2750 lekë/kg, e cila do të rritet për 4 vitet në vijim me 250 lekë/kg. Gjithashtu, në kategorinë T401 “Nikotinë”, është shtuar nënkategoria me kod tarifor 2404 91 me përshkrimi “Produkte duhani për përdorim oral” me nivel akcize 6750 lekë/kg, e cila do të rritet me 500 lekë/kg në 4 vitet në vijim.</w:t>
      </w:r>
    </w:p>
    <w:p w:rsidR="00DA4AE7" w:rsidRPr="008136C0" w:rsidRDefault="008136C0" w:rsidP="00C71069">
      <w:pPr>
        <w:pStyle w:val="ListParagraph"/>
        <w:numPr>
          <w:ilvl w:val="0"/>
          <w:numId w:val="15"/>
        </w:numPr>
        <w:ind w:left="450"/>
        <w:rPr>
          <w:rFonts w:cs="Calibri"/>
          <w:i/>
          <w:iCs/>
          <w:sz w:val="21"/>
          <w:szCs w:val="21"/>
          <w:lang w:val="sq-AL" w:eastAsia="x-none"/>
        </w:rPr>
      </w:pPr>
      <w:r w:rsidRPr="008136C0">
        <w:rPr>
          <w:rFonts w:cs="Calibri"/>
          <w:i/>
          <w:iCs/>
          <w:lang w:val="sq-AL" w:eastAsia="x-none"/>
        </w:rPr>
        <w:t>Në kreun IV “Produktet Energjetike” të shtojcës nr. 1 që i bashkëlidhet ligjit nr. 61/2012, janë shtuar si produkte të akcizueshme kategoritë, E201 “Qymyri” me kod 2701; E202 “Linjiti”, me kod 2702; E203 “Koks dhe gjysem koks” me kod 2704; E204 “Gaz qymyri, gaz uji, gaz prodhimi”, me kod 2705 dhe kategoria E205 “Katran i distiluar nga qymyri”, me kod 2706, secila me nivel akcize 0 lekë/kg.  Gjithashtu, është hequr nga lista e produkteve të akcizueshme kategoria P300 “Goma të Përdorura” me kod tarifor 40 12 20 00 dhe me një  nivel akcize prej 100 lekë/kg</w:t>
      </w:r>
      <w:r w:rsidR="00372C43" w:rsidRPr="008136C0">
        <w:rPr>
          <w:rFonts w:cs="Calibri"/>
          <w:i/>
          <w:iCs/>
          <w:sz w:val="21"/>
          <w:szCs w:val="21"/>
          <w:lang w:val="sq-AL" w:eastAsia="x-none"/>
        </w:rPr>
        <w:t>.</w:t>
      </w:r>
    </w:p>
    <w:p w:rsidR="00CC50CE" w:rsidRPr="00413C45" w:rsidRDefault="00CC50CE" w:rsidP="00FC729E">
      <w:pPr>
        <w:rPr>
          <w:rFonts w:cs="Calibri"/>
          <w:iCs/>
          <w:sz w:val="12"/>
          <w:lang w:val="sq-AL" w:eastAsia="x-none"/>
        </w:rPr>
      </w:pPr>
    </w:p>
    <w:p w:rsidR="00B77671" w:rsidRPr="005B591F" w:rsidRDefault="00453DA8" w:rsidP="00FC729E">
      <w:pPr>
        <w:pStyle w:val="fiskale3"/>
        <w:rPr>
          <w:rFonts w:ascii="Calibri" w:hAnsi="Calibri" w:cs="Calibri"/>
          <w:i/>
          <w:iCs/>
        </w:rPr>
      </w:pPr>
      <w:bookmarkStart w:id="47" w:name="_Toc10033266"/>
      <w:bookmarkStart w:id="48" w:name="_Toc10721403"/>
      <w:bookmarkStart w:id="49" w:name="_Toc104980321"/>
      <w:r w:rsidRPr="005B591F">
        <w:rPr>
          <w:rFonts w:ascii="Calibri" w:hAnsi="Calibri" w:cs="Calibri"/>
          <w:i/>
        </w:rPr>
        <w:t>Taksat Vendore</w:t>
      </w:r>
      <w:bookmarkEnd w:id="47"/>
      <w:bookmarkEnd w:id="48"/>
      <w:bookmarkEnd w:id="49"/>
    </w:p>
    <w:p w:rsidR="00DA4AE7" w:rsidRDefault="008136C0" w:rsidP="00FC729E">
      <w:pPr>
        <w:rPr>
          <w:rFonts w:cs="Calibri"/>
          <w:iCs/>
          <w:lang w:val="sq-AL" w:eastAsia="x-none"/>
        </w:rPr>
      </w:pPr>
      <w:r w:rsidRPr="00734A96">
        <w:rPr>
          <w:rFonts w:cs="Calibri"/>
          <w:iCs/>
          <w:lang w:val="sq-AL" w:eastAsia="x-none"/>
        </w:rPr>
        <w:t>Një nga ndryshimet e reja ligjore në ligjin “</w:t>
      </w:r>
      <w:r w:rsidRPr="008136C0">
        <w:rPr>
          <w:rFonts w:cs="Calibri"/>
          <w:i/>
          <w:iCs/>
          <w:lang w:val="sq-AL" w:eastAsia="x-none"/>
        </w:rPr>
        <w:t>Për taksat kombëtare</w:t>
      </w:r>
      <w:r w:rsidRPr="00734A96">
        <w:rPr>
          <w:rFonts w:cs="Calibri"/>
          <w:iCs/>
          <w:lang w:val="sq-AL" w:eastAsia="x-none"/>
        </w:rPr>
        <w:t>” parashikon vendosjen e një takse prej 100 lek/kg për importimin ose prodhimin e qumështit pluhur. Ky ndryshim, konkretisht, synon që të incentivojë prodhimin dhe tregtimin në vend të qumështit, me synim mbështetjen e fermerëve vendas. Kjo, duke marrë në konsideratë dhe faktin se, sektori i qumështit konsiderohet si sektor me përparësi nisur nga potenciali për zëvendësimin e importit.</w:t>
      </w:r>
      <w:r>
        <w:rPr>
          <w:rFonts w:cs="Calibri"/>
          <w:iCs/>
          <w:lang w:val="sq-AL" w:eastAsia="x-none"/>
        </w:rPr>
        <w:t xml:space="preserve"> </w:t>
      </w:r>
      <w:r w:rsidRPr="00734A96">
        <w:rPr>
          <w:rFonts w:cs="Calibri"/>
          <w:iCs/>
          <w:lang w:val="sq-AL" w:eastAsia="x-none"/>
        </w:rPr>
        <w:t>Gjithashtu, me qëllim shmangien e abuzimeve dhe përfitimeve të padrejta nga mjete lundruese për qëllime turistike dhe argëtimi që furnizohen me karburant në zonat e lira doganore/magazinat doganore, u parashikua vendosja e një takse prej 40 lekë/litër mbi karburantin që përdoret për furnizimin e këtyre mjeteve lundruese në këto zona</w:t>
      </w:r>
      <w:r w:rsidR="009D524F" w:rsidRPr="009D524F">
        <w:rPr>
          <w:rFonts w:cs="Calibri"/>
          <w:iCs/>
          <w:lang w:val="sq-AL" w:eastAsia="x-none"/>
        </w:rPr>
        <w:t>.</w:t>
      </w:r>
    </w:p>
    <w:p w:rsidR="006D2CC4" w:rsidRPr="00476D2E" w:rsidRDefault="00E346B9" w:rsidP="00FC729E">
      <w:pPr>
        <w:pStyle w:val="Fiskale2"/>
        <w:rPr>
          <w:rFonts w:ascii="Calibri" w:hAnsi="Calibri" w:cs="Calibri"/>
        </w:rPr>
      </w:pPr>
      <w:bookmarkStart w:id="50" w:name="_Toc515271236"/>
      <w:bookmarkStart w:id="51" w:name="_Toc10033267"/>
      <w:bookmarkStart w:id="52" w:name="_Toc10721404"/>
      <w:bookmarkStart w:id="53" w:name="_Toc104980322"/>
      <w:r w:rsidRPr="00476D2E">
        <w:rPr>
          <w:rFonts w:ascii="Calibri" w:hAnsi="Calibri" w:cs="Calibri"/>
        </w:rPr>
        <w:lastRenderedPageBreak/>
        <w:t xml:space="preserve">Të </w:t>
      </w:r>
      <w:r w:rsidR="0066327E" w:rsidRPr="00476D2E">
        <w:rPr>
          <w:rFonts w:ascii="Calibri" w:hAnsi="Calibri" w:cs="Calibri"/>
        </w:rPr>
        <w:t>a</w:t>
      </w:r>
      <w:r w:rsidRPr="00476D2E">
        <w:rPr>
          <w:rFonts w:ascii="Calibri" w:hAnsi="Calibri" w:cs="Calibri"/>
        </w:rPr>
        <w:t>rdhurat e p</w:t>
      </w:r>
      <w:r w:rsidR="006D2CC4" w:rsidRPr="00476D2E">
        <w:rPr>
          <w:rFonts w:ascii="Calibri" w:hAnsi="Calibri" w:cs="Calibri"/>
        </w:rPr>
        <w:t>ërgjithshme</w:t>
      </w:r>
      <w:bookmarkEnd w:id="50"/>
      <w:bookmarkEnd w:id="51"/>
      <w:bookmarkEnd w:id="52"/>
      <w:bookmarkEnd w:id="53"/>
    </w:p>
    <w:p w:rsidR="00DA4AE7" w:rsidRPr="00476D2E" w:rsidRDefault="00965ECE" w:rsidP="00153CD6">
      <w:pPr>
        <w:spacing w:before="0"/>
        <w:rPr>
          <w:rFonts w:cs="Calibri"/>
          <w:sz w:val="16"/>
          <w:lang w:val="sq-AL"/>
        </w:rPr>
      </w:pPr>
      <w:r w:rsidRPr="00476D2E">
        <w:rPr>
          <w:rFonts w:cs="Calibri"/>
          <w:b/>
          <w:lang w:val="sq-AL"/>
        </w:rPr>
        <w:t>Të ardhurat totale</w:t>
      </w:r>
      <w:r w:rsidRPr="00476D2E">
        <w:rPr>
          <w:rFonts w:cs="Calibri"/>
          <w:lang w:val="sq-AL"/>
        </w:rPr>
        <w:t xml:space="preserve"> </w:t>
      </w:r>
      <w:bookmarkStart w:id="54" w:name="_Hlk57119550"/>
      <w:r w:rsidR="008136C0" w:rsidRPr="00734A96">
        <w:rPr>
          <w:rFonts w:cs="Calibri"/>
          <w:lang w:val="sq-AL"/>
        </w:rPr>
        <w:t>të buxhetit të konsoliduar për periudhën 12-mujore 2022, arritën në 572.8 miliardë lekë, me një realizim në masën 98.2</w:t>
      </w:r>
      <w:r w:rsidR="008136C0">
        <w:rPr>
          <w:rFonts w:cs="Calibri"/>
          <w:lang w:val="sq-AL"/>
        </w:rPr>
        <w:t>%</w:t>
      </w:r>
      <w:r w:rsidR="008136C0" w:rsidRPr="00734A96">
        <w:rPr>
          <w:rFonts w:cs="Calibri"/>
          <w:lang w:val="sq-AL"/>
        </w:rPr>
        <w:t xml:space="preserve"> të planit vjetor sipas </w:t>
      </w:r>
      <w:r w:rsidR="008136C0">
        <w:rPr>
          <w:rFonts w:cs="Calibri"/>
          <w:lang w:val="sq-AL"/>
        </w:rPr>
        <w:t>AN</w:t>
      </w:r>
      <w:r w:rsidR="00AC3A82">
        <w:rPr>
          <w:rFonts w:cs="Calibri"/>
          <w:lang w:val="sq-AL"/>
        </w:rPr>
        <w:t xml:space="preserve"> nr.19 datë 29.12.2022</w:t>
      </w:r>
      <w:r w:rsidR="008136C0" w:rsidRPr="00AC3A82">
        <w:rPr>
          <w:rFonts w:cs="Calibri"/>
          <w:lang w:val="sq-AL"/>
        </w:rPr>
        <w:t>.</w:t>
      </w:r>
      <w:r w:rsidR="008136C0" w:rsidRPr="00734A96">
        <w:rPr>
          <w:rFonts w:cs="Calibri"/>
          <w:lang w:val="sq-AL"/>
        </w:rPr>
        <w:t xml:space="preserve"> Të ardhurat totale rezultuan 8% më të larta se plani fillestar 2022 (536.8 miliardë lekë) dhe 12.1</w:t>
      </w:r>
      <w:r w:rsidR="008136C0">
        <w:rPr>
          <w:rFonts w:cs="Calibri"/>
          <w:lang w:val="sq-AL"/>
        </w:rPr>
        <w:t>%</w:t>
      </w:r>
      <w:r w:rsidR="008136C0" w:rsidRPr="00734A96">
        <w:rPr>
          <w:rFonts w:cs="Calibri"/>
          <w:lang w:val="sq-AL"/>
        </w:rPr>
        <w:t xml:space="preserve"> ose 62 miliardë lekë më shum</w:t>
      </w:r>
      <w:r w:rsidR="008136C0" w:rsidRPr="00734A96">
        <w:rPr>
          <w:rFonts w:ascii="Times New Roman" w:hAnsi="Times New Roman"/>
          <w:lang w:val="sq-AL"/>
        </w:rPr>
        <w:t>ë</w:t>
      </w:r>
      <w:r w:rsidR="008136C0" w:rsidRPr="00734A96">
        <w:rPr>
          <w:rFonts w:cs="Calibri"/>
          <w:lang w:val="sq-AL"/>
        </w:rPr>
        <w:t xml:space="preserve"> se realizimi vjetor 2021. </w:t>
      </w:r>
      <w:r w:rsidR="008136C0" w:rsidRPr="00734A96">
        <w:rPr>
          <w:color w:val="000000"/>
          <w:lang w:val="sq-AL"/>
        </w:rPr>
        <w:t xml:space="preserve">Pas goditjes më të fundit të jashtme si pasojë e luftës në Ukrainë, ekonomia jonë është përshtatur dhe ka performuar mirë. </w:t>
      </w:r>
      <w:r w:rsidR="008136C0" w:rsidRPr="00734A96">
        <w:rPr>
          <w:rFonts w:cs="Calibri"/>
          <w:lang w:val="sq-AL"/>
        </w:rPr>
        <w:t xml:space="preserve">Rritja e kontributit të të ardhurave të buxhetit të shtetit për vitin 2022, krahasuar me vitin paraardhës është </w:t>
      </w:r>
      <w:r w:rsidR="008136C0" w:rsidRPr="00734A96">
        <w:t xml:space="preserve">rezultat i ecurisë shumë të mirë ekonomike. Rritja e të ardhurave nga turizmi dhe gjithë sektorëve të tjerë të ekonomisë që lidhen drejtpërdrejt ose indirekt me turizmin, ndikuan pozitivisht në rritjen ekonomike. </w:t>
      </w:r>
      <w:r w:rsidR="008136C0" w:rsidRPr="00734A96">
        <w:rPr>
          <w:rFonts w:cs="Calibri"/>
          <w:lang w:val="sq-AL"/>
        </w:rPr>
        <w:t>Njëkohësisht niveli i lartë i inflacionit si dhe rritja e çmimeve të të gjithë produkteve dhe shërbimeve</w:t>
      </w:r>
      <w:r w:rsidR="003F488B">
        <w:rPr>
          <w:rFonts w:cs="Calibri"/>
          <w:lang w:val="sq-AL"/>
        </w:rPr>
        <w:t>,</w:t>
      </w:r>
      <w:r w:rsidR="008136C0" w:rsidRPr="00734A96">
        <w:rPr>
          <w:rFonts w:cs="Calibri"/>
          <w:lang w:val="sq-AL"/>
        </w:rPr>
        <w:t xml:space="preserve"> në veçanti e energjisë elektrike dhe karburantit, kanë ndikuar në rritjen e të ardhurave të buxhetit</w:t>
      </w:r>
      <w:r w:rsidR="008136C0" w:rsidRPr="00734A96">
        <w:rPr>
          <w:rFonts w:eastAsia="SimSun" w:cs="Calibri"/>
          <w:lang w:val="sq-AL"/>
        </w:rPr>
        <w:t xml:space="preserve"> të shtetit</w:t>
      </w:r>
      <w:r w:rsidRPr="00476D2E">
        <w:rPr>
          <w:rFonts w:eastAsia="SimSun" w:cs="Calibri"/>
          <w:lang w:val="sq-AL"/>
        </w:rPr>
        <w:t>.</w:t>
      </w:r>
      <w:bookmarkStart w:id="55" w:name="_Ref9964285"/>
      <w:bookmarkEnd w:id="54"/>
    </w:p>
    <w:p w:rsidR="00C64C48" w:rsidRPr="00476D2E" w:rsidRDefault="00937DB4" w:rsidP="00FC729E">
      <w:pPr>
        <w:pStyle w:val="Caption"/>
        <w:keepNext/>
        <w:spacing w:after="0"/>
        <w:rPr>
          <w:rFonts w:cs="Calibri"/>
          <w:lang w:val="sq-AL"/>
        </w:rPr>
      </w:pPr>
      <w:bookmarkStart w:id="56" w:name="_Toc136526447"/>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2</w:t>
      </w:r>
      <w:r w:rsidRPr="00476D2E">
        <w:rPr>
          <w:rFonts w:cs="Calibri"/>
          <w:noProof/>
          <w:lang w:val="sq-AL"/>
        </w:rPr>
        <w:fldChar w:fldCharType="end"/>
      </w:r>
      <w:bookmarkEnd w:id="55"/>
      <w:r w:rsidRPr="00476D2E">
        <w:rPr>
          <w:rFonts w:cs="Calibri"/>
          <w:lang w:val="sq-AL"/>
        </w:rPr>
        <w:t xml:space="preserve"> Të Ardhurat e përgjithshme (në miliardë lekë) ndaj PBB-së</w:t>
      </w:r>
      <w:bookmarkEnd w:id="56"/>
    </w:p>
    <w:p w:rsidR="00502E37" w:rsidRPr="00476D2E" w:rsidRDefault="004D27FD" w:rsidP="00FC729E">
      <w:pPr>
        <w:spacing w:before="0"/>
        <w:jc w:val="center"/>
        <w:rPr>
          <w:rFonts w:cs="Calibri"/>
          <w:lang w:val="sq-AL"/>
        </w:rPr>
      </w:pPr>
      <w:r w:rsidRPr="00734A96">
        <w:rPr>
          <w:noProof/>
        </w:rPr>
        <w:drawing>
          <wp:inline distT="0" distB="0" distL="0" distR="0" wp14:anchorId="758EFF7B" wp14:editId="09EC1290">
            <wp:extent cx="6335395" cy="1817077"/>
            <wp:effectExtent l="0" t="0" r="8255" b="12065"/>
            <wp:docPr id="37" name="Chart 37">
              <a:extLst xmlns:a="http://schemas.openxmlformats.org/drawingml/2006/main">
                <a:ext uri="{FF2B5EF4-FFF2-40B4-BE49-F238E27FC236}">
                  <a16:creationId xmlns:a16="http://schemas.microsoft.com/office/drawing/2014/main" id="{9EC643B8-D442-4DBF-B96F-BC190177D7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33A19" w:rsidRDefault="00153CD6" w:rsidP="00153CD6">
      <w:pPr>
        <w:spacing w:before="0" w:line="360" w:lineRule="auto"/>
        <w:ind w:firstLine="720"/>
        <w:rPr>
          <w:rFonts w:cs="Calibri"/>
          <w:i/>
          <w:sz w:val="18"/>
          <w:szCs w:val="18"/>
          <w:lang w:val="sq-AL"/>
        </w:rPr>
      </w:pPr>
      <w:r>
        <w:rPr>
          <w:rFonts w:cs="Calibri"/>
          <w:i/>
          <w:sz w:val="18"/>
          <w:szCs w:val="18"/>
          <w:lang w:val="sq-AL"/>
        </w:rPr>
        <w:t>Burimi: Ministria e Financave dhe Ekonomisë (2023)</w:t>
      </w:r>
    </w:p>
    <w:p w:rsidR="000661E2" w:rsidRPr="006A69AA" w:rsidRDefault="000661E2" w:rsidP="00FC729E">
      <w:pPr>
        <w:rPr>
          <w:rFonts w:cs="Calibri"/>
          <w:i/>
          <w:sz w:val="4"/>
          <w:szCs w:val="18"/>
          <w:lang w:val="sq-AL"/>
        </w:rPr>
      </w:pPr>
    </w:p>
    <w:p w:rsidR="008F404A" w:rsidRPr="00476D2E" w:rsidRDefault="008F404A" w:rsidP="00FC729E">
      <w:pPr>
        <w:pStyle w:val="Caption"/>
        <w:keepNext/>
        <w:spacing w:after="0"/>
        <w:rPr>
          <w:rFonts w:cs="Calibri"/>
          <w:lang w:val="sq-AL"/>
        </w:rPr>
      </w:pPr>
      <w:bookmarkStart w:id="57" w:name="_Toc136526448"/>
      <w:r w:rsidRPr="00476D2E">
        <w:rPr>
          <w:rFonts w:cs="Calibri"/>
          <w:lang w:val="sq-AL"/>
        </w:rPr>
        <w:t xml:space="preserve">Grafiku </w:t>
      </w:r>
      <w:r w:rsidRPr="00476D2E">
        <w:rPr>
          <w:rFonts w:cs="Calibri"/>
          <w:lang w:val="sq-AL"/>
        </w:rPr>
        <w:fldChar w:fldCharType="begin"/>
      </w:r>
      <w:r w:rsidRPr="00476D2E">
        <w:rPr>
          <w:rFonts w:cs="Calibri"/>
          <w:lang w:val="sq-AL"/>
        </w:rPr>
        <w:instrText xml:space="preserve"> SEQ Grafiku \* ARABIC </w:instrText>
      </w:r>
      <w:r w:rsidRPr="00476D2E">
        <w:rPr>
          <w:rFonts w:cs="Calibri"/>
          <w:lang w:val="sq-AL"/>
        </w:rPr>
        <w:fldChar w:fldCharType="separate"/>
      </w:r>
      <w:r w:rsidR="008C3E07">
        <w:rPr>
          <w:rFonts w:cs="Calibri"/>
          <w:noProof/>
          <w:lang w:val="sq-AL"/>
        </w:rPr>
        <w:t>3</w:t>
      </w:r>
      <w:r w:rsidRPr="00476D2E">
        <w:rPr>
          <w:rFonts w:cs="Calibri"/>
          <w:lang w:val="sq-AL"/>
        </w:rPr>
        <w:fldChar w:fldCharType="end"/>
      </w:r>
      <w:r w:rsidRPr="00476D2E">
        <w:rPr>
          <w:rFonts w:cs="Calibri"/>
          <w:lang w:val="sq-AL"/>
        </w:rPr>
        <w:t xml:space="preserve"> Ecuria e zërave kryesorë të të ardhurave</w:t>
      </w:r>
      <w:bookmarkEnd w:id="57"/>
      <w:r w:rsidRPr="00476D2E">
        <w:rPr>
          <w:rFonts w:cs="Calibri"/>
          <w:lang w:val="sq-AL"/>
        </w:rPr>
        <w:t xml:space="preserve"> </w:t>
      </w:r>
    </w:p>
    <w:p w:rsidR="008F404A" w:rsidRPr="00476D2E" w:rsidRDefault="007E15E3" w:rsidP="008F59CB">
      <w:pPr>
        <w:spacing w:line="240" w:lineRule="auto"/>
        <w:jc w:val="center"/>
        <w:rPr>
          <w:rFonts w:cs="Calibri"/>
          <w:lang w:val="sq-AL"/>
        </w:rPr>
      </w:pPr>
      <w:r w:rsidRPr="00734A96">
        <w:rPr>
          <w:noProof/>
        </w:rPr>
        <w:drawing>
          <wp:inline distT="0" distB="0" distL="0" distR="0" wp14:anchorId="4090E1F9" wp14:editId="1139E820">
            <wp:extent cx="6412230" cy="2162907"/>
            <wp:effectExtent l="0" t="0" r="7620" b="8890"/>
            <wp:docPr id="38" name="Chart 38">
              <a:extLst xmlns:a="http://schemas.openxmlformats.org/drawingml/2006/main">
                <a:ext uri="{FF2B5EF4-FFF2-40B4-BE49-F238E27FC236}">
                  <a16:creationId xmlns:a16="http://schemas.microsoft.com/office/drawing/2014/main" id="{137E976B-C073-4E20-83B9-372093A99F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C0844" w:rsidRPr="00476D2E" w:rsidRDefault="00153CD6" w:rsidP="00153CD6">
      <w:pPr>
        <w:spacing w:before="0" w:line="360" w:lineRule="auto"/>
        <w:ind w:firstLine="720"/>
        <w:rPr>
          <w:rFonts w:cs="Calibri"/>
          <w:i/>
          <w:sz w:val="18"/>
          <w:szCs w:val="18"/>
          <w:lang w:val="sq-AL"/>
        </w:rPr>
      </w:pPr>
      <w:r>
        <w:rPr>
          <w:rFonts w:cs="Calibri"/>
          <w:i/>
          <w:sz w:val="18"/>
          <w:szCs w:val="18"/>
          <w:lang w:val="sq-AL"/>
        </w:rPr>
        <w:t>Burimi: Ministria e Financave dhe Ekonomisë (2023)</w:t>
      </w:r>
    </w:p>
    <w:p w:rsidR="00520560" w:rsidRPr="00476D2E" w:rsidRDefault="0051438E" w:rsidP="00FC729E">
      <w:pPr>
        <w:rPr>
          <w:rFonts w:cs="Calibri"/>
          <w:lang w:val="sq-AL"/>
        </w:rPr>
      </w:pPr>
      <w:r w:rsidRPr="00734A96">
        <w:rPr>
          <w:rFonts w:cs="Calibri"/>
          <w:lang w:val="sq-AL"/>
        </w:rPr>
        <w:t>Zërat kryesorë në të ardhurat totale të buxhetit të shtetit janë ndihmat, të ardhurat nga tatimet dhe doganat, të ardhurat e pushtetit vendor, të ardhurat nga fondet speciale dhe të ardhurat jotatimore; të cilat zënë përkatësisht 1.7</w:t>
      </w:r>
      <w:r>
        <w:rPr>
          <w:rFonts w:cs="Calibri"/>
          <w:lang w:val="sq-AL"/>
        </w:rPr>
        <w:t>%</w:t>
      </w:r>
      <w:r w:rsidRPr="00734A96">
        <w:rPr>
          <w:rFonts w:cs="Calibri"/>
          <w:lang w:val="sq-AL"/>
        </w:rPr>
        <w:t>, 68.2</w:t>
      </w:r>
      <w:r>
        <w:rPr>
          <w:rFonts w:cs="Calibri"/>
          <w:lang w:val="sq-AL"/>
        </w:rPr>
        <w:t>%</w:t>
      </w:r>
      <w:r w:rsidRPr="00734A96">
        <w:rPr>
          <w:rFonts w:cs="Calibri"/>
          <w:lang w:val="sq-AL"/>
        </w:rPr>
        <w:t>, 4.8</w:t>
      </w:r>
      <w:r>
        <w:rPr>
          <w:rFonts w:cs="Calibri"/>
          <w:lang w:val="sq-AL"/>
        </w:rPr>
        <w:t>%</w:t>
      </w:r>
      <w:r w:rsidRPr="00734A96">
        <w:rPr>
          <w:rFonts w:cs="Calibri"/>
          <w:lang w:val="sq-AL"/>
        </w:rPr>
        <w:t>, 21.4</w:t>
      </w:r>
      <w:r>
        <w:rPr>
          <w:rFonts w:cs="Calibri"/>
          <w:lang w:val="sq-AL"/>
        </w:rPr>
        <w:t>%</w:t>
      </w:r>
      <w:r w:rsidRPr="00734A96">
        <w:rPr>
          <w:rFonts w:cs="Calibri"/>
          <w:lang w:val="sq-AL"/>
        </w:rPr>
        <w:t xml:space="preserve"> dhe 3.8</w:t>
      </w:r>
      <w:r>
        <w:rPr>
          <w:rFonts w:cs="Calibri"/>
          <w:lang w:val="sq-AL"/>
        </w:rPr>
        <w:t>%</w:t>
      </w:r>
      <w:r w:rsidRPr="00734A96">
        <w:rPr>
          <w:rFonts w:cs="Calibri"/>
          <w:lang w:val="sq-AL"/>
        </w:rPr>
        <w:t xml:space="preserve"> të të ardhurave të përgjithshme publike në vitin 2022. Kontributin me të madh në realizimin e të ardhurave totale e kanë dhënë të ardhurat tatimore, ndër të cilat peshën kryesore e zënë Tatimi mbi Vlerën e Shtuar (25.4 miliardë lekë më shum</w:t>
      </w:r>
      <w:r w:rsidRPr="00734A96">
        <w:rPr>
          <w:rFonts w:ascii="Times New Roman" w:hAnsi="Times New Roman"/>
          <w:lang w:val="sq-AL"/>
        </w:rPr>
        <w:t>ë</w:t>
      </w:r>
      <w:r w:rsidRPr="00734A96">
        <w:rPr>
          <w:rFonts w:cs="Calibri"/>
          <w:lang w:val="sq-AL"/>
        </w:rPr>
        <w:t xml:space="preserve"> se plani fillestar) dhe Tatimi mbi Fitimin (12.1 miliardë lekë me shum</w:t>
      </w:r>
      <w:r w:rsidRPr="00734A96">
        <w:rPr>
          <w:rFonts w:ascii="Times New Roman" w:hAnsi="Times New Roman"/>
          <w:lang w:val="sq-AL"/>
        </w:rPr>
        <w:t>ë</w:t>
      </w:r>
      <w:r w:rsidRPr="00734A96">
        <w:rPr>
          <w:rFonts w:cs="Calibri"/>
          <w:lang w:val="sq-AL"/>
        </w:rPr>
        <w:t xml:space="preserve"> se plani fillestar)</w:t>
      </w:r>
      <w:r w:rsidR="00C962C0" w:rsidRPr="00476D2E">
        <w:rPr>
          <w:rFonts w:cs="Calibri"/>
          <w:lang w:val="sq-AL"/>
        </w:rPr>
        <w:t>.</w:t>
      </w:r>
    </w:p>
    <w:p w:rsidR="006D577E" w:rsidRPr="00476D2E" w:rsidRDefault="006D577E" w:rsidP="00FC729E">
      <w:pPr>
        <w:pStyle w:val="Caption"/>
        <w:keepNext/>
        <w:spacing w:after="0"/>
        <w:rPr>
          <w:rFonts w:cs="Calibri"/>
          <w:lang w:val="sq-AL"/>
        </w:rPr>
      </w:pPr>
      <w:bookmarkStart w:id="58" w:name="_Toc136526333"/>
      <w:r w:rsidRPr="00476D2E">
        <w:rPr>
          <w:rFonts w:cs="Calibri"/>
          <w:lang w:val="sq-AL"/>
        </w:rPr>
        <w:lastRenderedPageBreak/>
        <w:t xml:space="preserve">Tabela </w:t>
      </w:r>
      <w:r w:rsidR="00335A3A" w:rsidRPr="00476D2E">
        <w:rPr>
          <w:rFonts w:cs="Calibri"/>
          <w:lang w:val="sq-AL"/>
        </w:rPr>
        <w:fldChar w:fldCharType="begin"/>
      </w:r>
      <w:r w:rsidR="00335A3A" w:rsidRPr="00476D2E">
        <w:rPr>
          <w:rFonts w:cs="Calibri"/>
          <w:lang w:val="sq-AL"/>
        </w:rPr>
        <w:instrText xml:space="preserve"> SEQ Tabela \* ARABIC </w:instrText>
      </w:r>
      <w:r w:rsidR="00335A3A" w:rsidRPr="00476D2E">
        <w:rPr>
          <w:rFonts w:cs="Calibri"/>
          <w:lang w:val="sq-AL"/>
        </w:rPr>
        <w:fldChar w:fldCharType="separate"/>
      </w:r>
      <w:r w:rsidR="008C3E07">
        <w:rPr>
          <w:rFonts w:cs="Calibri"/>
          <w:noProof/>
          <w:lang w:val="sq-AL"/>
        </w:rPr>
        <w:t>7</w:t>
      </w:r>
      <w:r w:rsidR="00335A3A" w:rsidRPr="00476D2E">
        <w:rPr>
          <w:rFonts w:cs="Calibri"/>
          <w:noProof/>
          <w:lang w:val="sq-AL"/>
        </w:rPr>
        <w:fldChar w:fldCharType="end"/>
      </w:r>
      <w:r w:rsidRPr="00476D2E">
        <w:rPr>
          <w:rFonts w:cs="Calibri"/>
          <w:lang w:val="sq-AL"/>
        </w:rPr>
        <w:t xml:space="preserve"> Treguesit e të ardhurave kryesore (në miliardë lekë)</w:t>
      </w:r>
      <w:bookmarkEnd w:id="58"/>
    </w:p>
    <w:tbl>
      <w:tblPr>
        <w:tblW w:w="10323" w:type="dxa"/>
        <w:tblInd w:w="118" w:type="dxa"/>
        <w:tblLook w:val="04A0" w:firstRow="1" w:lastRow="0" w:firstColumn="1" w:lastColumn="0" w:noHBand="0" w:noVBand="1"/>
      </w:tblPr>
      <w:tblGrid>
        <w:gridCol w:w="1854"/>
        <w:gridCol w:w="638"/>
        <w:gridCol w:w="638"/>
        <w:gridCol w:w="638"/>
        <w:gridCol w:w="638"/>
        <w:gridCol w:w="980"/>
        <w:gridCol w:w="920"/>
        <w:gridCol w:w="811"/>
        <w:gridCol w:w="629"/>
        <w:gridCol w:w="735"/>
        <w:gridCol w:w="811"/>
        <w:gridCol w:w="1100"/>
      </w:tblGrid>
      <w:tr w:rsidR="0051438E" w:rsidRPr="00734A96" w:rsidTr="006E5E97">
        <w:trPr>
          <w:trHeight w:val="1470"/>
        </w:trPr>
        <w:tc>
          <w:tcPr>
            <w:tcW w:w="1880" w:type="dxa"/>
            <w:tcBorders>
              <w:top w:val="single" w:sz="8" w:space="0" w:color="0070C0"/>
              <w:left w:val="single" w:sz="8" w:space="0" w:color="0070C0"/>
              <w:bottom w:val="single" w:sz="8" w:space="0" w:color="4F81BD"/>
              <w:right w:val="nil"/>
            </w:tcBorders>
            <w:shd w:val="clear" w:color="000000" w:fill="366092"/>
            <w:vAlign w:val="center"/>
            <w:hideMark/>
          </w:tcPr>
          <w:p w:rsidR="0051438E" w:rsidRPr="00734A96" w:rsidRDefault="0051438E" w:rsidP="008F59CB">
            <w:pPr>
              <w:spacing w:before="0" w:line="240" w:lineRule="auto"/>
              <w:jc w:val="left"/>
              <w:rPr>
                <w:rFonts w:ascii="Calibri Light" w:hAnsi="Calibri Light" w:cs="Calibri Light"/>
                <w:color w:val="000000"/>
                <w:sz w:val="16"/>
                <w:szCs w:val="16"/>
              </w:rPr>
            </w:pPr>
            <w:bookmarkStart w:id="59" w:name="_Ref9965562"/>
            <w:r w:rsidRPr="00734A96">
              <w:rPr>
                <w:rFonts w:ascii="Calibri Light" w:hAnsi="Calibri Light" w:cs="Calibri Light"/>
                <w:color w:val="000000"/>
                <w:sz w:val="16"/>
                <w:szCs w:val="16"/>
              </w:rPr>
              <w:t> </w:t>
            </w:r>
          </w:p>
        </w:tc>
        <w:tc>
          <w:tcPr>
            <w:tcW w:w="645" w:type="dxa"/>
            <w:tcBorders>
              <w:top w:val="single" w:sz="8" w:space="0" w:color="0070C0"/>
              <w:left w:val="nil"/>
              <w:bottom w:val="single" w:sz="8" w:space="0" w:color="4F81BD"/>
              <w:right w:val="nil"/>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2018</w:t>
            </w:r>
          </w:p>
        </w:tc>
        <w:tc>
          <w:tcPr>
            <w:tcW w:w="644" w:type="dxa"/>
            <w:tcBorders>
              <w:top w:val="single" w:sz="8" w:space="0" w:color="0070C0"/>
              <w:left w:val="nil"/>
              <w:bottom w:val="single" w:sz="8" w:space="0" w:color="4F81BD"/>
              <w:right w:val="nil"/>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2019</w:t>
            </w:r>
          </w:p>
        </w:tc>
        <w:tc>
          <w:tcPr>
            <w:tcW w:w="644" w:type="dxa"/>
            <w:tcBorders>
              <w:top w:val="single" w:sz="8" w:space="0" w:color="0070C0"/>
              <w:left w:val="nil"/>
              <w:bottom w:val="nil"/>
              <w:right w:val="nil"/>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2020</w:t>
            </w:r>
          </w:p>
        </w:tc>
        <w:tc>
          <w:tcPr>
            <w:tcW w:w="644" w:type="dxa"/>
            <w:tcBorders>
              <w:top w:val="single" w:sz="8" w:space="0" w:color="0070C0"/>
              <w:left w:val="nil"/>
              <w:bottom w:val="nil"/>
              <w:right w:val="nil"/>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2021</w:t>
            </w:r>
          </w:p>
        </w:tc>
        <w:tc>
          <w:tcPr>
            <w:tcW w:w="992" w:type="dxa"/>
            <w:tcBorders>
              <w:top w:val="single" w:sz="8" w:space="0" w:color="0070C0"/>
              <w:left w:val="nil"/>
              <w:bottom w:val="nil"/>
              <w:right w:val="nil"/>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2021 (në % ndaj vitit paraardhës)</w:t>
            </w:r>
          </w:p>
        </w:tc>
        <w:tc>
          <w:tcPr>
            <w:tcW w:w="931" w:type="dxa"/>
            <w:tcBorders>
              <w:top w:val="single" w:sz="8" w:space="0" w:color="0070C0"/>
              <w:left w:val="nil"/>
              <w:bottom w:val="nil"/>
              <w:right w:val="nil"/>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2022 (plan fillestar)</w:t>
            </w:r>
          </w:p>
        </w:tc>
        <w:tc>
          <w:tcPr>
            <w:tcW w:w="632" w:type="dxa"/>
            <w:tcBorders>
              <w:top w:val="single" w:sz="8" w:space="0" w:color="0070C0"/>
              <w:left w:val="nil"/>
              <w:bottom w:val="nil"/>
              <w:right w:val="nil"/>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2022 (plan I rishikuar)</w:t>
            </w:r>
          </w:p>
        </w:tc>
        <w:tc>
          <w:tcPr>
            <w:tcW w:w="635" w:type="dxa"/>
            <w:tcBorders>
              <w:top w:val="single" w:sz="8" w:space="0" w:color="0070C0"/>
              <w:left w:val="nil"/>
              <w:bottom w:val="nil"/>
              <w:right w:val="nil"/>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2022 (fakt)</w:t>
            </w:r>
          </w:p>
        </w:tc>
        <w:tc>
          <w:tcPr>
            <w:tcW w:w="743" w:type="dxa"/>
            <w:tcBorders>
              <w:top w:val="single" w:sz="8" w:space="0" w:color="0070C0"/>
              <w:left w:val="nil"/>
              <w:bottom w:val="nil"/>
              <w:right w:val="nil"/>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2022 (në % ndaj planit fillestar)</w:t>
            </w:r>
          </w:p>
        </w:tc>
        <w:tc>
          <w:tcPr>
            <w:tcW w:w="820" w:type="dxa"/>
            <w:tcBorders>
              <w:top w:val="single" w:sz="8" w:space="0" w:color="0070C0"/>
              <w:left w:val="nil"/>
              <w:bottom w:val="nil"/>
              <w:right w:val="nil"/>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2022 (në % ndaj planit të rishikuar)</w:t>
            </w:r>
          </w:p>
        </w:tc>
        <w:tc>
          <w:tcPr>
            <w:tcW w:w="1113" w:type="dxa"/>
            <w:tcBorders>
              <w:top w:val="single" w:sz="8" w:space="0" w:color="0070C0"/>
              <w:left w:val="nil"/>
              <w:bottom w:val="nil"/>
              <w:right w:val="single" w:sz="8" w:space="0" w:color="0070C0"/>
            </w:tcBorders>
            <w:shd w:val="clear" w:color="000000" w:fill="366092"/>
            <w:vAlign w:val="center"/>
            <w:hideMark/>
          </w:tcPr>
          <w:p w:rsidR="0051438E" w:rsidRPr="00734A96" w:rsidRDefault="0051438E" w:rsidP="008F59CB">
            <w:pPr>
              <w:spacing w:before="0" w:line="240" w:lineRule="auto"/>
              <w:jc w:val="right"/>
              <w:rPr>
                <w:rFonts w:ascii="Calibri Light" w:hAnsi="Calibri Light" w:cs="Calibri Light"/>
                <w:b/>
                <w:bCs/>
                <w:color w:val="FFFFFF"/>
                <w:sz w:val="16"/>
                <w:szCs w:val="16"/>
              </w:rPr>
            </w:pPr>
            <w:r w:rsidRPr="00734A96">
              <w:rPr>
                <w:rFonts w:ascii="Calibri Light" w:hAnsi="Calibri Light" w:cs="Calibri Light"/>
                <w:b/>
                <w:bCs/>
                <w:color w:val="FFFFFF"/>
                <w:sz w:val="16"/>
                <w:szCs w:val="16"/>
              </w:rPr>
              <w:t>2022 (në % ndaj vitit paraardhës)</w:t>
            </w:r>
          </w:p>
        </w:tc>
      </w:tr>
      <w:tr w:rsidR="0051438E" w:rsidRPr="00734A96" w:rsidTr="006E5E97">
        <w:trPr>
          <w:trHeight w:val="300"/>
        </w:trPr>
        <w:tc>
          <w:tcPr>
            <w:tcW w:w="1880" w:type="dxa"/>
            <w:tcBorders>
              <w:top w:val="nil"/>
              <w:left w:val="single" w:sz="8" w:space="0" w:color="0070C0"/>
              <w:bottom w:val="nil"/>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b/>
                <w:bCs/>
                <w:color w:val="203764"/>
                <w:sz w:val="16"/>
                <w:szCs w:val="16"/>
              </w:rPr>
            </w:pPr>
            <w:r w:rsidRPr="00734A96">
              <w:rPr>
                <w:rFonts w:ascii="Calibri Light" w:hAnsi="Calibri Light" w:cs="Calibri Light"/>
                <w:b/>
                <w:bCs/>
                <w:color w:val="203764"/>
                <w:sz w:val="16"/>
                <w:szCs w:val="16"/>
              </w:rPr>
              <w:t>Të ardhura nga ndihmat</w:t>
            </w:r>
          </w:p>
        </w:tc>
        <w:tc>
          <w:tcPr>
            <w:tcW w:w="64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8.2</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10.6</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8.3</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13.1</w:t>
            </w:r>
          </w:p>
        </w:tc>
        <w:tc>
          <w:tcPr>
            <w:tcW w:w="992"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157.3%</w:t>
            </w:r>
          </w:p>
        </w:tc>
        <w:tc>
          <w:tcPr>
            <w:tcW w:w="931"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14.0</w:t>
            </w:r>
          </w:p>
        </w:tc>
        <w:tc>
          <w:tcPr>
            <w:tcW w:w="632"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12.0</w:t>
            </w:r>
          </w:p>
        </w:tc>
        <w:tc>
          <w:tcPr>
            <w:tcW w:w="63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9.5</w:t>
            </w:r>
          </w:p>
        </w:tc>
        <w:tc>
          <w:tcPr>
            <w:tcW w:w="743" w:type="dxa"/>
            <w:tcBorders>
              <w:top w:val="single" w:sz="8" w:space="0" w:color="4F81BD"/>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68.0%</w:t>
            </w:r>
          </w:p>
        </w:tc>
        <w:tc>
          <w:tcPr>
            <w:tcW w:w="820" w:type="dxa"/>
            <w:tcBorders>
              <w:top w:val="single" w:sz="8" w:space="0" w:color="4F81BD"/>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79.3%</w:t>
            </w:r>
          </w:p>
        </w:tc>
        <w:tc>
          <w:tcPr>
            <w:tcW w:w="1113" w:type="dxa"/>
            <w:tcBorders>
              <w:top w:val="single" w:sz="8" w:space="0" w:color="4F81BD"/>
              <w:left w:val="nil"/>
              <w:bottom w:val="nil"/>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72.9%</w:t>
            </w:r>
          </w:p>
        </w:tc>
      </w:tr>
      <w:tr w:rsidR="0051438E" w:rsidRPr="00734A96" w:rsidTr="006E5E97">
        <w:trPr>
          <w:trHeight w:val="300"/>
        </w:trPr>
        <w:tc>
          <w:tcPr>
            <w:tcW w:w="1880" w:type="dxa"/>
            <w:tcBorders>
              <w:top w:val="single" w:sz="4" w:space="0" w:color="0070C0"/>
              <w:left w:val="single" w:sz="4" w:space="0" w:color="0070C0"/>
              <w:bottom w:val="single" w:sz="4" w:space="0" w:color="0070C0"/>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b/>
                <w:bCs/>
                <w:color w:val="203764"/>
                <w:sz w:val="16"/>
                <w:szCs w:val="16"/>
              </w:rPr>
            </w:pPr>
            <w:r w:rsidRPr="00734A96">
              <w:rPr>
                <w:rFonts w:ascii="Calibri Light" w:hAnsi="Calibri Light" w:cs="Calibri Light"/>
                <w:b/>
                <w:bCs/>
                <w:color w:val="203764"/>
                <w:sz w:val="16"/>
                <w:szCs w:val="16"/>
              </w:rPr>
              <w:t>Të ardhura tatimore</w:t>
            </w:r>
          </w:p>
        </w:tc>
        <w:tc>
          <w:tcPr>
            <w:tcW w:w="645" w:type="dxa"/>
            <w:tcBorders>
              <w:top w:val="single" w:sz="4" w:space="0" w:color="0070C0"/>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419.3</w:t>
            </w:r>
          </w:p>
        </w:tc>
        <w:tc>
          <w:tcPr>
            <w:tcW w:w="644" w:type="dxa"/>
            <w:tcBorders>
              <w:top w:val="single" w:sz="4" w:space="0" w:color="0070C0"/>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426.3</w:t>
            </w:r>
          </w:p>
        </w:tc>
        <w:tc>
          <w:tcPr>
            <w:tcW w:w="644" w:type="dxa"/>
            <w:tcBorders>
              <w:top w:val="single" w:sz="4" w:space="0" w:color="0070C0"/>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398.7</w:t>
            </w:r>
          </w:p>
        </w:tc>
        <w:tc>
          <w:tcPr>
            <w:tcW w:w="644" w:type="dxa"/>
            <w:tcBorders>
              <w:top w:val="single" w:sz="4" w:space="0" w:color="0070C0"/>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475.6</w:t>
            </w:r>
          </w:p>
        </w:tc>
        <w:tc>
          <w:tcPr>
            <w:tcW w:w="992" w:type="dxa"/>
            <w:tcBorders>
              <w:top w:val="single" w:sz="4" w:space="0" w:color="0070C0"/>
              <w:left w:val="nil"/>
              <w:bottom w:val="single" w:sz="4" w:space="0" w:color="0070C0"/>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119.3%</w:t>
            </w:r>
          </w:p>
        </w:tc>
        <w:tc>
          <w:tcPr>
            <w:tcW w:w="931" w:type="dxa"/>
            <w:tcBorders>
              <w:top w:val="single" w:sz="4" w:space="0" w:color="0070C0"/>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 xml:space="preserve">      500.2 </w:t>
            </w:r>
          </w:p>
        </w:tc>
        <w:tc>
          <w:tcPr>
            <w:tcW w:w="632" w:type="dxa"/>
            <w:tcBorders>
              <w:top w:val="single" w:sz="4" w:space="0" w:color="0070C0"/>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546.7</w:t>
            </w:r>
          </w:p>
        </w:tc>
        <w:tc>
          <w:tcPr>
            <w:tcW w:w="635" w:type="dxa"/>
            <w:tcBorders>
              <w:top w:val="single" w:sz="4" w:space="0" w:color="0070C0"/>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541.3</w:t>
            </w:r>
          </w:p>
        </w:tc>
        <w:tc>
          <w:tcPr>
            <w:tcW w:w="743" w:type="dxa"/>
            <w:tcBorders>
              <w:top w:val="single" w:sz="4" w:space="0" w:color="0070C0"/>
              <w:left w:val="nil"/>
              <w:bottom w:val="single" w:sz="4" w:space="0" w:color="0070C0"/>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108.2%</w:t>
            </w:r>
          </w:p>
        </w:tc>
        <w:tc>
          <w:tcPr>
            <w:tcW w:w="820" w:type="dxa"/>
            <w:tcBorders>
              <w:top w:val="single" w:sz="4" w:space="0" w:color="0070C0"/>
              <w:left w:val="nil"/>
              <w:bottom w:val="single" w:sz="4" w:space="0" w:color="0070C0"/>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99.0%</w:t>
            </w:r>
          </w:p>
        </w:tc>
        <w:tc>
          <w:tcPr>
            <w:tcW w:w="1113" w:type="dxa"/>
            <w:tcBorders>
              <w:top w:val="single" w:sz="4" w:space="0" w:color="0070C0"/>
              <w:left w:val="nil"/>
              <w:bottom w:val="single" w:sz="4" w:space="0" w:color="0070C0"/>
              <w:right w:val="single" w:sz="4"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113.8%</w:t>
            </w:r>
          </w:p>
        </w:tc>
      </w:tr>
      <w:tr w:rsidR="0051438E" w:rsidRPr="00734A96" w:rsidTr="006E5E97">
        <w:trPr>
          <w:trHeight w:val="300"/>
        </w:trPr>
        <w:tc>
          <w:tcPr>
            <w:tcW w:w="1880" w:type="dxa"/>
            <w:tcBorders>
              <w:top w:val="nil"/>
              <w:left w:val="single" w:sz="8" w:space="0" w:color="0070C0"/>
              <w:bottom w:val="nil"/>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Tatimi mbi Vleren e Shtuar</w:t>
            </w:r>
          </w:p>
        </w:tc>
        <w:tc>
          <w:tcPr>
            <w:tcW w:w="64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143.5</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132.4</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130.4</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161.5</w:t>
            </w:r>
          </w:p>
        </w:tc>
        <w:tc>
          <w:tcPr>
            <w:tcW w:w="992"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p>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123.9%</w:t>
            </w:r>
          </w:p>
        </w:tc>
        <w:tc>
          <w:tcPr>
            <w:tcW w:w="931"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166.1</w:t>
            </w:r>
          </w:p>
        </w:tc>
        <w:tc>
          <w:tcPr>
            <w:tcW w:w="632"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193.0</w:t>
            </w:r>
          </w:p>
        </w:tc>
        <w:tc>
          <w:tcPr>
            <w:tcW w:w="63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191.4</w:t>
            </w:r>
          </w:p>
        </w:tc>
        <w:tc>
          <w:tcPr>
            <w:tcW w:w="743"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p>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115.3%</w:t>
            </w:r>
          </w:p>
        </w:tc>
        <w:tc>
          <w:tcPr>
            <w:tcW w:w="820"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p>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99.2%</w:t>
            </w:r>
          </w:p>
        </w:tc>
        <w:tc>
          <w:tcPr>
            <w:tcW w:w="1113" w:type="dxa"/>
            <w:tcBorders>
              <w:top w:val="nil"/>
              <w:left w:val="nil"/>
              <w:bottom w:val="nil"/>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p>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118.5%</w:t>
            </w:r>
          </w:p>
        </w:tc>
      </w:tr>
      <w:tr w:rsidR="0051438E" w:rsidRPr="00734A96" w:rsidTr="006E5E97">
        <w:trPr>
          <w:trHeight w:val="300"/>
        </w:trPr>
        <w:tc>
          <w:tcPr>
            <w:tcW w:w="1880" w:type="dxa"/>
            <w:tcBorders>
              <w:top w:val="nil"/>
              <w:left w:val="single" w:sz="8" w:space="0" w:color="0070C0"/>
              <w:bottom w:val="nil"/>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Tatimi mbi Fitimin</w:t>
            </w:r>
          </w:p>
        </w:tc>
        <w:tc>
          <w:tcPr>
            <w:tcW w:w="64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34.5</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36.6</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28.4</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35.6</w:t>
            </w:r>
          </w:p>
        </w:tc>
        <w:tc>
          <w:tcPr>
            <w:tcW w:w="992"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125.5%</w:t>
            </w:r>
          </w:p>
        </w:tc>
        <w:tc>
          <w:tcPr>
            <w:tcW w:w="931"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35.6</w:t>
            </w:r>
          </w:p>
        </w:tc>
        <w:tc>
          <w:tcPr>
            <w:tcW w:w="632"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46.0</w:t>
            </w:r>
          </w:p>
        </w:tc>
        <w:tc>
          <w:tcPr>
            <w:tcW w:w="63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47.7</w:t>
            </w:r>
          </w:p>
        </w:tc>
        <w:tc>
          <w:tcPr>
            <w:tcW w:w="743"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134.0%</w:t>
            </w:r>
          </w:p>
        </w:tc>
        <w:tc>
          <w:tcPr>
            <w:tcW w:w="820"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103.7%</w:t>
            </w:r>
          </w:p>
        </w:tc>
        <w:tc>
          <w:tcPr>
            <w:tcW w:w="1113" w:type="dxa"/>
            <w:tcBorders>
              <w:top w:val="nil"/>
              <w:left w:val="nil"/>
              <w:bottom w:val="nil"/>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133.9%</w:t>
            </w:r>
          </w:p>
        </w:tc>
      </w:tr>
      <w:tr w:rsidR="0051438E" w:rsidRPr="00734A96" w:rsidTr="006E5E97">
        <w:trPr>
          <w:trHeight w:val="300"/>
        </w:trPr>
        <w:tc>
          <w:tcPr>
            <w:tcW w:w="1880" w:type="dxa"/>
            <w:tcBorders>
              <w:top w:val="nil"/>
              <w:left w:val="single" w:sz="8" w:space="0" w:color="0070C0"/>
              <w:bottom w:val="nil"/>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Akcizat</w:t>
            </w:r>
          </w:p>
        </w:tc>
        <w:tc>
          <w:tcPr>
            <w:tcW w:w="64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45.0</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46.7</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44.5</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51.6</w:t>
            </w:r>
          </w:p>
        </w:tc>
        <w:tc>
          <w:tcPr>
            <w:tcW w:w="992"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116.0%</w:t>
            </w:r>
          </w:p>
        </w:tc>
        <w:tc>
          <w:tcPr>
            <w:tcW w:w="931"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56.5</w:t>
            </w:r>
          </w:p>
        </w:tc>
        <w:tc>
          <w:tcPr>
            <w:tcW w:w="632"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55.0</w:t>
            </w:r>
          </w:p>
        </w:tc>
        <w:tc>
          <w:tcPr>
            <w:tcW w:w="63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53.6</w:t>
            </w:r>
          </w:p>
        </w:tc>
        <w:tc>
          <w:tcPr>
            <w:tcW w:w="743"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94.8%</w:t>
            </w:r>
          </w:p>
        </w:tc>
        <w:tc>
          <w:tcPr>
            <w:tcW w:w="820"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97.4%</w:t>
            </w:r>
          </w:p>
        </w:tc>
        <w:tc>
          <w:tcPr>
            <w:tcW w:w="1113" w:type="dxa"/>
            <w:tcBorders>
              <w:top w:val="nil"/>
              <w:left w:val="nil"/>
              <w:bottom w:val="nil"/>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103.7%</w:t>
            </w:r>
          </w:p>
        </w:tc>
      </w:tr>
      <w:tr w:rsidR="0051438E" w:rsidRPr="00734A96" w:rsidTr="006E5E97">
        <w:trPr>
          <w:trHeight w:val="300"/>
        </w:trPr>
        <w:tc>
          <w:tcPr>
            <w:tcW w:w="1880" w:type="dxa"/>
            <w:tcBorders>
              <w:top w:val="nil"/>
              <w:left w:val="single" w:sz="8" w:space="0" w:color="0070C0"/>
              <w:bottom w:val="nil"/>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Tatimi mbi te Ardhurat Personale</w:t>
            </w:r>
          </w:p>
        </w:tc>
        <w:tc>
          <w:tcPr>
            <w:tcW w:w="64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36.5</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46.1</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33.7</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39.3</w:t>
            </w:r>
          </w:p>
        </w:tc>
        <w:tc>
          <w:tcPr>
            <w:tcW w:w="992"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116.8%</w:t>
            </w:r>
          </w:p>
        </w:tc>
        <w:tc>
          <w:tcPr>
            <w:tcW w:w="931"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45.2</w:t>
            </w:r>
          </w:p>
        </w:tc>
        <w:tc>
          <w:tcPr>
            <w:tcW w:w="632"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47.0</w:t>
            </w:r>
          </w:p>
        </w:tc>
        <w:tc>
          <w:tcPr>
            <w:tcW w:w="63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45.0</w:t>
            </w:r>
          </w:p>
        </w:tc>
        <w:tc>
          <w:tcPr>
            <w:tcW w:w="743"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99.6%</w:t>
            </w:r>
          </w:p>
        </w:tc>
        <w:tc>
          <w:tcPr>
            <w:tcW w:w="820"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95.7%</w:t>
            </w:r>
          </w:p>
        </w:tc>
        <w:tc>
          <w:tcPr>
            <w:tcW w:w="1113" w:type="dxa"/>
            <w:tcBorders>
              <w:top w:val="nil"/>
              <w:left w:val="nil"/>
              <w:bottom w:val="nil"/>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114.4%</w:t>
            </w:r>
          </w:p>
        </w:tc>
      </w:tr>
      <w:tr w:rsidR="0051438E" w:rsidRPr="00734A96" w:rsidTr="006E5E97">
        <w:trPr>
          <w:trHeight w:val="300"/>
        </w:trPr>
        <w:tc>
          <w:tcPr>
            <w:tcW w:w="1880" w:type="dxa"/>
            <w:tcBorders>
              <w:top w:val="nil"/>
              <w:left w:val="single" w:sz="8" w:space="0" w:color="0070C0"/>
              <w:bottom w:val="nil"/>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Taksa Nacionale dhe te tjera</w:t>
            </w:r>
          </w:p>
        </w:tc>
        <w:tc>
          <w:tcPr>
            <w:tcW w:w="64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38.7</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36.4</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35.8</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42.5</w:t>
            </w:r>
          </w:p>
        </w:tc>
        <w:tc>
          <w:tcPr>
            <w:tcW w:w="992"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118.7%</w:t>
            </w:r>
          </w:p>
        </w:tc>
        <w:tc>
          <w:tcPr>
            <w:tcW w:w="931"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49.7</w:t>
            </w:r>
          </w:p>
        </w:tc>
        <w:tc>
          <w:tcPr>
            <w:tcW w:w="632"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48.5</w:t>
            </w:r>
          </w:p>
        </w:tc>
        <w:tc>
          <w:tcPr>
            <w:tcW w:w="63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44.8</w:t>
            </w:r>
          </w:p>
        </w:tc>
        <w:tc>
          <w:tcPr>
            <w:tcW w:w="743"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90.1%</w:t>
            </w:r>
          </w:p>
        </w:tc>
        <w:tc>
          <w:tcPr>
            <w:tcW w:w="820"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92.4%</w:t>
            </w:r>
          </w:p>
        </w:tc>
        <w:tc>
          <w:tcPr>
            <w:tcW w:w="1113" w:type="dxa"/>
            <w:tcBorders>
              <w:top w:val="nil"/>
              <w:left w:val="nil"/>
              <w:bottom w:val="nil"/>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105.4%</w:t>
            </w:r>
          </w:p>
        </w:tc>
      </w:tr>
      <w:tr w:rsidR="0051438E" w:rsidRPr="00734A96" w:rsidTr="006E5E97">
        <w:trPr>
          <w:trHeight w:val="300"/>
        </w:trPr>
        <w:tc>
          <w:tcPr>
            <w:tcW w:w="1880" w:type="dxa"/>
            <w:tcBorders>
              <w:top w:val="nil"/>
              <w:left w:val="single" w:sz="8" w:space="0" w:color="0070C0"/>
              <w:bottom w:val="nil"/>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Taksa Doganore</w:t>
            </w:r>
          </w:p>
        </w:tc>
        <w:tc>
          <w:tcPr>
            <w:tcW w:w="64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6.2</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6.5</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6.2</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7.5</w:t>
            </w:r>
          </w:p>
        </w:tc>
        <w:tc>
          <w:tcPr>
            <w:tcW w:w="992"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119.5%</w:t>
            </w:r>
          </w:p>
        </w:tc>
        <w:tc>
          <w:tcPr>
            <w:tcW w:w="931"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7.5</w:t>
            </w:r>
          </w:p>
        </w:tc>
        <w:tc>
          <w:tcPr>
            <w:tcW w:w="632"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8.5</w:t>
            </w:r>
          </w:p>
        </w:tc>
        <w:tc>
          <w:tcPr>
            <w:tcW w:w="63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8.5</w:t>
            </w:r>
          </w:p>
        </w:tc>
        <w:tc>
          <w:tcPr>
            <w:tcW w:w="743"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112.5%</w:t>
            </w:r>
          </w:p>
        </w:tc>
        <w:tc>
          <w:tcPr>
            <w:tcW w:w="820"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99.4%</w:t>
            </w:r>
          </w:p>
        </w:tc>
        <w:tc>
          <w:tcPr>
            <w:tcW w:w="1113" w:type="dxa"/>
            <w:tcBorders>
              <w:top w:val="nil"/>
              <w:left w:val="nil"/>
              <w:bottom w:val="nil"/>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113.3%</w:t>
            </w:r>
          </w:p>
        </w:tc>
      </w:tr>
      <w:tr w:rsidR="0051438E" w:rsidRPr="00734A96" w:rsidTr="006E5E97">
        <w:trPr>
          <w:trHeight w:val="300"/>
        </w:trPr>
        <w:tc>
          <w:tcPr>
            <w:tcW w:w="1880" w:type="dxa"/>
            <w:tcBorders>
              <w:top w:val="nil"/>
              <w:left w:val="single" w:sz="8" w:space="0" w:color="0070C0"/>
              <w:bottom w:val="nil"/>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Të ardhura nga Pushteti Vendor</w:t>
            </w:r>
          </w:p>
        </w:tc>
        <w:tc>
          <w:tcPr>
            <w:tcW w:w="64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21.9</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23.1</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22.0</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26.7</w:t>
            </w:r>
          </w:p>
        </w:tc>
        <w:tc>
          <w:tcPr>
            <w:tcW w:w="992"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121.3%</w:t>
            </w:r>
          </w:p>
        </w:tc>
        <w:tc>
          <w:tcPr>
            <w:tcW w:w="931"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27.6</w:t>
            </w:r>
          </w:p>
        </w:tc>
        <w:tc>
          <w:tcPr>
            <w:tcW w:w="632"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p>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27.6</w:t>
            </w:r>
          </w:p>
        </w:tc>
        <w:tc>
          <w:tcPr>
            <w:tcW w:w="63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27.6</w:t>
            </w:r>
          </w:p>
        </w:tc>
        <w:tc>
          <w:tcPr>
            <w:tcW w:w="743"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100.0%</w:t>
            </w:r>
          </w:p>
        </w:tc>
        <w:tc>
          <w:tcPr>
            <w:tcW w:w="820"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100.0%</w:t>
            </w:r>
          </w:p>
        </w:tc>
        <w:tc>
          <w:tcPr>
            <w:tcW w:w="1113" w:type="dxa"/>
            <w:tcBorders>
              <w:top w:val="nil"/>
              <w:left w:val="nil"/>
              <w:bottom w:val="nil"/>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103.6%</w:t>
            </w:r>
          </w:p>
        </w:tc>
      </w:tr>
      <w:tr w:rsidR="0051438E" w:rsidRPr="00734A96" w:rsidTr="006E5E97">
        <w:trPr>
          <w:trHeight w:val="300"/>
        </w:trPr>
        <w:tc>
          <w:tcPr>
            <w:tcW w:w="1880" w:type="dxa"/>
            <w:tcBorders>
              <w:top w:val="nil"/>
              <w:left w:val="single" w:sz="8" w:space="0" w:color="0070C0"/>
              <w:bottom w:val="single" w:sz="4" w:space="0" w:color="0070C0"/>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Të ardhura nga fondet speciale</w:t>
            </w:r>
          </w:p>
        </w:tc>
        <w:tc>
          <w:tcPr>
            <w:tcW w:w="645" w:type="dxa"/>
            <w:tcBorders>
              <w:top w:val="nil"/>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93.2</w:t>
            </w:r>
          </w:p>
        </w:tc>
        <w:tc>
          <w:tcPr>
            <w:tcW w:w="644" w:type="dxa"/>
            <w:tcBorders>
              <w:top w:val="nil"/>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98.4</w:t>
            </w:r>
          </w:p>
        </w:tc>
        <w:tc>
          <w:tcPr>
            <w:tcW w:w="644" w:type="dxa"/>
            <w:tcBorders>
              <w:top w:val="nil"/>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97.7</w:t>
            </w:r>
          </w:p>
        </w:tc>
        <w:tc>
          <w:tcPr>
            <w:tcW w:w="644" w:type="dxa"/>
            <w:tcBorders>
              <w:top w:val="nil"/>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110.9</w:t>
            </w:r>
          </w:p>
        </w:tc>
        <w:tc>
          <w:tcPr>
            <w:tcW w:w="992" w:type="dxa"/>
            <w:tcBorders>
              <w:top w:val="nil"/>
              <w:left w:val="nil"/>
              <w:bottom w:val="single" w:sz="4" w:space="0" w:color="5B9BD5"/>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113.5%</w:t>
            </w:r>
          </w:p>
        </w:tc>
        <w:tc>
          <w:tcPr>
            <w:tcW w:w="931" w:type="dxa"/>
            <w:tcBorders>
              <w:top w:val="nil"/>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112.0</w:t>
            </w:r>
          </w:p>
        </w:tc>
        <w:tc>
          <w:tcPr>
            <w:tcW w:w="632" w:type="dxa"/>
            <w:tcBorders>
              <w:top w:val="nil"/>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p>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121.0</w:t>
            </w:r>
          </w:p>
        </w:tc>
        <w:tc>
          <w:tcPr>
            <w:tcW w:w="635" w:type="dxa"/>
            <w:tcBorders>
              <w:top w:val="nil"/>
              <w:left w:val="nil"/>
              <w:bottom w:val="single" w:sz="4" w:space="0" w:color="0070C0"/>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122.8</w:t>
            </w:r>
          </w:p>
        </w:tc>
        <w:tc>
          <w:tcPr>
            <w:tcW w:w="743" w:type="dxa"/>
            <w:tcBorders>
              <w:top w:val="nil"/>
              <w:left w:val="nil"/>
              <w:bottom w:val="single" w:sz="4" w:space="0" w:color="0070C0"/>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109.7%</w:t>
            </w:r>
          </w:p>
        </w:tc>
        <w:tc>
          <w:tcPr>
            <w:tcW w:w="820" w:type="dxa"/>
            <w:tcBorders>
              <w:top w:val="nil"/>
              <w:left w:val="nil"/>
              <w:bottom w:val="single" w:sz="4" w:space="0" w:color="0070C0"/>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101.5%</w:t>
            </w:r>
          </w:p>
        </w:tc>
        <w:tc>
          <w:tcPr>
            <w:tcW w:w="1113" w:type="dxa"/>
            <w:tcBorders>
              <w:top w:val="nil"/>
              <w:left w:val="nil"/>
              <w:bottom w:val="single" w:sz="4" w:space="0" w:color="0070C0"/>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110.8%</w:t>
            </w:r>
          </w:p>
        </w:tc>
      </w:tr>
      <w:tr w:rsidR="0051438E" w:rsidRPr="00734A96" w:rsidTr="006E5E97">
        <w:trPr>
          <w:trHeight w:val="315"/>
        </w:trPr>
        <w:tc>
          <w:tcPr>
            <w:tcW w:w="1880" w:type="dxa"/>
            <w:tcBorders>
              <w:top w:val="nil"/>
              <w:left w:val="single" w:sz="8" w:space="0" w:color="0070C0"/>
              <w:bottom w:val="nil"/>
              <w:right w:val="nil"/>
            </w:tcBorders>
            <w:shd w:val="clear" w:color="000000" w:fill="DCE6F1"/>
            <w:noWrap/>
            <w:vAlign w:val="center"/>
            <w:hideMark/>
          </w:tcPr>
          <w:p w:rsidR="0051438E" w:rsidRPr="00734A96" w:rsidRDefault="0051438E" w:rsidP="008F59CB">
            <w:pPr>
              <w:spacing w:before="0" w:line="240" w:lineRule="auto"/>
              <w:jc w:val="left"/>
              <w:rPr>
                <w:rFonts w:ascii="Calibri Light" w:hAnsi="Calibri Light" w:cs="Calibri Light"/>
                <w:b/>
                <w:bCs/>
                <w:color w:val="203764"/>
                <w:sz w:val="16"/>
                <w:szCs w:val="16"/>
              </w:rPr>
            </w:pPr>
            <w:r w:rsidRPr="00734A96">
              <w:rPr>
                <w:rFonts w:ascii="Calibri Light" w:hAnsi="Calibri Light" w:cs="Calibri Light"/>
                <w:b/>
                <w:bCs/>
                <w:color w:val="203764"/>
                <w:sz w:val="16"/>
                <w:szCs w:val="16"/>
              </w:rPr>
              <w:t>Të ardhura jotatimore</w:t>
            </w:r>
          </w:p>
        </w:tc>
        <w:tc>
          <w:tcPr>
            <w:tcW w:w="64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22.4</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23.5</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19.0</w:t>
            </w:r>
          </w:p>
        </w:tc>
        <w:tc>
          <w:tcPr>
            <w:tcW w:w="644"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22.3</w:t>
            </w:r>
          </w:p>
        </w:tc>
        <w:tc>
          <w:tcPr>
            <w:tcW w:w="992" w:type="dxa"/>
            <w:tcBorders>
              <w:top w:val="nil"/>
              <w:left w:val="nil"/>
              <w:bottom w:val="nil"/>
              <w:right w:val="nil"/>
            </w:tcBorders>
            <w:shd w:val="clear" w:color="auto" w:fill="auto"/>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p>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117.6%</w:t>
            </w:r>
          </w:p>
        </w:tc>
        <w:tc>
          <w:tcPr>
            <w:tcW w:w="931"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 xml:space="preserve">                 </w:t>
            </w:r>
          </w:p>
          <w:p w:rsidR="0051438E" w:rsidRPr="00734A96" w:rsidRDefault="0051438E" w:rsidP="008F59CB">
            <w:pPr>
              <w:spacing w:before="0" w:line="240" w:lineRule="auto"/>
              <w:jc w:val="center"/>
              <w:rPr>
                <w:rFonts w:ascii="Calibri Light" w:hAnsi="Calibri Light" w:cs="Calibri Light"/>
                <w:color w:val="203764"/>
                <w:sz w:val="16"/>
                <w:szCs w:val="16"/>
              </w:rPr>
            </w:pPr>
            <w:r w:rsidRPr="00734A96">
              <w:rPr>
                <w:rFonts w:ascii="Calibri Light" w:hAnsi="Calibri Light" w:cs="Calibri Light"/>
                <w:color w:val="203764"/>
                <w:sz w:val="16"/>
                <w:szCs w:val="16"/>
              </w:rPr>
              <w:t>22.7</w:t>
            </w:r>
          </w:p>
        </w:tc>
        <w:tc>
          <w:tcPr>
            <w:tcW w:w="632"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left"/>
              <w:rPr>
                <w:rFonts w:ascii="Calibri Light" w:hAnsi="Calibri Light" w:cs="Calibri Light"/>
                <w:color w:val="203764"/>
                <w:sz w:val="16"/>
                <w:szCs w:val="16"/>
              </w:rPr>
            </w:pPr>
            <w:r w:rsidRPr="00734A96">
              <w:rPr>
                <w:rFonts w:ascii="Calibri Light" w:hAnsi="Calibri Light" w:cs="Calibri Light"/>
                <w:color w:val="203764"/>
                <w:sz w:val="16"/>
                <w:szCs w:val="16"/>
              </w:rPr>
              <w:t xml:space="preserve">            </w:t>
            </w:r>
          </w:p>
          <w:p w:rsidR="0051438E" w:rsidRPr="00734A96" w:rsidRDefault="0051438E" w:rsidP="008F59CB">
            <w:pPr>
              <w:spacing w:before="0" w:line="240" w:lineRule="auto"/>
              <w:rPr>
                <w:rFonts w:ascii="Calibri Light" w:hAnsi="Calibri Light" w:cs="Calibri Light"/>
                <w:color w:val="203764"/>
                <w:sz w:val="16"/>
                <w:szCs w:val="16"/>
              </w:rPr>
            </w:pPr>
            <w:r w:rsidRPr="00734A96">
              <w:rPr>
                <w:rFonts w:ascii="Calibri Light" w:hAnsi="Calibri Light" w:cs="Calibri Light"/>
                <w:color w:val="203764"/>
                <w:sz w:val="16"/>
                <w:szCs w:val="16"/>
              </w:rPr>
              <w:t xml:space="preserve">    24.7 </w:t>
            </w:r>
          </w:p>
        </w:tc>
        <w:tc>
          <w:tcPr>
            <w:tcW w:w="635" w:type="dxa"/>
            <w:tcBorders>
              <w:top w:val="nil"/>
              <w:left w:val="nil"/>
              <w:bottom w:val="nil"/>
              <w:right w:val="nil"/>
            </w:tcBorders>
            <w:shd w:val="clear" w:color="auto" w:fill="auto"/>
            <w:noWrap/>
            <w:vAlign w:val="bottom"/>
            <w:hideMark/>
          </w:tcPr>
          <w:p w:rsidR="0051438E" w:rsidRPr="00734A96" w:rsidRDefault="0051438E" w:rsidP="008F59CB">
            <w:pPr>
              <w:spacing w:before="0" w:line="240" w:lineRule="auto"/>
              <w:jc w:val="right"/>
              <w:rPr>
                <w:rFonts w:ascii="Calibri Light" w:hAnsi="Calibri Light" w:cs="Calibri Light"/>
                <w:color w:val="203764"/>
                <w:sz w:val="16"/>
                <w:szCs w:val="16"/>
              </w:rPr>
            </w:pPr>
            <w:r w:rsidRPr="00734A96">
              <w:rPr>
                <w:rFonts w:ascii="Calibri Light" w:hAnsi="Calibri Light" w:cs="Calibri Light"/>
                <w:color w:val="203764"/>
                <w:sz w:val="16"/>
                <w:szCs w:val="16"/>
              </w:rPr>
              <w:t>21.9</w:t>
            </w:r>
          </w:p>
        </w:tc>
        <w:tc>
          <w:tcPr>
            <w:tcW w:w="743"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p>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96.8%</w:t>
            </w:r>
          </w:p>
        </w:tc>
        <w:tc>
          <w:tcPr>
            <w:tcW w:w="820" w:type="dxa"/>
            <w:tcBorders>
              <w:top w:val="nil"/>
              <w:left w:val="nil"/>
              <w:bottom w:val="nil"/>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p>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89.0%</w:t>
            </w:r>
          </w:p>
        </w:tc>
        <w:tc>
          <w:tcPr>
            <w:tcW w:w="1113" w:type="dxa"/>
            <w:tcBorders>
              <w:top w:val="nil"/>
              <w:left w:val="nil"/>
              <w:bottom w:val="nil"/>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p>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98.4%</w:t>
            </w:r>
          </w:p>
        </w:tc>
      </w:tr>
      <w:tr w:rsidR="0051438E" w:rsidRPr="00734A96" w:rsidTr="006E5E97">
        <w:trPr>
          <w:trHeight w:val="315"/>
        </w:trPr>
        <w:tc>
          <w:tcPr>
            <w:tcW w:w="1880" w:type="dxa"/>
            <w:tcBorders>
              <w:top w:val="single" w:sz="8" w:space="0" w:color="0070C0"/>
              <w:left w:val="single" w:sz="8" w:space="0" w:color="0070C0"/>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left"/>
              <w:rPr>
                <w:rFonts w:ascii="Calibri Light" w:hAnsi="Calibri Light" w:cs="Calibri Light"/>
                <w:b/>
                <w:bCs/>
                <w:color w:val="203764"/>
                <w:sz w:val="16"/>
                <w:szCs w:val="16"/>
              </w:rPr>
            </w:pPr>
            <w:r w:rsidRPr="00734A96">
              <w:rPr>
                <w:rFonts w:ascii="Calibri Light" w:hAnsi="Calibri Light" w:cs="Calibri Light"/>
                <w:b/>
                <w:bCs/>
                <w:color w:val="203764"/>
                <w:sz w:val="16"/>
                <w:szCs w:val="16"/>
              </w:rPr>
              <w:t>TOTALI I TË ARDHURAVE</w:t>
            </w:r>
          </w:p>
        </w:tc>
        <w:tc>
          <w:tcPr>
            <w:tcW w:w="645" w:type="dxa"/>
            <w:tcBorders>
              <w:top w:val="single" w:sz="8" w:space="0" w:color="0070C0"/>
              <w:left w:val="nil"/>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center"/>
              <w:rPr>
                <w:rFonts w:ascii="Calibri Light" w:hAnsi="Calibri Light" w:cs="Calibri Light"/>
                <w:b/>
                <w:bCs/>
                <w:color w:val="203764"/>
                <w:sz w:val="16"/>
                <w:szCs w:val="16"/>
              </w:rPr>
            </w:pPr>
            <w:r w:rsidRPr="00734A96">
              <w:rPr>
                <w:rFonts w:ascii="Calibri Light" w:hAnsi="Calibri Light" w:cs="Calibri Light"/>
                <w:b/>
                <w:bCs/>
                <w:color w:val="203764"/>
                <w:sz w:val="16"/>
                <w:szCs w:val="16"/>
              </w:rPr>
              <w:t>449.9</w:t>
            </w:r>
          </w:p>
        </w:tc>
        <w:tc>
          <w:tcPr>
            <w:tcW w:w="644" w:type="dxa"/>
            <w:tcBorders>
              <w:top w:val="single" w:sz="8" w:space="0" w:color="0070C0"/>
              <w:left w:val="nil"/>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center"/>
              <w:rPr>
                <w:rFonts w:ascii="Calibri Light" w:hAnsi="Calibri Light" w:cs="Calibri Light"/>
                <w:b/>
                <w:bCs/>
                <w:color w:val="203764"/>
                <w:sz w:val="16"/>
                <w:szCs w:val="16"/>
              </w:rPr>
            </w:pPr>
            <w:r w:rsidRPr="00734A96">
              <w:rPr>
                <w:rFonts w:ascii="Calibri Light" w:hAnsi="Calibri Light" w:cs="Calibri Light"/>
                <w:b/>
                <w:bCs/>
                <w:color w:val="203764"/>
                <w:sz w:val="16"/>
                <w:szCs w:val="16"/>
              </w:rPr>
              <w:t>460.3</w:t>
            </w:r>
          </w:p>
        </w:tc>
        <w:tc>
          <w:tcPr>
            <w:tcW w:w="644" w:type="dxa"/>
            <w:tcBorders>
              <w:top w:val="single" w:sz="8" w:space="0" w:color="0070C0"/>
              <w:left w:val="nil"/>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center"/>
              <w:rPr>
                <w:rFonts w:ascii="Calibri Light" w:hAnsi="Calibri Light" w:cs="Calibri Light"/>
                <w:b/>
                <w:bCs/>
                <w:color w:val="203764"/>
                <w:sz w:val="16"/>
                <w:szCs w:val="16"/>
              </w:rPr>
            </w:pPr>
            <w:r w:rsidRPr="00734A96">
              <w:rPr>
                <w:rFonts w:ascii="Calibri Light" w:hAnsi="Calibri Light" w:cs="Calibri Light"/>
                <w:b/>
                <w:bCs/>
                <w:color w:val="203764"/>
                <w:sz w:val="16"/>
                <w:szCs w:val="16"/>
              </w:rPr>
              <w:t>425.9</w:t>
            </w:r>
          </w:p>
        </w:tc>
        <w:tc>
          <w:tcPr>
            <w:tcW w:w="644" w:type="dxa"/>
            <w:tcBorders>
              <w:top w:val="single" w:sz="8" w:space="0" w:color="0070C0"/>
              <w:left w:val="nil"/>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center"/>
              <w:rPr>
                <w:rFonts w:ascii="Calibri Light" w:hAnsi="Calibri Light" w:cs="Calibri Light"/>
                <w:b/>
                <w:bCs/>
                <w:color w:val="203764"/>
                <w:sz w:val="16"/>
                <w:szCs w:val="16"/>
              </w:rPr>
            </w:pPr>
            <w:r w:rsidRPr="00734A96">
              <w:rPr>
                <w:rFonts w:ascii="Calibri Light" w:hAnsi="Calibri Light" w:cs="Calibri Light"/>
                <w:b/>
                <w:bCs/>
                <w:color w:val="203764"/>
                <w:sz w:val="16"/>
                <w:szCs w:val="16"/>
              </w:rPr>
              <w:t>511.0</w:t>
            </w:r>
          </w:p>
        </w:tc>
        <w:tc>
          <w:tcPr>
            <w:tcW w:w="992" w:type="dxa"/>
            <w:tcBorders>
              <w:top w:val="single" w:sz="8" w:space="0" w:color="0070C0"/>
              <w:left w:val="nil"/>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120.0%</w:t>
            </w:r>
          </w:p>
        </w:tc>
        <w:tc>
          <w:tcPr>
            <w:tcW w:w="931" w:type="dxa"/>
            <w:tcBorders>
              <w:top w:val="single" w:sz="8" w:space="0" w:color="0070C0"/>
              <w:left w:val="nil"/>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center"/>
              <w:rPr>
                <w:rFonts w:ascii="Calibri Light" w:hAnsi="Calibri Light" w:cs="Calibri Light"/>
                <w:b/>
                <w:bCs/>
                <w:color w:val="203764"/>
                <w:sz w:val="16"/>
                <w:szCs w:val="16"/>
              </w:rPr>
            </w:pPr>
            <w:r w:rsidRPr="00734A96">
              <w:rPr>
                <w:rFonts w:ascii="Calibri Light" w:hAnsi="Calibri Light" w:cs="Calibri Light"/>
                <w:b/>
                <w:bCs/>
                <w:color w:val="203764"/>
                <w:sz w:val="16"/>
                <w:szCs w:val="16"/>
              </w:rPr>
              <w:t>536.8</w:t>
            </w:r>
          </w:p>
        </w:tc>
        <w:tc>
          <w:tcPr>
            <w:tcW w:w="632" w:type="dxa"/>
            <w:tcBorders>
              <w:top w:val="single" w:sz="8" w:space="0" w:color="0070C0"/>
              <w:left w:val="nil"/>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center"/>
              <w:rPr>
                <w:rFonts w:ascii="Calibri Light" w:hAnsi="Calibri Light" w:cs="Calibri Light"/>
                <w:b/>
                <w:bCs/>
                <w:color w:val="203764"/>
                <w:sz w:val="16"/>
                <w:szCs w:val="16"/>
              </w:rPr>
            </w:pPr>
            <w:r w:rsidRPr="00734A96">
              <w:rPr>
                <w:rFonts w:ascii="Calibri Light" w:hAnsi="Calibri Light" w:cs="Calibri Light"/>
                <w:b/>
                <w:bCs/>
                <w:color w:val="203764"/>
                <w:sz w:val="16"/>
                <w:szCs w:val="16"/>
              </w:rPr>
              <w:t>583.3</w:t>
            </w:r>
          </w:p>
        </w:tc>
        <w:tc>
          <w:tcPr>
            <w:tcW w:w="635" w:type="dxa"/>
            <w:tcBorders>
              <w:top w:val="single" w:sz="8" w:space="0" w:color="0070C0"/>
              <w:left w:val="nil"/>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572.8</w:t>
            </w:r>
          </w:p>
        </w:tc>
        <w:tc>
          <w:tcPr>
            <w:tcW w:w="743" w:type="dxa"/>
            <w:tcBorders>
              <w:top w:val="single" w:sz="8" w:space="0" w:color="0070C0"/>
              <w:left w:val="nil"/>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106.7%</w:t>
            </w:r>
          </w:p>
        </w:tc>
        <w:tc>
          <w:tcPr>
            <w:tcW w:w="820" w:type="dxa"/>
            <w:tcBorders>
              <w:top w:val="single" w:sz="8" w:space="0" w:color="0070C0"/>
              <w:left w:val="nil"/>
              <w:bottom w:val="single" w:sz="8" w:space="0" w:color="0070C0"/>
              <w:right w:val="nil"/>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98.2%</w:t>
            </w:r>
          </w:p>
        </w:tc>
        <w:tc>
          <w:tcPr>
            <w:tcW w:w="1113" w:type="dxa"/>
            <w:tcBorders>
              <w:top w:val="single" w:sz="8" w:space="0" w:color="0070C0"/>
              <w:left w:val="nil"/>
              <w:bottom w:val="single" w:sz="8" w:space="0" w:color="0070C0"/>
              <w:right w:val="single" w:sz="8" w:space="0" w:color="0070C0"/>
            </w:tcBorders>
            <w:shd w:val="clear" w:color="000000" w:fill="FFFFFF"/>
            <w:noWrap/>
            <w:vAlign w:val="center"/>
            <w:hideMark/>
          </w:tcPr>
          <w:p w:rsidR="0051438E" w:rsidRPr="00734A96" w:rsidRDefault="0051438E" w:rsidP="008F59CB">
            <w:pPr>
              <w:spacing w:before="0" w:line="240" w:lineRule="auto"/>
              <w:jc w:val="right"/>
              <w:rPr>
                <w:rFonts w:ascii="Calibri Light" w:hAnsi="Calibri Light" w:cs="Calibri Light"/>
                <w:b/>
                <w:bCs/>
                <w:color w:val="203764"/>
                <w:sz w:val="16"/>
                <w:szCs w:val="16"/>
              </w:rPr>
            </w:pPr>
            <w:r w:rsidRPr="00734A96">
              <w:rPr>
                <w:rFonts w:ascii="Calibri Light" w:hAnsi="Calibri Light" w:cs="Calibri Light"/>
                <w:b/>
                <w:bCs/>
                <w:color w:val="203764"/>
                <w:sz w:val="16"/>
                <w:szCs w:val="16"/>
              </w:rPr>
              <w:t>112.1%</w:t>
            </w:r>
          </w:p>
        </w:tc>
      </w:tr>
    </w:tbl>
    <w:p w:rsidR="00EC0844" w:rsidRDefault="00153CD6" w:rsidP="00153CD6">
      <w:pPr>
        <w:spacing w:before="0" w:line="360" w:lineRule="auto"/>
        <w:rPr>
          <w:rFonts w:cs="Calibri"/>
          <w:i/>
          <w:sz w:val="18"/>
          <w:szCs w:val="18"/>
          <w:lang w:val="sq-AL"/>
        </w:rPr>
      </w:pPr>
      <w:r>
        <w:rPr>
          <w:rFonts w:cs="Calibri"/>
          <w:i/>
          <w:sz w:val="18"/>
          <w:szCs w:val="18"/>
          <w:lang w:val="sq-AL"/>
        </w:rPr>
        <w:t>Burimi: Ministria e Financave dhe Ekonomisë (2023)</w:t>
      </w:r>
    </w:p>
    <w:p w:rsidR="000A00DD" w:rsidRPr="000A00DD" w:rsidRDefault="000A00DD" w:rsidP="00FC729E">
      <w:pPr>
        <w:pStyle w:val="Caption"/>
        <w:keepNext/>
        <w:spacing w:before="0" w:after="0"/>
        <w:rPr>
          <w:rFonts w:cs="Calibri"/>
          <w:sz w:val="8"/>
          <w:lang w:val="sq-AL"/>
        </w:rPr>
      </w:pPr>
    </w:p>
    <w:p w:rsidR="000C55BB" w:rsidRPr="00476D2E" w:rsidRDefault="000C55BB" w:rsidP="00FC729E">
      <w:pPr>
        <w:pStyle w:val="Caption"/>
        <w:keepNext/>
        <w:spacing w:after="0"/>
        <w:rPr>
          <w:rFonts w:cs="Calibri"/>
          <w:lang w:val="sq-AL"/>
        </w:rPr>
      </w:pPr>
      <w:bookmarkStart w:id="60" w:name="_Toc136526449"/>
      <w:r w:rsidRPr="00476D2E">
        <w:rPr>
          <w:rFonts w:cs="Calibri"/>
          <w:lang w:val="sq-AL"/>
        </w:rPr>
        <w:t xml:space="preserve">Grafiku </w:t>
      </w:r>
      <w:r w:rsidR="00787591" w:rsidRPr="00476D2E">
        <w:rPr>
          <w:rFonts w:cs="Calibri"/>
          <w:noProof/>
          <w:lang w:val="sq-AL"/>
        </w:rPr>
        <w:fldChar w:fldCharType="begin"/>
      </w:r>
      <w:r w:rsidR="00787591" w:rsidRPr="00476D2E">
        <w:rPr>
          <w:rFonts w:cs="Calibri"/>
          <w:noProof/>
          <w:lang w:val="sq-AL"/>
        </w:rPr>
        <w:instrText xml:space="preserve"> SEQ Grafiku \* ARABIC </w:instrText>
      </w:r>
      <w:r w:rsidR="00787591" w:rsidRPr="00476D2E">
        <w:rPr>
          <w:rFonts w:cs="Calibri"/>
          <w:noProof/>
          <w:lang w:val="sq-AL"/>
        </w:rPr>
        <w:fldChar w:fldCharType="separate"/>
      </w:r>
      <w:r w:rsidR="008C3E07">
        <w:rPr>
          <w:rFonts w:cs="Calibri"/>
          <w:noProof/>
          <w:lang w:val="sq-AL"/>
        </w:rPr>
        <w:t>4</w:t>
      </w:r>
      <w:r w:rsidR="00787591" w:rsidRPr="00476D2E">
        <w:rPr>
          <w:rFonts w:cs="Calibri"/>
          <w:noProof/>
          <w:lang w:val="sq-AL"/>
        </w:rPr>
        <w:fldChar w:fldCharType="end"/>
      </w:r>
      <w:bookmarkEnd w:id="59"/>
      <w:r w:rsidRPr="00476D2E">
        <w:rPr>
          <w:rFonts w:cs="Calibri"/>
          <w:lang w:val="sq-AL"/>
        </w:rPr>
        <w:t xml:space="preserve"> T</w:t>
      </w:r>
      <w:r w:rsidR="00C33B16" w:rsidRPr="00476D2E">
        <w:rPr>
          <w:rFonts w:cs="Calibri"/>
          <w:lang w:val="sq-AL"/>
        </w:rPr>
        <w:t>ë</w:t>
      </w:r>
      <w:r w:rsidRPr="00476D2E">
        <w:rPr>
          <w:rFonts w:cs="Calibri"/>
          <w:lang w:val="sq-AL"/>
        </w:rPr>
        <w:t xml:space="preserve"> ardhurat e p</w:t>
      </w:r>
      <w:r w:rsidR="00C33B16" w:rsidRPr="00476D2E">
        <w:rPr>
          <w:rFonts w:cs="Calibri"/>
          <w:lang w:val="sq-AL"/>
        </w:rPr>
        <w:t>ë</w:t>
      </w:r>
      <w:r w:rsidRPr="00476D2E">
        <w:rPr>
          <w:rFonts w:cs="Calibri"/>
          <w:lang w:val="sq-AL"/>
        </w:rPr>
        <w:t>rgjithshme (n</w:t>
      </w:r>
      <w:r w:rsidR="00C33B16" w:rsidRPr="00476D2E">
        <w:rPr>
          <w:rFonts w:cs="Calibri"/>
          <w:lang w:val="sq-AL"/>
        </w:rPr>
        <w:t>ë</w:t>
      </w:r>
      <w:r w:rsidRPr="00476D2E">
        <w:rPr>
          <w:rFonts w:cs="Calibri"/>
          <w:lang w:val="sq-AL"/>
        </w:rPr>
        <w:t xml:space="preserve"> miliard</w:t>
      </w:r>
      <w:r w:rsidR="00C33B16" w:rsidRPr="00476D2E">
        <w:rPr>
          <w:rFonts w:cs="Calibri"/>
          <w:lang w:val="sq-AL"/>
        </w:rPr>
        <w:t>ë</w:t>
      </w:r>
      <w:r w:rsidRPr="00476D2E">
        <w:rPr>
          <w:rFonts w:cs="Calibri"/>
          <w:lang w:val="sq-AL"/>
        </w:rPr>
        <w:t xml:space="preserve"> lek</w:t>
      </w:r>
      <w:r w:rsidR="00C33B16" w:rsidRPr="00476D2E">
        <w:rPr>
          <w:rFonts w:cs="Calibri"/>
          <w:lang w:val="sq-AL"/>
        </w:rPr>
        <w:t>ë</w:t>
      </w:r>
      <w:r w:rsidRPr="00476D2E">
        <w:rPr>
          <w:rFonts w:cs="Calibri"/>
          <w:lang w:val="sq-AL"/>
        </w:rPr>
        <w:t>), sipas kategorive kryesore</w:t>
      </w:r>
      <w:bookmarkEnd w:id="60"/>
    </w:p>
    <w:p w:rsidR="00EC0844" w:rsidRPr="00476D2E" w:rsidRDefault="00827FA0" w:rsidP="00FC729E">
      <w:pPr>
        <w:spacing w:before="0"/>
        <w:jc w:val="center"/>
        <w:rPr>
          <w:rFonts w:cs="Calibri"/>
          <w:i/>
          <w:sz w:val="18"/>
          <w:szCs w:val="18"/>
          <w:lang w:val="sq-AL"/>
        </w:rPr>
      </w:pPr>
      <w:r w:rsidRPr="00734A96">
        <w:rPr>
          <w:rFonts w:cs="Calibri"/>
          <w:noProof/>
        </w:rPr>
        <w:drawing>
          <wp:inline distT="0" distB="0" distL="0" distR="0" wp14:anchorId="758ABEDB" wp14:editId="66C8D057">
            <wp:extent cx="5989222" cy="1881553"/>
            <wp:effectExtent l="0" t="0" r="0" b="4445"/>
            <wp:docPr id="7" name="Chart 7">
              <a:extLst xmlns:a="http://schemas.openxmlformats.org/drawingml/2006/main">
                <a:ext uri="{FF2B5EF4-FFF2-40B4-BE49-F238E27FC236}">
                  <a16:creationId xmlns:a16="http://schemas.microsoft.com/office/drawing/2014/main" id="{00000000-0008-0000-00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C0844" w:rsidRDefault="00153CD6" w:rsidP="00153CD6">
      <w:pPr>
        <w:spacing w:before="0" w:line="360" w:lineRule="auto"/>
        <w:ind w:firstLine="720"/>
        <w:jc w:val="left"/>
        <w:rPr>
          <w:rFonts w:cs="Calibri"/>
          <w:i/>
          <w:sz w:val="18"/>
          <w:szCs w:val="18"/>
          <w:lang w:val="sq-AL"/>
        </w:rPr>
      </w:pPr>
      <w:r>
        <w:rPr>
          <w:rFonts w:cs="Calibri"/>
          <w:i/>
          <w:sz w:val="18"/>
          <w:szCs w:val="18"/>
          <w:lang w:val="sq-AL"/>
        </w:rPr>
        <w:t>Burimi: Ministria e Financave dhe Ekonomisë (2023)</w:t>
      </w:r>
    </w:p>
    <w:p w:rsidR="00827FA0" w:rsidRPr="00827FA0" w:rsidRDefault="00827FA0" w:rsidP="00FC729E">
      <w:pPr>
        <w:spacing w:before="0"/>
        <w:ind w:firstLine="720"/>
        <w:jc w:val="left"/>
        <w:rPr>
          <w:rFonts w:cs="Calibri"/>
          <w:i/>
          <w:sz w:val="8"/>
          <w:szCs w:val="18"/>
          <w:lang w:val="sq-AL"/>
        </w:rPr>
      </w:pPr>
    </w:p>
    <w:p w:rsidR="000C55BB" w:rsidRPr="00827FA0" w:rsidRDefault="005C6E2E" w:rsidP="00FC729E">
      <w:pPr>
        <w:pStyle w:val="fiskale3"/>
        <w:rPr>
          <w:rFonts w:ascii="Calibri" w:hAnsi="Calibri" w:cs="Calibri"/>
          <w:i/>
        </w:rPr>
      </w:pPr>
      <w:bookmarkStart w:id="61" w:name="_Toc10033268"/>
      <w:bookmarkStart w:id="62" w:name="_Toc10721405"/>
      <w:bookmarkStart w:id="63" w:name="_Toc104980323"/>
      <w:r w:rsidRPr="00827FA0">
        <w:rPr>
          <w:rFonts w:ascii="Calibri" w:hAnsi="Calibri" w:cs="Calibri"/>
          <w:i/>
        </w:rPr>
        <w:t>T</w:t>
      </w:r>
      <w:r w:rsidR="00C33B16" w:rsidRPr="00827FA0">
        <w:rPr>
          <w:rFonts w:ascii="Calibri" w:hAnsi="Calibri" w:cs="Calibri"/>
          <w:i/>
        </w:rPr>
        <w:t>ë</w:t>
      </w:r>
      <w:r w:rsidRPr="00827FA0">
        <w:rPr>
          <w:rFonts w:ascii="Calibri" w:hAnsi="Calibri" w:cs="Calibri"/>
          <w:i/>
        </w:rPr>
        <w:t xml:space="preserve"> ardhurat nga ndihmat</w:t>
      </w:r>
      <w:bookmarkEnd w:id="61"/>
      <w:bookmarkEnd w:id="62"/>
      <w:bookmarkEnd w:id="63"/>
    </w:p>
    <w:p w:rsidR="00153CD6" w:rsidRDefault="00827FA0" w:rsidP="00FC729E">
      <w:pPr>
        <w:spacing w:before="0"/>
        <w:rPr>
          <w:rFonts w:cs="Calibri"/>
          <w:noProof/>
          <w:lang w:val="sq-AL"/>
        </w:rPr>
      </w:pPr>
      <w:r w:rsidRPr="00734A96">
        <w:rPr>
          <w:rFonts w:cs="Calibri"/>
          <w:noProof/>
          <w:lang w:val="sq-AL"/>
        </w:rPr>
        <w:t>Të ardhurat nga ndihmat për periudhën Janar-Dhjetor 2022 janë 9.5 miliardë lekë nga 13.1 miliardë lekë të një viti më parë, duke pësuar ulje në masën 27.5</w:t>
      </w:r>
      <w:r w:rsidR="00FC729E">
        <w:rPr>
          <w:rFonts w:cs="Calibri"/>
          <w:noProof/>
          <w:lang w:val="sq-AL"/>
        </w:rPr>
        <w:t>%</w:t>
      </w:r>
      <w:r w:rsidRPr="00734A96">
        <w:rPr>
          <w:rFonts w:cs="Calibri"/>
          <w:noProof/>
          <w:lang w:val="sq-AL"/>
        </w:rPr>
        <w:t xml:space="preserve"> ose 3.6 miliardë lekë dhe me realizim ndaj planit </w:t>
      </w:r>
      <w:r>
        <w:rPr>
          <w:rFonts w:cs="Calibri"/>
          <w:noProof/>
          <w:lang w:val="sq-AL"/>
        </w:rPr>
        <w:t>t</w:t>
      </w:r>
      <w:r w:rsidRPr="00734A96">
        <w:rPr>
          <w:rFonts w:cs="Calibri"/>
          <w:noProof/>
          <w:lang w:val="sq-AL"/>
        </w:rPr>
        <w:t>ë rishikuar në masën 79.2</w:t>
      </w:r>
      <w:r w:rsidR="00FC729E">
        <w:rPr>
          <w:rFonts w:cs="Calibri"/>
          <w:noProof/>
          <w:lang w:val="sq-AL"/>
        </w:rPr>
        <w:t>%</w:t>
      </w:r>
      <w:r w:rsidR="00DA636E" w:rsidRPr="00476D2E">
        <w:rPr>
          <w:rFonts w:cs="Calibri"/>
          <w:noProof/>
          <w:lang w:val="sq-AL"/>
        </w:rPr>
        <w:t xml:space="preserve">. </w:t>
      </w:r>
    </w:p>
    <w:p w:rsidR="00153CD6" w:rsidRPr="00153CD6" w:rsidRDefault="00153CD6" w:rsidP="00FC729E">
      <w:pPr>
        <w:spacing w:before="0"/>
        <w:rPr>
          <w:rFonts w:cs="Calibri"/>
          <w:noProof/>
          <w:sz w:val="8"/>
          <w:lang w:val="sq-AL"/>
        </w:rPr>
      </w:pPr>
    </w:p>
    <w:p w:rsidR="005C6E2E" w:rsidRPr="00827FA0" w:rsidRDefault="005C6E2E" w:rsidP="00FC729E">
      <w:pPr>
        <w:pStyle w:val="fiskale3"/>
        <w:rPr>
          <w:rFonts w:ascii="Calibri" w:hAnsi="Calibri" w:cs="Calibri"/>
          <w:i/>
        </w:rPr>
      </w:pPr>
      <w:bookmarkStart w:id="64" w:name="_Toc10033269"/>
      <w:bookmarkStart w:id="65" w:name="_Toc10721406"/>
      <w:bookmarkStart w:id="66" w:name="_Toc104980324"/>
      <w:r w:rsidRPr="00827FA0">
        <w:rPr>
          <w:rFonts w:ascii="Calibri" w:hAnsi="Calibri" w:cs="Calibri"/>
          <w:i/>
        </w:rPr>
        <w:t>T</w:t>
      </w:r>
      <w:r w:rsidR="00C33B16" w:rsidRPr="00827FA0">
        <w:rPr>
          <w:rFonts w:ascii="Calibri" w:hAnsi="Calibri" w:cs="Calibri"/>
          <w:i/>
        </w:rPr>
        <w:t>ë</w:t>
      </w:r>
      <w:r w:rsidRPr="00827FA0">
        <w:rPr>
          <w:rFonts w:ascii="Calibri" w:hAnsi="Calibri" w:cs="Calibri"/>
          <w:i/>
        </w:rPr>
        <w:t xml:space="preserve"> ardhurat tatimore</w:t>
      </w:r>
      <w:bookmarkEnd w:id="64"/>
      <w:bookmarkEnd w:id="65"/>
      <w:bookmarkEnd w:id="66"/>
    </w:p>
    <w:p w:rsidR="00D460C4" w:rsidRPr="00476D2E" w:rsidRDefault="00827FA0" w:rsidP="00FC729E">
      <w:pPr>
        <w:spacing w:before="0"/>
        <w:rPr>
          <w:rFonts w:cs="Calibri"/>
          <w:noProof/>
          <w:lang w:val="sq-AL"/>
        </w:rPr>
      </w:pPr>
      <w:r w:rsidRPr="00734A96">
        <w:rPr>
          <w:rFonts w:cs="Calibri"/>
          <w:noProof/>
          <w:lang w:val="sq-AL"/>
        </w:rPr>
        <w:t xml:space="preserve">Të ardhurat tatimore, ku përfshihen të ardhurat nga tatimet dhe doganat, të ardhurat nga pushteti vendor si dhe të ardhurat nga fondet speciale, për periudhën 12-mujore arritën në vlerën 541.3 miliardë lekë, me një realizim ndaj planit vjetor të rishikuar në masën 99 </w:t>
      </w:r>
      <w:r w:rsidR="00FC729E">
        <w:rPr>
          <w:rFonts w:cs="Calibri"/>
          <w:noProof/>
          <w:lang w:val="sq-AL"/>
        </w:rPr>
        <w:t>%</w:t>
      </w:r>
      <w:r w:rsidRPr="00734A96">
        <w:rPr>
          <w:rFonts w:cs="Calibri"/>
          <w:noProof/>
          <w:lang w:val="sq-AL"/>
        </w:rPr>
        <w:t xml:space="preserve"> dhe me realizim kundrejt vitit të kaluar në masën 113.8 </w:t>
      </w:r>
      <w:r w:rsidR="00FC729E">
        <w:rPr>
          <w:rFonts w:cs="Calibri"/>
          <w:noProof/>
          <w:lang w:val="sq-AL"/>
        </w:rPr>
        <w:t>%</w:t>
      </w:r>
      <w:r w:rsidRPr="00734A96">
        <w:rPr>
          <w:rFonts w:cs="Calibri"/>
          <w:noProof/>
          <w:lang w:val="sq-AL"/>
        </w:rPr>
        <w:t xml:space="preserve"> ose 65.7 miliardë lekë më shumë</w:t>
      </w:r>
      <w:r w:rsidR="00D460C4" w:rsidRPr="00476D2E">
        <w:rPr>
          <w:rFonts w:cs="Calibri"/>
          <w:noProof/>
          <w:lang w:val="sq-AL"/>
        </w:rPr>
        <w:t xml:space="preserve">. </w:t>
      </w:r>
    </w:p>
    <w:p w:rsidR="005C6E2E" w:rsidRPr="00827FA0" w:rsidRDefault="005C6E2E" w:rsidP="00FC729E">
      <w:pPr>
        <w:pStyle w:val="fiskale3"/>
        <w:rPr>
          <w:rFonts w:ascii="Calibri" w:hAnsi="Calibri" w:cs="Calibri"/>
          <w:i/>
        </w:rPr>
      </w:pPr>
      <w:bookmarkStart w:id="67" w:name="_Toc10033270"/>
      <w:bookmarkStart w:id="68" w:name="_Toc10721407"/>
      <w:bookmarkStart w:id="69" w:name="_Toc104980325"/>
      <w:bookmarkStart w:id="70" w:name="_Hlk135830408"/>
      <w:r w:rsidRPr="00827FA0">
        <w:rPr>
          <w:rFonts w:ascii="Calibri" w:hAnsi="Calibri" w:cs="Calibri"/>
          <w:i/>
        </w:rPr>
        <w:lastRenderedPageBreak/>
        <w:t>T</w:t>
      </w:r>
      <w:r w:rsidR="00C33B16" w:rsidRPr="00827FA0">
        <w:rPr>
          <w:rFonts w:ascii="Calibri" w:hAnsi="Calibri" w:cs="Calibri"/>
          <w:i/>
        </w:rPr>
        <w:t>ë</w:t>
      </w:r>
      <w:r w:rsidRPr="00827FA0">
        <w:rPr>
          <w:rFonts w:ascii="Calibri" w:hAnsi="Calibri" w:cs="Calibri"/>
          <w:i/>
        </w:rPr>
        <w:t xml:space="preserve"> ardhurat nga pushteti vendor</w:t>
      </w:r>
      <w:bookmarkEnd w:id="67"/>
      <w:bookmarkEnd w:id="68"/>
      <w:bookmarkEnd w:id="69"/>
    </w:p>
    <w:p w:rsidR="002100DE" w:rsidRPr="00213EFC" w:rsidRDefault="00D01DD0" w:rsidP="004B3959">
      <w:pPr>
        <w:spacing w:before="0" w:line="240" w:lineRule="auto"/>
      </w:pPr>
      <w:r w:rsidRPr="00D01DD0">
        <w:rPr>
          <w:rFonts w:cs="Calibri"/>
          <w:noProof/>
          <w:lang w:val="sq-AL"/>
        </w:rPr>
        <w:t>Për vitin 2022, njësitë e vetëqeverisjes vendore në shkallë kombëtare kanë mbledhur të ardhura tatimore në masën 27,638 milion lekë, shifër kjo që është rreth 972 milion lekë më shumë ose rreth 4 përqind më e lartë se vlera e të ardhurave të mbledhura gjatë vitit 2021 e cila ka qenë 26,666 milion lekë. Ndërkohë, referuar të dhënave mbi të ardhurat jotatimore, për vitin 2022 janë mbledhur rreth 3,331 milion  lekë nga ky burim, që rezulton rreth 479 milion lekë më shumë ose rreth 17 përqind më e lartë se vlera e të ardhurave të mbledhura një vit më parë. Këto efekte pozitive në të ardhurat vendore për vitin 2022 tregojnë se buxheti vendor në tërësi vazhdon rritjen dhe rimëkëmbjen pas ngjarjeve të jashtëzakonshme të vitit 2019 dhe 2020, të cilat reflektuan ndikimin e tyre edhe në këto zëra. Në grafikun e mëposhtëm paraqiten të dhënat e realizmit të këtyre burimeve gjatë viteve 2019-2022</w:t>
      </w:r>
      <w:r w:rsidR="00762818" w:rsidRPr="00213EFC">
        <w:rPr>
          <w:rFonts w:cs="Calibri"/>
          <w:noProof/>
          <w:lang w:val="sq-AL"/>
        </w:rPr>
        <w:t>.</w:t>
      </w:r>
      <w:r w:rsidR="002100DE" w:rsidRPr="00213EFC">
        <w:rPr>
          <w:rFonts w:cs="Calibri"/>
          <w:noProof/>
          <w:lang w:val="sq-AL"/>
        </w:rPr>
        <w:t xml:space="preserve"> </w:t>
      </w:r>
    </w:p>
    <w:p w:rsidR="005A1F52" w:rsidRPr="00213EFC" w:rsidRDefault="005A1F52" w:rsidP="00FC729E">
      <w:pPr>
        <w:pStyle w:val="Caption"/>
        <w:keepNext/>
        <w:spacing w:after="0"/>
        <w:rPr>
          <w:rFonts w:cs="Calibri"/>
          <w:color w:val="073763" w:themeColor="accent1" w:themeShade="80"/>
          <w:lang w:val="sq-AL"/>
        </w:rPr>
      </w:pPr>
      <w:bookmarkStart w:id="71" w:name="_Toc136526450"/>
      <w:r w:rsidRPr="004B3959">
        <w:rPr>
          <w:rFonts w:cs="Calibri"/>
          <w:color w:val="073763" w:themeColor="accent1" w:themeShade="80"/>
          <w:lang w:val="sq-AL"/>
        </w:rPr>
        <w:t xml:space="preserve">Grafiku </w:t>
      </w:r>
      <w:r w:rsidR="00C87F41" w:rsidRPr="004B3959">
        <w:rPr>
          <w:rFonts w:cs="Calibri"/>
          <w:noProof/>
          <w:color w:val="073763" w:themeColor="accent1" w:themeShade="80"/>
          <w:lang w:val="sq-AL"/>
        </w:rPr>
        <w:fldChar w:fldCharType="begin"/>
      </w:r>
      <w:r w:rsidR="00C87F41" w:rsidRPr="004B3959">
        <w:rPr>
          <w:rFonts w:cs="Calibri"/>
          <w:noProof/>
          <w:color w:val="073763" w:themeColor="accent1" w:themeShade="80"/>
          <w:lang w:val="sq-AL"/>
        </w:rPr>
        <w:instrText xml:space="preserve"> SEQ Grafiku \* ARABIC </w:instrText>
      </w:r>
      <w:r w:rsidR="00C87F41" w:rsidRPr="004B3959">
        <w:rPr>
          <w:rFonts w:cs="Calibri"/>
          <w:noProof/>
          <w:color w:val="073763" w:themeColor="accent1" w:themeShade="80"/>
          <w:lang w:val="sq-AL"/>
        </w:rPr>
        <w:fldChar w:fldCharType="separate"/>
      </w:r>
      <w:r w:rsidR="008C3E07">
        <w:rPr>
          <w:rFonts w:cs="Calibri"/>
          <w:noProof/>
          <w:color w:val="073763" w:themeColor="accent1" w:themeShade="80"/>
          <w:lang w:val="sq-AL"/>
        </w:rPr>
        <w:t>5</w:t>
      </w:r>
      <w:r w:rsidR="00C87F41" w:rsidRPr="004B3959">
        <w:rPr>
          <w:rFonts w:cs="Calibri"/>
          <w:noProof/>
          <w:color w:val="073763" w:themeColor="accent1" w:themeShade="80"/>
          <w:lang w:val="sq-AL"/>
        </w:rPr>
        <w:fldChar w:fldCharType="end"/>
      </w:r>
      <w:r w:rsidRPr="004B3959">
        <w:rPr>
          <w:rFonts w:cs="Calibri"/>
          <w:color w:val="073763" w:themeColor="accent1" w:themeShade="80"/>
          <w:lang w:val="sq-AL"/>
        </w:rPr>
        <w:t xml:space="preserve"> T</w:t>
      </w:r>
      <w:r w:rsidR="00C33B16" w:rsidRPr="004B3959">
        <w:rPr>
          <w:rFonts w:cs="Calibri"/>
          <w:color w:val="073763" w:themeColor="accent1" w:themeShade="80"/>
          <w:lang w:val="sq-AL"/>
        </w:rPr>
        <w:t>ë</w:t>
      </w:r>
      <w:r w:rsidRPr="004B3959">
        <w:rPr>
          <w:rFonts w:cs="Calibri"/>
          <w:color w:val="073763" w:themeColor="accent1" w:themeShade="80"/>
          <w:lang w:val="sq-AL"/>
        </w:rPr>
        <w:t xml:space="preserve"> ardhura nga pushteti vendor n</w:t>
      </w:r>
      <w:r w:rsidR="00C33B16" w:rsidRPr="004B3959">
        <w:rPr>
          <w:rFonts w:cs="Calibri"/>
          <w:color w:val="073763" w:themeColor="accent1" w:themeShade="80"/>
          <w:lang w:val="sq-AL"/>
        </w:rPr>
        <w:t>ë</w:t>
      </w:r>
      <w:r w:rsidRPr="004B3959">
        <w:rPr>
          <w:rFonts w:cs="Calibri"/>
          <w:color w:val="073763" w:themeColor="accent1" w:themeShade="80"/>
          <w:lang w:val="sq-AL"/>
        </w:rPr>
        <w:t xml:space="preserve"> vite (n</w:t>
      </w:r>
      <w:r w:rsidR="00C33B16" w:rsidRPr="004B3959">
        <w:rPr>
          <w:rFonts w:cs="Calibri"/>
          <w:color w:val="073763" w:themeColor="accent1" w:themeShade="80"/>
          <w:lang w:val="sq-AL"/>
        </w:rPr>
        <w:t>ë</w:t>
      </w:r>
      <w:r w:rsidRPr="004B3959">
        <w:rPr>
          <w:rFonts w:cs="Calibri"/>
          <w:color w:val="073763" w:themeColor="accent1" w:themeShade="80"/>
          <w:lang w:val="sq-AL"/>
        </w:rPr>
        <w:t xml:space="preserve"> miliard</w:t>
      </w:r>
      <w:r w:rsidR="00C33B16" w:rsidRPr="004B3959">
        <w:rPr>
          <w:rFonts w:cs="Calibri"/>
          <w:color w:val="073763" w:themeColor="accent1" w:themeShade="80"/>
          <w:lang w:val="sq-AL"/>
        </w:rPr>
        <w:t>ë</w:t>
      </w:r>
      <w:r w:rsidRPr="004B3959">
        <w:rPr>
          <w:rFonts w:cs="Calibri"/>
          <w:color w:val="073763" w:themeColor="accent1" w:themeShade="80"/>
          <w:lang w:val="sq-AL"/>
        </w:rPr>
        <w:t xml:space="preserve"> lek</w:t>
      </w:r>
      <w:r w:rsidR="00C33B16" w:rsidRPr="004B3959">
        <w:rPr>
          <w:rFonts w:cs="Calibri"/>
          <w:color w:val="073763" w:themeColor="accent1" w:themeShade="80"/>
          <w:lang w:val="sq-AL"/>
        </w:rPr>
        <w:t>ë</w:t>
      </w:r>
      <w:r w:rsidRPr="004B3959">
        <w:rPr>
          <w:rFonts w:cs="Calibri"/>
          <w:color w:val="073763" w:themeColor="accent1" w:themeShade="80"/>
          <w:lang w:val="sq-AL"/>
        </w:rPr>
        <w:t>)</w:t>
      </w:r>
      <w:bookmarkEnd w:id="71"/>
    </w:p>
    <w:p w:rsidR="005A1F52" w:rsidRPr="00146BA4" w:rsidRDefault="004B3959" w:rsidP="00FC729E">
      <w:pPr>
        <w:spacing w:before="0"/>
        <w:jc w:val="center"/>
        <w:rPr>
          <w:rFonts w:cs="Calibri"/>
          <w:color w:val="FF0000"/>
          <w:lang w:val="sq-AL"/>
        </w:rPr>
      </w:pPr>
      <w:r>
        <w:rPr>
          <w:noProof/>
        </w:rPr>
        <w:drawing>
          <wp:inline distT="0" distB="0" distL="0" distR="0" wp14:anchorId="40ED9251" wp14:editId="7512F8CD">
            <wp:extent cx="6449158" cy="1442720"/>
            <wp:effectExtent l="0" t="0" r="8890" b="5080"/>
            <wp:docPr id="19" name="Chart 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A3996" w:rsidRPr="00213EFC" w:rsidRDefault="00153CD6" w:rsidP="004B3959">
      <w:pPr>
        <w:spacing w:before="0" w:line="240" w:lineRule="auto"/>
        <w:rPr>
          <w:rFonts w:cs="Calibri"/>
          <w:i/>
          <w:noProof/>
          <w:sz w:val="18"/>
          <w:szCs w:val="18"/>
          <w:lang w:val="sq-AL"/>
        </w:rPr>
      </w:pPr>
      <w:r>
        <w:rPr>
          <w:rFonts w:cs="Calibri"/>
          <w:i/>
          <w:noProof/>
          <w:sz w:val="18"/>
          <w:szCs w:val="18"/>
          <w:lang w:val="sq-AL"/>
        </w:rPr>
        <w:t>Burimi: Ministria e Financave dhe Ekonomisë (2023)</w:t>
      </w:r>
    </w:p>
    <w:p w:rsidR="004B3959" w:rsidRPr="004B3959" w:rsidRDefault="004B3959" w:rsidP="004B3959">
      <w:pPr>
        <w:spacing w:before="0" w:line="240" w:lineRule="auto"/>
        <w:rPr>
          <w:rFonts w:cs="Calibri"/>
          <w:noProof/>
          <w:color w:val="002060"/>
          <w:sz w:val="8"/>
          <w:lang w:val="sq-AL"/>
        </w:rPr>
      </w:pPr>
    </w:p>
    <w:p w:rsidR="00213EFC" w:rsidRPr="001C1F7E" w:rsidRDefault="00213EFC" w:rsidP="004B3959">
      <w:pPr>
        <w:spacing w:before="0" w:line="240" w:lineRule="auto"/>
        <w:rPr>
          <w:rFonts w:cs="Calibri"/>
          <w:i/>
          <w:noProof/>
          <w:sz w:val="18"/>
          <w:szCs w:val="18"/>
          <w:lang w:val="sq-AL"/>
        </w:rPr>
      </w:pPr>
      <w:r w:rsidRPr="001C1F7E">
        <w:rPr>
          <w:rFonts w:cs="Calibri"/>
          <w:noProof/>
          <w:lang w:val="sq-AL"/>
        </w:rPr>
        <w:t xml:space="preserve">Referuar përbërjes së tyre sipas zërave kryesorë, grafikisht të ardhurat e pushtetit vendor për vitin 2021 në </w:t>
      </w:r>
      <w:r w:rsidR="008136C0" w:rsidRPr="001C1F7E">
        <w:rPr>
          <w:rFonts w:cs="Calibri"/>
          <w:noProof/>
          <w:lang w:val="sq-AL"/>
        </w:rPr>
        <w:t>%</w:t>
      </w:r>
      <w:r w:rsidRPr="001C1F7E">
        <w:rPr>
          <w:rFonts w:cs="Calibri"/>
          <w:noProof/>
          <w:lang w:val="sq-AL"/>
        </w:rPr>
        <w:t>je paraqiten si mëposhtë:</w:t>
      </w:r>
    </w:p>
    <w:p w:rsidR="004B3959" w:rsidRPr="004B3959" w:rsidRDefault="004B3959" w:rsidP="004B3959">
      <w:pPr>
        <w:pStyle w:val="Caption"/>
        <w:keepNext/>
        <w:spacing w:before="0" w:after="0"/>
        <w:rPr>
          <w:rFonts w:cs="Calibri"/>
          <w:color w:val="073763" w:themeColor="accent1" w:themeShade="80"/>
          <w:sz w:val="8"/>
          <w:highlight w:val="yellow"/>
          <w:lang w:val="sq-AL"/>
        </w:rPr>
      </w:pPr>
    </w:p>
    <w:p w:rsidR="005A1F52" w:rsidRPr="00E27DDF" w:rsidRDefault="005A1F52" w:rsidP="004B3959">
      <w:pPr>
        <w:pStyle w:val="Caption"/>
        <w:keepNext/>
        <w:spacing w:before="0" w:after="0"/>
        <w:rPr>
          <w:rFonts w:cs="Calibri"/>
          <w:color w:val="073763" w:themeColor="accent1" w:themeShade="80"/>
          <w:lang w:val="sq-AL"/>
        </w:rPr>
      </w:pPr>
      <w:bookmarkStart w:id="72" w:name="_Toc136526451"/>
      <w:bookmarkStart w:id="73" w:name="_Hlk135910335"/>
      <w:r w:rsidRPr="001C1F7E">
        <w:rPr>
          <w:rFonts w:cs="Calibri"/>
          <w:color w:val="073763" w:themeColor="accent1" w:themeShade="80"/>
          <w:lang w:val="sq-AL"/>
        </w:rPr>
        <w:t xml:space="preserve">Grafiku </w:t>
      </w:r>
      <w:r w:rsidR="00C87F41" w:rsidRPr="001C1F7E">
        <w:rPr>
          <w:rFonts w:cs="Calibri"/>
          <w:noProof/>
          <w:color w:val="073763" w:themeColor="accent1" w:themeShade="80"/>
          <w:lang w:val="sq-AL"/>
        </w:rPr>
        <w:fldChar w:fldCharType="begin"/>
      </w:r>
      <w:r w:rsidR="00C87F41" w:rsidRPr="001C1F7E">
        <w:rPr>
          <w:rFonts w:cs="Calibri"/>
          <w:noProof/>
          <w:color w:val="073763" w:themeColor="accent1" w:themeShade="80"/>
          <w:lang w:val="sq-AL"/>
        </w:rPr>
        <w:instrText xml:space="preserve"> SEQ Grafiku \* ARABIC </w:instrText>
      </w:r>
      <w:r w:rsidR="00C87F41" w:rsidRPr="001C1F7E">
        <w:rPr>
          <w:rFonts w:cs="Calibri"/>
          <w:noProof/>
          <w:color w:val="073763" w:themeColor="accent1" w:themeShade="80"/>
          <w:lang w:val="sq-AL"/>
        </w:rPr>
        <w:fldChar w:fldCharType="separate"/>
      </w:r>
      <w:r w:rsidR="008C3E07">
        <w:rPr>
          <w:rFonts w:cs="Calibri"/>
          <w:noProof/>
          <w:color w:val="073763" w:themeColor="accent1" w:themeShade="80"/>
          <w:lang w:val="sq-AL"/>
        </w:rPr>
        <w:t>6</w:t>
      </w:r>
      <w:r w:rsidR="00C87F41" w:rsidRPr="001C1F7E">
        <w:rPr>
          <w:rFonts w:cs="Calibri"/>
          <w:noProof/>
          <w:color w:val="073763" w:themeColor="accent1" w:themeShade="80"/>
          <w:lang w:val="sq-AL"/>
        </w:rPr>
        <w:fldChar w:fldCharType="end"/>
      </w:r>
      <w:r w:rsidRPr="001C1F7E">
        <w:rPr>
          <w:rFonts w:cs="Calibri"/>
          <w:color w:val="073763" w:themeColor="accent1" w:themeShade="80"/>
          <w:lang w:val="sq-AL"/>
        </w:rPr>
        <w:t xml:space="preserve"> P</w:t>
      </w:r>
      <w:r w:rsidR="00C33B16" w:rsidRPr="001C1F7E">
        <w:rPr>
          <w:rFonts w:cs="Calibri"/>
          <w:color w:val="073763" w:themeColor="accent1" w:themeShade="80"/>
          <w:lang w:val="sq-AL"/>
        </w:rPr>
        <w:t>ë</w:t>
      </w:r>
      <w:r w:rsidRPr="001C1F7E">
        <w:rPr>
          <w:rFonts w:cs="Calibri"/>
          <w:color w:val="073763" w:themeColor="accent1" w:themeShade="80"/>
          <w:lang w:val="sq-AL"/>
        </w:rPr>
        <w:t>rb</w:t>
      </w:r>
      <w:r w:rsidR="00C33B16" w:rsidRPr="001C1F7E">
        <w:rPr>
          <w:rFonts w:cs="Calibri"/>
          <w:color w:val="073763" w:themeColor="accent1" w:themeShade="80"/>
          <w:lang w:val="sq-AL"/>
        </w:rPr>
        <w:t>ë</w:t>
      </w:r>
      <w:r w:rsidRPr="001C1F7E">
        <w:rPr>
          <w:rFonts w:cs="Calibri"/>
          <w:color w:val="073763" w:themeColor="accent1" w:themeShade="80"/>
          <w:lang w:val="sq-AL"/>
        </w:rPr>
        <w:t>rja e t</w:t>
      </w:r>
      <w:r w:rsidR="00C33B16" w:rsidRPr="001C1F7E">
        <w:rPr>
          <w:rFonts w:cs="Calibri"/>
          <w:color w:val="073763" w:themeColor="accent1" w:themeShade="80"/>
          <w:lang w:val="sq-AL"/>
        </w:rPr>
        <w:t>ë</w:t>
      </w:r>
      <w:r w:rsidRPr="001C1F7E">
        <w:rPr>
          <w:rFonts w:cs="Calibri"/>
          <w:color w:val="073763" w:themeColor="accent1" w:themeShade="80"/>
          <w:lang w:val="sq-AL"/>
        </w:rPr>
        <w:t xml:space="preserve"> ardhurave nga pushteti vendor sipas z</w:t>
      </w:r>
      <w:r w:rsidR="00C33B16" w:rsidRPr="001C1F7E">
        <w:rPr>
          <w:rFonts w:cs="Calibri"/>
          <w:color w:val="073763" w:themeColor="accent1" w:themeShade="80"/>
          <w:lang w:val="sq-AL"/>
        </w:rPr>
        <w:t>ë</w:t>
      </w:r>
      <w:r w:rsidRPr="001C1F7E">
        <w:rPr>
          <w:rFonts w:cs="Calibri"/>
          <w:color w:val="073763" w:themeColor="accent1" w:themeShade="80"/>
          <w:lang w:val="sq-AL"/>
        </w:rPr>
        <w:t>rave kryesor</w:t>
      </w:r>
      <w:r w:rsidR="00C33B16" w:rsidRPr="001C1F7E">
        <w:rPr>
          <w:rFonts w:cs="Calibri"/>
          <w:color w:val="073763" w:themeColor="accent1" w:themeShade="80"/>
          <w:lang w:val="sq-AL"/>
        </w:rPr>
        <w:t>ë</w:t>
      </w:r>
      <w:r w:rsidRPr="001C1F7E">
        <w:rPr>
          <w:rFonts w:cs="Calibri"/>
          <w:color w:val="073763" w:themeColor="accent1" w:themeShade="80"/>
          <w:lang w:val="sq-AL"/>
        </w:rPr>
        <w:t xml:space="preserve"> (n</w:t>
      </w:r>
      <w:r w:rsidR="00C33B16" w:rsidRPr="001C1F7E">
        <w:rPr>
          <w:rFonts w:cs="Calibri"/>
          <w:color w:val="073763" w:themeColor="accent1" w:themeShade="80"/>
          <w:lang w:val="sq-AL"/>
        </w:rPr>
        <w:t>ë</w:t>
      </w:r>
      <w:r w:rsidRPr="001C1F7E">
        <w:rPr>
          <w:rFonts w:cs="Calibri"/>
          <w:color w:val="073763" w:themeColor="accent1" w:themeShade="80"/>
          <w:lang w:val="sq-AL"/>
        </w:rPr>
        <w:t xml:space="preserve"> %)</w:t>
      </w:r>
      <w:r w:rsidR="001C1F7E">
        <w:rPr>
          <w:rStyle w:val="FootnoteReference"/>
          <w:rFonts w:cs="Calibri"/>
          <w:color w:val="073763" w:themeColor="accent1" w:themeShade="80"/>
          <w:lang w:val="sq-AL"/>
        </w:rPr>
        <w:footnoteReference w:id="2"/>
      </w:r>
      <w:bookmarkEnd w:id="72"/>
    </w:p>
    <w:p w:rsidR="00E27DDF" w:rsidRDefault="001C1F7E" w:rsidP="00FC729E">
      <w:pPr>
        <w:spacing w:before="0"/>
        <w:jc w:val="center"/>
        <w:rPr>
          <w:rFonts w:cs="Calibri"/>
          <w:i/>
          <w:noProof/>
          <w:sz w:val="18"/>
          <w:szCs w:val="18"/>
          <w:lang w:val="sq-AL"/>
        </w:rPr>
      </w:pPr>
      <w:r>
        <w:rPr>
          <w:noProof/>
        </w:rPr>
        <w:drawing>
          <wp:inline distT="0" distB="0" distL="0" distR="0" wp14:anchorId="73DFC655" wp14:editId="6AC8A070">
            <wp:extent cx="4355465" cy="1922584"/>
            <wp:effectExtent l="0" t="0" r="6985" b="1905"/>
            <wp:docPr id="29" name="Chart 1">
              <a:extLst xmlns:a="http://schemas.openxmlformats.org/drawingml/2006/main">
                <a:ext uri="{FF2B5EF4-FFF2-40B4-BE49-F238E27FC236}">
                  <a16:creationId xmlns:a16="http://schemas.microsoft.com/office/drawing/2014/main" id="{1CDF910D-508A-1C05-DE94-35E58C169FD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D2CC4" w:rsidRDefault="00153CD6" w:rsidP="001C1F7E">
      <w:pPr>
        <w:spacing w:before="0" w:line="360" w:lineRule="auto"/>
        <w:ind w:left="720" w:firstLine="720"/>
        <w:rPr>
          <w:rFonts w:cs="Calibri"/>
          <w:i/>
          <w:noProof/>
          <w:sz w:val="18"/>
          <w:szCs w:val="18"/>
          <w:lang w:val="sq-AL"/>
        </w:rPr>
      </w:pPr>
      <w:r>
        <w:rPr>
          <w:rFonts w:cs="Calibri"/>
          <w:i/>
          <w:noProof/>
          <w:sz w:val="18"/>
          <w:szCs w:val="18"/>
          <w:lang w:val="sq-AL"/>
        </w:rPr>
        <w:t>Burimi: Ministria e Financave dhe Ekonomisë (2023)</w:t>
      </w:r>
    </w:p>
    <w:bookmarkEnd w:id="70"/>
    <w:bookmarkEnd w:id="73"/>
    <w:p w:rsidR="00E27DDF" w:rsidRPr="00213EFC" w:rsidRDefault="00E27DDF" w:rsidP="00FC729E">
      <w:pPr>
        <w:spacing w:before="0"/>
        <w:ind w:left="360" w:firstLine="720"/>
        <w:rPr>
          <w:rFonts w:cs="Calibri"/>
          <w:i/>
          <w:noProof/>
          <w:sz w:val="18"/>
          <w:szCs w:val="18"/>
          <w:lang w:val="sq-AL"/>
        </w:rPr>
      </w:pPr>
    </w:p>
    <w:p w:rsidR="005C6E2E" w:rsidRPr="00194883" w:rsidRDefault="005C6E2E" w:rsidP="00FC729E">
      <w:pPr>
        <w:pStyle w:val="fiskale3"/>
        <w:rPr>
          <w:rFonts w:ascii="Calibri" w:hAnsi="Calibri" w:cs="Calibri"/>
          <w:i/>
        </w:rPr>
      </w:pPr>
      <w:bookmarkStart w:id="74" w:name="_Toc10033271"/>
      <w:bookmarkStart w:id="75" w:name="_Toc10721408"/>
      <w:bookmarkStart w:id="76" w:name="_Toc104980326"/>
      <w:r w:rsidRPr="00194883">
        <w:rPr>
          <w:rFonts w:ascii="Calibri" w:hAnsi="Calibri" w:cs="Calibri"/>
          <w:i/>
        </w:rPr>
        <w:t>T</w:t>
      </w:r>
      <w:r w:rsidR="00C33B16" w:rsidRPr="00194883">
        <w:rPr>
          <w:rFonts w:ascii="Calibri" w:hAnsi="Calibri" w:cs="Calibri"/>
          <w:i/>
        </w:rPr>
        <w:t>ë</w:t>
      </w:r>
      <w:r w:rsidRPr="00194883">
        <w:rPr>
          <w:rFonts w:ascii="Calibri" w:hAnsi="Calibri" w:cs="Calibri"/>
          <w:i/>
        </w:rPr>
        <w:t xml:space="preserve"> ardhurat nga fondet speciale</w:t>
      </w:r>
      <w:bookmarkEnd w:id="74"/>
      <w:bookmarkEnd w:id="75"/>
      <w:bookmarkEnd w:id="76"/>
    </w:p>
    <w:p w:rsidR="006E1920" w:rsidRPr="00476D2E" w:rsidRDefault="00827FA0" w:rsidP="00FC729E">
      <w:pPr>
        <w:spacing w:before="0" w:after="240"/>
        <w:rPr>
          <w:rFonts w:cs="Calibri"/>
          <w:noProof/>
          <w:sz w:val="12"/>
          <w:lang w:val="sq-AL"/>
        </w:rPr>
      </w:pPr>
      <w:r w:rsidRPr="00734A96">
        <w:rPr>
          <w:rFonts w:cs="Calibri"/>
          <w:noProof/>
          <w:lang w:val="sq-AL"/>
        </w:rPr>
        <w:t xml:space="preserve">Të ardhurat nga “Fondet Speciale” rezultuan 122.8 miliardë lekë, me një realizim ndaj planit të rishikuar në nivelin 101.2 </w:t>
      </w:r>
      <w:r w:rsidR="00FC729E">
        <w:rPr>
          <w:rFonts w:cs="Calibri"/>
          <w:noProof/>
          <w:lang w:val="sq-AL"/>
        </w:rPr>
        <w:t>%</w:t>
      </w:r>
      <w:r w:rsidRPr="00734A96">
        <w:rPr>
          <w:rFonts w:cs="Calibri"/>
          <w:noProof/>
          <w:lang w:val="sq-AL"/>
        </w:rPr>
        <w:t xml:space="preserve"> ose 1.4 miliardë lekë më shumë. Të ardhurat nga fondet speciale shënuan rritje në krahasim me parashikimin e të ardhurave në buxhetin fillestar të vitit 2022 prej 9.6 </w:t>
      </w:r>
      <w:r w:rsidR="00FC729E">
        <w:rPr>
          <w:rFonts w:cs="Calibri"/>
          <w:noProof/>
          <w:lang w:val="sq-AL"/>
        </w:rPr>
        <w:t>%</w:t>
      </w:r>
      <w:r w:rsidRPr="00734A96">
        <w:rPr>
          <w:rFonts w:cs="Calibri"/>
          <w:noProof/>
          <w:lang w:val="sq-AL"/>
        </w:rPr>
        <w:t>, ose 10.8 miliardë lekë më shum</w:t>
      </w:r>
      <w:r w:rsidRPr="00734A96">
        <w:rPr>
          <w:rFonts w:ascii="Times New Roman" w:hAnsi="Times New Roman"/>
          <w:noProof/>
          <w:lang w:val="sq-AL"/>
        </w:rPr>
        <w:t>ë</w:t>
      </w:r>
      <w:r w:rsidRPr="00734A96">
        <w:rPr>
          <w:rFonts w:cs="Calibri"/>
          <w:noProof/>
          <w:lang w:val="sq-AL"/>
        </w:rPr>
        <w:t xml:space="preserve"> dhe 11.9 miliardë lekë apo 10.8 </w:t>
      </w:r>
      <w:r w:rsidR="00FC729E">
        <w:rPr>
          <w:rFonts w:cs="Calibri"/>
          <w:noProof/>
          <w:lang w:val="sq-AL"/>
        </w:rPr>
        <w:t>%</w:t>
      </w:r>
      <w:r w:rsidRPr="00734A96">
        <w:rPr>
          <w:rFonts w:cs="Calibri"/>
          <w:noProof/>
          <w:lang w:val="sq-AL"/>
        </w:rPr>
        <w:t xml:space="preserve"> më shumë se një vit më parë. Zërat që përbëjnë të ardhurat nga “Fondet Speciale” janë: Sigurimi Shoqëror, </w:t>
      </w:r>
      <w:r w:rsidRPr="00734A96">
        <w:rPr>
          <w:rFonts w:cs="Calibri"/>
          <w:noProof/>
          <w:lang w:val="sq-AL"/>
        </w:rPr>
        <w:lastRenderedPageBreak/>
        <w:t>Sigurimi Shëndetësor dhe të ardhurat për kompensimin në vlerë të pronarëve, përkatësisht në vlerën 105.6 miliardë lekë, 16.3 miliardë lekë dhe 905 milionë lekë</w:t>
      </w:r>
      <w:r w:rsidR="009F3F84" w:rsidRPr="00476D2E">
        <w:rPr>
          <w:rFonts w:cs="Calibri"/>
          <w:noProof/>
          <w:lang w:val="sq-AL"/>
        </w:rPr>
        <w:t xml:space="preserve">. </w:t>
      </w:r>
    </w:p>
    <w:p w:rsidR="005A1F52" w:rsidRPr="00476D2E" w:rsidRDefault="005A1F52" w:rsidP="00FC729E">
      <w:pPr>
        <w:pStyle w:val="Caption"/>
        <w:keepNext/>
        <w:spacing w:after="0"/>
        <w:rPr>
          <w:rFonts w:cs="Calibri"/>
          <w:lang w:val="sq-AL"/>
        </w:rPr>
      </w:pPr>
      <w:bookmarkStart w:id="77" w:name="_Toc136526452"/>
      <w:r w:rsidRPr="00476D2E">
        <w:rPr>
          <w:rFonts w:cs="Calibri"/>
          <w:lang w:val="sq-AL"/>
        </w:rPr>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7</w:t>
      </w:r>
      <w:r w:rsidR="00C87F41" w:rsidRPr="00476D2E">
        <w:rPr>
          <w:rFonts w:cs="Calibri"/>
          <w:noProof/>
          <w:lang w:val="sq-AL"/>
        </w:rPr>
        <w:fldChar w:fldCharType="end"/>
      </w:r>
      <w:r w:rsidRPr="00476D2E">
        <w:rPr>
          <w:rFonts w:cs="Calibri"/>
          <w:lang w:val="sq-AL"/>
        </w:rPr>
        <w:t xml:space="preserve"> T</w:t>
      </w:r>
      <w:r w:rsidR="00C33B16" w:rsidRPr="00476D2E">
        <w:rPr>
          <w:rFonts w:cs="Calibri"/>
          <w:lang w:val="sq-AL"/>
        </w:rPr>
        <w:t>ë</w:t>
      </w:r>
      <w:r w:rsidRPr="00476D2E">
        <w:rPr>
          <w:rFonts w:cs="Calibri"/>
          <w:lang w:val="sq-AL"/>
        </w:rPr>
        <w:t xml:space="preserve"> ardhurat nga fondet speciale n</w:t>
      </w:r>
      <w:r w:rsidR="00C33B16" w:rsidRPr="00476D2E">
        <w:rPr>
          <w:rFonts w:cs="Calibri"/>
          <w:lang w:val="sq-AL"/>
        </w:rPr>
        <w:t>ë</w:t>
      </w:r>
      <w:r w:rsidRPr="00476D2E">
        <w:rPr>
          <w:rFonts w:cs="Calibri"/>
          <w:lang w:val="sq-AL"/>
        </w:rPr>
        <w:t xml:space="preserve"> vite (n</w:t>
      </w:r>
      <w:r w:rsidR="00C33B16" w:rsidRPr="00476D2E">
        <w:rPr>
          <w:rFonts w:cs="Calibri"/>
          <w:lang w:val="sq-AL"/>
        </w:rPr>
        <w:t>ë</w:t>
      </w:r>
      <w:r w:rsidRPr="00476D2E">
        <w:rPr>
          <w:rFonts w:cs="Calibri"/>
          <w:lang w:val="sq-AL"/>
        </w:rPr>
        <w:t xml:space="preserve"> miliard</w:t>
      </w:r>
      <w:r w:rsidR="00C33B16" w:rsidRPr="00476D2E">
        <w:rPr>
          <w:rFonts w:cs="Calibri"/>
          <w:lang w:val="sq-AL"/>
        </w:rPr>
        <w:t>ë</w:t>
      </w:r>
      <w:r w:rsidRPr="00476D2E">
        <w:rPr>
          <w:rFonts w:cs="Calibri"/>
          <w:lang w:val="sq-AL"/>
        </w:rPr>
        <w:t xml:space="preserve"> lek</w:t>
      </w:r>
      <w:r w:rsidR="00C33B16" w:rsidRPr="00476D2E">
        <w:rPr>
          <w:rFonts w:cs="Calibri"/>
          <w:lang w:val="sq-AL"/>
        </w:rPr>
        <w:t>ë</w:t>
      </w:r>
      <w:r w:rsidRPr="00476D2E">
        <w:rPr>
          <w:rFonts w:cs="Calibri"/>
          <w:lang w:val="sq-AL"/>
        </w:rPr>
        <w:t>)</w:t>
      </w:r>
      <w:bookmarkEnd w:id="77"/>
    </w:p>
    <w:p w:rsidR="005A1F52" w:rsidRPr="00476D2E" w:rsidRDefault="00ED75BE" w:rsidP="00FC729E">
      <w:pPr>
        <w:spacing w:before="0"/>
        <w:jc w:val="center"/>
        <w:rPr>
          <w:rFonts w:cs="Calibri"/>
          <w:lang w:val="sq-AL"/>
        </w:rPr>
      </w:pPr>
      <w:r w:rsidRPr="00734A96">
        <w:rPr>
          <w:noProof/>
        </w:rPr>
        <w:drawing>
          <wp:inline distT="0" distB="0" distL="0" distR="0" wp14:anchorId="2DBFE8BE" wp14:editId="365084D6">
            <wp:extent cx="6322695" cy="1234440"/>
            <wp:effectExtent l="0" t="0" r="1905" b="3810"/>
            <wp:docPr id="1" name="Chart 1">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D30931"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0A00DD" w:rsidRPr="000A00DD" w:rsidRDefault="000A00DD" w:rsidP="00FC729E">
      <w:pPr>
        <w:spacing w:before="0"/>
        <w:ind w:firstLine="720"/>
        <w:rPr>
          <w:rFonts w:cs="Calibri"/>
          <w:i/>
          <w:noProof/>
          <w:sz w:val="8"/>
          <w:szCs w:val="18"/>
          <w:lang w:val="sq-AL"/>
        </w:rPr>
      </w:pPr>
    </w:p>
    <w:p w:rsidR="005A1F52" w:rsidRPr="00476D2E" w:rsidRDefault="005A1F52" w:rsidP="00FC729E">
      <w:pPr>
        <w:pStyle w:val="Caption"/>
        <w:keepNext/>
        <w:spacing w:after="0"/>
        <w:rPr>
          <w:rFonts w:cs="Calibri"/>
          <w:lang w:val="sq-AL"/>
        </w:rPr>
      </w:pPr>
      <w:bookmarkStart w:id="78" w:name="_Toc136526453"/>
      <w:r w:rsidRPr="00476D2E">
        <w:rPr>
          <w:rFonts w:cs="Calibri"/>
          <w:lang w:val="sq-AL"/>
        </w:rPr>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8</w:t>
      </w:r>
      <w:r w:rsidR="00C87F41" w:rsidRPr="00476D2E">
        <w:rPr>
          <w:rFonts w:cs="Calibri"/>
          <w:noProof/>
          <w:lang w:val="sq-AL"/>
        </w:rPr>
        <w:fldChar w:fldCharType="end"/>
      </w:r>
      <w:r w:rsidRPr="00476D2E">
        <w:rPr>
          <w:rFonts w:cs="Calibri"/>
          <w:lang w:val="sq-AL"/>
        </w:rPr>
        <w:t xml:space="preserve"> P</w:t>
      </w:r>
      <w:r w:rsidR="00C33B16" w:rsidRPr="00476D2E">
        <w:rPr>
          <w:rFonts w:cs="Calibri"/>
          <w:lang w:val="sq-AL"/>
        </w:rPr>
        <w:t>ë</w:t>
      </w:r>
      <w:r w:rsidRPr="00476D2E">
        <w:rPr>
          <w:rFonts w:cs="Calibri"/>
          <w:lang w:val="sq-AL"/>
        </w:rPr>
        <w:t>rb</w:t>
      </w:r>
      <w:r w:rsidR="00C33B16" w:rsidRPr="00476D2E">
        <w:rPr>
          <w:rFonts w:cs="Calibri"/>
          <w:lang w:val="sq-AL"/>
        </w:rPr>
        <w:t>ë</w:t>
      </w:r>
      <w:r w:rsidRPr="00476D2E">
        <w:rPr>
          <w:rFonts w:cs="Calibri"/>
          <w:lang w:val="sq-AL"/>
        </w:rPr>
        <w:t>rja e t</w:t>
      </w:r>
      <w:r w:rsidR="00C33B16" w:rsidRPr="00476D2E">
        <w:rPr>
          <w:rFonts w:cs="Calibri"/>
          <w:lang w:val="sq-AL"/>
        </w:rPr>
        <w:t>ë</w:t>
      </w:r>
      <w:r w:rsidRPr="00476D2E">
        <w:rPr>
          <w:rFonts w:cs="Calibri"/>
          <w:lang w:val="sq-AL"/>
        </w:rPr>
        <w:t xml:space="preserve"> ardhurave nga fondet speciale (n</w:t>
      </w:r>
      <w:r w:rsidR="00C33B16" w:rsidRPr="00476D2E">
        <w:rPr>
          <w:rFonts w:cs="Calibri"/>
          <w:lang w:val="sq-AL"/>
        </w:rPr>
        <w:t>ë</w:t>
      </w:r>
      <w:r w:rsidRPr="00476D2E">
        <w:rPr>
          <w:rFonts w:cs="Calibri"/>
          <w:lang w:val="sq-AL"/>
        </w:rPr>
        <w:t xml:space="preserve"> %)</w:t>
      </w:r>
      <w:bookmarkEnd w:id="78"/>
    </w:p>
    <w:p w:rsidR="006D2CC4" w:rsidRPr="00476D2E" w:rsidRDefault="00ED75BE" w:rsidP="00FC729E">
      <w:pPr>
        <w:spacing w:before="0"/>
        <w:jc w:val="center"/>
        <w:rPr>
          <w:rFonts w:cs="Calibri"/>
          <w:noProof/>
          <w:lang w:val="sq-AL" w:eastAsia="en-GB"/>
        </w:rPr>
      </w:pPr>
      <w:r w:rsidRPr="00734A96">
        <w:rPr>
          <w:noProof/>
        </w:rPr>
        <w:drawing>
          <wp:inline distT="0" distB="0" distL="0" distR="0" wp14:anchorId="4A04C7FA" wp14:editId="3478B18A">
            <wp:extent cx="6224759" cy="1863969"/>
            <wp:effectExtent l="0" t="0" r="5080" b="317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D2CC4" w:rsidRDefault="00153CD6" w:rsidP="00153CD6">
      <w:pPr>
        <w:spacing w:before="0" w:line="360" w:lineRule="auto"/>
        <w:ind w:firstLine="360"/>
        <w:rPr>
          <w:rFonts w:cs="Calibri"/>
          <w:i/>
          <w:noProof/>
          <w:sz w:val="18"/>
          <w:szCs w:val="18"/>
          <w:lang w:val="sq-AL"/>
        </w:rPr>
      </w:pPr>
      <w:r>
        <w:rPr>
          <w:rFonts w:cs="Calibri"/>
          <w:i/>
          <w:noProof/>
          <w:sz w:val="18"/>
          <w:szCs w:val="18"/>
          <w:lang w:val="sq-AL"/>
        </w:rPr>
        <w:t>Burimi: Ministria e Financave dhe Ekonomisë (2023)</w:t>
      </w:r>
    </w:p>
    <w:p w:rsidR="000A00DD" w:rsidRPr="00476D2E" w:rsidRDefault="000A00DD" w:rsidP="00FC729E">
      <w:pPr>
        <w:spacing w:before="0"/>
        <w:ind w:firstLine="360"/>
        <w:rPr>
          <w:rFonts w:cs="Calibri"/>
          <w:i/>
          <w:noProof/>
          <w:sz w:val="18"/>
          <w:szCs w:val="18"/>
          <w:lang w:val="sq-AL"/>
        </w:rPr>
      </w:pPr>
    </w:p>
    <w:p w:rsidR="005C6E2E" w:rsidRPr="00194883" w:rsidRDefault="005C6E2E" w:rsidP="00FC729E">
      <w:pPr>
        <w:pStyle w:val="fiskale3"/>
        <w:rPr>
          <w:rFonts w:ascii="Calibri" w:hAnsi="Calibri" w:cs="Calibri"/>
          <w:i/>
        </w:rPr>
      </w:pPr>
      <w:bookmarkStart w:id="79" w:name="_Toc10033272"/>
      <w:bookmarkStart w:id="80" w:name="_Toc10721409"/>
      <w:bookmarkStart w:id="81" w:name="_Toc104980327"/>
      <w:r w:rsidRPr="00194883">
        <w:rPr>
          <w:rFonts w:ascii="Calibri" w:hAnsi="Calibri" w:cs="Calibri"/>
          <w:i/>
        </w:rPr>
        <w:t>T</w:t>
      </w:r>
      <w:r w:rsidR="00C33B16" w:rsidRPr="00194883">
        <w:rPr>
          <w:rFonts w:ascii="Calibri" w:hAnsi="Calibri" w:cs="Calibri"/>
          <w:i/>
        </w:rPr>
        <w:t>ë</w:t>
      </w:r>
      <w:r w:rsidRPr="00194883">
        <w:rPr>
          <w:rFonts w:ascii="Calibri" w:hAnsi="Calibri" w:cs="Calibri"/>
          <w:i/>
        </w:rPr>
        <w:t xml:space="preserve"> ardhurat jotatimore</w:t>
      </w:r>
      <w:bookmarkEnd w:id="79"/>
      <w:bookmarkEnd w:id="80"/>
      <w:bookmarkEnd w:id="81"/>
    </w:p>
    <w:p w:rsidR="009F3F84" w:rsidRPr="00476D2E" w:rsidRDefault="00194883" w:rsidP="00FC729E">
      <w:pPr>
        <w:spacing w:before="0"/>
        <w:rPr>
          <w:rFonts w:cs="Calibri"/>
        </w:rPr>
      </w:pPr>
      <w:r w:rsidRPr="00734A96">
        <w:rPr>
          <w:rFonts w:cs="Calibri"/>
          <w:noProof/>
        </w:rPr>
        <w:t xml:space="preserve">Të ardhurat jotatimore rezultojnë në vlerën 21.9 miliardë lekë krahasuar me 22.3 miliardë të një viti më parë, me një rënie vjetore prej 1.6 </w:t>
      </w:r>
      <w:r w:rsidR="00FC729E">
        <w:rPr>
          <w:rFonts w:cs="Calibri"/>
          <w:noProof/>
        </w:rPr>
        <w:t>%</w:t>
      </w:r>
      <w:r w:rsidRPr="00734A96">
        <w:rPr>
          <w:rFonts w:cs="Calibri"/>
          <w:noProof/>
        </w:rPr>
        <w:t xml:space="preserve"> ose 360 milionë lekë më pak dhe me një realizim ndaj planit të rishikuar në masën 89 </w:t>
      </w:r>
      <w:r w:rsidR="00FC729E">
        <w:rPr>
          <w:rFonts w:cs="Calibri"/>
          <w:noProof/>
        </w:rPr>
        <w:t>%</w:t>
      </w:r>
      <w:r w:rsidRPr="00734A96">
        <w:rPr>
          <w:rFonts w:cs="Calibri"/>
          <w:noProof/>
        </w:rPr>
        <w:t xml:space="preserve"> ose 2.5 miliardë lekë më pak. Zërat që përbëjnë të ardhurat jotatimore janë: Transferimi i fitimit nga Banka e Shqipërisë; të ardhurat nga institucionet buxhetore</w:t>
      </w:r>
      <w:r w:rsidR="00153CD6">
        <w:rPr>
          <w:rFonts w:cs="Calibri"/>
          <w:noProof/>
        </w:rPr>
        <w:t>;</w:t>
      </w:r>
      <w:r w:rsidRPr="00734A96">
        <w:rPr>
          <w:rFonts w:cs="Calibri"/>
          <w:noProof/>
        </w:rPr>
        <w:t xml:space="preserve"> dividendii institucioneve me kapital shtetëror</w:t>
      </w:r>
      <w:r w:rsidR="00153CD6">
        <w:rPr>
          <w:rFonts w:cs="Calibri"/>
          <w:noProof/>
        </w:rPr>
        <w:t>;</w:t>
      </w:r>
      <w:r w:rsidRPr="00734A96">
        <w:rPr>
          <w:rFonts w:cs="Calibri"/>
          <w:noProof/>
        </w:rPr>
        <w:t xml:space="preserve"> tarifa shërbimesh dhe të tjera</w:t>
      </w:r>
      <w:r w:rsidR="00153CD6">
        <w:rPr>
          <w:rFonts w:cs="Calibri"/>
          <w:noProof/>
        </w:rPr>
        <w:t>,</w:t>
      </w:r>
      <w:r w:rsidRPr="00734A96">
        <w:rPr>
          <w:rFonts w:cs="Calibri"/>
          <w:noProof/>
        </w:rPr>
        <w:t xml:space="preserve"> të cilat kanë mbledhur përkatësisht 1.4 miliardë lekë, 11.9 miliardë lekë, 0.26 miliardë lekë dhe 1.6 miliardë lekë</w:t>
      </w:r>
      <w:r w:rsidR="009F3F84" w:rsidRPr="00476D2E">
        <w:rPr>
          <w:rFonts w:cs="Calibri"/>
        </w:rPr>
        <w:t xml:space="preserve">. </w:t>
      </w:r>
    </w:p>
    <w:p w:rsidR="00CF3933" w:rsidRPr="00476D2E" w:rsidRDefault="00CF3933" w:rsidP="00FC729E">
      <w:pPr>
        <w:pStyle w:val="Caption"/>
        <w:keepNext/>
        <w:spacing w:after="0"/>
        <w:rPr>
          <w:rFonts w:cs="Calibri"/>
          <w:lang w:val="sq-AL"/>
        </w:rPr>
      </w:pPr>
      <w:bookmarkStart w:id="82" w:name="_Toc136526454"/>
      <w:r w:rsidRPr="00476D2E">
        <w:rPr>
          <w:rFonts w:cs="Calibri"/>
          <w:lang w:val="sq-AL"/>
        </w:rPr>
        <w:t xml:space="preserve">Grafiku </w:t>
      </w:r>
      <w:r w:rsidR="00787591" w:rsidRPr="00476D2E">
        <w:rPr>
          <w:rFonts w:cs="Calibri"/>
          <w:noProof/>
          <w:lang w:val="sq-AL"/>
        </w:rPr>
        <w:fldChar w:fldCharType="begin"/>
      </w:r>
      <w:r w:rsidR="00787591" w:rsidRPr="00476D2E">
        <w:rPr>
          <w:rFonts w:cs="Calibri"/>
          <w:noProof/>
          <w:lang w:val="sq-AL"/>
        </w:rPr>
        <w:instrText xml:space="preserve"> SEQ Grafiku \* ARABIC </w:instrText>
      </w:r>
      <w:r w:rsidR="00787591" w:rsidRPr="00476D2E">
        <w:rPr>
          <w:rFonts w:cs="Calibri"/>
          <w:noProof/>
          <w:lang w:val="sq-AL"/>
        </w:rPr>
        <w:fldChar w:fldCharType="separate"/>
      </w:r>
      <w:r w:rsidR="008C3E07">
        <w:rPr>
          <w:rFonts w:cs="Calibri"/>
          <w:noProof/>
          <w:lang w:val="sq-AL"/>
        </w:rPr>
        <w:t>9</w:t>
      </w:r>
      <w:r w:rsidR="00787591" w:rsidRPr="00476D2E">
        <w:rPr>
          <w:rFonts w:cs="Calibri"/>
          <w:noProof/>
          <w:lang w:val="sq-AL"/>
        </w:rPr>
        <w:fldChar w:fldCharType="end"/>
      </w:r>
      <w:r w:rsidRPr="00476D2E">
        <w:rPr>
          <w:rFonts w:cs="Calibri"/>
          <w:lang w:val="sq-AL"/>
        </w:rPr>
        <w:t xml:space="preserve"> P</w:t>
      </w:r>
      <w:r w:rsidR="00C33B16" w:rsidRPr="00476D2E">
        <w:rPr>
          <w:rFonts w:cs="Calibri"/>
          <w:lang w:val="sq-AL"/>
        </w:rPr>
        <w:t>ë</w:t>
      </w:r>
      <w:r w:rsidRPr="00476D2E">
        <w:rPr>
          <w:rFonts w:cs="Calibri"/>
          <w:lang w:val="sq-AL"/>
        </w:rPr>
        <w:t>rb</w:t>
      </w:r>
      <w:r w:rsidR="00C33B16" w:rsidRPr="00476D2E">
        <w:rPr>
          <w:rFonts w:cs="Calibri"/>
          <w:lang w:val="sq-AL"/>
        </w:rPr>
        <w:t>ë</w:t>
      </w:r>
      <w:r w:rsidRPr="00476D2E">
        <w:rPr>
          <w:rFonts w:cs="Calibri"/>
          <w:lang w:val="sq-AL"/>
        </w:rPr>
        <w:t>rja e t</w:t>
      </w:r>
      <w:r w:rsidR="00C33B16" w:rsidRPr="00476D2E">
        <w:rPr>
          <w:rFonts w:cs="Calibri"/>
          <w:lang w:val="sq-AL"/>
        </w:rPr>
        <w:t>ë</w:t>
      </w:r>
      <w:r w:rsidRPr="00476D2E">
        <w:rPr>
          <w:rFonts w:cs="Calibri"/>
          <w:lang w:val="sq-AL"/>
        </w:rPr>
        <w:t xml:space="preserve"> ardhurave jotatimore (miliard</w:t>
      </w:r>
      <w:r w:rsidR="00C33B16" w:rsidRPr="00476D2E">
        <w:rPr>
          <w:rFonts w:cs="Calibri"/>
          <w:lang w:val="sq-AL"/>
        </w:rPr>
        <w:t>ë</w:t>
      </w:r>
      <w:r w:rsidRPr="00476D2E">
        <w:rPr>
          <w:rFonts w:cs="Calibri"/>
          <w:lang w:val="sq-AL"/>
        </w:rPr>
        <w:t xml:space="preserve"> lek</w:t>
      </w:r>
      <w:r w:rsidR="00C33B16" w:rsidRPr="00476D2E">
        <w:rPr>
          <w:rFonts w:cs="Calibri"/>
          <w:lang w:val="sq-AL"/>
        </w:rPr>
        <w:t>ë</w:t>
      </w:r>
      <w:r w:rsidRPr="00476D2E">
        <w:rPr>
          <w:rFonts w:cs="Calibri"/>
          <w:lang w:val="sq-AL"/>
        </w:rPr>
        <w:t>)</w:t>
      </w:r>
      <w:bookmarkEnd w:id="82"/>
    </w:p>
    <w:p w:rsidR="006D2CC4" w:rsidRPr="00476D2E" w:rsidRDefault="00194883" w:rsidP="00FC729E">
      <w:pPr>
        <w:spacing w:before="0"/>
        <w:jc w:val="center"/>
        <w:rPr>
          <w:rFonts w:eastAsia="SimSun" w:cs="Calibri"/>
          <w:i/>
          <w:lang w:val="sq-AL"/>
        </w:rPr>
      </w:pPr>
      <w:r w:rsidRPr="00734A96">
        <w:rPr>
          <w:noProof/>
        </w:rPr>
        <w:drawing>
          <wp:inline distT="0" distB="0" distL="0" distR="0" wp14:anchorId="153FCE4E" wp14:editId="4BDA51A3">
            <wp:extent cx="5890553" cy="2016369"/>
            <wp:effectExtent l="0" t="0" r="15240" b="317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D2CC4" w:rsidRPr="00476D2E"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5C6E2E" w:rsidRPr="00EF464F" w:rsidRDefault="005C6E2E" w:rsidP="00FC729E">
      <w:pPr>
        <w:pStyle w:val="fiskale3"/>
        <w:rPr>
          <w:rFonts w:ascii="Calibri" w:hAnsi="Calibri" w:cs="Calibri"/>
          <w:i/>
        </w:rPr>
      </w:pPr>
      <w:bookmarkStart w:id="83" w:name="_Toc10033273"/>
      <w:bookmarkStart w:id="84" w:name="_Toc10721410"/>
      <w:bookmarkStart w:id="85" w:name="_Toc104980328"/>
      <w:r w:rsidRPr="00EF464F">
        <w:rPr>
          <w:rFonts w:ascii="Calibri" w:hAnsi="Calibri" w:cs="Calibri"/>
          <w:i/>
        </w:rPr>
        <w:lastRenderedPageBreak/>
        <w:t>T</w:t>
      </w:r>
      <w:r w:rsidR="00C33B16" w:rsidRPr="00EF464F">
        <w:rPr>
          <w:rFonts w:ascii="Calibri" w:hAnsi="Calibri" w:cs="Calibri"/>
          <w:i/>
        </w:rPr>
        <w:t>ë</w:t>
      </w:r>
      <w:r w:rsidRPr="00EF464F">
        <w:rPr>
          <w:rFonts w:ascii="Calibri" w:hAnsi="Calibri" w:cs="Calibri"/>
          <w:i/>
        </w:rPr>
        <w:t xml:space="preserve"> ardhurat nga tatimet dhe doganat</w:t>
      </w:r>
      <w:bookmarkEnd w:id="83"/>
      <w:bookmarkEnd w:id="84"/>
      <w:bookmarkEnd w:id="85"/>
    </w:p>
    <w:p w:rsidR="00DD369F" w:rsidRPr="00476D2E" w:rsidRDefault="00EF464F" w:rsidP="00FC729E">
      <w:pPr>
        <w:spacing w:before="0"/>
        <w:rPr>
          <w:rFonts w:cs="Calibri"/>
          <w:noProof/>
          <w:sz w:val="16"/>
          <w:lang w:val="sq-AL"/>
        </w:rPr>
      </w:pPr>
      <w:r w:rsidRPr="00734A96">
        <w:rPr>
          <w:rFonts w:cs="Calibri"/>
          <w:noProof/>
          <w:lang w:val="sq-AL"/>
        </w:rPr>
        <w:t>Të ardhurat nga “Tatimet dhe Dogana”</w:t>
      </w:r>
      <w:r w:rsidRPr="00734A96">
        <w:rPr>
          <w:rFonts w:cs="Calibri"/>
          <w:noProof/>
          <w:vertAlign w:val="superscript"/>
          <w:lang w:val="sq-AL"/>
        </w:rPr>
        <w:footnoteReference w:id="3"/>
      </w:r>
      <w:r w:rsidRPr="00734A96">
        <w:rPr>
          <w:rFonts w:cs="Calibri"/>
          <w:noProof/>
          <w:lang w:val="sq-AL"/>
        </w:rPr>
        <w:t xml:space="preserve"> janë burimi kryesor i të ardhurave të përgjithshme dhe kontribuojnë në buxhetin e shtetit me rreth 18.3 </w:t>
      </w:r>
      <w:r w:rsidR="00FC729E">
        <w:rPr>
          <w:rFonts w:cs="Calibri"/>
          <w:noProof/>
          <w:lang w:val="sq-AL"/>
        </w:rPr>
        <w:t>%</w:t>
      </w:r>
      <w:r w:rsidRPr="00734A96">
        <w:rPr>
          <w:rFonts w:cs="Calibri"/>
          <w:noProof/>
          <w:lang w:val="sq-AL"/>
        </w:rPr>
        <w:t xml:space="preserve"> të PBB-së. Krahasuar me një vit më parë, ky zë shënon një performancë pozitive në vlerën 52.8 miliardë lekë ose 15.6 </w:t>
      </w:r>
      <w:r w:rsidR="00FC729E">
        <w:rPr>
          <w:rFonts w:cs="Calibri"/>
          <w:noProof/>
          <w:lang w:val="sq-AL"/>
        </w:rPr>
        <w:t>%</w:t>
      </w:r>
      <w:r w:rsidRPr="00734A96">
        <w:rPr>
          <w:rFonts w:cs="Calibri"/>
          <w:noProof/>
          <w:lang w:val="sq-AL"/>
        </w:rPr>
        <w:t xml:space="preserve"> më shumë. Në krahasim me planin e rishikuar vjetor, realizimi është 98.2%, duke rezultuar me 7.1 miliardë lekë më pak</w:t>
      </w:r>
      <w:r w:rsidR="00860251" w:rsidRPr="00476D2E">
        <w:rPr>
          <w:rFonts w:cs="Calibri"/>
          <w:noProof/>
          <w:lang w:val="sq-AL"/>
        </w:rPr>
        <w:t>.</w:t>
      </w:r>
    </w:p>
    <w:p w:rsidR="005A1F52" w:rsidRPr="00476D2E" w:rsidRDefault="005A1F52" w:rsidP="00FC729E">
      <w:pPr>
        <w:pStyle w:val="Caption"/>
        <w:keepNext/>
        <w:spacing w:after="0"/>
        <w:rPr>
          <w:rFonts w:cs="Calibri"/>
          <w:lang w:val="sq-AL"/>
        </w:rPr>
      </w:pPr>
      <w:bookmarkStart w:id="86" w:name="_Toc136526455"/>
      <w:r w:rsidRPr="00476D2E">
        <w:rPr>
          <w:rFonts w:cs="Calibri"/>
          <w:lang w:val="sq-AL"/>
        </w:rPr>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10</w:t>
      </w:r>
      <w:r w:rsidR="00C87F41" w:rsidRPr="00476D2E">
        <w:rPr>
          <w:rFonts w:cs="Calibri"/>
          <w:noProof/>
          <w:lang w:val="sq-AL"/>
        </w:rPr>
        <w:fldChar w:fldCharType="end"/>
      </w:r>
      <w:r w:rsidRPr="00476D2E">
        <w:rPr>
          <w:rFonts w:cs="Calibri"/>
          <w:lang w:val="sq-AL"/>
        </w:rPr>
        <w:t xml:space="preserve"> T</w:t>
      </w:r>
      <w:r w:rsidR="00C33B16" w:rsidRPr="00476D2E">
        <w:rPr>
          <w:rFonts w:cs="Calibri"/>
          <w:lang w:val="sq-AL"/>
        </w:rPr>
        <w:t>ë</w:t>
      </w:r>
      <w:r w:rsidRPr="00476D2E">
        <w:rPr>
          <w:rFonts w:cs="Calibri"/>
          <w:lang w:val="sq-AL"/>
        </w:rPr>
        <w:t xml:space="preserve"> ardhura nga tatimet dhe doganat n</w:t>
      </w:r>
      <w:r w:rsidR="00C33B16" w:rsidRPr="00476D2E">
        <w:rPr>
          <w:rFonts w:cs="Calibri"/>
          <w:lang w:val="sq-AL"/>
        </w:rPr>
        <w:t>ë</w:t>
      </w:r>
      <w:r w:rsidRPr="00476D2E">
        <w:rPr>
          <w:rFonts w:cs="Calibri"/>
          <w:lang w:val="sq-AL"/>
        </w:rPr>
        <w:t xml:space="preserve"> vite (n</w:t>
      </w:r>
      <w:r w:rsidR="00C33B16" w:rsidRPr="00476D2E">
        <w:rPr>
          <w:rFonts w:cs="Calibri"/>
          <w:lang w:val="sq-AL"/>
        </w:rPr>
        <w:t>ë</w:t>
      </w:r>
      <w:r w:rsidRPr="00476D2E">
        <w:rPr>
          <w:rFonts w:cs="Calibri"/>
          <w:lang w:val="sq-AL"/>
        </w:rPr>
        <w:t xml:space="preserve"> miliard</w:t>
      </w:r>
      <w:r w:rsidR="00C33B16" w:rsidRPr="00476D2E">
        <w:rPr>
          <w:rFonts w:cs="Calibri"/>
          <w:lang w:val="sq-AL"/>
        </w:rPr>
        <w:t>ë</w:t>
      </w:r>
      <w:r w:rsidRPr="00476D2E">
        <w:rPr>
          <w:rFonts w:cs="Calibri"/>
          <w:lang w:val="sq-AL"/>
        </w:rPr>
        <w:t xml:space="preserve"> lek</w:t>
      </w:r>
      <w:r w:rsidR="00C33B16" w:rsidRPr="00476D2E">
        <w:rPr>
          <w:rFonts w:cs="Calibri"/>
          <w:lang w:val="sq-AL"/>
        </w:rPr>
        <w:t>ë</w:t>
      </w:r>
      <w:r w:rsidRPr="00476D2E">
        <w:rPr>
          <w:rFonts w:cs="Calibri"/>
          <w:lang w:val="sq-AL"/>
        </w:rPr>
        <w:t>) dhe n</w:t>
      </w:r>
      <w:r w:rsidR="00C33B16" w:rsidRPr="00476D2E">
        <w:rPr>
          <w:rFonts w:cs="Calibri"/>
          <w:lang w:val="sq-AL"/>
        </w:rPr>
        <w:t>ë</w:t>
      </w:r>
      <w:r w:rsidRPr="00476D2E">
        <w:rPr>
          <w:rFonts w:cs="Calibri"/>
          <w:lang w:val="sq-AL"/>
        </w:rPr>
        <w:t xml:space="preserve"> % t</w:t>
      </w:r>
      <w:r w:rsidR="00C33B16" w:rsidRPr="00476D2E">
        <w:rPr>
          <w:rFonts w:cs="Calibri"/>
          <w:lang w:val="sq-AL"/>
        </w:rPr>
        <w:t>ë</w:t>
      </w:r>
      <w:r w:rsidRPr="00476D2E">
        <w:rPr>
          <w:rFonts w:cs="Calibri"/>
          <w:lang w:val="sq-AL"/>
        </w:rPr>
        <w:t xml:space="preserve"> PBB-s</w:t>
      </w:r>
      <w:r w:rsidR="00C33B16" w:rsidRPr="00476D2E">
        <w:rPr>
          <w:rFonts w:cs="Calibri"/>
          <w:lang w:val="sq-AL"/>
        </w:rPr>
        <w:t>ë</w:t>
      </w:r>
      <w:bookmarkEnd w:id="86"/>
    </w:p>
    <w:p w:rsidR="005A1F52" w:rsidRPr="00476D2E" w:rsidRDefault="00EF464F" w:rsidP="00FC729E">
      <w:pPr>
        <w:spacing w:before="0"/>
        <w:jc w:val="center"/>
        <w:rPr>
          <w:rFonts w:cs="Calibri"/>
          <w:lang w:val="sq-AL"/>
        </w:rPr>
      </w:pPr>
      <w:r w:rsidRPr="00734A96">
        <w:rPr>
          <w:noProof/>
        </w:rPr>
        <w:drawing>
          <wp:inline distT="0" distB="0" distL="0" distR="0" wp14:anchorId="117AC91D" wp14:editId="2E820A6B">
            <wp:extent cx="6221095" cy="1441939"/>
            <wp:effectExtent l="0" t="0" r="8255" b="6350"/>
            <wp:docPr id="39" name="Chart 39">
              <a:extLst xmlns:a="http://schemas.openxmlformats.org/drawingml/2006/main">
                <a:ext uri="{FF2B5EF4-FFF2-40B4-BE49-F238E27FC236}">
                  <a16:creationId xmlns:a16="http://schemas.microsoft.com/office/drawing/2014/main" id="{00000000-0008-0000-00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D59D8" w:rsidRDefault="00153CD6" w:rsidP="00153CD6">
      <w:pPr>
        <w:spacing w:before="0" w:line="360" w:lineRule="auto"/>
        <w:rPr>
          <w:rFonts w:cs="Calibri"/>
          <w:i/>
          <w:noProof/>
          <w:sz w:val="18"/>
          <w:szCs w:val="18"/>
          <w:lang w:val="sq-AL"/>
        </w:rPr>
      </w:pPr>
      <w:r>
        <w:rPr>
          <w:rFonts w:cs="Calibri"/>
          <w:i/>
          <w:noProof/>
          <w:sz w:val="18"/>
          <w:szCs w:val="18"/>
          <w:lang w:val="sq-AL"/>
        </w:rPr>
        <w:t>Burimi: Ministria e Financave dhe Ekonomisë (2023)</w:t>
      </w:r>
    </w:p>
    <w:p w:rsidR="00070F3E" w:rsidRPr="00153CD6" w:rsidRDefault="00070F3E" w:rsidP="00FC729E">
      <w:pPr>
        <w:spacing w:before="0"/>
        <w:rPr>
          <w:rFonts w:cs="Calibri"/>
          <w:i/>
          <w:noProof/>
          <w:sz w:val="4"/>
          <w:szCs w:val="18"/>
          <w:lang w:val="sq-AL"/>
        </w:rPr>
      </w:pPr>
    </w:p>
    <w:p w:rsidR="005A1F52" w:rsidRPr="00476D2E" w:rsidRDefault="005A1F52" w:rsidP="00FC729E">
      <w:pPr>
        <w:pStyle w:val="Caption"/>
        <w:keepNext/>
        <w:spacing w:after="0"/>
        <w:rPr>
          <w:rFonts w:cs="Calibri"/>
          <w:lang w:val="sq-AL"/>
        </w:rPr>
      </w:pPr>
      <w:bookmarkStart w:id="87" w:name="_Toc136526456"/>
      <w:r w:rsidRPr="00476D2E">
        <w:rPr>
          <w:rFonts w:cs="Calibri"/>
          <w:lang w:val="sq-AL"/>
        </w:rPr>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11</w:t>
      </w:r>
      <w:r w:rsidR="00C87F41" w:rsidRPr="00476D2E">
        <w:rPr>
          <w:rFonts w:cs="Calibri"/>
          <w:noProof/>
          <w:lang w:val="sq-AL"/>
        </w:rPr>
        <w:fldChar w:fldCharType="end"/>
      </w:r>
      <w:r w:rsidR="00437CC4" w:rsidRPr="00476D2E">
        <w:rPr>
          <w:rFonts w:cs="Calibri"/>
          <w:noProof/>
          <w:lang w:val="sq-AL"/>
        </w:rPr>
        <w:t xml:space="preserve"> T</w:t>
      </w:r>
      <w:r w:rsidR="00824B19" w:rsidRPr="00476D2E">
        <w:rPr>
          <w:rFonts w:cs="Calibri"/>
          <w:noProof/>
          <w:lang w:val="sq-AL"/>
        </w:rPr>
        <w:t>ë</w:t>
      </w:r>
      <w:r w:rsidR="00437CC4" w:rsidRPr="00476D2E">
        <w:rPr>
          <w:rFonts w:cs="Calibri"/>
          <w:noProof/>
          <w:lang w:val="sq-AL"/>
        </w:rPr>
        <w:t xml:space="preserve"> ardhurat nga tatimet dhe doganat sipas llojit</w:t>
      </w:r>
      <w:bookmarkEnd w:id="87"/>
    </w:p>
    <w:p w:rsidR="0076564D" w:rsidRPr="00476D2E" w:rsidRDefault="00BE31BC" w:rsidP="00FC729E">
      <w:pPr>
        <w:spacing w:before="0"/>
        <w:jc w:val="center"/>
        <w:rPr>
          <w:rFonts w:cs="Calibri"/>
          <w:noProof/>
          <w:sz w:val="21"/>
          <w:szCs w:val="21"/>
          <w:lang w:val="sq-AL"/>
        </w:rPr>
      </w:pPr>
      <w:r w:rsidRPr="00734A96">
        <w:rPr>
          <w:rFonts w:cs="Calibri"/>
          <w:noProof/>
        </w:rPr>
        <w:drawing>
          <wp:inline distT="0" distB="0" distL="0" distR="0" wp14:anchorId="4DD67D24" wp14:editId="388BB8DA">
            <wp:extent cx="6437776" cy="2244970"/>
            <wp:effectExtent l="0" t="0" r="1270" b="3175"/>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6564D"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110CDC" w:rsidRPr="00476D2E" w:rsidRDefault="00110CDC" w:rsidP="00FC729E">
      <w:pPr>
        <w:spacing w:before="0"/>
        <w:ind w:left="720" w:firstLine="720"/>
        <w:rPr>
          <w:rFonts w:cs="Calibri"/>
          <w:i/>
          <w:noProof/>
          <w:sz w:val="18"/>
          <w:szCs w:val="18"/>
          <w:lang w:val="sq-AL"/>
        </w:rPr>
      </w:pPr>
    </w:p>
    <w:p w:rsidR="009F3F84" w:rsidRDefault="00DB6854" w:rsidP="00FC729E">
      <w:pPr>
        <w:spacing w:before="0"/>
        <w:rPr>
          <w:rFonts w:cs="Calibri"/>
          <w:noProof/>
          <w:lang w:val="sq-AL"/>
        </w:rPr>
      </w:pPr>
      <w:r w:rsidRPr="00734A96">
        <w:rPr>
          <w:rFonts w:cs="Calibri"/>
          <w:noProof/>
          <w:lang w:val="sq-AL"/>
        </w:rPr>
        <w:t xml:space="preserve">Këto të ardhura, të cilat administrohen nga Drejtoria e Përgjithshme e Tatimeve (DPT) dhe Drejtoria e Përgjithshme e Doganave (DPD), përfshijnë Tatimin mbi vlerën e shtuar; Tatimin mbi fitimin; Tatimin mbi të ardhurat personale; Akcizat; Taksat doganore dhe Taksa të tjera kombëtare. DPT administron </w:t>
      </w:r>
      <w:r>
        <w:rPr>
          <w:rFonts w:cs="Calibri"/>
          <w:noProof/>
          <w:lang w:val="sq-AL"/>
        </w:rPr>
        <w:t>dhe</w:t>
      </w:r>
      <w:r w:rsidRPr="00734A96">
        <w:rPr>
          <w:rFonts w:cs="Calibri"/>
          <w:noProof/>
          <w:lang w:val="sq-AL"/>
        </w:rPr>
        <w:t xml:space="preserve"> mbledhjen e kontributeve të sigurimeve shoqërore dhe shëndetësore. Burimet nga të ardhurat e administruara nga DPT e DPD për vitin 2022, janë realizuar në vlerën 509.4 miliardë lekë, 14.6 </w:t>
      </w:r>
      <w:r w:rsidR="00FC729E">
        <w:rPr>
          <w:rFonts w:cs="Calibri"/>
          <w:noProof/>
          <w:lang w:val="sq-AL"/>
        </w:rPr>
        <w:t>%</w:t>
      </w:r>
      <w:r w:rsidRPr="00734A96">
        <w:rPr>
          <w:rFonts w:cs="Calibri"/>
          <w:noProof/>
          <w:lang w:val="sq-AL"/>
        </w:rPr>
        <w:t xml:space="preserve"> ose 65 miliardë lekë më shumë se e njëjta periudhë e vitit të kaluar dhe në masën 98.9 </w:t>
      </w:r>
      <w:r w:rsidR="00FC729E">
        <w:rPr>
          <w:rFonts w:cs="Calibri"/>
          <w:noProof/>
          <w:lang w:val="sq-AL"/>
        </w:rPr>
        <w:t>%</w:t>
      </w:r>
      <w:r w:rsidRPr="00734A96">
        <w:rPr>
          <w:rFonts w:cs="Calibri"/>
          <w:noProof/>
          <w:lang w:val="sq-AL"/>
        </w:rPr>
        <w:t xml:space="preserve"> të planit vjetor të rishikuar. Rezultati pozitiv krahasuar me </w:t>
      </w:r>
      <w:r>
        <w:rPr>
          <w:rFonts w:cs="Calibri"/>
          <w:noProof/>
          <w:lang w:val="sq-AL"/>
        </w:rPr>
        <w:t>2021</w:t>
      </w:r>
      <w:r w:rsidRPr="00734A96">
        <w:rPr>
          <w:rFonts w:cs="Calibri"/>
          <w:noProof/>
          <w:lang w:val="sq-AL"/>
        </w:rPr>
        <w:t>, është tregues i qartë i rimëkëmbjes së ekonomisë shqiptare, reflektuar me rritjen e aktivitetit ekonomik ku faktor kryesor është rritja e të ardhurave nga turizmi dhe të gjithë sektorëve të tjerë të ekonomisë që lidhen drejtpërdrejt ose indirekt me turizmin, inflacioni i lartë në 2022, rritja e çmimeve në veçanti e energjisë elektrike dhe karburanteve, kërkesës së brendshme dhe të jashtme si edhe rritja e ndjeshme e pagës minimale dhe rritja e numrit të të punësuarve si rrjedhoje e këtyre faktorëve gjeneruan më shumë të ardhura nga kontributet e të sigurimeve shoqërore dhe shëndetësore</w:t>
      </w:r>
      <w:r w:rsidR="009F3F84" w:rsidRPr="00476D2E">
        <w:rPr>
          <w:rFonts w:cs="Calibri"/>
          <w:noProof/>
          <w:lang w:val="sq-AL"/>
        </w:rPr>
        <w:t xml:space="preserve">. </w:t>
      </w:r>
    </w:p>
    <w:p w:rsidR="002464D3" w:rsidRPr="00476D2E" w:rsidRDefault="006D577E" w:rsidP="00FC729E">
      <w:pPr>
        <w:pStyle w:val="Caption"/>
        <w:keepNext/>
        <w:spacing w:after="0"/>
        <w:rPr>
          <w:rFonts w:cs="Calibri"/>
          <w:lang w:val="sq-AL"/>
        </w:rPr>
      </w:pPr>
      <w:bookmarkStart w:id="88" w:name="_Toc136526334"/>
      <w:r w:rsidRPr="00476D2E">
        <w:rPr>
          <w:rFonts w:cs="Calibri"/>
          <w:lang w:val="sq-AL"/>
        </w:rPr>
        <w:lastRenderedPageBreak/>
        <w:t xml:space="preserve">Tabela </w:t>
      </w:r>
      <w:r w:rsidR="00335A3A" w:rsidRPr="00476D2E">
        <w:rPr>
          <w:rFonts w:cs="Calibri"/>
          <w:lang w:val="sq-AL"/>
        </w:rPr>
        <w:fldChar w:fldCharType="begin"/>
      </w:r>
      <w:r w:rsidR="00335A3A" w:rsidRPr="00476D2E">
        <w:rPr>
          <w:rFonts w:cs="Calibri"/>
          <w:lang w:val="sq-AL"/>
        </w:rPr>
        <w:instrText xml:space="preserve"> SEQ Tabela \* ARABIC </w:instrText>
      </w:r>
      <w:r w:rsidR="00335A3A" w:rsidRPr="00476D2E">
        <w:rPr>
          <w:rFonts w:cs="Calibri"/>
          <w:lang w:val="sq-AL"/>
        </w:rPr>
        <w:fldChar w:fldCharType="separate"/>
      </w:r>
      <w:r w:rsidR="008C3E07">
        <w:rPr>
          <w:rFonts w:cs="Calibri"/>
          <w:noProof/>
          <w:lang w:val="sq-AL"/>
        </w:rPr>
        <w:t>8</w:t>
      </w:r>
      <w:r w:rsidR="00335A3A" w:rsidRPr="00476D2E">
        <w:rPr>
          <w:rFonts w:cs="Calibri"/>
          <w:noProof/>
          <w:lang w:val="sq-AL"/>
        </w:rPr>
        <w:fldChar w:fldCharType="end"/>
      </w:r>
      <w:r w:rsidRPr="00476D2E">
        <w:rPr>
          <w:rFonts w:cs="Calibri"/>
          <w:lang w:val="sq-AL"/>
        </w:rPr>
        <w:t xml:space="preserve"> Të ardhurat nga tatimet dhe doganat (në milionë lekë)</w:t>
      </w:r>
      <w:bookmarkEnd w:id="88"/>
      <w:r w:rsidR="00FC175F" w:rsidRPr="00476D2E">
        <w:rPr>
          <w:rFonts w:cs="Calibri"/>
          <w:lang w:val="sq-AL"/>
        </w:rPr>
        <w:t xml:space="preserve"> </w:t>
      </w:r>
    </w:p>
    <w:tbl>
      <w:tblPr>
        <w:tblW w:w="10530" w:type="dxa"/>
        <w:tblInd w:w="108" w:type="dxa"/>
        <w:tblLayout w:type="fixed"/>
        <w:tblLook w:val="04A0" w:firstRow="1" w:lastRow="0" w:firstColumn="1" w:lastColumn="0" w:noHBand="0" w:noVBand="1"/>
      </w:tblPr>
      <w:tblGrid>
        <w:gridCol w:w="1890"/>
        <w:gridCol w:w="810"/>
        <w:gridCol w:w="810"/>
        <w:gridCol w:w="810"/>
        <w:gridCol w:w="900"/>
        <w:gridCol w:w="900"/>
        <w:gridCol w:w="810"/>
        <w:gridCol w:w="810"/>
        <w:gridCol w:w="976"/>
        <w:gridCol w:w="942"/>
        <w:gridCol w:w="872"/>
      </w:tblGrid>
      <w:tr w:rsidR="00DB6854" w:rsidRPr="00734A96" w:rsidTr="006E5E97">
        <w:trPr>
          <w:trHeight w:val="646"/>
        </w:trPr>
        <w:tc>
          <w:tcPr>
            <w:tcW w:w="1890" w:type="dxa"/>
            <w:tcBorders>
              <w:top w:val="single" w:sz="8" w:space="0" w:color="4472C4"/>
              <w:left w:val="single" w:sz="8" w:space="0" w:color="4472C4"/>
              <w:bottom w:val="single" w:sz="8" w:space="0" w:color="4472C4"/>
              <w:right w:val="nil"/>
            </w:tcBorders>
            <w:shd w:val="clear" w:color="000000" w:fill="0B5294"/>
            <w:vAlign w:val="center"/>
            <w:hideMark/>
          </w:tcPr>
          <w:p w:rsidR="00DB6854" w:rsidRPr="00734A96" w:rsidRDefault="00DB6854" w:rsidP="008F59CB">
            <w:pPr>
              <w:spacing w:before="0" w:line="240" w:lineRule="auto"/>
              <w:jc w:val="center"/>
              <w:rPr>
                <w:rFonts w:ascii="Cambria" w:hAnsi="Cambria" w:cs="Calibri"/>
                <w:b/>
                <w:bCs/>
                <w:color w:val="FFFFFF"/>
                <w:sz w:val="12"/>
                <w:szCs w:val="12"/>
              </w:rPr>
            </w:pPr>
            <w:r w:rsidRPr="00734A96">
              <w:rPr>
                <w:rFonts w:ascii="Cambria" w:hAnsi="Cambria" w:cs="Calibri"/>
                <w:b/>
                <w:bCs/>
                <w:color w:val="FFFFFF"/>
                <w:sz w:val="12"/>
                <w:szCs w:val="12"/>
                <w:lang w:val="sq-AL"/>
              </w:rPr>
              <w:t>Lloji i taksave</w:t>
            </w:r>
          </w:p>
        </w:tc>
        <w:tc>
          <w:tcPr>
            <w:tcW w:w="810" w:type="dxa"/>
            <w:tcBorders>
              <w:top w:val="single" w:sz="8" w:space="0" w:color="4472C4"/>
              <w:left w:val="nil"/>
              <w:bottom w:val="single" w:sz="8" w:space="0" w:color="4472C4"/>
              <w:right w:val="nil"/>
            </w:tcBorders>
            <w:shd w:val="clear" w:color="000000" w:fill="0B5294"/>
            <w:vAlign w:val="center"/>
            <w:hideMark/>
          </w:tcPr>
          <w:p w:rsidR="00DB6854" w:rsidRPr="00734A96" w:rsidRDefault="00DB6854" w:rsidP="008F59CB">
            <w:pPr>
              <w:spacing w:before="0" w:line="240" w:lineRule="auto"/>
              <w:ind w:right="239"/>
              <w:jc w:val="center"/>
              <w:rPr>
                <w:rFonts w:ascii="Cambria" w:hAnsi="Cambria" w:cs="Calibri"/>
                <w:b/>
                <w:bCs/>
                <w:color w:val="FFFFFF"/>
                <w:sz w:val="12"/>
                <w:szCs w:val="12"/>
              </w:rPr>
            </w:pPr>
            <w:r w:rsidRPr="00734A96">
              <w:rPr>
                <w:rFonts w:ascii="Cambria" w:hAnsi="Cambria" w:cs="Calibri"/>
                <w:b/>
                <w:bCs/>
                <w:color w:val="FFFFFF"/>
                <w:sz w:val="12"/>
                <w:szCs w:val="12"/>
                <w:lang w:val="sq-AL"/>
              </w:rPr>
              <w:t>Fakt 12 mujor 2021</w:t>
            </w:r>
          </w:p>
        </w:tc>
        <w:tc>
          <w:tcPr>
            <w:tcW w:w="810" w:type="dxa"/>
            <w:tcBorders>
              <w:top w:val="single" w:sz="8" w:space="0" w:color="4472C4"/>
              <w:left w:val="nil"/>
              <w:bottom w:val="single" w:sz="8" w:space="0" w:color="4472C4"/>
              <w:right w:val="nil"/>
            </w:tcBorders>
            <w:shd w:val="clear" w:color="000000" w:fill="0B5294"/>
            <w:vAlign w:val="center"/>
            <w:hideMark/>
          </w:tcPr>
          <w:p w:rsidR="00DB6854" w:rsidRPr="00734A96" w:rsidRDefault="00DB6854" w:rsidP="008F59CB">
            <w:pPr>
              <w:spacing w:before="0" w:line="240" w:lineRule="auto"/>
              <w:jc w:val="center"/>
              <w:rPr>
                <w:rFonts w:ascii="Cambria" w:hAnsi="Cambria" w:cs="Calibri"/>
                <w:b/>
                <w:bCs/>
                <w:color w:val="FFFFFF"/>
                <w:sz w:val="12"/>
                <w:szCs w:val="12"/>
              </w:rPr>
            </w:pPr>
            <w:r w:rsidRPr="00734A96">
              <w:rPr>
                <w:rFonts w:ascii="Cambria" w:hAnsi="Cambria" w:cs="Calibri"/>
                <w:b/>
                <w:bCs/>
                <w:color w:val="FFFFFF"/>
                <w:sz w:val="12"/>
                <w:szCs w:val="12"/>
                <w:lang w:val="sq-AL"/>
              </w:rPr>
              <w:t>Fakt 12 mujor 2022</w:t>
            </w:r>
          </w:p>
        </w:tc>
        <w:tc>
          <w:tcPr>
            <w:tcW w:w="810" w:type="dxa"/>
            <w:tcBorders>
              <w:top w:val="single" w:sz="8" w:space="0" w:color="4472C4"/>
              <w:left w:val="nil"/>
              <w:bottom w:val="single" w:sz="8" w:space="0" w:color="4472C4"/>
              <w:right w:val="nil"/>
            </w:tcBorders>
            <w:shd w:val="clear" w:color="000000" w:fill="0B5294"/>
            <w:vAlign w:val="center"/>
            <w:hideMark/>
          </w:tcPr>
          <w:p w:rsidR="00DB6854" w:rsidRPr="00734A96" w:rsidRDefault="00DB6854" w:rsidP="008F59CB">
            <w:pPr>
              <w:spacing w:before="0" w:line="240" w:lineRule="auto"/>
              <w:jc w:val="center"/>
              <w:rPr>
                <w:rFonts w:ascii="Cambria" w:hAnsi="Cambria" w:cs="Calibri"/>
                <w:b/>
                <w:bCs/>
                <w:color w:val="FFFFFF"/>
                <w:sz w:val="12"/>
                <w:szCs w:val="12"/>
              </w:rPr>
            </w:pPr>
            <w:r w:rsidRPr="00734A96">
              <w:rPr>
                <w:rFonts w:ascii="Cambria" w:hAnsi="Cambria" w:cs="Calibri"/>
                <w:b/>
                <w:bCs/>
                <w:color w:val="FFFFFF"/>
                <w:sz w:val="12"/>
                <w:szCs w:val="12"/>
                <w:lang w:val="sq-AL"/>
              </w:rPr>
              <w:t>Plan Fillestar 2022</w:t>
            </w:r>
          </w:p>
        </w:tc>
        <w:tc>
          <w:tcPr>
            <w:tcW w:w="900" w:type="dxa"/>
            <w:tcBorders>
              <w:top w:val="nil"/>
              <w:left w:val="nil"/>
              <w:bottom w:val="nil"/>
              <w:right w:val="nil"/>
            </w:tcBorders>
            <w:shd w:val="clear" w:color="000000" w:fill="0B5294"/>
            <w:vAlign w:val="center"/>
            <w:hideMark/>
          </w:tcPr>
          <w:p w:rsidR="00DB6854" w:rsidRPr="00734A96" w:rsidRDefault="00DB6854" w:rsidP="008F59CB">
            <w:pPr>
              <w:spacing w:before="0" w:line="240" w:lineRule="auto"/>
              <w:jc w:val="center"/>
              <w:rPr>
                <w:rFonts w:ascii="Cambria" w:hAnsi="Cambria" w:cs="Calibri"/>
                <w:b/>
                <w:bCs/>
                <w:color w:val="FFFFFF"/>
                <w:sz w:val="12"/>
                <w:szCs w:val="12"/>
              </w:rPr>
            </w:pPr>
            <w:r w:rsidRPr="00734A96">
              <w:rPr>
                <w:rFonts w:ascii="Cambria" w:hAnsi="Cambria" w:cs="Calibri"/>
                <w:b/>
                <w:bCs/>
                <w:color w:val="FFFFFF"/>
                <w:sz w:val="12"/>
                <w:szCs w:val="12"/>
                <w:lang w:val="sq-AL"/>
              </w:rPr>
              <w:t>Diferenca fakt 2022/2021</w:t>
            </w:r>
          </w:p>
        </w:tc>
        <w:tc>
          <w:tcPr>
            <w:tcW w:w="900" w:type="dxa"/>
            <w:tcBorders>
              <w:top w:val="single" w:sz="8" w:space="0" w:color="4472C4"/>
              <w:left w:val="nil"/>
              <w:bottom w:val="single" w:sz="8" w:space="0" w:color="4472C4"/>
              <w:right w:val="nil"/>
            </w:tcBorders>
            <w:shd w:val="clear" w:color="000000" w:fill="0B5294"/>
            <w:vAlign w:val="center"/>
            <w:hideMark/>
          </w:tcPr>
          <w:p w:rsidR="00DB6854" w:rsidRPr="00734A96" w:rsidRDefault="00DB6854" w:rsidP="008F59CB">
            <w:pPr>
              <w:spacing w:before="0" w:line="240" w:lineRule="auto"/>
              <w:jc w:val="center"/>
              <w:rPr>
                <w:rFonts w:ascii="Cambria" w:hAnsi="Cambria" w:cs="Calibri"/>
                <w:b/>
                <w:bCs/>
                <w:color w:val="FFFFFF"/>
                <w:sz w:val="12"/>
                <w:szCs w:val="12"/>
              </w:rPr>
            </w:pPr>
            <w:r w:rsidRPr="00734A96">
              <w:rPr>
                <w:rFonts w:ascii="Cambria" w:hAnsi="Cambria" w:cs="Calibri"/>
                <w:b/>
                <w:bCs/>
                <w:color w:val="FFFFFF"/>
                <w:sz w:val="12"/>
                <w:szCs w:val="12"/>
                <w:lang w:val="sq-AL"/>
              </w:rPr>
              <w:t>Ndryshimi fakt në % 2022/2021</w:t>
            </w:r>
          </w:p>
        </w:tc>
        <w:tc>
          <w:tcPr>
            <w:tcW w:w="810" w:type="dxa"/>
            <w:tcBorders>
              <w:top w:val="single" w:sz="8" w:space="0" w:color="4472C4"/>
              <w:left w:val="nil"/>
              <w:bottom w:val="single" w:sz="8" w:space="0" w:color="4472C4"/>
              <w:right w:val="nil"/>
            </w:tcBorders>
            <w:shd w:val="clear" w:color="000000" w:fill="0B5294"/>
            <w:vAlign w:val="center"/>
            <w:hideMark/>
          </w:tcPr>
          <w:p w:rsidR="00DB6854" w:rsidRPr="00734A96" w:rsidRDefault="00DB6854" w:rsidP="008F59CB">
            <w:pPr>
              <w:spacing w:before="0" w:line="240" w:lineRule="auto"/>
              <w:jc w:val="center"/>
              <w:rPr>
                <w:rFonts w:ascii="Cambria" w:hAnsi="Cambria" w:cs="Calibri"/>
                <w:b/>
                <w:bCs/>
                <w:color w:val="FFFFFF"/>
                <w:sz w:val="12"/>
                <w:szCs w:val="12"/>
              </w:rPr>
            </w:pPr>
            <w:r w:rsidRPr="00734A96">
              <w:rPr>
                <w:rFonts w:ascii="Cambria" w:hAnsi="Cambria" w:cs="Calibri"/>
                <w:b/>
                <w:bCs/>
                <w:color w:val="FFFFFF"/>
                <w:sz w:val="12"/>
                <w:szCs w:val="12"/>
                <w:lang w:val="sq-AL"/>
              </w:rPr>
              <w:t>Diferenca Fakt/ Plan fillestar 2022</w:t>
            </w:r>
          </w:p>
        </w:tc>
        <w:tc>
          <w:tcPr>
            <w:tcW w:w="810" w:type="dxa"/>
            <w:tcBorders>
              <w:top w:val="single" w:sz="8" w:space="0" w:color="4472C4"/>
              <w:left w:val="nil"/>
              <w:bottom w:val="single" w:sz="8" w:space="0" w:color="4472C4"/>
              <w:right w:val="nil"/>
            </w:tcBorders>
            <w:shd w:val="clear" w:color="000000" w:fill="0B5294"/>
            <w:vAlign w:val="center"/>
            <w:hideMark/>
          </w:tcPr>
          <w:p w:rsidR="00DB6854" w:rsidRPr="00734A96" w:rsidRDefault="00DB6854" w:rsidP="008F59CB">
            <w:pPr>
              <w:spacing w:before="0" w:line="240" w:lineRule="auto"/>
              <w:jc w:val="center"/>
              <w:rPr>
                <w:rFonts w:ascii="Cambria" w:hAnsi="Cambria" w:cs="Calibri"/>
                <w:b/>
                <w:bCs/>
                <w:color w:val="FFFFFF"/>
                <w:sz w:val="12"/>
                <w:szCs w:val="12"/>
              </w:rPr>
            </w:pPr>
            <w:r w:rsidRPr="00734A96">
              <w:rPr>
                <w:rFonts w:ascii="Cambria" w:hAnsi="Cambria" w:cs="Calibri"/>
                <w:b/>
                <w:bCs/>
                <w:color w:val="FFFFFF"/>
                <w:sz w:val="12"/>
                <w:szCs w:val="12"/>
                <w:lang w:val="sq-AL"/>
              </w:rPr>
              <w:t>Ndryshimi në %  Fakt/Plan Fillestar 2022</w:t>
            </w:r>
          </w:p>
        </w:tc>
        <w:tc>
          <w:tcPr>
            <w:tcW w:w="976" w:type="dxa"/>
            <w:tcBorders>
              <w:top w:val="single" w:sz="8" w:space="0" w:color="4472C4"/>
              <w:left w:val="nil"/>
              <w:bottom w:val="single" w:sz="8" w:space="0" w:color="4472C4"/>
              <w:right w:val="nil"/>
            </w:tcBorders>
            <w:shd w:val="clear" w:color="000000" w:fill="0B5294"/>
            <w:vAlign w:val="center"/>
            <w:hideMark/>
          </w:tcPr>
          <w:p w:rsidR="00DB6854" w:rsidRPr="00734A96" w:rsidRDefault="00DB6854" w:rsidP="008F59CB">
            <w:pPr>
              <w:spacing w:before="0" w:line="240" w:lineRule="auto"/>
              <w:jc w:val="center"/>
              <w:rPr>
                <w:rFonts w:ascii="Cambria" w:hAnsi="Cambria" w:cs="Calibri"/>
                <w:b/>
                <w:bCs/>
                <w:color w:val="FFFFFF"/>
                <w:sz w:val="12"/>
                <w:szCs w:val="12"/>
              </w:rPr>
            </w:pPr>
            <w:r w:rsidRPr="00734A96">
              <w:rPr>
                <w:rFonts w:ascii="Cambria" w:hAnsi="Cambria" w:cs="Calibri"/>
                <w:b/>
                <w:bCs/>
                <w:color w:val="FFFFFF"/>
                <w:sz w:val="12"/>
                <w:szCs w:val="12"/>
                <w:lang w:val="sq-AL"/>
              </w:rPr>
              <w:t>2022 (plani i rishikuar)</w:t>
            </w:r>
          </w:p>
        </w:tc>
        <w:tc>
          <w:tcPr>
            <w:tcW w:w="942" w:type="dxa"/>
            <w:tcBorders>
              <w:top w:val="single" w:sz="8" w:space="0" w:color="4472C4"/>
              <w:left w:val="nil"/>
              <w:bottom w:val="nil"/>
              <w:right w:val="nil"/>
            </w:tcBorders>
            <w:shd w:val="clear" w:color="000000" w:fill="0B5294"/>
            <w:vAlign w:val="center"/>
            <w:hideMark/>
          </w:tcPr>
          <w:p w:rsidR="00DB6854" w:rsidRPr="00734A96" w:rsidRDefault="00DB6854" w:rsidP="008F59CB">
            <w:pPr>
              <w:spacing w:before="0" w:line="240" w:lineRule="auto"/>
              <w:jc w:val="center"/>
              <w:rPr>
                <w:rFonts w:ascii="Cambria" w:hAnsi="Cambria" w:cs="Calibri"/>
                <w:b/>
                <w:bCs/>
                <w:color w:val="FFFFFF"/>
                <w:sz w:val="12"/>
                <w:szCs w:val="12"/>
              </w:rPr>
            </w:pPr>
            <w:r w:rsidRPr="00734A96">
              <w:rPr>
                <w:rFonts w:ascii="Cambria" w:hAnsi="Cambria" w:cs="Calibri"/>
                <w:b/>
                <w:bCs/>
                <w:color w:val="FFFFFF"/>
                <w:sz w:val="12"/>
                <w:szCs w:val="12"/>
              </w:rPr>
              <w:t>Diferenca Fakt/ Plan i Rishikuar 2022</w:t>
            </w:r>
          </w:p>
        </w:tc>
        <w:tc>
          <w:tcPr>
            <w:tcW w:w="872" w:type="dxa"/>
            <w:tcBorders>
              <w:top w:val="single" w:sz="8" w:space="0" w:color="4472C4"/>
              <w:left w:val="nil"/>
              <w:bottom w:val="nil"/>
              <w:right w:val="single" w:sz="8" w:space="0" w:color="4472C4"/>
            </w:tcBorders>
            <w:shd w:val="clear" w:color="000000" w:fill="0B5294"/>
            <w:vAlign w:val="center"/>
            <w:hideMark/>
          </w:tcPr>
          <w:p w:rsidR="00DB6854" w:rsidRPr="00734A96" w:rsidRDefault="00DB6854" w:rsidP="008F59CB">
            <w:pPr>
              <w:spacing w:before="0" w:line="240" w:lineRule="auto"/>
              <w:jc w:val="center"/>
              <w:rPr>
                <w:rFonts w:ascii="Cambria" w:hAnsi="Cambria" w:cs="Calibri"/>
                <w:b/>
                <w:bCs/>
                <w:color w:val="FFFFFF"/>
                <w:sz w:val="12"/>
                <w:szCs w:val="12"/>
              </w:rPr>
            </w:pPr>
            <w:r w:rsidRPr="00734A96">
              <w:rPr>
                <w:rFonts w:ascii="Cambria" w:hAnsi="Cambria" w:cs="Calibri"/>
                <w:b/>
                <w:bCs/>
                <w:color w:val="FFFFFF"/>
                <w:sz w:val="12"/>
                <w:szCs w:val="12"/>
                <w:lang w:val="sq-AL"/>
              </w:rPr>
              <w:t>Ndryshimi në %  Fakt/Plan i Rishikuar 2022</w:t>
            </w:r>
          </w:p>
        </w:tc>
      </w:tr>
      <w:tr w:rsidR="00DB6854" w:rsidRPr="00734A96" w:rsidTr="006E5E97">
        <w:trPr>
          <w:trHeight w:val="214"/>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left"/>
              <w:rPr>
                <w:rFonts w:ascii="Cambria" w:hAnsi="Cambria" w:cs="Calibri"/>
                <w:b/>
                <w:bCs/>
                <w:color w:val="000000"/>
                <w:sz w:val="12"/>
                <w:szCs w:val="12"/>
              </w:rPr>
            </w:pPr>
            <w:r w:rsidRPr="00734A96">
              <w:rPr>
                <w:rFonts w:ascii="Cambria" w:hAnsi="Cambria" w:cs="Calibri"/>
                <w:b/>
                <w:bCs/>
                <w:color w:val="000000"/>
                <w:sz w:val="12"/>
                <w:szCs w:val="12"/>
                <w:lang w:val="sq-AL"/>
              </w:rPr>
              <w:t>TVSH TOTAL</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161,536</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191,412</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166,061</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29,876</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18.5%</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25,351</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15.3%</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193,000</w:t>
            </w:r>
          </w:p>
        </w:tc>
        <w:tc>
          <w:tcPr>
            <w:tcW w:w="942" w:type="dxa"/>
            <w:tcBorders>
              <w:top w:val="single" w:sz="8" w:space="0" w:color="8EA9DB"/>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-1,588</w:t>
            </w:r>
          </w:p>
        </w:tc>
        <w:tc>
          <w:tcPr>
            <w:tcW w:w="872" w:type="dxa"/>
            <w:tcBorders>
              <w:top w:val="single" w:sz="8" w:space="0" w:color="8EA9DB"/>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-0.8%</w:t>
            </w:r>
          </w:p>
        </w:tc>
      </w:tr>
      <w:tr w:rsidR="00DB6854" w:rsidRPr="00734A96" w:rsidTr="006E5E97">
        <w:trPr>
          <w:trHeight w:val="241"/>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right"/>
              <w:rPr>
                <w:rFonts w:ascii="Cambria" w:hAnsi="Cambria" w:cs="Calibri"/>
                <w:i/>
                <w:iCs/>
                <w:color w:val="000000"/>
                <w:sz w:val="12"/>
                <w:szCs w:val="12"/>
              </w:rPr>
            </w:pPr>
            <w:r w:rsidRPr="00734A96">
              <w:rPr>
                <w:rFonts w:ascii="Cambria" w:hAnsi="Cambria" w:cs="Calibri"/>
                <w:i/>
                <w:iCs/>
                <w:color w:val="000000"/>
                <w:sz w:val="12"/>
                <w:szCs w:val="12"/>
                <w:lang w:val="sq-AL"/>
              </w:rPr>
              <w:t xml:space="preserve">Tvsh në import </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131,301</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156,898</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136,000</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25,597</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19.5%</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20,898</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15.4%</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155,500</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1,398</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0.9%</w:t>
            </w:r>
          </w:p>
        </w:tc>
      </w:tr>
      <w:tr w:rsidR="00DB6854" w:rsidRPr="00734A96" w:rsidTr="006E5E97">
        <w:trPr>
          <w:trHeight w:val="178"/>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right"/>
              <w:rPr>
                <w:rFonts w:ascii="Cambria" w:hAnsi="Cambria" w:cs="Calibri"/>
                <w:i/>
                <w:iCs/>
                <w:color w:val="000000"/>
                <w:sz w:val="12"/>
                <w:szCs w:val="12"/>
              </w:rPr>
            </w:pPr>
            <w:r w:rsidRPr="00734A96">
              <w:rPr>
                <w:rFonts w:ascii="Cambria" w:hAnsi="Cambria" w:cs="Calibri"/>
                <w:i/>
                <w:iCs/>
                <w:color w:val="000000"/>
                <w:sz w:val="12"/>
                <w:szCs w:val="12"/>
                <w:lang w:val="sq-AL"/>
              </w:rPr>
              <w:t>Tvsh brenda vendit</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30,235</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34,514</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30,061</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4,279</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14.2%</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4,453</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14.8%</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37,500</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-2,986</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-8.0%</w:t>
            </w:r>
          </w:p>
        </w:tc>
      </w:tr>
      <w:tr w:rsidR="00DB6854" w:rsidRPr="00734A96" w:rsidTr="006E5E97">
        <w:trPr>
          <w:trHeight w:val="205"/>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right"/>
              <w:rPr>
                <w:rFonts w:ascii="Cambria" w:hAnsi="Cambria" w:cs="Calibri"/>
                <w:i/>
                <w:iCs/>
                <w:color w:val="000000"/>
                <w:sz w:val="12"/>
                <w:szCs w:val="12"/>
              </w:rPr>
            </w:pPr>
            <w:r w:rsidRPr="00734A96">
              <w:rPr>
                <w:rFonts w:ascii="Cambria" w:hAnsi="Cambria" w:cs="Calibri"/>
                <w:i/>
                <w:iCs/>
                <w:color w:val="000000"/>
                <w:sz w:val="12"/>
                <w:szCs w:val="12"/>
                <w:lang w:val="sq-AL"/>
              </w:rPr>
              <w:t>Rimbursim TVSH</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24,102</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22,481</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18,500</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-1,621</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-6.7%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3,981</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lang w:val="sq-AL"/>
              </w:rPr>
              <w:t>21.5%</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18,500</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3,981</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i/>
                <w:iCs/>
                <w:color w:val="000000"/>
                <w:sz w:val="12"/>
                <w:szCs w:val="12"/>
              </w:rPr>
            </w:pPr>
            <w:r w:rsidRPr="00734A96">
              <w:rPr>
                <w:rFonts w:ascii="Cambria" w:hAnsi="Cambria" w:cs="Calibri"/>
                <w:i/>
                <w:iCs/>
                <w:color w:val="000000"/>
                <w:sz w:val="12"/>
                <w:szCs w:val="12"/>
              </w:rPr>
              <w:t>21.5%</w:t>
            </w:r>
          </w:p>
        </w:tc>
      </w:tr>
      <w:tr w:rsidR="00DB6854" w:rsidRPr="00734A96" w:rsidTr="006E5E97">
        <w:trPr>
          <w:trHeight w:val="232"/>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left"/>
              <w:rPr>
                <w:rFonts w:ascii="Cambria" w:hAnsi="Cambria" w:cs="Calibri"/>
                <w:b/>
                <w:bCs/>
                <w:color w:val="000000"/>
                <w:sz w:val="12"/>
                <w:szCs w:val="12"/>
              </w:rPr>
            </w:pPr>
            <w:r w:rsidRPr="00734A96">
              <w:rPr>
                <w:rFonts w:ascii="Cambria" w:hAnsi="Cambria" w:cs="Calibri"/>
                <w:b/>
                <w:bCs/>
                <w:color w:val="000000"/>
                <w:sz w:val="12"/>
                <w:szCs w:val="12"/>
                <w:lang w:val="sq-AL"/>
              </w:rPr>
              <w:t>Tatimi mbi fitimin</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35,610</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47,683</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35,586</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12,073</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33.9%</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12,097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34.0%</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46,000</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1,683</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3.7%</w:t>
            </w:r>
          </w:p>
        </w:tc>
      </w:tr>
      <w:tr w:rsidR="00DB6854" w:rsidRPr="00734A96" w:rsidTr="006E5E97">
        <w:trPr>
          <w:trHeight w:val="223"/>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left"/>
              <w:rPr>
                <w:rFonts w:ascii="Cambria" w:hAnsi="Cambria" w:cs="Calibri"/>
                <w:b/>
                <w:bCs/>
                <w:color w:val="000000"/>
                <w:sz w:val="12"/>
                <w:szCs w:val="12"/>
              </w:rPr>
            </w:pPr>
            <w:r w:rsidRPr="00734A96">
              <w:rPr>
                <w:rFonts w:ascii="Cambria" w:hAnsi="Cambria" w:cs="Calibri"/>
                <w:b/>
                <w:bCs/>
                <w:color w:val="000000"/>
                <w:sz w:val="12"/>
                <w:szCs w:val="12"/>
                <w:lang w:val="sq-AL"/>
              </w:rPr>
              <w:t xml:space="preserve">Akciza </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51,637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53,547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56,478</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1,910</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3.7%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-2,931</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-5.2%</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55,000</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-1,453</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-2.6%</w:t>
            </w:r>
          </w:p>
        </w:tc>
      </w:tr>
      <w:tr w:rsidR="00DB6854" w:rsidRPr="00734A96" w:rsidTr="006E5E97">
        <w:trPr>
          <w:trHeight w:val="205"/>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left"/>
              <w:rPr>
                <w:rFonts w:ascii="Cambria" w:hAnsi="Cambria" w:cs="Calibri"/>
                <w:b/>
                <w:bCs/>
                <w:color w:val="000000"/>
                <w:sz w:val="12"/>
                <w:szCs w:val="12"/>
              </w:rPr>
            </w:pPr>
            <w:r w:rsidRPr="00734A96">
              <w:rPr>
                <w:rFonts w:ascii="Cambria" w:hAnsi="Cambria" w:cs="Calibri"/>
                <w:b/>
                <w:bCs/>
                <w:color w:val="000000"/>
                <w:sz w:val="12"/>
                <w:szCs w:val="12"/>
                <w:lang w:val="sq-AL"/>
              </w:rPr>
              <w:t>Tatimi mbi të ardhurat personale</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39,312</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44,983</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45,161</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5,671</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14.4%</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-178</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-0.4%</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47,000</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-2,017</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-4.3%</w:t>
            </w:r>
          </w:p>
        </w:tc>
      </w:tr>
      <w:tr w:rsidR="00DB6854" w:rsidRPr="00734A96" w:rsidTr="006E5E97">
        <w:trPr>
          <w:trHeight w:val="268"/>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left"/>
              <w:rPr>
                <w:rFonts w:ascii="Cambria" w:hAnsi="Cambria" w:cs="Calibri"/>
                <w:b/>
                <w:bCs/>
                <w:color w:val="000000"/>
                <w:sz w:val="12"/>
                <w:szCs w:val="12"/>
              </w:rPr>
            </w:pPr>
            <w:r w:rsidRPr="00734A96">
              <w:rPr>
                <w:rFonts w:ascii="Cambria" w:hAnsi="Cambria" w:cs="Calibri"/>
                <w:b/>
                <w:bCs/>
                <w:color w:val="000000"/>
                <w:sz w:val="12"/>
                <w:szCs w:val="12"/>
                <w:lang w:val="sq-AL"/>
              </w:rPr>
              <w:t>Taksa nacionale dhe te tjera</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42,521</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44,821</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49,741</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2,300</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5.4%</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-4,920</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-9.9%</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48,500</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-3,679</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-7.6%</w:t>
            </w:r>
          </w:p>
        </w:tc>
      </w:tr>
      <w:tr w:rsidR="00DB6854" w:rsidRPr="00734A96" w:rsidTr="006E5E97">
        <w:trPr>
          <w:trHeight w:val="223"/>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right"/>
              <w:rPr>
                <w:rFonts w:ascii="Cambria" w:hAnsi="Cambria" w:cs="Calibri"/>
                <w:i/>
                <w:iCs/>
                <w:color w:val="000000"/>
                <w:sz w:val="12"/>
                <w:szCs w:val="12"/>
              </w:rPr>
            </w:pPr>
            <w:r w:rsidRPr="00734A96">
              <w:rPr>
                <w:rFonts w:ascii="Cambria" w:hAnsi="Cambria" w:cs="Calibri"/>
                <w:i/>
                <w:iCs/>
                <w:color w:val="000000"/>
                <w:sz w:val="12"/>
                <w:szCs w:val="12"/>
                <w:lang w:val="sq-AL"/>
              </w:rPr>
              <w:t>Taksat nacionale</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40,076</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rPr>
              <w:t>40,623</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46,740</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547</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1.4%</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-6,117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-13.1%</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rPr>
              <w:t>44,000</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rPr>
              <w:t>-3,377</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rPr>
              <w:t>-7.7%</w:t>
            </w:r>
          </w:p>
        </w:tc>
      </w:tr>
      <w:tr w:rsidR="00DB6854" w:rsidRPr="00734A96" w:rsidTr="006E5E97">
        <w:trPr>
          <w:trHeight w:val="250"/>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right"/>
              <w:rPr>
                <w:rFonts w:ascii="Cambria" w:hAnsi="Cambria" w:cs="Calibri"/>
                <w:i/>
                <w:iCs/>
                <w:color w:val="000000"/>
                <w:sz w:val="12"/>
                <w:szCs w:val="12"/>
              </w:rPr>
            </w:pPr>
            <w:r w:rsidRPr="00734A96">
              <w:rPr>
                <w:rFonts w:ascii="Cambria" w:hAnsi="Cambria" w:cs="Calibri"/>
                <w:i/>
                <w:iCs/>
                <w:color w:val="000000"/>
                <w:sz w:val="12"/>
                <w:szCs w:val="12"/>
                <w:lang w:val="sq-AL"/>
              </w:rPr>
              <w:t>Renta Minerare</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2,445</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rPr>
              <w:t>4,198</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3,000</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1,753</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71.7%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1,198</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lang w:val="sq-AL"/>
              </w:rPr>
              <w:t>39.9%</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rPr>
              <w:t>4,500</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rPr>
              <w:t>-302</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color w:val="000000"/>
                <w:sz w:val="12"/>
                <w:szCs w:val="12"/>
              </w:rPr>
            </w:pPr>
            <w:r w:rsidRPr="00734A96">
              <w:rPr>
                <w:rFonts w:ascii="Cambria" w:hAnsi="Cambria" w:cs="Calibri"/>
                <w:color w:val="000000"/>
                <w:sz w:val="12"/>
                <w:szCs w:val="12"/>
              </w:rPr>
              <w:t>-6.7%</w:t>
            </w:r>
          </w:p>
        </w:tc>
      </w:tr>
      <w:tr w:rsidR="00DB6854" w:rsidRPr="00734A96" w:rsidTr="006E5E97">
        <w:trPr>
          <w:trHeight w:val="232"/>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left"/>
              <w:rPr>
                <w:rFonts w:ascii="Cambria" w:hAnsi="Cambria" w:cs="Calibri"/>
                <w:b/>
                <w:bCs/>
                <w:color w:val="000000"/>
                <w:sz w:val="12"/>
                <w:szCs w:val="12"/>
              </w:rPr>
            </w:pPr>
            <w:r w:rsidRPr="00734A96">
              <w:rPr>
                <w:rFonts w:ascii="Cambria" w:hAnsi="Cambria" w:cs="Calibri"/>
                <w:b/>
                <w:bCs/>
                <w:color w:val="000000"/>
                <w:sz w:val="12"/>
                <w:szCs w:val="12"/>
                <w:lang w:val="sq-AL"/>
              </w:rPr>
              <w:t>Taksë Doganore</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7,457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8,447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7,509</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990</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13.3%</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938</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12.5%</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8,500</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-53</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-0.6%</w:t>
            </w:r>
          </w:p>
        </w:tc>
      </w:tr>
      <w:tr w:rsidR="00DB6854" w:rsidRPr="00734A96" w:rsidTr="006E5E97">
        <w:trPr>
          <w:trHeight w:val="295"/>
        </w:trPr>
        <w:tc>
          <w:tcPr>
            <w:tcW w:w="1890" w:type="dxa"/>
            <w:tcBorders>
              <w:top w:val="nil"/>
              <w:left w:val="single" w:sz="8" w:space="0" w:color="8EAADB"/>
              <w:bottom w:val="single" w:sz="8" w:space="0" w:color="8EAADB"/>
              <w:right w:val="single" w:sz="8" w:space="0" w:color="8EAADB"/>
            </w:tcBorders>
            <w:shd w:val="clear" w:color="000000" w:fill="C0D7F1"/>
            <w:vAlign w:val="center"/>
            <w:hideMark/>
          </w:tcPr>
          <w:p w:rsidR="00DB6854" w:rsidRPr="00734A96" w:rsidRDefault="00DB6854" w:rsidP="008F59CB">
            <w:pPr>
              <w:spacing w:before="0" w:line="240" w:lineRule="auto"/>
              <w:jc w:val="left"/>
              <w:rPr>
                <w:rFonts w:ascii="Cambria" w:hAnsi="Cambria" w:cs="Calibri"/>
                <w:b/>
                <w:bCs/>
                <w:color w:val="000000"/>
                <w:sz w:val="12"/>
                <w:szCs w:val="12"/>
              </w:rPr>
            </w:pPr>
            <w:r w:rsidRPr="00734A96">
              <w:rPr>
                <w:rFonts w:ascii="Cambria" w:hAnsi="Cambria" w:cs="Calibri"/>
                <w:b/>
                <w:bCs/>
                <w:color w:val="000000"/>
                <w:sz w:val="12"/>
                <w:szCs w:val="12"/>
                <w:lang w:val="sq-AL"/>
              </w:rPr>
              <w:t xml:space="preserve">TOTALI TATIME + DOGANA </w:t>
            </w:r>
          </w:p>
        </w:tc>
        <w:tc>
          <w:tcPr>
            <w:tcW w:w="81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338,073</w:t>
            </w:r>
          </w:p>
        </w:tc>
        <w:tc>
          <w:tcPr>
            <w:tcW w:w="81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390,893</w:t>
            </w:r>
          </w:p>
        </w:tc>
        <w:tc>
          <w:tcPr>
            <w:tcW w:w="81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360,535</w:t>
            </w:r>
          </w:p>
        </w:tc>
        <w:tc>
          <w:tcPr>
            <w:tcW w:w="90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lang w:val="sq-AL"/>
              </w:rPr>
              <w:t>52,820</w:t>
            </w:r>
          </w:p>
        </w:tc>
        <w:tc>
          <w:tcPr>
            <w:tcW w:w="90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lang w:val="sq-AL"/>
              </w:rPr>
              <w:t>15.6%</w:t>
            </w:r>
          </w:p>
        </w:tc>
        <w:tc>
          <w:tcPr>
            <w:tcW w:w="81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lang w:val="sq-AL"/>
              </w:rPr>
              <w:t>30,358</w:t>
            </w:r>
          </w:p>
        </w:tc>
        <w:tc>
          <w:tcPr>
            <w:tcW w:w="81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lang w:val="sq-AL"/>
              </w:rPr>
              <w:t>8.4%</w:t>
            </w:r>
          </w:p>
        </w:tc>
        <w:tc>
          <w:tcPr>
            <w:tcW w:w="976"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398,000</w:t>
            </w:r>
          </w:p>
        </w:tc>
        <w:tc>
          <w:tcPr>
            <w:tcW w:w="942"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-7,107</w:t>
            </w:r>
          </w:p>
        </w:tc>
        <w:tc>
          <w:tcPr>
            <w:tcW w:w="872"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-1.8%</w:t>
            </w:r>
          </w:p>
        </w:tc>
      </w:tr>
      <w:tr w:rsidR="00DB6854" w:rsidRPr="00734A96" w:rsidTr="006E5E97">
        <w:trPr>
          <w:trHeight w:val="331"/>
        </w:trPr>
        <w:tc>
          <w:tcPr>
            <w:tcW w:w="1890" w:type="dxa"/>
            <w:tcBorders>
              <w:top w:val="nil"/>
              <w:left w:val="single" w:sz="8" w:space="0" w:color="8EAADB"/>
              <w:bottom w:val="single" w:sz="8" w:space="0" w:color="8EAADB"/>
              <w:right w:val="single" w:sz="8" w:space="0" w:color="8EAADB"/>
            </w:tcBorders>
            <w:shd w:val="clear" w:color="auto" w:fill="auto"/>
            <w:vAlign w:val="center"/>
            <w:hideMark/>
          </w:tcPr>
          <w:p w:rsidR="00DB6854" w:rsidRPr="00734A96" w:rsidRDefault="00DB6854" w:rsidP="008F59CB">
            <w:pPr>
              <w:spacing w:before="0" w:line="240" w:lineRule="auto"/>
              <w:jc w:val="left"/>
              <w:rPr>
                <w:rFonts w:ascii="Cambria" w:hAnsi="Cambria" w:cs="Calibri"/>
                <w:b/>
                <w:bCs/>
                <w:color w:val="000000"/>
                <w:sz w:val="12"/>
                <w:szCs w:val="12"/>
              </w:rPr>
            </w:pPr>
            <w:r w:rsidRPr="00734A96">
              <w:rPr>
                <w:rFonts w:ascii="Cambria" w:hAnsi="Cambria" w:cs="Calibri"/>
                <w:b/>
                <w:bCs/>
                <w:color w:val="000000"/>
                <w:sz w:val="12"/>
                <w:szCs w:val="12"/>
                <w:lang w:val="sq-AL"/>
              </w:rPr>
              <w:t>Kontributet e mbledhura (DPT)</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106,266</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118,467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108,100</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12,201</w:t>
            </w:r>
          </w:p>
        </w:tc>
        <w:tc>
          <w:tcPr>
            <w:tcW w:w="90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11.5%</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10,367</w:t>
            </w:r>
          </w:p>
        </w:tc>
        <w:tc>
          <w:tcPr>
            <w:tcW w:w="810"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lang w:val="sq-AL"/>
              </w:rPr>
              <w:t>9.6%</w:t>
            </w:r>
          </w:p>
        </w:tc>
        <w:tc>
          <w:tcPr>
            <w:tcW w:w="976"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117,135</w:t>
            </w:r>
          </w:p>
        </w:tc>
        <w:tc>
          <w:tcPr>
            <w:tcW w:w="94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1,332</w:t>
            </w:r>
          </w:p>
        </w:tc>
        <w:tc>
          <w:tcPr>
            <w:tcW w:w="872" w:type="dxa"/>
            <w:tcBorders>
              <w:top w:val="nil"/>
              <w:left w:val="nil"/>
              <w:bottom w:val="single" w:sz="8" w:space="0" w:color="8EA9DB"/>
              <w:right w:val="single" w:sz="8" w:space="0" w:color="8EA9DB"/>
            </w:tcBorders>
            <w:shd w:val="clear" w:color="auto" w:fill="auto"/>
            <w:vAlign w:val="center"/>
            <w:hideMark/>
          </w:tcPr>
          <w:p w:rsidR="00DB6854" w:rsidRPr="00734A96" w:rsidRDefault="00DB6854" w:rsidP="008F59CB">
            <w:pPr>
              <w:spacing w:before="0" w:line="240" w:lineRule="auto"/>
              <w:jc w:val="center"/>
              <w:rPr>
                <w:rFonts w:ascii="Cambria" w:hAnsi="Cambria" w:cs="Calibri"/>
                <w:b/>
                <w:bCs/>
                <w:color w:val="000000"/>
                <w:sz w:val="12"/>
                <w:szCs w:val="12"/>
              </w:rPr>
            </w:pPr>
            <w:r w:rsidRPr="00734A96">
              <w:rPr>
                <w:rFonts w:ascii="Cambria" w:hAnsi="Cambria" w:cs="Calibri"/>
                <w:b/>
                <w:bCs/>
                <w:color w:val="000000"/>
                <w:sz w:val="12"/>
                <w:szCs w:val="12"/>
              </w:rPr>
              <w:t>2.8%</w:t>
            </w:r>
          </w:p>
        </w:tc>
      </w:tr>
      <w:tr w:rsidR="00DB6854" w:rsidRPr="00734A96" w:rsidTr="006E5E97">
        <w:trPr>
          <w:trHeight w:val="435"/>
        </w:trPr>
        <w:tc>
          <w:tcPr>
            <w:tcW w:w="1890" w:type="dxa"/>
            <w:tcBorders>
              <w:top w:val="nil"/>
              <w:left w:val="single" w:sz="8" w:space="0" w:color="8EAADB"/>
              <w:bottom w:val="single" w:sz="8" w:space="0" w:color="8EAADB"/>
              <w:right w:val="single" w:sz="8" w:space="0" w:color="8EAADB"/>
            </w:tcBorders>
            <w:shd w:val="clear" w:color="000000" w:fill="C0D7F1"/>
            <w:vAlign w:val="center"/>
            <w:hideMark/>
          </w:tcPr>
          <w:p w:rsidR="00DB6854" w:rsidRPr="00734A96" w:rsidRDefault="00DB6854" w:rsidP="008F59CB">
            <w:pPr>
              <w:spacing w:before="0" w:line="240" w:lineRule="auto"/>
              <w:jc w:val="left"/>
              <w:rPr>
                <w:rFonts w:ascii="Cambria" w:hAnsi="Cambria" w:cs="Calibri"/>
                <w:b/>
                <w:bCs/>
                <w:color w:val="000000"/>
                <w:sz w:val="12"/>
                <w:szCs w:val="12"/>
              </w:rPr>
            </w:pPr>
            <w:r w:rsidRPr="00734A96">
              <w:rPr>
                <w:rFonts w:ascii="Cambria" w:hAnsi="Cambria" w:cs="Calibri"/>
                <w:b/>
                <w:bCs/>
                <w:color w:val="000000"/>
                <w:sz w:val="12"/>
                <w:szCs w:val="12"/>
                <w:lang w:val="sq-AL"/>
              </w:rPr>
              <w:t>TOTALI TATIME + DOGANA (përfshirë kontributet)</w:t>
            </w:r>
          </w:p>
        </w:tc>
        <w:tc>
          <w:tcPr>
            <w:tcW w:w="81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444,339</w:t>
            </w:r>
          </w:p>
        </w:tc>
        <w:tc>
          <w:tcPr>
            <w:tcW w:w="81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509,360</w:t>
            </w:r>
          </w:p>
        </w:tc>
        <w:tc>
          <w:tcPr>
            <w:tcW w:w="81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468,635</w:t>
            </w:r>
          </w:p>
        </w:tc>
        <w:tc>
          <w:tcPr>
            <w:tcW w:w="90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lang w:val="sq-AL"/>
              </w:rPr>
              <w:t>65,021</w:t>
            </w:r>
          </w:p>
        </w:tc>
        <w:tc>
          <w:tcPr>
            <w:tcW w:w="90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lang w:val="sq-AL"/>
              </w:rPr>
              <w:t>14.6%</w:t>
            </w:r>
          </w:p>
        </w:tc>
        <w:tc>
          <w:tcPr>
            <w:tcW w:w="81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lang w:val="sq-AL"/>
              </w:rPr>
              <w:t>40,725</w:t>
            </w:r>
          </w:p>
        </w:tc>
        <w:tc>
          <w:tcPr>
            <w:tcW w:w="810"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lang w:val="sq-AL"/>
              </w:rPr>
              <w:t>8.7%</w:t>
            </w:r>
          </w:p>
        </w:tc>
        <w:tc>
          <w:tcPr>
            <w:tcW w:w="976"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515,135</w:t>
            </w:r>
          </w:p>
        </w:tc>
        <w:tc>
          <w:tcPr>
            <w:tcW w:w="942"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-5,775</w:t>
            </w:r>
          </w:p>
        </w:tc>
        <w:tc>
          <w:tcPr>
            <w:tcW w:w="872" w:type="dxa"/>
            <w:tcBorders>
              <w:top w:val="nil"/>
              <w:left w:val="nil"/>
              <w:bottom w:val="single" w:sz="8" w:space="0" w:color="8EA9DB"/>
              <w:right w:val="single" w:sz="8" w:space="0" w:color="8EA9DB"/>
            </w:tcBorders>
            <w:shd w:val="clear" w:color="000000" w:fill="C0D7F1"/>
            <w:vAlign w:val="center"/>
            <w:hideMark/>
          </w:tcPr>
          <w:p w:rsidR="00DB6854" w:rsidRPr="00734A96" w:rsidRDefault="00DB6854" w:rsidP="008F59CB">
            <w:pPr>
              <w:spacing w:before="0" w:line="240" w:lineRule="auto"/>
              <w:jc w:val="center"/>
              <w:rPr>
                <w:rFonts w:ascii="Cambria" w:hAnsi="Cambria" w:cs="Calibri"/>
                <w:b/>
                <w:bCs/>
                <w:color w:val="000000"/>
                <w:sz w:val="14"/>
                <w:szCs w:val="14"/>
              </w:rPr>
            </w:pPr>
            <w:r w:rsidRPr="00734A96">
              <w:rPr>
                <w:rFonts w:ascii="Cambria" w:hAnsi="Cambria" w:cs="Calibri"/>
                <w:b/>
                <w:bCs/>
                <w:color w:val="000000"/>
                <w:sz w:val="14"/>
                <w:szCs w:val="14"/>
              </w:rPr>
              <w:t>-1.1%</w:t>
            </w:r>
          </w:p>
        </w:tc>
      </w:tr>
    </w:tbl>
    <w:p w:rsidR="002464D3" w:rsidRDefault="00153CD6" w:rsidP="00153CD6">
      <w:pPr>
        <w:spacing w:before="0" w:line="360" w:lineRule="auto"/>
        <w:rPr>
          <w:rFonts w:cs="Calibri"/>
          <w:i/>
          <w:noProof/>
          <w:sz w:val="18"/>
          <w:szCs w:val="18"/>
          <w:lang w:val="sq-AL"/>
        </w:rPr>
      </w:pPr>
      <w:r>
        <w:rPr>
          <w:rFonts w:cs="Calibri"/>
          <w:i/>
          <w:noProof/>
          <w:sz w:val="18"/>
          <w:szCs w:val="18"/>
          <w:lang w:val="sq-AL"/>
        </w:rPr>
        <w:t>Burimi: Ministria e Financave dhe Ekonomisë (2023)</w:t>
      </w:r>
    </w:p>
    <w:p w:rsidR="00C16FCE" w:rsidRPr="00C16FCE" w:rsidRDefault="00C16FCE" w:rsidP="00FC729E">
      <w:pPr>
        <w:spacing w:before="0"/>
        <w:rPr>
          <w:rFonts w:cs="Calibri"/>
          <w:noProof/>
          <w:sz w:val="8"/>
          <w:szCs w:val="8"/>
          <w:lang w:val="sq-AL"/>
        </w:rPr>
      </w:pPr>
    </w:p>
    <w:p w:rsidR="002464D3" w:rsidRPr="00DB6854" w:rsidRDefault="00C16FCE" w:rsidP="00FC729E">
      <w:pPr>
        <w:spacing w:before="0"/>
        <w:rPr>
          <w:rFonts w:asciiTheme="majorHAnsi" w:hAnsiTheme="majorHAnsi" w:cs="Calibri"/>
          <w:noProof/>
          <w:lang w:val="sq-AL"/>
        </w:rPr>
      </w:pPr>
      <w:r w:rsidRPr="00DB6854">
        <w:rPr>
          <w:rFonts w:asciiTheme="majorHAnsi" w:hAnsiTheme="majorHAnsi" w:cs="Calibri"/>
          <w:noProof/>
          <w:lang w:val="sq-AL"/>
        </w:rPr>
        <w:t xml:space="preserve">Të ardhurat nga </w:t>
      </w:r>
      <w:r w:rsidRPr="00DB6854">
        <w:rPr>
          <w:rFonts w:asciiTheme="majorHAnsi" w:hAnsiTheme="majorHAnsi" w:cs="Calibri"/>
          <w:b/>
          <w:noProof/>
          <w:lang w:val="sq-AL"/>
        </w:rPr>
        <w:t>Administrata Doganore</w:t>
      </w:r>
      <w:r w:rsidRPr="00DB6854">
        <w:rPr>
          <w:rFonts w:asciiTheme="majorHAnsi" w:hAnsiTheme="majorHAnsi" w:cs="Calibri"/>
          <w:noProof/>
          <w:lang w:val="sq-AL"/>
        </w:rPr>
        <w:t xml:space="preserve"> </w:t>
      </w:r>
      <w:r w:rsidR="00DB6854" w:rsidRPr="00734A96">
        <w:rPr>
          <w:rFonts w:cs="Calibri"/>
          <w:noProof/>
          <w:lang w:val="sq-AL"/>
        </w:rPr>
        <w:t xml:space="preserve">për vitin 2022 arritën në 223.1 miliardë lekë, me një realizim në masën 99.8 </w:t>
      </w:r>
      <w:r w:rsidR="00FC729E">
        <w:rPr>
          <w:rFonts w:cs="Calibri"/>
          <w:noProof/>
          <w:lang w:val="sq-AL"/>
        </w:rPr>
        <w:t>%</w:t>
      </w:r>
      <w:r w:rsidR="00DB6854" w:rsidRPr="00734A96">
        <w:rPr>
          <w:rFonts w:cs="Calibri"/>
          <w:noProof/>
          <w:lang w:val="sq-AL"/>
        </w:rPr>
        <w:t xml:space="preserve"> të planit të rishikuar, ose 411 milionë lekë më pak. Në krahasim me vitin 2021, performanca ka qenë pozitive me rreth 30.2 miliardë lekë më shum</w:t>
      </w:r>
      <w:r w:rsidR="00DB6854" w:rsidRPr="00734A96">
        <w:rPr>
          <w:rFonts w:ascii="Times New Roman" w:hAnsi="Times New Roman"/>
          <w:noProof/>
          <w:lang w:val="sq-AL"/>
        </w:rPr>
        <w:t>ë</w:t>
      </w:r>
      <w:r w:rsidR="00DB6854" w:rsidRPr="00734A96">
        <w:rPr>
          <w:rFonts w:cs="Calibri"/>
          <w:noProof/>
          <w:lang w:val="sq-AL"/>
        </w:rPr>
        <w:t xml:space="preserve"> sesa një vit më parë, me rritje 15.7 </w:t>
      </w:r>
      <w:r w:rsidR="00FC729E">
        <w:rPr>
          <w:rFonts w:cs="Calibri"/>
          <w:noProof/>
          <w:lang w:val="sq-AL"/>
        </w:rPr>
        <w:t>%</w:t>
      </w:r>
      <w:r w:rsidR="00DB6854" w:rsidRPr="00734A96">
        <w:rPr>
          <w:rFonts w:cs="Calibri"/>
          <w:noProof/>
          <w:lang w:val="sq-AL"/>
        </w:rPr>
        <w:t xml:space="preserve">. Krahasuar me vitin 2021, paraqiten me rritje Tatimi mbi vlerën e shtuar në import (+19.5 </w:t>
      </w:r>
      <w:r w:rsidR="00FC729E">
        <w:rPr>
          <w:rFonts w:cs="Calibri"/>
          <w:noProof/>
          <w:lang w:val="sq-AL"/>
        </w:rPr>
        <w:t>%</w:t>
      </w:r>
      <w:r w:rsidR="00DB6854" w:rsidRPr="00734A96">
        <w:rPr>
          <w:rFonts w:cs="Calibri"/>
          <w:noProof/>
          <w:lang w:val="sq-AL"/>
        </w:rPr>
        <w:t xml:space="preserve">), Akciza (+3.7 </w:t>
      </w:r>
      <w:r w:rsidR="00FC729E">
        <w:rPr>
          <w:rFonts w:cs="Calibri"/>
          <w:noProof/>
          <w:lang w:val="sq-AL"/>
        </w:rPr>
        <w:t>%</w:t>
      </w:r>
      <w:r w:rsidR="00DB6854" w:rsidRPr="00734A96">
        <w:rPr>
          <w:rFonts w:cs="Calibri"/>
          <w:noProof/>
          <w:lang w:val="sq-AL"/>
        </w:rPr>
        <w:t xml:space="preserve">), Taksa doganore (+13.3 </w:t>
      </w:r>
      <w:r w:rsidR="00FC729E">
        <w:rPr>
          <w:rFonts w:cs="Calibri"/>
          <w:noProof/>
          <w:lang w:val="sq-AL"/>
        </w:rPr>
        <w:t>%</w:t>
      </w:r>
      <w:r w:rsidR="00DB6854" w:rsidRPr="00734A96">
        <w:rPr>
          <w:rFonts w:cs="Calibri"/>
          <w:noProof/>
          <w:lang w:val="sq-AL"/>
        </w:rPr>
        <w:t xml:space="preserve">) dhe Renta minerare (+71.1 </w:t>
      </w:r>
      <w:r w:rsidR="00FC729E">
        <w:rPr>
          <w:rFonts w:cs="Calibri"/>
          <w:noProof/>
          <w:lang w:val="sq-AL"/>
        </w:rPr>
        <w:t>%</w:t>
      </w:r>
      <w:r w:rsidR="00DB6854" w:rsidRPr="00734A96">
        <w:rPr>
          <w:rFonts w:cs="Calibri"/>
          <w:noProof/>
          <w:lang w:val="sq-AL"/>
        </w:rPr>
        <w:t>)</w:t>
      </w:r>
      <w:r w:rsidR="00DB6854" w:rsidRPr="00734A96">
        <w:rPr>
          <w:rFonts w:cs="Calibri"/>
          <w:noProof/>
          <w:lang w:val="sq-AL" w:eastAsia="ja-JP"/>
        </w:rPr>
        <w:t>.</w:t>
      </w:r>
      <w:r w:rsidR="00DB6854" w:rsidRPr="00734A96">
        <w:rPr>
          <w:rFonts w:cs="Calibri"/>
          <w:noProof/>
          <w:lang w:val="sq-AL"/>
        </w:rPr>
        <w:t xml:space="preserve"> Krahasuar me planin, të gjithë zërat e të ardhurave doganore paraqiten me mbirealizim. </w:t>
      </w:r>
      <w:r w:rsidR="00DB6854" w:rsidRPr="00734A96">
        <w:rPr>
          <w:rFonts w:asciiTheme="majorHAnsi" w:eastAsia="SimSun" w:hAnsiTheme="majorHAnsi"/>
          <w:szCs w:val="22"/>
          <w:lang w:val="sq-AL"/>
        </w:rPr>
        <w:t>Performanca pozitive krahasuar me planin ku vlen të theksohet rritja e volumit te importeve shoqëruar me rritjen së çmimeve të mallrave në tregjet ndërkombetare çka ndikon pozitivisht në të ardhura nga veprimtaria doganore</w:t>
      </w:r>
      <w:r w:rsidR="002464D3" w:rsidRPr="00DB6854">
        <w:rPr>
          <w:rFonts w:asciiTheme="majorHAnsi" w:hAnsiTheme="majorHAnsi" w:cs="Calibri"/>
          <w:noProof/>
          <w:lang w:val="sq-AL"/>
        </w:rPr>
        <w:t>.</w:t>
      </w:r>
    </w:p>
    <w:p w:rsidR="00C16FCE" w:rsidRPr="00C16FCE" w:rsidRDefault="00C16FCE" w:rsidP="00FC729E">
      <w:pPr>
        <w:spacing w:before="0"/>
        <w:rPr>
          <w:rFonts w:cs="Calibri"/>
          <w:noProof/>
          <w:sz w:val="8"/>
          <w:szCs w:val="8"/>
          <w:lang w:val="sq-AL"/>
        </w:rPr>
      </w:pPr>
    </w:p>
    <w:p w:rsidR="00A06CDF" w:rsidRPr="00476D2E" w:rsidRDefault="00A06CDF" w:rsidP="00FC729E">
      <w:pPr>
        <w:pStyle w:val="Caption"/>
        <w:keepNext/>
        <w:spacing w:before="0" w:after="0"/>
        <w:rPr>
          <w:rFonts w:cs="Calibri"/>
          <w:lang w:val="sq-AL"/>
        </w:rPr>
      </w:pPr>
      <w:bookmarkStart w:id="89" w:name="_Toc136526457"/>
      <w:r w:rsidRPr="00476D2E">
        <w:rPr>
          <w:rFonts w:cs="Calibri"/>
          <w:lang w:val="sq-AL"/>
        </w:rPr>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12</w:t>
      </w:r>
      <w:r w:rsidR="00C87F41" w:rsidRPr="00476D2E">
        <w:rPr>
          <w:rFonts w:cs="Calibri"/>
          <w:noProof/>
          <w:lang w:val="sq-AL"/>
        </w:rPr>
        <w:fldChar w:fldCharType="end"/>
      </w:r>
      <w:r w:rsidRPr="00476D2E">
        <w:rPr>
          <w:rFonts w:cs="Calibri"/>
          <w:lang w:val="sq-AL"/>
        </w:rPr>
        <w:t xml:space="preserve"> T</w:t>
      </w:r>
      <w:r w:rsidR="00C33B16" w:rsidRPr="00476D2E">
        <w:rPr>
          <w:rFonts w:cs="Calibri"/>
          <w:lang w:val="sq-AL"/>
        </w:rPr>
        <w:t>ë</w:t>
      </w:r>
      <w:r w:rsidRPr="00476D2E">
        <w:rPr>
          <w:rFonts w:cs="Calibri"/>
          <w:lang w:val="sq-AL"/>
        </w:rPr>
        <w:t xml:space="preserve"> ardhurat doganore, </w:t>
      </w:r>
      <w:r w:rsidR="001916CC" w:rsidRPr="00476D2E">
        <w:rPr>
          <w:rFonts w:cs="Calibri"/>
          <w:lang w:val="sq-AL"/>
        </w:rPr>
        <w:t>r</w:t>
      </w:r>
      <w:r w:rsidR="00DB6854">
        <w:rPr>
          <w:rFonts w:cs="Calibri"/>
          <w:lang w:val="sq-AL"/>
        </w:rPr>
        <w:t>ritja</w:t>
      </w:r>
      <w:r w:rsidR="001916CC" w:rsidRPr="00476D2E">
        <w:rPr>
          <w:rFonts w:cs="Calibri"/>
          <w:lang w:val="sq-AL"/>
        </w:rPr>
        <w:t xml:space="preserve"> </w:t>
      </w:r>
      <w:r w:rsidR="00551EC1" w:rsidRPr="00476D2E">
        <w:rPr>
          <w:rFonts w:cs="Calibri"/>
          <w:lang w:val="sq-AL"/>
        </w:rPr>
        <w:t xml:space="preserve">vjetore </w:t>
      </w:r>
      <w:r w:rsidRPr="00476D2E">
        <w:rPr>
          <w:rFonts w:cs="Calibri"/>
          <w:lang w:val="sq-AL"/>
        </w:rPr>
        <w:t xml:space="preserve">sipas </w:t>
      </w:r>
      <w:r w:rsidR="00551EC1" w:rsidRPr="00476D2E">
        <w:rPr>
          <w:rFonts w:cs="Calibri"/>
          <w:lang w:val="sq-AL"/>
        </w:rPr>
        <w:t>llojit t</w:t>
      </w:r>
      <w:r w:rsidR="00086626" w:rsidRPr="00476D2E">
        <w:rPr>
          <w:rFonts w:cs="Calibri"/>
          <w:lang w:val="sq-AL"/>
        </w:rPr>
        <w:t>ë</w:t>
      </w:r>
      <w:r w:rsidR="00551EC1" w:rsidRPr="00476D2E">
        <w:rPr>
          <w:rFonts w:cs="Calibri"/>
          <w:lang w:val="sq-AL"/>
        </w:rPr>
        <w:t xml:space="preserve"> taksave 202</w:t>
      </w:r>
      <w:r w:rsidR="00DB6854">
        <w:rPr>
          <w:rFonts w:cs="Calibri"/>
          <w:lang w:val="sq-AL"/>
        </w:rPr>
        <w:t>2</w:t>
      </w:r>
      <w:r w:rsidR="00551EC1" w:rsidRPr="00476D2E">
        <w:rPr>
          <w:rFonts w:cs="Calibri"/>
          <w:lang w:val="sq-AL"/>
        </w:rPr>
        <w:t xml:space="preserve"> - 20</w:t>
      </w:r>
      <w:r w:rsidR="00D76212">
        <w:rPr>
          <w:rFonts w:cs="Calibri"/>
          <w:lang w:val="sq-AL"/>
        </w:rPr>
        <w:t>2</w:t>
      </w:r>
      <w:r w:rsidR="00DB6854">
        <w:rPr>
          <w:rFonts w:cs="Calibri"/>
          <w:lang w:val="sq-AL"/>
        </w:rPr>
        <w:t>1</w:t>
      </w:r>
      <w:r w:rsidR="00551EC1" w:rsidRPr="00476D2E">
        <w:rPr>
          <w:rFonts w:cs="Calibri"/>
          <w:lang w:val="sq-AL"/>
        </w:rPr>
        <w:t xml:space="preserve"> </w:t>
      </w:r>
      <w:r w:rsidRPr="00476D2E">
        <w:rPr>
          <w:rFonts w:cs="Calibri"/>
          <w:lang w:val="sq-AL"/>
        </w:rPr>
        <w:t>(n</w:t>
      </w:r>
      <w:r w:rsidR="00C33B16" w:rsidRPr="00476D2E">
        <w:rPr>
          <w:rFonts w:cs="Calibri"/>
          <w:lang w:val="sq-AL"/>
        </w:rPr>
        <w:t>ë</w:t>
      </w:r>
      <w:r w:rsidRPr="00476D2E">
        <w:rPr>
          <w:rFonts w:cs="Calibri"/>
          <w:lang w:val="sq-AL"/>
        </w:rPr>
        <w:t xml:space="preserve"> milion</w:t>
      </w:r>
      <w:r w:rsidR="00C33B16" w:rsidRPr="00476D2E">
        <w:rPr>
          <w:rFonts w:cs="Calibri"/>
          <w:lang w:val="sq-AL"/>
        </w:rPr>
        <w:t>ë</w:t>
      </w:r>
      <w:r w:rsidRPr="00476D2E">
        <w:rPr>
          <w:rFonts w:cs="Calibri"/>
          <w:lang w:val="sq-AL"/>
        </w:rPr>
        <w:t xml:space="preserve"> lek</w:t>
      </w:r>
      <w:r w:rsidR="00C33B16" w:rsidRPr="00476D2E">
        <w:rPr>
          <w:rFonts w:cs="Calibri"/>
          <w:lang w:val="sq-AL"/>
        </w:rPr>
        <w:t>ë</w:t>
      </w:r>
      <w:r w:rsidRPr="00476D2E">
        <w:rPr>
          <w:rFonts w:cs="Calibri"/>
          <w:lang w:val="sq-AL"/>
        </w:rPr>
        <w:t>)</w:t>
      </w:r>
      <w:bookmarkEnd w:id="89"/>
    </w:p>
    <w:p w:rsidR="006D2CC4" w:rsidRPr="00476D2E" w:rsidRDefault="00DB6854" w:rsidP="00FC729E">
      <w:pPr>
        <w:spacing w:before="0"/>
        <w:jc w:val="center"/>
        <w:rPr>
          <w:rFonts w:cs="Calibri"/>
          <w:i/>
          <w:noProof/>
          <w:sz w:val="20"/>
          <w:lang w:val="sq-AL"/>
        </w:rPr>
      </w:pPr>
      <w:r w:rsidRPr="00734A96">
        <w:rPr>
          <w:rFonts w:cs="Calibri"/>
          <w:noProof/>
        </w:rPr>
        <w:drawing>
          <wp:inline distT="0" distB="0" distL="0" distR="0" wp14:anchorId="633F56D0" wp14:editId="0FF25EAE">
            <wp:extent cx="5949315" cy="1647092"/>
            <wp:effectExtent l="0" t="0" r="13335" b="10795"/>
            <wp:docPr id="55" name="Chart 55">
              <a:extLst xmlns:a="http://schemas.openxmlformats.org/drawingml/2006/main">
                <a:ext uri="{FF2B5EF4-FFF2-40B4-BE49-F238E27FC236}">
                  <a16:creationId xmlns:a16="http://schemas.microsoft.com/office/drawing/2014/main" id="{A3CECA93-E5D4-4868-95B4-864FFD340C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6D2CC4" w:rsidRPr="00476D2E" w:rsidRDefault="00153CD6" w:rsidP="00153CD6">
      <w:pPr>
        <w:spacing w:before="0" w:line="360" w:lineRule="auto"/>
        <w:ind w:firstLine="720"/>
        <w:rPr>
          <w:rFonts w:cs="Calibri"/>
          <w:i/>
          <w:sz w:val="18"/>
          <w:szCs w:val="18"/>
          <w:lang w:val="sq-AL"/>
        </w:rPr>
      </w:pPr>
      <w:r>
        <w:rPr>
          <w:rFonts w:cs="Calibri"/>
          <w:i/>
          <w:sz w:val="18"/>
          <w:szCs w:val="18"/>
          <w:lang w:val="sq-AL"/>
        </w:rPr>
        <w:t>Burimi: Ministria e Financave dhe Ekonomisë (2023)</w:t>
      </w:r>
    </w:p>
    <w:p w:rsidR="006C653F" w:rsidRPr="00476D2E" w:rsidRDefault="00F04A00" w:rsidP="00FC729E">
      <w:pPr>
        <w:spacing w:before="240"/>
        <w:rPr>
          <w:rFonts w:cs="Calibri"/>
          <w:noProof/>
          <w:lang w:val="sq-AL"/>
        </w:rPr>
      </w:pPr>
      <w:r w:rsidRPr="00476D2E">
        <w:rPr>
          <w:rFonts w:cs="Calibri"/>
          <w:lang w:val="sq-AL"/>
        </w:rPr>
        <w:t xml:space="preserve">Të ardhurat nga </w:t>
      </w:r>
      <w:r w:rsidRPr="00476D2E">
        <w:rPr>
          <w:rFonts w:cs="Calibri"/>
          <w:b/>
          <w:bCs/>
          <w:lang w:val="sq-AL"/>
        </w:rPr>
        <w:t>Administrata tatimore</w:t>
      </w:r>
      <w:r w:rsidRPr="00476D2E">
        <w:rPr>
          <w:rFonts w:cs="Calibri"/>
          <w:lang w:val="sq-AL"/>
        </w:rPr>
        <w:t xml:space="preserve"> </w:t>
      </w:r>
      <w:r w:rsidR="00DB6854" w:rsidRPr="00734A96">
        <w:rPr>
          <w:rFonts w:cs="Calibri"/>
          <w:lang w:val="sq-AL"/>
        </w:rPr>
        <w:t xml:space="preserve">(përfshirë kontributet) rezultojnë 286.3 miliardë lekë nga 251.5 miliardë lekë të një viti më parë, me një rritje vjetore prej 13.8 </w:t>
      </w:r>
      <w:r w:rsidR="00FC729E">
        <w:rPr>
          <w:rFonts w:cs="Calibri"/>
          <w:lang w:val="sq-AL"/>
        </w:rPr>
        <w:t>%</w:t>
      </w:r>
      <w:r w:rsidR="00DB6854" w:rsidRPr="00734A96">
        <w:rPr>
          <w:rFonts w:cs="Calibri"/>
          <w:lang w:val="sq-AL"/>
        </w:rPr>
        <w:t xml:space="preserve"> ose 34.8 miliardë lekë më shum</w:t>
      </w:r>
      <w:r w:rsidR="00DB6854" w:rsidRPr="00734A96">
        <w:rPr>
          <w:rFonts w:ascii="Times New Roman" w:hAnsi="Times New Roman"/>
          <w:lang w:val="sq-AL"/>
        </w:rPr>
        <w:t>ë</w:t>
      </w:r>
      <w:r w:rsidR="00DB6854" w:rsidRPr="00734A96">
        <w:rPr>
          <w:rFonts w:cs="Calibri"/>
          <w:lang w:val="sq-AL"/>
        </w:rPr>
        <w:t>. Të ardhurat nga kontributet e sigurimeve shoqërore dhe shëndetësore të mbledhura nga DPT kanë pësuar rritje në bazë vjetore, prej 12.2 miliardë lekësh. Krahasuar me të dhënat e një viti më parë të gjitha llojet e të ardhurave tatimore kanë pasur një tendencë në rritje, në krahasim me buxhetin fillestar 2022 si dhe me realizimin e një viti më parë</w:t>
      </w:r>
      <w:r w:rsidR="006C653F" w:rsidRPr="00476D2E">
        <w:rPr>
          <w:rFonts w:cs="Calibri"/>
          <w:noProof/>
          <w:lang w:val="sq-AL"/>
        </w:rPr>
        <w:t xml:space="preserve">. </w:t>
      </w:r>
    </w:p>
    <w:p w:rsidR="00450CD8" w:rsidRPr="00476D2E" w:rsidRDefault="00450CD8" w:rsidP="00FC729E">
      <w:pPr>
        <w:pStyle w:val="Caption"/>
        <w:keepNext/>
        <w:spacing w:before="240" w:after="0"/>
        <w:rPr>
          <w:rFonts w:cs="Calibri"/>
          <w:lang w:val="sq-AL"/>
        </w:rPr>
      </w:pPr>
      <w:bookmarkStart w:id="90" w:name="_Toc136526458"/>
      <w:r w:rsidRPr="00476D2E">
        <w:rPr>
          <w:rFonts w:cs="Calibri"/>
          <w:lang w:val="sq-AL"/>
        </w:rPr>
        <w:lastRenderedPageBreak/>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13</w:t>
      </w:r>
      <w:r w:rsidR="00C87F41" w:rsidRPr="00476D2E">
        <w:rPr>
          <w:rFonts w:cs="Calibri"/>
          <w:noProof/>
          <w:lang w:val="sq-AL"/>
        </w:rPr>
        <w:fldChar w:fldCharType="end"/>
      </w:r>
      <w:r w:rsidRPr="00476D2E">
        <w:rPr>
          <w:rFonts w:cs="Calibri"/>
          <w:lang w:val="sq-AL"/>
        </w:rPr>
        <w:t xml:space="preserve"> T</w:t>
      </w:r>
      <w:r w:rsidR="00C33B16" w:rsidRPr="00476D2E">
        <w:rPr>
          <w:rFonts w:cs="Calibri"/>
          <w:lang w:val="sq-AL"/>
        </w:rPr>
        <w:t>ë</w:t>
      </w:r>
      <w:r w:rsidRPr="00476D2E">
        <w:rPr>
          <w:rFonts w:cs="Calibri"/>
          <w:lang w:val="sq-AL"/>
        </w:rPr>
        <w:t xml:space="preserve"> ardhurat tatimore, </w:t>
      </w:r>
      <w:r w:rsidR="00AC51AD" w:rsidRPr="00476D2E">
        <w:rPr>
          <w:rFonts w:cs="Calibri"/>
          <w:lang w:val="sq-AL"/>
        </w:rPr>
        <w:t>r</w:t>
      </w:r>
      <w:r w:rsidR="00DB6854">
        <w:rPr>
          <w:rFonts w:cs="Calibri"/>
          <w:lang w:val="sq-AL"/>
        </w:rPr>
        <w:t>ritja</w:t>
      </w:r>
      <w:r w:rsidR="00AC51AD" w:rsidRPr="00476D2E">
        <w:rPr>
          <w:rFonts w:cs="Calibri"/>
          <w:lang w:val="sq-AL"/>
        </w:rPr>
        <w:t xml:space="preserve"> vjetore </w:t>
      </w:r>
      <w:r w:rsidRPr="00476D2E">
        <w:rPr>
          <w:rFonts w:cs="Calibri"/>
          <w:lang w:val="sq-AL"/>
        </w:rPr>
        <w:t xml:space="preserve">sipas </w:t>
      </w:r>
      <w:r w:rsidR="00AC51AD" w:rsidRPr="00476D2E">
        <w:rPr>
          <w:rFonts w:cs="Calibri"/>
          <w:lang w:val="sq-AL"/>
        </w:rPr>
        <w:t>llojit t</w:t>
      </w:r>
      <w:r w:rsidR="00C33B16" w:rsidRPr="00476D2E">
        <w:rPr>
          <w:rFonts w:cs="Calibri"/>
          <w:lang w:val="sq-AL"/>
        </w:rPr>
        <w:t>ë</w:t>
      </w:r>
      <w:r w:rsidRPr="00476D2E">
        <w:rPr>
          <w:rFonts w:cs="Calibri"/>
          <w:lang w:val="sq-AL"/>
        </w:rPr>
        <w:t xml:space="preserve"> taksave (n</w:t>
      </w:r>
      <w:r w:rsidR="00C33B16" w:rsidRPr="00476D2E">
        <w:rPr>
          <w:rFonts w:cs="Calibri"/>
          <w:lang w:val="sq-AL"/>
        </w:rPr>
        <w:t>ë</w:t>
      </w:r>
      <w:r w:rsidRPr="00476D2E">
        <w:rPr>
          <w:rFonts w:cs="Calibri"/>
          <w:lang w:val="sq-AL"/>
        </w:rPr>
        <w:t xml:space="preserve"> milion</w:t>
      </w:r>
      <w:r w:rsidR="00C33B16" w:rsidRPr="00476D2E">
        <w:rPr>
          <w:rFonts w:cs="Calibri"/>
          <w:lang w:val="sq-AL"/>
        </w:rPr>
        <w:t>ë</w:t>
      </w:r>
      <w:r w:rsidRPr="00476D2E">
        <w:rPr>
          <w:rFonts w:cs="Calibri"/>
          <w:lang w:val="sq-AL"/>
        </w:rPr>
        <w:t xml:space="preserve"> lek</w:t>
      </w:r>
      <w:r w:rsidR="00C33B16" w:rsidRPr="00476D2E">
        <w:rPr>
          <w:rFonts w:cs="Calibri"/>
          <w:lang w:val="sq-AL"/>
        </w:rPr>
        <w:t>ë</w:t>
      </w:r>
      <w:r w:rsidRPr="00476D2E">
        <w:rPr>
          <w:rFonts w:cs="Calibri"/>
          <w:lang w:val="sq-AL"/>
        </w:rPr>
        <w:t>)</w:t>
      </w:r>
      <w:bookmarkEnd w:id="90"/>
    </w:p>
    <w:p w:rsidR="006D2CC4" w:rsidRPr="00476D2E" w:rsidRDefault="00DB6854" w:rsidP="00FC729E">
      <w:pPr>
        <w:spacing w:before="0"/>
        <w:jc w:val="center"/>
        <w:rPr>
          <w:rFonts w:cs="Calibri"/>
          <w:noProof/>
          <w:lang w:val="sq-AL"/>
        </w:rPr>
      </w:pPr>
      <w:r w:rsidRPr="00734A96">
        <w:rPr>
          <w:noProof/>
        </w:rPr>
        <w:drawing>
          <wp:inline distT="0" distB="0" distL="0" distR="0" wp14:anchorId="6026E903" wp14:editId="4FC613F2">
            <wp:extent cx="6641465" cy="1412630"/>
            <wp:effectExtent l="0" t="0" r="6985" b="16510"/>
            <wp:docPr id="41" name="Chart 41">
              <a:extLst xmlns:a="http://schemas.openxmlformats.org/drawingml/2006/main">
                <a:ext uri="{FF2B5EF4-FFF2-40B4-BE49-F238E27FC236}">
                  <a16:creationId xmlns:a16="http://schemas.microsoft.com/office/drawing/2014/main" id="{00000000-0008-0000-0000-00001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D2CC4" w:rsidRPr="00476D2E" w:rsidRDefault="00153CD6" w:rsidP="00153CD6">
      <w:pPr>
        <w:spacing w:before="0" w:line="360" w:lineRule="auto"/>
        <w:ind w:firstLine="720"/>
        <w:rPr>
          <w:rFonts w:cs="Calibri"/>
          <w:i/>
          <w:sz w:val="18"/>
          <w:szCs w:val="18"/>
          <w:lang w:val="sq-AL"/>
        </w:rPr>
      </w:pPr>
      <w:r>
        <w:rPr>
          <w:rFonts w:cs="Calibri"/>
          <w:i/>
          <w:sz w:val="18"/>
          <w:szCs w:val="18"/>
          <w:lang w:val="sq-AL"/>
        </w:rPr>
        <w:t>Burimi: Ministria e Financave dhe Ekonomisë (2023)</w:t>
      </w:r>
    </w:p>
    <w:p w:rsidR="002464D3" w:rsidRPr="00476D2E" w:rsidRDefault="00F04A00" w:rsidP="00FC729E">
      <w:pPr>
        <w:spacing w:before="240"/>
        <w:rPr>
          <w:rFonts w:cs="Calibri"/>
          <w:lang w:val="sq-AL"/>
        </w:rPr>
      </w:pPr>
      <w:r w:rsidRPr="00A51A92">
        <w:rPr>
          <w:rFonts w:cs="Calibri"/>
          <w:lang w:val="sq-AL"/>
        </w:rPr>
        <w:t xml:space="preserve">Nga të dhënat për 12-mujorin </w:t>
      </w:r>
      <w:r w:rsidR="00DB6854" w:rsidRPr="00734A96">
        <w:rPr>
          <w:rFonts w:cs="Calibri"/>
          <w:lang w:val="sq-AL"/>
        </w:rPr>
        <w:t xml:space="preserve">2022, lidhur me kontributin e sektorëve të ekonomisë në totalin e të ardhurave nga administrata tatimore rezulton se peshën kryesore e zë sektori i “Shërbimit” përkatësisht me 32 </w:t>
      </w:r>
      <w:r w:rsidR="00FC729E">
        <w:rPr>
          <w:rFonts w:cs="Calibri"/>
          <w:lang w:val="sq-AL"/>
        </w:rPr>
        <w:t>%</w:t>
      </w:r>
      <w:r w:rsidR="00DB6854" w:rsidRPr="00734A96">
        <w:rPr>
          <w:rFonts w:cs="Calibri"/>
          <w:lang w:val="sq-AL"/>
        </w:rPr>
        <w:t xml:space="preserve">, sektori i “Tregtisë” përkatësisht 30 </w:t>
      </w:r>
      <w:r w:rsidR="00FC729E">
        <w:rPr>
          <w:rFonts w:cs="Calibri"/>
          <w:lang w:val="sq-AL"/>
        </w:rPr>
        <w:t>%</w:t>
      </w:r>
      <w:r w:rsidR="00DB6854" w:rsidRPr="00734A96">
        <w:rPr>
          <w:rFonts w:cs="Calibri"/>
          <w:lang w:val="sq-AL"/>
        </w:rPr>
        <w:t xml:space="preserve"> dhe sektori i “Prodhimit” përkatësisht me 21 </w:t>
      </w:r>
      <w:r w:rsidR="00FC729E">
        <w:rPr>
          <w:rFonts w:cs="Calibri"/>
          <w:lang w:val="sq-AL"/>
        </w:rPr>
        <w:t>%</w:t>
      </w:r>
      <w:r w:rsidR="002464D3" w:rsidRPr="00476D2E">
        <w:rPr>
          <w:rFonts w:cs="Calibri"/>
          <w:lang w:val="sq-AL"/>
        </w:rPr>
        <w:t xml:space="preserve">. </w:t>
      </w:r>
    </w:p>
    <w:p w:rsidR="00450CD8" w:rsidRPr="00476D2E" w:rsidRDefault="00450CD8" w:rsidP="00FC729E">
      <w:pPr>
        <w:pStyle w:val="Caption"/>
        <w:keepNext/>
        <w:spacing w:after="0"/>
        <w:rPr>
          <w:rFonts w:cs="Calibri"/>
          <w:lang w:val="sq-AL"/>
        </w:rPr>
      </w:pPr>
      <w:bookmarkStart w:id="91" w:name="_Toc136526459"/>
      <w:r w:rsidRPr="00476D2E">
        <w:rPr>
          <w:rFonts w:cs="Calibri"/>
          <w:lang w:val="sq-AL"/>
        </w:rPr>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14</w:t>
      </w:r>
      <w:r w:rsidR="00C87F41" w:rsidRPr="00476D2E">
        <w:rPr>
          <w:rFonts w:cs="Calibri"/>
          <w:noProof/>
          <w:lang w:val="sq-AL"/>
        </w:rPr>
        <w:fldChar w:fldCharType="end"/>
      </w:r>
      <w:r w:rsidRPr="00476D2E">
        <w:rPr>
          <w:rFonts w:cs="Calibri"/>
          <w:lang w:val="sq-AL"/>
        </w:rPr>
        <w:t xml:space="preserve"> T</w:t>
      </w:r>
      <w:r w:rsidR="00C33B16" w:rsidRPr="00476D2E">
        <w:rPr>
          <w:rFonts w:cs="Calibri"/>
          <w:lang w:val="sq-AL"/>
        </w:rPr>
        <w:t>ë</w:t>
      </w:r>
      <w:r w:rsidRPr="00476D2E">
        <w:rPr>
          <w:rFonts w:cs="Calibri"/>
          <w:lang w:val="sq-AL"/>
        </w:rPr>
        <w:t xml:space="preserve"> ardhurat tatimore, sipas sektor</w:t>
      </w:r>
      <w:r w:rsidR="00C33B16" w:rsidRPr="00476D2E">
        <w:rPr>
          <w:rFonts w:cs="Calibri"/>
          <w:lang w:val="sq-AL"/>
        </w:rPr>
        <w:t>ë</w:t>
      </w:r>
      <w:r w:rsidRPr="00476D2E">
        <w:rPr>
          <w:rFonts w:cs="Calibri"/>
          <w:lang w:val="sq-AL"/>
        </w:rPr>
        <w:t>ve (n</w:t>
      </w:r>
      <w:r w:rsidR="00C33B16" w:rsidRPr="00476D2E">
        <w:rPr>
          <w:rFonts w:cs="Calibri"/>
          <w:lang w:val="sq-AL"/>
        </w:rPr>
        <w:t>ë</w:t>
      </w:r>
      <w:r w:rsidRPr="00476D2E">
        <w:rPr>
          <w:rFonts w:cs="Calibri"/>
          <w:lang w:val="sq-AL"/>
        </w:rPr>
        <w:t xml:space="preserve"> %)</w:t>
      </w:r>
      <w:bookmarkEnd w:id="91"/>
    </w:p>
    <w:p w:rsidR="001F28BA" w:rsidRPr="00476D2E" w:rsidRDefault="00FC729E" w:rsidP="00FC729E">
      <w:pPr>
        <w:spacing w:before="0"/>
        <w:jc w:val="center"/>
        <w:rPr>
          <w:rFonts w:cs="Calibri"/>
          <w:i/>
          <w:sz w:val="18"/>
          <w:szCs w:val="18"/>
          <w:lang w:val="sq-AL"/>
        </w:rPr>
      </w:pPr>
      <w:r w:rsidRPr="00734A96">
        <w:rPr>
          <w:rFonts w:cs="Calibri"/>
          <w:noProof/>
        </w:rPr>
        <w:drawing>
          <wp:inline distT="0" distB="0" distL="0" distR="0" wp14:anchorId="7CF80E6A" wp14:editId="534E011A">
            <wp:extent cx="5656287" cy="2151184"/>
            <wp:effectExtent l="0" t="0" r="1905" b="19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6D2CC4" w:rsidRDefault="00153CD6" w:rsidP="00153CD6">
      <w:pPr>
        <w:spacing w:before="0" w:line="360" w:lineRule="auto"/>
        <w:ind w:firstLine="720"/>
        <w:rPr>
          <w:rFonts w:cs="Calibri"/>
          <w:i/>
          <w:sz w:val="18"/>
          <w:szCs w:val="18"/>
          <w:lang w:val="sq-AL"/>
        </w:rPr>
      </w:pPr>
      <w:r>
        <w:rPr>
          <w:rFonts w:cs="Calibri"/>
          <w:i/>
          <w:sz w:val="18"/>
          <w:szCs w:val="18"/>
          <w:lang w:val="sq-AL"/>
        </w:rPr>
        <w:t>Burimi: Ministria e Financave dhe Ekonomisë (2023)</w:t>
      </w:r>
    </w:p>
    <w:p w:rsidR="00F04A00" w:rsidRDefault="00F04A00" w:rsidP="00FC729E">
      <w:pPr>
        <w:spacing w:before="0"/>
        <w:rPr>
          <w:rFonts w:cs="Calibri"/>
          <w:i/>
          <w:sz w:val="18"/>
          <w:szCs w:val="18"/>
          <w:lang w:val="sq-AL"/>
        </w:rPr>
      </w:pPr>
    </w:p>
    <w:p w:rsidR="00F04A00" w:rsidRDefault="00F04A00" w:rsidP="00FC729E">
      <w:pPr>
        <w:spacing w:before="0"/>
        <w:rPr>
          <w:rFonts w:cs="Calibri"/>
          <w:i/>
          <w:sz w:val="18"/>
          <w:szCs w:val="18"/>
          <w:lang w:val="sq-AL"/>
        </w:rPr>
      </w:pPr>
    </w:p>
    <w:p w:rsidR="008F59CB" w:rsidRPr="00476D2E" w:rsidRDefault="008F59CB" w:rsidP="00FC729E">
      <w:pPr>
        <w:spacing w:before="0"/>
        <w:rPr>
          <w:rFonts w:cs="Calibri"/>
          <w:i/>
          <w:sz w:val="18"/>
          <w:szCs w:val="18"/>
          <w:lang w:val="sq-AL"/>
        </w:rPr>
      </w:pPr>
    </w:p>
    <w:p w:rsidR="006D2CC4" w:rsidRDefault="006D2CC4" w:rsidP="00FC729E">
      <w:pPr>
        <w:pStyle w:val="Fiskale2"/>
        <w:rPr>
          <w:rFonts w:ascii="Calibri" w:hAnsi="Calibri" w:cs="Calibri"/>
        </w:rPr>
      </w:pPr>
      <w:bookmarkStart w:id="92" w:name="_Toc10033274"/>
      <w:bookmarkStart w:id="93" w:name="_Toc10721411"/>
      <w:bookmarkStart w:id="94" w:name="_Toc104980329"/>
      <w:r w:rsidRPr="00476D2E">
        <w:rPr>
          <w:rFonts w:ascii="Calibri" w:hAnsi="Calibri" w:cs="Calibri"/>
        </w:rPr>
        <w:t>Të ardhurat sipas taksave, tatimeve dhe burimeve të tjera</w:t>
      </w:r>
      <w:bookmarkEnd w:id="92"/>
      <w:bookmarkEnd w:id="93"/>
      <w:bookmarkEnd w:id="94"/>
    </w:p>
    <w:p w:rsidR="00F04A00" w:rsidRPr="00F04A00" w:rsidRDefault="00F04A00" w:rsidP="00FC729E">
      <w:pPr>
        <w:pStyle w:val="Fiskale2"/>
        <w:numPr>
          <w:ilvl w:val="0"/>
          <w:numId w:val="0"/>
        </w:numPr>
        <w:ind w:left="720" w:hanging="360"/>
        <w:rPr>
          <w:rFonts w:ascii="Calibri" w:hAnsi="Calibri" w:cs="Calibri"/>
          <w:sz w:val="8"/>
          <w:szCs w:val="8"/>
        </w:rPr>
      </w:pPr>
    </w:p>
    <w:p w:rsidR="006D2CC4" w:rsidRPr="00476D2E" w:rsidRDefault="006D2CC4" w:rsidP="00FC729E">
      <w:pPr>
        <w:pStyle w:val="fiskale3"/>
        <w:rPr>
          <w:rFonts w:ascii="Calibri" w:hAnsi="Calibri" w:cs="Calibri"/>
        </w:rPr>
      </w:pPr>
      <w:bookmarkStart w:id="95" w:name="_Toc10033275"/>
      <w:bookmarkStart w:id="96" w:name="_Toc10721412"/>
      <w:bookmarkStart w:id="97" w:name="_Toc104980330"/>
      <w:r w:rsidRPr="00476D2E">
        <w:rPr>
          <w:rFonts w:ascii="Calibri" w:hAnsi="Calibri" w:cs="Calibri"/>
        </w:rPr>
        <w:t>Taksimi Indirekt</w:t>
      </w:r>
      <w:bookmarkEnd w:id="95"/>
      <w:bookmarkEnd w:id="96"/>
      <w:bookmarkEnd w:id="97"/>
    </w:p>
    <w:p w:rsidR="006D2CC4" w:rsidRPr="00476D2E" w:rsidRDefault="006D2CC4" w:rsidP="00FC729E">
      <w:pPr>
        <w:pStyle w:val="ListParagraph"/>
        <w:numPr>
          <w:ilvl w:val="0"/>
          <w:numId w:val="1"/>
        </w:numPr>
        <w:ind w:left="990" w:hanging="270"/>
        <w:rPr>
          <w:rFonts w:cs="Calibri"/>
          <w:i/>
          <w:noProof/>
          <w:u w:val="single"/>
          <w:lang w:val="sq-AL"/>
        </w:rPr>
      </w:pPr>
      <w:r w:rsidRPr="00476D2E">
        <w:rPr>
          <w:rFonts w:cs="Calibri"/>
          <w:i/>
          <w:noProof/>
          <w:u w:val="single"/>
          <w:lang w:val="sq-AL"/>
        </w:rPr>
        <w:t xml:space="preserve">Tatimi mbi </w:t>
      </w:r>
      <w:r w:rsidR="00AC51AD" w:rsidRPr="00476D2E">
        <w:rPr>
          <w:rFonts w:cs="Calibri"/>
          <w:i/>
          <w:noProof/>
          <w:u w:val="single"/>
          <w:lang w:val="sq-AL"/>
        </w:rPr>
        <w:t>v</w:t>
      </w:r>
      <w:r w:rsidRPr="00476D2E">
        <w:rPr>
          <w:rFonts w:cs="Calibri"/>
          <w:i/>
          <w:noProof/>
          <w:u w:val="single"/>
          <w:lang w:val="sq-AL"/>
        </w:rPr>
        <w:t xml:space="preserve">lerën e </w:t>
      </w:r>
      <w:r w:rsidR="00AC51AD" w:rsidRPr="00476D2E">
        <w:rPr>
          <w:rFonts w:cs="Calibri"/>
          <w:i/>
          <w:noProof/>
          <w:u w:val="single"/>
          <w:lang w:val="sq-AL"/>
        </w:rPr>
        <w:t>shtuar (TVSH)</w:t>
      </w:r>
    </w:p>
    <w:p w:rsidR="00DF0EA3" w:rsidRPr="008E5580" w:rsidRDefault="00FC729E" w:rsidP="00FC729E">
      <w:pPr>
        <w:spacing w:before="0"/>
        <w:rPr>
          <w:rFonts w:asciiTheme="majorHAnsi" w:hAnsiTheme="majorHAnsi" w:cstheme="majorHAnsi"/>
          <w:lang w:val="sq-AL"/>
        </w:rPr>
      </w:pPr>
      <w:r w:rsidRPr="00734A96">
        <w:rPr>
          <w:rFonts w:asciiTheme="majorHAnsi" w:hAnsiTheme="majorHAnsi" w:cstheme="majorHAnsi"/>
          <w:lang w:val="sq-AL"/>
        </w:rPr>
        <w:t xml:space="preserve">Të ardhurat nga T.V.SH janë 191.4 miliardë lekë në vitin 2022, duke zënë sërish peshë të rëndësishme në të ardhurat buxhetore: 9 </w:t>
      </w:r>
      <w:r>
        <w:rPr>
          <w:rFonts w:asciiTheme="majorHAnsi" w:hAnsiTheme="majorHAnsi" w:cstheme="majorHAnsi"/>
          <w:lang w:val="sq-AL"/>
        </w:rPr>
        <w:t>%</w:t>
      </w:r>
      <w:r w:rsidRPr="00734A96">
        <w:rPr>
          <w:rFonts w:asciiTheme="majorHAnsi" w:hAnsiTheme="majorHAnsi" w:cstheme="majorHAnsi"/>
          <w:lang w:val="sq-AL"/>
        </w:rPr>
        <w:t xml:space="preserve"> të Produktit të Brendshëm Bruto ose 49 </w:t>
      </w:r>
      <w:r>
        <w:rPr>
          <w:rFonts w:asciiTheme="majorHAnsi" w:hAnsiTheme="majorHAnsi" w:cstheme="majorHAnsi"/>
          <w:lang w:val="sq-AL"/>
        </w:rPr>
        <w:t>%</w:t>
      </w:r>
      <w:r w:rsidRPr="00734A96">
        <w:rPr>
          <w:rFonts w:asciiTheme="majorHAnsi" w:hAnsiTheme="majorHAnsi" w:cstheme="majorHAnsi"/>
          <w:lang w:val="sq-AL"/>
        </w:rPr>
        <w:t xml:space="preserve"> e totalit të të ardhurave nda tatime dhe dogana. Pesha e të ardhurave nga TVSH ndaj të ardhurave tatimore gjithsej në 2022 është 35.4% e totalit. Krahasuar me vitin 2021 te ardhurat nga tvsh janë 18.5 </w:t>
      </w:r>
      <w:r>
        <w:rPr>
          <w:rFonts w:asciiTheme="majorHAnsi" w:hAnsiTheme="majorHAnsi" w:cstheme="majorHAnsi"/>
          <w:lang w:val="sq-AL"/>
        </w:rPr>
        <w:t>%</w:t>
      </w:r>
      <w:r w:rsidRPr="00734A96">
        <w:rPr>
          <w:rFonts w:asciiTheme="majorHAnsi" w:hAnsiTheme="majorHAnsi" w:cstheme="majorHAnsi"/>
          <w:lang w:val="sq-AL"/>
        </w:rPr>
        <w:t xml:space="preserve"> ose 29.9 miliardë lekë më shumë. Të ardhurat e mbledhura nga TVSH në import u realizuan në nivelin 156.9 miliardë lekë, me një realizim në masën 100.9 </w:t>
      </w:r>
      <w:r>
        <w:rPr>
          <w:rFonts w:asciiTheme="majorHAnsi" w:hAnsiTheme="majorHAnsi" w:cstheme="majorHAnsi"/>
          <w:lang w:val="sq-AL"/>
        </w:rPr>
        <w:t>%</w:t>
      </w:r>
      <w:r w:rsidRPr="00734A96">
        <w:rPr>
          <w:rFonts w:asciiTheme="majorHAnsi" w:hAnsiTheme="majorHAnsi" w:cstheme="majorHAnsi"/>
          <w:lang w:val="sq-AL"/>
        </w:rPr>
        <w:t xml:space="preserve"> kundrejt planit të rishikuar dhe 119.5 </w:t>
      </w:r>
      <w:r>
        <w:rPr>
          <w:rFonts w:asciiTheme="majorHAnsi" w:hAnsiTheme="majorHAnsi" w:cstheme="majorHAnsi"/>
          <w:lang w:val="sq-AL"/>
        </w:rPr>
        <w:t>%</w:t>
      </w:r>
      <w:r w:rsidRPr="00734A96">
        <w:rPr>
          <w:rFonts w:asciiTheme="majorHAnsi" w:hAnsiTheme="majorHAnsi" w:cstheme="majorHAnsi"/>
          <w:lang w:val="sq-AL"/>
        </w:rPr>
        <w:t xml:space="preserve"> kundrejt realizimit të vitit të kaluar. Për këtë periudhë, të ardhurat nga TVSH-ja në doganë përbëjnë rreth 82 </w:t>
      </w:r>
      <w:r>
        <w:rPr>
          <w:rFonts w:asciiTheme="majorHAnsi" w:hAnsiTheme="majorHAnsi" w:cstheme="majorHAnsi"/>
          <w:lang w:val="sq-AL"/>
        </w:rPr>
        <w:t>%</w:t>
      </w:r>
      <w:r w:rsidRPr="00734A96">
        <w:rPr>
          <w:rFonts w:asciiTheme="majorHAnsi" w:hAnsiTheme="majorHAnsi" w:cstheme="majorHAnsi"/>
          <w:lang w:val="sq-AL"/>
        </w:rPr>
        <w:t xml:space="preserve"> të të ardhurave totale nga TVS</w:t>
      </w:r>
      <w:r>
        <w:rPr>
          <w:rFonts w:asciiTheme="majorHAnsi" w:hAnsiTheme="majorHAnsi" w:cstheme="majorHAnsi"/>
          <w:lang w:val="sq-AL"/>
        </w:rPr>
        <w:t>H</w:t>
      </w:r>
      <w:r w:rsidRPr="00734A96">
        <w:rPr>
          <w:rFonts w:asciiTheme="majorHAnsi" w:hAnsiTheme="majorHAnsi" w:cstheme="majorHAnsi"/>
          <w:lang w:val="sq-AL"/>
        </w:rPr>
        <w:t>. Performanca e të ardhurave nga TVSH në import u ndikua nga</w:t>
      </w:r>
      <w:r w:rsidR="00DF0EA3" w:rsidRPr="008E5580">
        <w:rPr>
          <w:rFonts w:asciiTheme="majorHAnsi" w:hAnsiTheme="majorHAnsi" w:cstheme="majorHAnsi"/>
          <w:lang w:val="sq-AL"/>
        </w:rPr>
        <w:t>:</w:t>
      </w:r>
      <w:r w:rsidR="00DF0EA3" w:rsidRPr="008E5580">
        <w:rPr>
          <w:rFonts w:asciiTheme="majorHAnsi" w:hAnsiTheme="majorHAnsi" w:cstheme="majorHAnsi"/>
        </w:rPr>
        <w:t xml:space="preserve"> </w:t>
      </w:r>
    </w:p>
    <w:p w:rsidR="00FC729E" w:rsidRPr="008F59CB" w:rsidRDefault="00FC729E" w:rsidP="00FC729E">
      <w:pPr>
        <w:numPr>
          <w:ilvl w:val="0"/>
          <w:numId w:val="2"/>
        </w:numPr>
        <w:ind w:left="540"/>
        <w:contextualSpacing/>
        <w:rPr>
          <w:rFonts w:asciiTheme="majorHAnsi" w:hAnsiTheme="majorHAnsi" w:cstheme="majorHAnsi"/>
          <w:bCs/>
          <w:iCs/>
          <w:lang w:val="sq-AL"/>
        </w:rPr>
      </w:pPr>
      <w:bookmarkStart w:id="98" w:name="_Toc515446553"/>
      <w:r w:rsidRPr="008F59CB">
        <w:rPr>
          <w:rFonts w:asciiTheme="majorHAnsi" w:hAnsiTheme="majorHAnsi" w:cstheme="majorHAnsi"/>
          <w:bCs/>
          <w:iCs/>
          <w:lang w:val="sq-AL"/>
        </w:rPr>
        <w:t xml:space="preserve">Rritja e importeve te tatueshme me 19.5% kundrejt vitit paraardhës, me efekt pozitiv në të ardhura me vlerë 19,5 miliardë lekë. </w:t>
      </w:r>
    </w:p>
    <w:p w:rsidR="008F59CB" w:rsidRPr="008F59CB" w:rsidRDefault="008F59CB" w:rsidP="008F59CB">
      <w:pPr>
        <w:ind w:left="540"/>
        <w:contextualSpacing/>
        <w:rPr>
          <w:rFonts w:asciiTheme="majorHAnsi" w:hAnsiTheme="majorHAnsi" w:cstheme="majorHAnsi"/>
          <w:bCs/>
          <w:iCs/>
          <w:lang w:val="sq-AL"/>
        </w:rPr>
      </w:pPr>
    </w:p>
    <w:p w:rsidR="00FC729E" w:rsidRPr="008F59CB" w:rsidRDefault="00FC729E" w:rsidP="00FC729E">
      <w:pPr>
        <w:numPr>
          <w:ilvl w:val="0"/>
          <w:numId w:val="2"/>
        </w:numPr>
        <w:ind w:left="540"/>
        <w:contextualSpacing/>
        <w:rPr>
          <w:rFonts w:asciiTheme="majorHAnsi" w:hAnsiTheme="majorHAnsi" w:cstheme="majorHAnsi"/>
          <w:bCs/>
          <w:iCs/>
          <w:lang w:val="sq-AL"/>
        </w:rPr>
      </w:pPr>
      <w:r w:rsidRPr="008F59CB">
        <w:rPr>
          <w:rFonts w:asciiTheme="majorHAnsi" w:hAnsiTheme="majorHAnsi" w:cstheme="majorHAnsi"/>
          <w:bCs/>
          <w:iCs/>
          <w:lang w:val="sq-AL"/>
        </w:rPr>
        <w:lastRenderedPageBreak/>
        <w:t>Rritja e çmimit të mallrave te importit në tregjet ndërkombëtare krahasuar me vitin 2021, për disa artikuj me peshë në performancën e TVSH-së, si:</w:t>
      </w:r>
    </w:p>
    <w:bookmarkEnd w:id="98"/>
    <w:p w:rsidR="00FC729E" w:rsidRPr="00734A96" w:rsidRDefault="00FC729E" w:rsidP="00153CD6">
      <w:pPr>
        <w:numPr>
          <w:ilvl w:val="1"/>
          <w:numId w:val="2"/>
        </w:numPr>
        <w:spacing w:before="0" w:line="240" w:lineRule="auto"/>
        <w:ind w:left="990"/>
        <w:contextualSpacing/>
        <w:rPr>
          <w:rFonts w:asciiTheme="majorHAnsi" w:hAnsiTheme="majorHAnsi" w:cstheme="majorHAnsi"/>
          <w:bCs/>
          <w:i/>
          <w:iCs/>
          <w:lang w:val="sq-AL"/>
        </w:rPr>
      </w:pPr>
      <w:r w:rsidRPr="00734A96">
        <w:rPr>
          <w:rFonts w:asciiTheme="majorHAnsi" w:hAnsiTheme="majorHAnsi" w:cstheme="majorHAnsi"/>
          <w:bCs/>
          <w:i/>
          <w:iCs/>
          <w:lang w:val="sq-AL"/>
        </w:rPr>
        <w:t>rritja e çmimit të karburant import, duke dhënë efekt pozitiv prej 5,3 miliardë lekë ose 30%,</w:t>
      </w:r>
    </w:p>
    <w:p w:rsidR="00FC729E" w:rsidRPr="00734A96" w:rsidRDefault="00FC729E" w:rsidP="00153CD6">
      <w:pPr>
        <w:numPr>
          <w:ilvl w:val="1"/>
          <w:numId w:val="2"/>
        </w:numPr>
        <w:spacing w:before="0" w:line="240" w:lineRule="auto"/>
        <w:ind w:left="990"/>
        <w:contextualSpacing/>
        <w:rPr>
          <w:rFonts w:asciiTheme="majorHAnsi" w:hAnsiTheme="majorHAnsi" w:cstheme="majorHAnsi"/>
          <w:bCs/>
          <w:i/>
          <w:iCs/>
          <w:lang w:val="sq-AL"/>
        </w:rPr>
      </w:pPr>
      <w:r w:rsidRPr="00734A96">
        <w:rPr>
          <w:rFonts w:asciiTheme="majorHAnsi" w:hAnsiTheme="majorHAnsi" w:cstheme="majorHAnsi"/>
          <w:bCs/>
          <w:i/>
          <w:iCs/>
          <w:lang w:val="sq-AL"/>
        </w:rPr>
        <w:t>rritja e çmimit të energjis elektrike duke dhënë efekt pozitiv prej 4.9 miliardë lekë ose 64%,</w:t>
      </w:r>
    </w:p>
    <w:p w:rsidR="00DF0EA3" w:rsidRPr="00FC729E" w:rsidRDefault="00FC729E" w:rsidP="00153CD6">
      <w:pPr>
        <w:numPr>
          <w:ilvl w:val="1"/>
          <w:numId w:val="2"/>
        </w:numPr>
        <w:spacing w:before="0" w:line="240" w:lineRule="auto"/>
        <w:ind w:left="990"/>
        <w:contextualSpacing/>
        <w:rPr>
          <w:rFonts w:asciiTheme="majorHAnsi" w:hAnsiTheme="majorHAnsi" w:cstheme="majorHAnsi"/>
          <w:bCs/>
          <w:i/>
          <w:iCs/>
          <w:lang w:val="sq-AL"/>
        </w:rPr>
      </w:pPr>
      <w:r w:rsidRPr="00734A96">
        <w:rPr>
          <w:rFonts w:asciiTheme="majorHAnsi" w:hAnsiTheme="majorHAnsi" w:cstheme="majorHAnsi"/>
          <w:bCs/>
          <w:i/>
          <w:iCs/>
          <w:lang w:val="sq-AL"/>
        </w:rPr>
        <w:t>rritja e çmimit të metaleve bazë dhe artikujt e tyre, me efekt pozitiv prej 2.9 miliardë lekë ose 26%.</w:t>
      </w:r>
    </w:p>
    <w:p w:rsidR="009A4089" w:rsidRPr="00476D2E" w:rsidRDefault="008F59CB" w:rsidP="008F59CB">
      <w:pPr>
        <w:rPr>
          <w:rFonts w:cs="Calibri"/>
          <w:lang w:val="sq-AL"/>
        </w:rPr>
      </w:pPr>
      <w:r w:rsidRPr="00734A96">
        <w:rPr>
          <w:rFonts w:asciiTheme="majorHAnsi" w:hAnsiTheme="majorHAnsi" w:cstheme="majorHAnsi"/>
          <w:lang w:val="sq-AL"/>
        </w:rPr>
        <w:t>Të dhënat 12-mujore të vitit 2022, mbi shpërndarjen sektoriale të TVSh-së brenda vendit tregojnë se “Tregtia”</w:t>
      </w:r>
      <w:r w:rsidRPr="00734A96">
        <w:rPr>
          <w:rFonts w:cs="Calibri"/>
          <w:lang w:val="sq-AL"/>
        </w:rPr>
        <w:t xml:space="preserve"> përkatësisht me 30</w:t>
      </w:r>
      <w:r>
        <w:rPr>
          <w:rFonts w:cs="Calibri"/>
          <w:lang w:val="sq-AL"/>
        </w:rPr>
        <w:t>%</w:t>
      </w:r>
      <w:r w:rsidRPr="00734A96">
        <w:rPr>
          <w:rFonts w:asciiTheme="majorHAnsi" w:hAnsiTheme="majorHAnsi" w:cstheme="majorHAnsi"/>
          <w:lang w:val="sq-AL"/>
        </w:rPr>
        <w:t xml:space="preserve">, “Shërbimet” </w:t>
      </w:r>
      <w:r w:rsidRPr="00734A96">
        <w:rPr>
          <w:rFonts w:cs="Calibri"/>
          <w:lang w:val="sq-AL"/>
        </w:rPr>
        <w:t xml:space="preserve">përkatësisht me 34 </w:t>
      </w:r>
      <w:r>
        <w:rPr>
          <w:rFonts w:cs="Calibri"/>
          <w:lang w:val="sq-AL"/>
        </w:rPr>
        <w:t>%</w:t>
      </w:r>
      <w:r w:rsidRPr="00734A96">
        <w:rPr>
          <w:rFonts w:asciiTheme="majorHAnsi" w:hAnsiTheme="majorHAnsi" w:cstheme="majorHAnsi"/>
          <w:lang w:val="sq-AL"/>
        </w:rPr>
        <w:t xml:space="preserve"> dhe “Prodhimi” </w:t>
      </w:r>
      <w:r w:rsidRPr="00734A96">
        <w:rPr>
          <w:rFonts w:cs="Calibri"/>
          <w:lang w:val="sq-AL"/>
        </w:rPr>
        <w:t xml:space="preserve">përkatësisht me 19 </w:t>
      </w:r>
      <w:r>
        <w:rPr>
          <w:rFonts w:cs="Calibri"/>
          <w:lang w:val="sq-AL"/>
        </w:rPr>
        <w:t>%</w:t>
      </w:r>
      <w:r w:rsidRPr="00734A96">
        <w:rPr>
          <w:rFonts w:asciiTheme="majorHAnsi" w:hAnsiTheme="majorHAnsi" w:cstheme="majorHAnsi"/>
          <w:lang w:val="sq-AL"/>
        </w:rPr>
        <w:t xml:space="preserve">  kanë peshën kryesore në të ardhurat nga TVSH</w:t>
      </w:r>
      <w:r w:rsidR="009A4089" w:rsidRPr="00476D2E">
        <w:rPr>
          <w:rFonts w:cs="Calibri"/>
          <w:lang w:val="sq-AL"/>
        </w:rPr>
        <w:t>.</w:t>
      </w:r>
    </w:p>
    <w:p w:rsidR="009A4089" w:rsidRPr="00476D2E" w:rsidRDefault="009A4089" w:rsidP="00FC729E">
      <w:pPr>
        <w:pStyle w:val="Caption"/>
        <w:keepNext/>
        <w:spacing w:after="0"/>
        <w:rPr>
          <w:rFonts w:cs="Calibri"/>
        </w:rPr>
      </w:pPr>
      <w:bookmarkStart w:id="99" w:name="_Toc136526460"/>
      <w:r w:rsidRPr="00476D2E">
        <w:rPr>
          <w:rFonts w:cs="Calibri"/>
        </w:rPr>
        <w:t xml:space="preserve">Grafiku </w:t>
      </w:r>
      <w:r w:rsidRPr="00476D2E">
        <w:rPr>
          <w:rFonts w:cs="Calibri"/>
        </w:rPr>
        <w:fldChar w:fldCharType="begin"/>
      </w:r>
      <w:r w:rsidRPr="00476D2E">
        <w:rPr>
          <w:rFonts w:cs="Calibri"/>
        </w:rPr>
        <w:instrText xml:space="preserve"> SEQ Grafiku \* ARABIC </w:instrText>
      </w:r>
      <w:r w:rsidRPr="00476D2E">
        <w:rPr>
          <w:rFonts w:cs="Calibri"/>
        </w:rPr>
        <w:fldChar w:fldCharType="separate"/>
      </w:r>
      <w:r w:rsidR="008C3E07">
        <w:rPr>
          <w:rFonts w:cs="Calibri"/>
          <w:noProof/>
        </w:rPr>
        <w:t>15</w:t>
      </w:r>
      <w:r w:rsidRPr="00476D2E">
        <w:rPr>
          <w:rFonts w:cs="Calibri"/>
        </w:rPr>
        <w:fldChar w:fldCharType="end"/>
      </w:r>
      <w:r w:rsidRPr="00476D2E">
        <w:rPr>
          <w:rFonts w:cs="Calibri"/>
        </w:rPr>
        <w:t xml:space="preserve"> </w:t>
      </w:r>
      <w:r w:rsidRPr="00476D2E">
        <w:rPr>
          <w:rFonts w:cs="Calibri"/>
          <w:lang w:val="sq-AL"/>
        </w:rPr>
        <w:t>TVSH-ja brenda vendit, sipas sektorëve (në %)</w:t>
      </w:r>
      <w:bookmarkEnd w:id="99"/>
    </w:p>
    <w:p w:rsidR="009A4089" w:rsidRPr="00476D2E" w:rsidRDefault="00BA3882" w:rsidP="00FC729E">
      <w:pPr>
        <w:spacing w:before="0"/>
        <w:jc w:val="center"/>
        <w:rPr>
          <w:rFonts w:cs="Calibri"/>
          <w:lang w:val="sq-AL"/>
        </w:rPr>
      </w:pPr>
      <w:r w:rsidRPr="00734A96">
        <w:rPr>
          <w:rFonts w:cs="Calibri"/>
          <w:noProof/>
        </w:rPr>
        <w:drawing>
          <wp:inline distT="0" distB="0" distL="0" distR="0" wp14:anchorId="728D2160" wp14:editId="2B466566">
            <wp:extent cx="6576988" cy="2637692"/>
            <wp:effectExtent l="0" t="0" r="14605" b="10795"/>
            <wp:docPr id="57" name="Chart 57">
              <a:extLst xmlns:a="http://schemas.openxmlformats.org/drawingml/2006/main">
                <a:ext uri="{FF2B5EF4-FFF2-40B4-BE49-F238E27FC236}">
                  <a16:creationId xmlns:a16="http://schemas.microsoft.com/office/drawing/2014/main" id="{C34ED082-7AA2-412E-AA66-613BB220EC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A4089" w:rsidRPr="006E3070" w:rsidRDefault="00153CD6" w:rsidP="00153CD6">
      <w:pPr>
        <w:spacing w:line="360" w:lineRule="auto"/>
        <w:ind w:firstLine="720"/>
        <w:contextualSpacing/>
        <w:rPr>
          <w:rFonts w:cs="Calibri"/>
          <w:i/>
          <w:noProof/>
          <w:sz w:val="18"/>
          <w:lang w:val="sq-AL"/>
        </w:rPr>
      </w:pPr>
      <w:r>
        <w:rPr>
          <w:rFonts w:cs="Calibri"/>
          <w:i/>
          <w:noProof/>
          <w:sz w:val="18"/>
          <w:lang w:val="sq-AL"/>
        </w:rPr>
        <w:t>Burimi: Ministria e Financave dhe Ekonomisë (2023)</w:t>
      </w:r>
    </w:p>
    <w:p w:rsidR="009A4089" w:rsidRPr="00476D2E" w:rsidRDefault="008F59CB" w:rsidP="008F59CB">
      <w:pPr>
        <w:spacing w:before="240"/>
        <w:rPr>
          <w:rFonts w:cs="Calibri"/>
          <w:lang w:val="sq-AL"/>
        </w:rPr>
      </w:pPr>
      <w:r w:rsidRPr="00734A96">
        <w:rPr>
          <w:rFonts w:cs="Calibri"/>
          <w:lang w:val="sq-AL"/>
        </w:rPr>
        <w:t xml:space="preserve">Të ardhurat nga </w:t>
      </w:r>
      <w:r w:rsidR="004C2B76" w:rsidRPr="00734A96">
        <w:rPr>
          <w:rFonts w:cs="Calibri"/>
          <w:lang w:val="sq-AL"/>
        </w:rPr>
        <w:t>TVSH</w:t>
      </w:r>
      <w:r w:rsidRPr="00734A96">
        <w:rPr>
          <w:rFonts w:cs="Calibri"/>
          <w:lang w:val="sq-AL"/>
        </w:rPr>
        <w:t xml:space="preserve"> </w:t>
      </w:r>
      <w:r w:rsidR="004C2B76" w:rsidRPr="00734A96">
        <w:rPr>
          <w:rFonts w:cs="Calibri"/>
          <w:lang w:val="sq-AL"/>
        </w:rPr>
        <w:t xml:space="preserve">neto </w:t>
      </w:r>
      <w:r w:rsidRPr="00734A96">
        <w:rPr>
          <w:rFonts w:cs="Calibri"/>
          <w:lang w:val="sq-AL"/>
        </w:rPr>
        <w:t>brenda vendit janë 34.5 miliardë lekë, me rritje kundrejt vitit të kaluar në masën 14.2</w:t>
      </w:r>
      <w:r>
        <w:rPr>
          <w:rFonts w:cs="Calibri"/>
          <w:lang w:val="sq-AL"/>
        </w:rPr>
        <w:t>%</w:t>
      </w:r>
      <w:r w:rsidRPr="00734A96">
        <w:rPr>
          <w:rFonts w:cs="Calibri"/>
          <w:lang w:val="sq-AL"/>
        </w:rPr>
        <w:t xml:space="preserve"> ose +4.3 miliardë lekë. Kjo rritje ka ardhur e reflekton rimëkëmbjen ekonomike, implementimit të proçesit të fiskalizimit dhe mirëadministrimit nga administrata tatimore. Ndër faktorët kryesorë që kanë ndikuar në rritjen e të ardhurave të </w:t>
      </w:r>
      <w:r w:rsidR="004C2B76" w:rsidRPr="00734A96">
        <w:rPr>
          <w:rFonts w:cs="Calibri"/>
          <w:lang w:val="sq-AL"/>
        </w:rPr>
        <w:t>TVSH</w:t>
      </w:r>
      <w:r w:rsidR="004C2B76">
        <w:rPr>
          <w:rFonts w:cs="Calibri"/>
          <w:lang w:val="sq-AL"/>
        </w:rPr>
        <w:t xml:space="preserve"> b</w:t>
      </w:r>
      <w:r w:rsidRPr="00734A96">
        <w:rPr>
          <w:rFonts w:cs="Calibri"/>
          <w:lang w:val="sq-AL"/>
        </w:rPr>
        <w:t>renda vendit janë</w:t>
      </w:r>
      <w:r w:rsidR="004C2B76">
        <w:rPr>
          <w:rFonts w:cs="Calibri"/>
          <w:lang w:val="sq-AL"/>
        </w:rPr>
        <w:t>:</w:t>
      </w:r>
      <w:r w:rsidRPr="00734A96">
        <w:rPr>
          <w:rFonts w:cs="Calibri"/>
          <w:lang w:val="sq-AL"/>
        </w:rPr>
        <w:t xml:space="preserve"> rritja e çmimeve të produkteve e shërbimeve si dhe niveli i lartë i inflacionit</w:t>
      </w:r>
      <w:r w:rsidR="009A4089" w:rsidRPr="00476D2E">
        <w:rPr>
          <w:rFonts w:cs="Calibri"/>
          <w:lang w:val="sq-AL"/>
        </w:rPr>
        <w:t>.</w:t>
      </w:r>
    </w:p>
    <w:p w:rsidR="009A4089" w:rsidRPr="00476D2E" w:rsidRDefault="009A4089" w:rsidP="00FC729E">
      <w:pPr>
        <w:pStyle w:val="Caption"/>
        <w:keepNext/>
        <w:spacing w:after="0"/>
        <w:rPr>
          <w:rFonts w:cs="Calibri"/>
        </w:rPr>
      </w:pPr>
      <w:bookmarkStart w:id="100" w:name="_Toc136526461"/>
      <w:r w:rsidRPr="00476D2E">
        <w:rPr>
          <w:rFonts w:cs="Calibri"/>
        </w:rPr>
        <w:t xml:space="preserve">Grafiku </w:t>
      </w:r>
      <w:r w:rsidRPr="00476D2E">
        <w:rPr>
          <w:rFonts w:cs="Calibri"/>
        </w:rPr>
        <w:fldChar w:fldCharType="begin"/>
      </w:r>
      <w:r w:rsidRPr="00476D2E">
        <w:rPr>
          <w:rFonts w:cs="Calibri"/>
        </w:rPr>
        <w:instrText xml:space="preserve"> SEQ Grafiku \* ARABIC </w:instrText>
      </w:r>
      <w:r w:rsidRPr="00476D2E">
        <w:rPr>
          <w:rFonts w:cs="Calibri"/>
        </w:rPr>
        <w:fldChar w:fldCharType="separate"/>
      </w:r>
      <w:r w:rsidR="008C3E07">
        <w:rPr>
          <w:rFonts w:cs="Calibri"/>
          <w:noProof/>
        </w:rPr>
        <w:t>16</w:t>
      </w:r>
      <w:r w:rsidRPr="00476D2E">
        <w:rPr>
          <w:rFonts w:cs="Calibri"/>
        </w:rPr>
        <w:fldChar w:fldCharType="end"/>
      </w:r>
      <w:r w:rsidRPr="00476D2E">
        <w:rPr>
          <w:rFonts w:cs="Calibri"/>
        </w:rPr>
        <w:t xml:space="preserve"> Rim</w:t>
      </w:r>
      <w:r w:rsidRPr="00476D2E">
        <w:rPr>
          <w:rFonts w:cs="Calibri"/>
          <w:lang w:val="sq-AL"/>
        </w:rPr>
        <w:t>bursimi i TVSH-së në vite (në milionë lekë)</w:t>
      </w:r>
      <w:bookmarkEnd w:id="100"/>
    </w:p>
    <w:p w:rsidR="009A4089" w:rsidRPr="00476D2E" w:rsidRDefault="00BA3882" w:rsidP="004C2B76">
      <w:pPr>
        <w:spacing w:before="0" w:line="240" w:lineRule="auto"/>
        <w:jc w:val="center"/>
        <w:rPr>
          <w:rFonts w:cs="Calibri"/>
          <w:lang w:val="sq-AL"/>
        </w:rPr>
      </w:pPr>
      <w:r w:rsidRPr="00734A96">
        <w:rPr>
          <w:noProof/>
        </w:rPr>
        <w:drawing>
          <wp:inline distT="0" distB="0" distL="0" distR="0" wp14:anchorId="46ACC7C1" wp14:editId="6D781ED0">
            <wp:extent cx="6686550" cy="1869830"/>
            <wp:effectExtent l="0" t="0" r="0" b="16510"/>
            <wp:docPr id="42" name="Chart 42">
              <a:extLst xmlns:a="http://schemas.openxmlformats.org/drawingml/2006/main">
                <a:ext uri="{FF2B5EF4-FFF2-40B4-BE49-F238E27FC236}">
                  <a16:creationId xmlns:a16="http://schemas.microsoft.com/office/drawing/2014/main" id="{DBF9E7E1-1364-4AAB-9FFB-C4AD713891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6D2CC4" w:rsidRDefault="00153CD6" w:rsidP="00153CD6">
      <w:pPr>
        <w:spacing w:before="0" w:line="360" w:lineRule="auto"/>
        <w:rPr>
          <w:rFonts w:cs="Calibri"/>
          <w:i/>
          <w:noProof/>
          <w:sz w:val="18"/>
          <w:szCs w:val="18"/>
          <w:lang w:val="sq-AL"/>
        </w:rPr>
      </w:pPr>
      <w:r>
        <w:rPr>
          <w:rFonts w:cs="Calibri"/>
          <w:i/>
          <w:noProof/>
          <w:sz w:val="18"/>
          <w:szCs w:val="18"/>
          <w:lang w:val="sq-AL"/>
        </w:rPr>
        <w:t>Burimi: Ministria e Financave dhe Ekonomisë (2023)</w:t>
      </w:r>
    </w:p>
    <w:p w:rsidR="00554F56" w:rsidRDefault="00554F56" w:rsidP="00FC729E">
      <w:pPr>
        <w:spacing w:before="0"/>
        <w:rPr>
          <w:rFonts w:cs="Calibri"/>
          <w:i/>
          <w:noProof/>
          <w:sz w:val="18"/>
          <w:szCs w:val="18"/>
          <w:lang w:val="sq-AL"/>
        </w:rPr>
      </w:pPr>
    </w:p>
    <w:p w:rsidR="004C2B76" w:rsidRDefault="004C2B76" w:rsidP="004C2B76">
      <w:pPr>
        <w:spacing w:before="0"/>
        <w:rPr>
          <w:rFonts w:cs="Calibri"/>
          <w:lang w:val="sq-AL"/>
        </w:rPr>
      </w:pPr>
    </w:p>
    <w:p w:rsidR="004C2B76" w:rsidRPr="00734A96" w:rsidRDefault="004C2B76" w:rsidP="004C2B76">
      <w:pPr>
        <w:spacing w:before="0"/>
        <w:rPr>
          <w:rFonts w:cs="Calibri"/>
          <w:lang w:val="sq-AL"/>
        </w:rPr>
      </w:pPr>
      <w:r w:rsidRPr="00734A96">
        <w:rPr>
          <w:rFonts w:cs="Calibri"/>
          <w:lang w:val="sq-AL"/>
        </w:rPr>
        <w:lastRenderedPageBreak/>
        <w:t>Të ardhurat e mbledhura nga TVSH bruto brenda vendit sipas sektorëve</w:t>
      </w:r>
      <w:r>
        <w:rPr>
          <w:rFonts w:cs="Calibri"/>
          <w:lang w:val="sq-AL"/>
        </w:rPr>
        <w:t>,</w:t>
      </w:r>
      <w:r w:rsidRPr="00734A96">
        <w:rPr>
          <w:rFonts w:cs="Calibri"/>
          <w:lang w:val="sq-AL"/>
        </w:rPr>
        <w:t xml:space="preserve"> krahasuar me të njëjtën periudhë të një viti më parë janë: </w:t>
      </w:r>
    </w:p>
    <w:p w:rsidR="004C2B76" w:rsidRPr="004C2B76" w:rsidRDefault="004C2B76" w:rsidP="00153CD6">
      <w:pPr>
        <w:numPr>
          <w:ilvl w:val="0"/>
          <w:numId w:val="2"/>
        </w:numPr>
        <w:spacing w:line="240" w:lineRule="auto"/>
        <w:ind w:left="540"/>
        <w:contextualSpacing/>
        <w:rPr>
          <w:rFonts w:asciiTheme="majorHAnsi" w:hAnsiTheme="majorHAnsi" w:cstheme="majorHAnsi"/>
          <w:bCs/>
          <w:iCs/>
          <w:lang w:val="sq-AL"/>
        </w:rPr>
      </w:pPr>
      <w:r w:rsidRPr="004C2B76">
        <w:rPr>
          <w:rFonts w:asciiTheme="majorHAnsi" w:hAnsiTheme="majorHAnsi" w:cstheme="majorHAnsi"/>
          <w:bCs/>
          <w:iCs/>
          <w:lang w:val="sq-AL"/>
        </w:rPr>
        <w:t>Në sektorin e shërbimeve të ardhurat për periudhën Janar – Dhjetor 2022 janë 19.2 miliardë lekë me rritje në të ardhura 13.9% ose 2.3 miliardë lekë më se viti 2021.</w:t>
      </w:r>
    </w:p>
    <w:p w:rsidR="004C2B76" w:rsidRPr="004C2B76" w:rsidRDefault="004C2B76" w:rsidP="00153CD6">
      <w:pPr>
        <w:numPr>
          <w:ilvl w:val="0"/>
          <w:numId w:val="2"/>
        </w:numPr>
        <w:spacing w:line="240" w:lineRule="auto"/>
        <w:ind w:left="540"/>
        <w:contextualSpacing/>
        <w:rPr>
          <w:rFonts w:asciiTheme="majorHAnsi" w:hAnsiTheme="majorHAnsi" w:cstheme="majorHAnsi"/>
          <w:bCs/>
          <w:iCs/>
          <w:lang w:val="sq-AL"/>
        </w:rPr>
      </w:pPr>
      <w:r w:rsidRPr="004C2B76">
        <w:rPr>
          <w:rFonts w:asciiTheme="majorHAnsi" w:hAnsiTheme="majorHAnsi" w:cstheme="majorHAnsi"/>
          <w:bCs/>
          <w:iCs/>
          <w:lang w:val="sq-AL"/>
        </w:rPr>
        <w:t>Në sektorin e prodhimit të ardhurat për periudhën Janar – Dhjetor 2022 janë 10.9 miliardë lekë me nje rënie në të ardhura 6% ose 695 milionë lekë më pak se viti 2021.</w:t>
      </w:r>
    </w:p>
    <w:p w:rsidR="004C2B76" w:rsidRPr="004C2B76" w:rsidRDefault="004C2B76" w:rsidP="00153CD6">
      <w:pPr>
        <w:numPr>
          <w:ilvl w:val="0"/>
          <w:numId w:val="2"/>
        </w:numPr>
        <w:spacing w:line="240" w:lineRule="auto"/>
        <w:ind w:left="540"/>
        <w:contextualSpacing/>
        <w:rPr>
          <w:rFonts w:asciiTheme="majorHAnsi" w:hAnsiTheme="majorHAnsi" w:cstheme="majorHAnsi"/>
          <w:bCs/>
          <w:iCs/>
          <w:lang w:val="sq-AL"/>
        </w:rPr>
      </w:pPr>
      <w:r w:rsidRPr="004C2B76">
        <w:rPr>
          <w:rFonts w:asciiTheme="majorHAnsi" w:hAnsiTheme="majorHAnsi" w:cstheme="majorHAnsi"/>
          <w:bCs/>
          <w:iCs/>
          <w:lang w:val="sq-AL"/>
        </w:rPr>
        <w:t xml:space="preserve">Në sektorin e ndërtimit të ardhurat për periudhën Janar – Dhjetor 2022 janë 8.4 miliardë lekë me nje rritje në të ardhura 8.7% ose 673 milionë lekë më shumë se viti 2021. </w:t>
      </w:r>
    </w:p>
    <w:p w:rsidR="004C2B76" w:rsidRPr="004C2B76" w:rsidRDefault="004C2B76" w:rsidP="00153CD6">
      <w:pPr>
        <w:numPr>
          <w:ilvl w:val="0"/>
          <w:numId w:val="2"/>
        </w:numPr>
        <w:spacing w:line="240" w:lineRule="auto"/>
        <w:ind w:left="540"/>
        <w:contextualSpacing/>
        <w:rPr>
          <w:rFonts w:asciiTheme="majorHAnsi" w:hAnsiTheme="majorHAnsi" w:cstheme="majorHAnsi"/>
          <w:bCs/>
          <w:iCs/>
          <w:lang w:val="sq-AL"/>
        </w:rPr>
      </w:pPr>
      <w:r w:rsidRPr="004C2B76">
        <w:rPr>
          <w:rFonts w:asciiTheme="majorHAnsi" w:hAnsiTheme="majorHAnsi" w:cstheme="majorHAnsi"/>
          <w:bCs/>
          <w:iCs/>
          <w:lang w:val="sq-AL"/>
        </w:rPr>
        <w:t>Në sektorin e transportit të ardhurat për periudhën Janar – Dhjetor 2023 janë 1.2 miliardë lekë me nje rritje në të ardhura 11.8% ose 129 milion lekë më shumë se viti 2021.</w:t>
      </w:r>
    </w:p>
    <w:p w:rsidR="004C2B76" w:rsidRPr="004C2B76" w:rsidRDefault="004C2B76" w:rsidP="00153CD6">
      <w:pPr>
        <w:numPr>
          <w:ilvl w:val="0"/>
          <w:numId w:val="2"/>
        </w:numPr>
        <w:spacing w:line="240" w:lineRule="auto"/>
        <w:ind w:left="540"/>
        <w:contextualSpacing/>
        <w:rPr>
          <w:rFonts w:asciiTheme="majorHAnsi" w:hAnsiTheme="majorHAnsi" w:cstheme="majorHAnsi"/>
          <w:bCs/>
          <w:iCs/>
          <w:lang w:val="sq-AL"/>
        </w:rPr>
      </w:pPr>
      <w:r w:rsidRPr="004C2B76">
        <w:rPr>
          <w:rFonts w:asciiTheme="majorHAnsi" w:hAnsiTheme="majorHAnsi" w:cstheme="majorHAnsi"/>
          <w:bCs/>
          <w:iCs/>
          <w:lang w:val="sq-AL"/>
        </w:rPr>
        <w:t>Në sektorin e tregtisë të ardhurat për periudhën Janar – Dhjetor 2022 janë 17.3 miliardë lekë me një rritje në të ardhura 0.9% ose 147 milionë lekë më shumë se viti 2021.</w:t>
      </w:r>
    </w:p>
    <w:p w:rsidR="00554F56" w:rsidRDefault="00554F56" w:rsidP="00FC729E">
      <w:pPr>
        <w:spacing w:before="0"/>
        <w:rPr>
          <w:rFonts w:cs="Calibri"/>
          <w:i/>
          <w:noProof/>
          <w:sz w:val="18"/>
          <w:szCs w:val="18"/>
          <w:lang w:val="sq-AL"/>
        </w:rPr>
      </w:pPr>
    </w:p>
    <w:p w:rsidR="00554F56" w:rsidRDefault="00554F56" w:rsidP="00FC729E">
      <w:pPr>
        <w:spacing w:before="0"/>
        <w:rPr>
          <w:rFonts w:cs="Calibri"/>
          <w:i/>
          <w:noProof/>
          <w:sz w:val="18"/>
          <w:szCs w:val="18"/>
          <w:lang w:val="sq-AL"/>
        </w:rPr>
      </w:pPr>
    </w:p>
    <w:p w:rsidR="006D2CC4" w:rsidRPr="00476D2E" w:rsidRDefault="006D2CC4" w:rsidP="00BA3882">
      <w:pPr>
        <w:pStyle w:val="ListParagraph"/>
        <w:numPr>
          <w:ilvl w:val="0"/>
          <w:numId w:val="1"/>
        </w:numPr>
        <w:spacing w:before="0"/>
        <w:ind w:left="990" w:hanging="270"/>
        <w:rPr>
          <w:rFonts w:cs="Calibri"/>
          <w:i/>
          <w:noProof/>
          <w:u w:val="single"/>
          <w:lang w:val="sq-AL"/>
        </w:rPr>
      </w:pPr>
      <w:r w:rsidRPr="00476D2E">
        <w:rPr>
          <w:rFonts w:cs="Calibri"/>
          <w:i/>
          <w:noProof/>
          <w:u w:val="single"/>
          <w:lang w:val="sq-AL"/>
        </w:rPr>
        <w:t>Akciza</w:t>
      </w:r>
    </w:p>
    <w:p w:rsidR="004C2B76" w:rsidRPr="00734A96" w:rsidRDefault="004C2B76" w:rsidP="004C2B76">
      <w:pPr>
        <w:spacing w:before="0"/>
        <w:rPr>
          <w:rFonts w:cs="Calibri"/>
          <w:lang w:val="sq-AL"/>
        </w:rPr>
      </w:pPr>
      <w:r w:rsidRPr="00734A96">
        <w:rPr>
          <w:rFonts w:cs="Calibri"/>
          <w:lang w:val="sq-AL"/>
        </w:rPr>
        <w:t xml:space="preserve">Të ardhurat nga Akciza për periudhën Janar–Dhjetor 2022 arritën 53.5 miliardë lekë; ose 5.2 </w:t>
      </w:r>
      <w:r>
        <w:rPr>
          <w:rFonts w:cs="Calibri"/>
          <w:lang w:val="sq-AL"/>
        </w:rPr>
        <w:t>%</w:t>
      </w:r>
      <w:r w:rsidRPr="00734A96">
        <w:rPr>
          <w:rFonts w:cs="Calibri"/>
          <w:lang w:val="sq-AL"/>
        </w:rPr>
        <w:t xml:space="preserve"> me pak se plani në buxhetin fillestar dhe 2.6 </w:t>
      </w:r>
      <w:r>
        <w:rPr>
          <w:rFonts w:cs="Calibri"/>
          <w:lang w:val="sq-AL"/>
        </w:rPr>
        <w:t>%</w:t>
      </w:r>
      <w:r w:rsidRPr="00734A96">
        <w:rPr>
          <w:rFonts w:cs="Calibri"/>
          <w:lang w:val="sq-AL"/>
        </w:rPr>
        <w:t xml:space="preserve"> ose 1.5 milionë lekë më pak se plani i rishikuar. Në krahasim me vitin 2021, realizimi ishte 1.9 miliardë lekë ose 3.7 </w:t>
      </w:r>
      <w:r>
        <w:rPr>
          <w:rFonts w:cs="Calibri"/>
          <w:lang w:val="sq-AL"/>
        </w:rPr>
        <w:t>%</w:t>
      </w:r>
      <w:r w:rsidRPr="00734A96">
        <w:rPr>
          <w:rFonts w:cs="Calibri"/>
          <w:lang w:val="sq-AL"/>
        </w:rPr>
        <w:t xml:space="preserve"> më shum</w:t>
      </w:r>
      <w:r w:rsidRPr="00734A96">
        <w:rPr>
          <w:rFonts w:ascii="Times New Roman" w:hAnsi="Times New Roman"/>
          <w:lang w:val="sq-AL"/>
        </w:rPr>
        <w:t>ë</w:t>
      </w:r>
      <w:r w:rsidRPr="00734A96">
        <w:rPr>
          <w:rFonts w:cs="Calibri"/>
          <w:lang w:val="sq-AL"/>
        </w:rPr>
        <w:t>. Rritja në realizimin e të ardhurave nga akciza ka ardhur kryesisht si rezultat i kërkesës më të lart</w:t>
      </w:r>
      <w:r w:rsidRPr="00734A96">
        <w:rPr>
          <w:rFonts w:ascii="Times New Roman" w:hAnsi="Times New Roman"/>
          <w:lang w:val="sq-AL"/>
        </w:rPr>
        <w:t>ë</w:t>
      </w:r>
      <w:r w:rsidRPr="00734A96">
        <w:rPr>
          <w:rFonts w:cs="Calibri"/>
          <w:lang w:val="sq-AL"/>
        </w:rPr>
        <w:t xml:space="preserve"> për disa mallra kyç, përfshirë: </w:t>
      </w:r>
    </w:p>
    <w:p w:rsidR="004C2B76" w:rsidRPr="00734A96" w:rsidRDefault="004C2B76" w:rsidP="00153CD6">
      <w:pPr>
        <w:numPr>
          <w:ilvl w:val="0"/>
          <w:numId w:val="2"/>
        </w:numPr>
        <w:spacing w:before="0" w:line="240" w:lineRule="auto"/>
        <w:ind w:left="720"/>
        <w:rPr>
          <w:rFonts w:cs="Calibri"/>
          <w:bCs/>
          <w:i/>
          <w:iCs/>
          <w:lang w:val="sq-AL"/>
        </w:rPr>
      </w:pPr>
      <w:r w:rsidRPr="00734A96">
        <w:rPr>
          <w:rFonts w:cs="Calibri"/>
          <w:bCs/>
          <w:i/>
          <w:iCs/>
          <w:lang w:val="sq-AL"/>
        </w:rPr>
        <w:t xml:space="preserve">Rritje e sasisë së cigareve, me 11.8 </w:t>
      </w:r>
      <w:r>
        <w:rPr>
          <w:rFonts w:cs="Calibri"/>
          <w:bCs/>
          <w:i/>
          <w:iCs/>
          <w:lang w:val="sq-AL"/>
        </w:rPr>
        <w:t>%</w:t>
      </w:r>
      <w:r w:rsidRPr="00734A96">
        <w:rPr>
          <w:rFonts w:cs="Calibri"/>
          <w:bCs/>
          <w:i/>
          <w:iCs/>
          <w:lang w:val="sq-AL"/>
        </w:rPr>
        <w:t xml:space="preserve"> krahasuar me 12 mujorin e vitit 2021, me efekt pozitiv  2,3 miliardë lekë.</w:t>
      </w:r>
    </w:p>
    <w:p w:rsidR="004C2B76" w:rsidRPr="00734A96" w:rsidRDefault="004C2B76" w:rsidP="00153CD6">
      <w:pPr>
        <w:numPr>
          <w:ilvl w:val="0"/>
          <w:numId w:val="2"/>
        </w:numPr>
        <w:spacing w:before="0" w:line="240" w:lineRule="auto"/>
        <w:ind w:left="720"/>
        <w:rPr>
          <w:rFonts w:cs="Calibri"/>
          <w:bCs/>
          <w:i/>
          <w:iCs/>
          <w:lang w:val="sq-AL"/>
        </w:rPr>
      </w:pPr>
      <w:r w:rsidRPr="00734A96">
        <w:rPr>
          <w:rFonts w:cs="Calibri"/>
          <w:bCs/>
          <w:i/>
          <w:iCs/>
          <w:lang w:val="sq-AL"/>
        </w:rPr>
        <w:t>Importi i Pijeve alkoolike ishte 1,408 Mij/lit, me një rritje prej 543 Mij/lit ose 54.7% krahasuar me 12 mujorin e vitit 2021, me efekt pozitiv 161 miliardë.</w:t>
      </w:r>
    </w:p>
    <w:p w:rsidR="00A06CDF" w:rsidRPr="00476D2E" w:rsidRDefault="006D577E" w:rsidP="00FC729E">
      <w:pPr>
        <w:pStyle w:val="Caption"/>
        <w:spacing w:after="0"/>
        <w:rPr>
          <w:rFonts w:cs="Calibri"/>
          <w:lang w:val="sq-AL"/>
        </w:rPr>
      </w:pPr>
      <w:bookmarkStart w:id="101" w:name="_Toc136526335"/>
      <w:r w:rsidRPr="00476D2E">
        <w:rPr>
          <w:rFonts w:cs="Calibri"/>
          <w:lang w:val="sq-AL"/>
        </w:rPr>
        <w:t xml:space="preserve">Tabela </w:t>
      </w:r>
      <w:r w:rsidR="00335A3A" w:rsidRPr="00476D2E">
        <w:rPr>
          <w:rFonts w:cs="Calibri"/>
          <w:lang w:val="sq-AL"/>
        </w:rPr>
        <w:fldChar w:fldCharType="begin"/>
      </w:r>
      <w:r w:rsidR="00335A3A" w:rsidRPr="00476D2E">
        <w:rPr>
          <w:rFonts w:cs="Calibri"/>
          <w:lang w:val="sq-AL"/>
        </w:rPr>
        <w:instrText xml:space="preserve"> SEQ Tabela \* ARABIC </w:instrText>
      </w:r>
      <w:r w:rsidR="00335A3A" w:rsidRPr="00476D2E">
        <w:rPr>
          <w:rFonts w:cs="Calibri"/>
          <w:lang w:val="sq-AL"/>
        </w:rPr>
        <w:fldChar w:fldCharType="separate"/>
      </w:r>
      <w:r w:rsidR="008C3E07">
        <w:rPr>
          <w:rFonts w:cs="Calibri"/>
          <w:noProof/>
          <w:lang w:val="sq-AL"/>
        </w:rPr>
        <w:t>9</w:t>
      </w:r>
      <w:r w:rsidR="00335A3A" w:rsidRPr="00476D2E">
        <w:rPr>
          <w:rFonts w:cs="Calibri"/>
          <w:noProof/>
          <w:lang w:val="sq-AL"/>
        </w:rPr>
        <w:fldChar w:fldCharType="end"/>
      </w:r>
      <w:r w:rsidRPr="00476D2E">
        <w:rPr>
          <w:rFonts w:cs="Calibri"/>
          <w:lang w:val="sq-AL"/>
        </w:rPr>
        <w:t xml:space="preserve"> Performanca e të ardhurave nga akciza: mallrat kryesorë 20</w:t>
      </w:r>
      <w:r w:rsidR="001550B0" w:rsidRPr="00476D2E">
        <w:rPr>
          <w:rFonts w:cs="Calibri"/>
          <w:lang w:val="sq-AL"/>
        </w:rPr>
        <w:t>2</w:t>
      </w:r>
      <w:r w:rsidR="00A711C8">
        <w:rPr>
          <w:rFonts w:cs="Calibri"/>
          <w:lang w:val="sq-AL"/>
        </w:rPr>
        <w:t>1</w:t>
      </w:r>
      <w:r w:rsidRPr="00476D2E">
        <w:rPr>
          <w:rFonts w:cs="Calibri"/>
          <w:lang w:val="sq-AL"/>
        </w:rPr>
        <w:t xml:space="preserve"> - 20</w:t>
      </w:r>
      <w:r w:rsidR="00A711C8">
        <w:rPr>
          <w:rFonts w:cs="Calibri"/>
          <w:lang w:val="sq-AL"/>
        </w:rPr>
        <w:t>20</w:t>
      </w:r>
      <w:bookmarkEnd w:id="101"/>
    </w:p>
    <w:tbl>
      <w:tblPr>
        <w:tblW w:w="9243" w:type="dxa"/>
        <w:jc w:val="center"/>
        <w:shd w:val="clear" w:color="auto" w:fill="DBEFF9" w:themeFill="background2"/>
        <w:tblLook w:val="04A0" w:firstRow="1" w:lastRow="0" w:firstColumn="1" w:lastColumn="0" w:noHBand="0" w:noVBand="1"/>
      </w:tblPr>
      <w:tblGrid>
        <w:gridCol w:w="3660"/>
        <w:gridCol w:w="1117"/>
        <w:gridCol w:w="918"/>
        <w:gridCol w:w="961"/>
        <w:gridCol w:w="1347"/>
        <w:gridCol w:w="1240"/>
      </w:tblGrid>
      <w:tr w:rsidR="004C2B76" w:rsidRPr="004C2B76" w:rsidTr="004C2B76">
        <w:trPr>
          <w:trHeight w:val="300"/>
          <w:jc w:val="center"/>
        </w:trPr>
        <w:tc>
          <w:tcPr>
            <w:tcW w:w="3660" w:type="dxa"/>
            <w:vMerge w:val="restart"/>
            <w:tcBorders>
              <w:top w:val="single" w:sz="4" w:space="0" w:color="0070C0"/>
              <w:left w:val="single" w:sz="4" w:space="0" w:color="0070C0"/>
              <w:bottom w:val="nil"/>
              <w:right w:val="single" w:sz="4" w:space="0" w:color="0070C0"/>
            </w:tcBorders>
            <w:shd w:val="clear" w:color="auto" w:fill="DBEFF9" w:themeFill="background2"/>
            <w:noWrap/>
            <w:vAlign w:val="center"/>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Mallrat e forta</w:t>
            </w:r>
          </w:p>
        </w:tc>
        <w:tc>
          <w:tcPr>
            <w:tcW w:w="1117" w:type="dxa"/>
            <w:vMerge w:val="restart"/>
            <w:tcBorders>
              <w:top w:val="single" w:sz="4" w:space="0" w:color="0070C0"/>
              <w:left w:val="nil"/>
              <w:bottom w:val="nil"/>
              <w:right w:val="nil"/>
            </w:tcBorders>
            <w:shd w:val="clear" w:color="auto" w:fill="DBEFF9" w:themeFill="background2"/>
            <w:vAlign w:val="center"/>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Njesia e matjes</w:t>
            </w:r>
          </w:p>
        </w:tc>
        <w:tc>
          <w:tcPr>
            <w:tcW w:w="1879" w:type="dxa"/>
            <w:gridSpan w:val="2"/>
            <w:tcBorders>
              <w:top w:val="single" w:sz="4" w:space="0" w:color="0070C0"/>
              <w:left w:val="single" w:sz="4" w:space="0" w:color="0070C0"/>
              <w:bottom w:val="single" w:sz="4" w:space="0" w:color="0070C0"/>
              <w:right w:val="single" w:sz="4" w:space="0" w:color="0070C0"/>
            </w:tcBorders>
            <w:shd w:val="clear" w:color="auto" w:fill="DBEFF9" w:themeFill="background2"/>
            <w:noWrap/>
            <w:vAlign w:val="center"/>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Janar - Dhjetor</w:t>
            </w:r>
          </w:p>
        </w:tc>
        <w:tc>
          <w:tcPr>
            <w:tcW w:w="2587" w:type="dxa"/>
            <w:gridSpan w:val="2"/>
            <w:tcBorders>
              <w:top w:val="single" w:sz="4" w:space="0" w:color="0070C0"/>
              <w:left w:val="nil"/>
              <w:bottom w:val="single" w:sz="4" w:space="0" w:color="0070C0"/>
              <w:right w:val="single" w:sz="4" w:space="0" w:color="0070C0"/>
            </w:tcBorders>
            <w:shd w:val="clear" w:color="auto" w:fill="DBEFF9" w:themeFill="background2"/>
            <w:noWrap/>
            <w:vAlign w:val="center"/>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Diferenca</w:t>
            </w:r>
          </w:p>
        </w:tc>
      </w:tr>
      <w:tr w:rsidR="004C2B76" w:rsidRPr="004C2B76" w:rsidTr="004C2B76">
        <w:trPr>
          <w:trHeight w:val="239"/>
          <w:jc w:val="center"/>
        </w:trPr>
        <w:tc>
          <w:tcPr>
            <w:tcW w:w="3660" w:type="dxa"/>
            <w:vMerge/>
            <w:tcBorders>
              <w:top w:val="single" w:sz="4" w:space="0" w:color="0070C0"/>
              <w:left w:val="single" w:sz="4" w:space="0" w:color="0070C0"/>
              <w:bottom w:val="nil"/>
              <w:right w:val="single" w:sz="4" w:space="0" w:color="0070C0"/>
            </w:tcBorders>
            <w:shd w:val="clear" w:color="auto" w:fill="DBEFF9" w:themeFill="background2"/>
            <w:vAlign w:val="center"/>
            <w:hideMark/>
          </w:tcPr>
          <w:p w:rsidR="004C2B76" w:rsidRPr="004C2B76" w:rsidRDefault="004C2B76" w:rsidP="004C2B76">
            <w:pPr>
              <w:spacing w:before="0" w:line="240" w:lineRule="auto"/>
              <w:jc w:val="center"/>
              <w:rPr>
                <w:rFonts w:cs="Calibri"/>
                <w:color w:val="000000"/>
                <w:sz w:val="16"/>
                <w:szCs w:val="22"/>
                <w:lang w:val="en-GB" w:eastAsia="en-GB"/>
              </w:rPr>
            </w:pPr>
          </w:p>
        </w:tc>
        <w:tc>
          <w:tcPr>
            <w:tcW w:w="1117" w:type="dxa"/>
            <w:vMerge/>
            <w:tcBorders>
              <w:top w:val="single" w:sz="4" w:space="0" w:color="0070C0"/>
              <w:left w:val="nil"/>
              <w:bottom w:val="nil"/>
              <w:right w:val="nil"/>
            </w:tcBorders>
            <w:shd w:val="clear" w:color="auto" w:fill="DBEFF9" w:themeFill="background2"/>
            <w:vAlign w:val="center"/>
            <w:hideMark/>
          </w:tcPr>
          <w:p w:rsidR="004C2B76" w:rsidRPr="004C2B76" w:rsidRDefault="004C2B76" w:rsidP="004C2B76">
            <w:pPr>
              <w:spacing w:before="0" w:line="240" w:lineRule="auto"/>
              <w:jc w:val="center"/>
              <w:rPr>
                <w:rFonts w:cs="Calibri"/>
                <w:color w:val="000000"/>
                <w:sz w:val="16"/>
                <w:szCs w:val="22"/>
                <w:lang w:val="en-GB" w:eastAsia="en-GB"/>
              </w:rPr>
            </w:pPr>
          </w:p>
        </w:tc>
        <w:tc>
          <w:tcPr>
            <w:tcW w:w="918" w:type="dxa"/>
            <w:tcBorders>
              <w:top w:val="nil"/>
              <w:left w:val="single" w:sz="4" w:space="0" w:color="0070C0"/>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2021</w:t>
            </w:r>
          </w:p>
        </w:tc>
        <w:tc>
          <w:tcPr>
            <w:tcW w:w="961" w:type="dxa"/>
            <w:tcBorders>
              <w:top w:val="nil"/>
              <w:left w:val="nil"/>
              <w:bottom w:val="nil"/>
              <w:right w:val="single" w:sz="4" w:space="0" w:color="0070C0"/>
            </w:tcBorders>
            <w:shd w:val="clear" w:color="auto" w:fill="DBEFF9" w:themeFill="background2"/>
            <w:noWrap/>
            <w:vAlign w:val="bottom"/>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2022</w:t>
            </w:r>
          </w:p>
        </w:tc>
        <w:tc>
          <w:tcPr>
            <w:tcW w:w="1347" w:type="dxa"/>
            <w:tcBorders>
              <w:top w:val="nil"/>
              <w:left w:val="nil"/>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ne njesi fizike</w:t>
            </w:r>
          </w:p>
        </w:tc>
        <w:tc>
          <w:tcPr>
            <w:tcW w:w="1240" w:type="dxa"/>
            <w:tcBorders>
              <w:top w:val="nil"/>
              <w:left w:val="nil"/>
              <w:bottom w:val="nil"/>
              <w:right w:val="single" w:sz="4" w:space="0" w:color="0070C0"/>
            </w:tcBorders>
            <w:shd w:val="clear" w:color="auto" w:fill="DBEFF9" w:themeFill="background2"/>
            <w:noWrap/>
            <w:vAlign w:val="bottom"/>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ne perqind</w:t>
            </w:r>
          </w:p>
        </w:tc>
      </w:tr>
      <w:tr w:rsidR="004C2B76" w:rsidRPr="004C2B76" w:rsidTr="004C2B76">
        <w:trPr>
          <w:trHeight w:val="239"/>
          <w:jc w:val="center"/>
        </w:trPr>
        <w:tc>
          <w:tcPr>
            <w:tcW w:w="3660" w:type="dxa"/>
            <w:tcBorders>
              <w:top w:val="single" w:sz="4" w:space="0" w:color="0070C0"/>
              <w:left w:val="single" w:sz="4" w:space="0" w:color="0070C0"/>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Cigare</w:t>
            </w:r>
          </w:p>
        </w:tc>
        <w:tc>
          <w:tcPr>
            <w:tcW w:w="1117" w:type="dxa"/>
            <w:tcBorders>
              <w:top w:val="single" w:sz="4" w:space="0" w:color="0070C0"/>
              <w:left w:val="nil"/>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Ton</w:t>
            </w:r>
          </w:p>
        </w:tc>
        <w:tc>
          <w:tcPr>
            <w:tcW w:w="918" w:type="dxa"/>
            <w:tcBorders>
              <w:top w:val="single" w:sz="4" w:space="0" w:color="0070C0"/>
              <w:left w:val="nil"/>
              <w:bottom w:val="nil"/>
              <w:right w:val="nil"/>
            </w:tcBorders>
            <w:shd w:val="clear" w:color="auto" w:fill="DBEFF9" w:themeFill="background2"/>
            <w:noWrap/>
            <w:hideMark/>
          </w:tcPr>
          <w:p w:rsidR="004C2B76" w:rsidRPr="004C2B76" w:rsidRDefault="004C2B76" w:rsidP="004C2B76">
            <w:pPr>
              <w:spacing w:line="240" w:lineRule="auto"/>
              <w:jc w:val="center"/>
              <w:rPr>
                <w:sz w:val="16"/>
                <w:szCs w:val="18"/>
              </w:rPr>
            </w:pPr>
            <w:r w:rsidRPr="004C2B76">
              <w:rPr>
                <w:sz w:val="16"/>
                <w:szCs w:val="18"/>
              </w:rPr>
              <w:t>2,934</w:t>
            </w:r>
          </w:p>
        </w:tc>
        <w:tc>
          <w:tcPr>
            <w:tcW w:w="961" w:type="dxa"/>
            <w:tcBorders>
              <w:top w:val="single" w:sz="4" w:space="0" w:color="0070C0"/>
              <w:left w:val="nil"/>
              <w:bottom w:val="nil"/>
              <w:right w:val="nil"/>
            </w:tcBorders>
            <w:shd w:val="clear" w:color="auto" w:fill="DBEFF9" w:themeFill="background2"/>
            <w:noWrap/>
            <w:hideMark/>
          </w:tcPr>
          <w:p w:rsidR="004C2B76" w:rsidRPr="004C2B76" w:rsidRDefault="004C2B76" w:rsidP="004C2B76">
            <w:pPr>
              <w:spacing w:line="240" w:lineRule="auto"/>
              <w:jc w:val="center"/>
              <w:rPr>
                <w:sz w:val="16"/>
                <w:szCs w:val="18"/>
              </w:rPr>
            </w:pPr>
            <w:r w:rsidRPr="004C2B76">
              <w:rPr>
                <w:sz w:val="16"/>
                <w:szCs w:val="18"/>
              </w:rPr>
              <w:t>3,147</w:t>
            </w:r>
          </w:p>
        </w:tc>
        <w:tc>
          <w:tcPr>
            <w:tcW w:w="1347" w:type="dxa"/>
            <w:tcBorders>
              <w:top w:val="single" w:sz="4" w:space="0" w:color="0070C0"/>
              <w:left w:val="nil"/>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213</w:t>
            </w:r>
          </w:p>
        </w:tc>
        <w:tc>
          <w:tcPr>
            <w:tcW w:w="1240" w:type="dxa"/>
            <w:tcBorders>
              <w:top w:val="single" w:sz="4" w:space="0" w:color="0070C0"/>
              <w:left w:val="nil"/>
              <w:bottom w:val="nil"/>
              <w:right w:val="single" w:sz="4" w:space="0" w:color="0070C0"/>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11.8%</w:t>
            </w:r>
          </w:p>
        </w:tc>
      </w:tr>
      <w:tr w:rsidR="004C2B76" w:rsidRPr="004C2B76" w:rsidTr="004C2B76">
        <w:trPr>
          <w:trHeight w:val="239"/>
          <w:jc w:val="center"/>
        </w:trPr>
        <w:tc>
          <w:tcPr>
            <w:tcW w:w="3660" w:type="dxa"/>
            <w:tcBorders>
              <w:top w:val="nil"/>
              <w:left w:val="single" w:sz="4" w:space="0" w:color="0070C0"/>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Gaz I lëngët</w:t>
            </w:r>
          </w:p>
        </w:tc>
        <w:tc>
          <w:tcPr>
            <w:tcW w:w="1117" w:type="dxa"/>
            <w:tcBorders>
              <w:top w:val="nil"/>
              <w:left w:val="nil"/>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Ton</w:t>
            </w:r>
          </w:p>
        </w:tc>
        <w:tc>
          <w:tcPr>
            <w:tcW w:w="918" w:type="dxa"/>
            <w:tcBorders>
              <w:top w:val="nil"/>
              <w:left w:val="nil"/>
              <w:bottom w:val="nil"/>
              <w:right w:val="nil"/>
            </w:tcBorders>
            <w:shd w:val="clear" w:color="auto" w:fill="DBEFF9" w:themeFill="background2"/>
            <w:noWrap/>
            <w:vAlign w:val="center"/>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179,767</w:t>
            </w:r>
          </w:p>
        </w:tc>
        <w:tc>
          <w:tcPr>
            <w:tcW w:w="961" w:type="dxa"/>
            <w:tcBorders>
              <w:top w:val="nil"/>
              <w:left w:val="nil"/>
              <w:bottom w:val="nil"/>
              <w:right w:val="nil"/>
            </w:tcBorders>
            <w:shd w:val="clear" w:color="auto" w:fill="DBEFF9" w:themeFill="background2"/>
            <w:noWrap/>
            <w:vAlign w:val="center"/>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178,860</w:t>
            </w:r>
          </w:p>
        </w:tc>
        <w:tc>
          <w:tcPr>
            <w:tcW w:w="1347" w:type="dxa"/>
            <w:tcBorders>
              <w:top w:val="nil"/>
              <w:left w:val="nil"/>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-907</w:t>
            </w:r>
          </w:p>
        </w:tc>
        <w:tc>
          <w:tcPr>
            <w:tcW w:w="1240" w:type="dxa"/>
            <w:tcBorders>
              <w:top w:val="nil"/>
              <w:left w:val="nil"/>
              <w:bottom w:val="nil"/>
              <w:right w:val="single" w:sz="4" w:space="0" w:color="0070C0"/>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74.5%</w:t>
            </w:r>
          </w:p>
        </w:tc>
      </w:tr>
      <w:tr w:rsidR="004C2B76" w:rsidRPr="004C2B76" w:rsidTr="004C2B76">
        <w:trPr>
          <w:trHeight w:val="239"/>
          <w:jc w:val="center"/>
        </w:trPr>
        <w:tc>
          <w:tcPr>
            <w:tcW w:w="3660" w:type="dxa"/>
            <w:tcBorders>
              <w:top w:val="nil"/>
              <w:left w:val="single" w:sz="4" w:space="0" w:color="0070C0"/>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Pije alkolike Import</w:t>
            </w:r>
          </w:p>
        </w:tc>
        <w:tc>
          <w:tcPr>
            <w:tcW w:w="1117" w:type="dxa"/>
            <w:tcBorders>
              <w:top w:val="nil"/>
              <w:left w:val="nil"/>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Mij/lit</w:t>
            </w:r>
          </w:p>
        </w:tc>
        <w:tc>
          <w:tcPr>
            <w:tcW w:w="918" w:type="dxa"/>
            <w:tcBorders>
              <w:top w:val="nil"/>
              <w:left w:val="nil"/>
              <w:bottom w:val="nil"/>
              <w:right w:val="nil"/>
            </w:tcBorders>
            <w:shd w:val="clear" w:color="auto" w:fill="DBEFF9" w:themeFill="background2"/>
            <w:noWrap/>
            <w:hideMark/>
          </w:tcPr>
          <w:p w:rsidR="004C2B76" w:rsidRPr="004C2B76" w:rsidRDefault="004C2B76" w:rsidP="004C2B76">
            <w:pPr>
              <w:spacing w:line="240" w:lineRule="auto"/>
              <w:jc w:val="center"/>
              <w:rPr>
                <w:sz w:val="16"/>
                <w:szCs w:val="18"/>
              </w:rPr>
            </w:pPr>
            <w:r w:rsidRPr="004C2B76">
              <w:rPr>
                <w:sz w:val="16"/>
                <w:szCs w:val="18"/>
              </w:rPr>
              <w:t>1,408</w:t>
            </w:r>
          </w:p>
        </w:tc>
        <w:tc>
          <w:tcPr>
            <w:tcW w:w="961" w:type="dxa"/>
            <w:tcBorders>
              <w:top w:val="nil"/>
              <w:left w:val="nil"/>
              <w:bottom w:val="nil"/>
              <w:right w:val="nil"/>
            </w:tcBorders>
            <w:shd w:val="clear" w:color="auto" w:fill="DBEFF9" w:themeFill="background2"/>
            <w:noWrap/>
            <w:hideMark/>
          </w:tcPr>
          <w:p w:rsidR="004C2B76" w:rsidRPr="004C2B76" w:rsidRDefault="004C2B76" w:rsidP="004C2B76">
            <w:pPr>
              <w:spacing w:line="240" w:lineRule="auto"/>
              <w:jc w:val="center"/>
              <w:rPr>
                <w:sz w:val="16"/>
                <w:szCs w:val="18"/>
              </w:rPr>
            </w:pPr>
            <w:r w:rsidRPr="004C2B76">
              <w:rPr>
                <w:sz w:val="16"/>
                <w:szCs w:val="18"/>
              </w:rPr>
              <w:t>1,952</w:t>
            </w:r>
          </w:p>
        </w:tc>
        <w:tc>
          <w:tcPr>
            <w:tcW w:w="1347" w:type="dxa"/>
            <w:tcBorders>
              <w:top w:val="nil"/>
              <w:left w:val="nil"/>
              <w:bottom w:val="nil"/>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543</w:t>
            </w:r>
          </w:p>
        </w:tc>
        <w:tc>
          <w:tcPr>
            <w:tcW w:w="1240" w:type="dxa"/>
            <w:tcBorders>
              <w:top w:val="nil"/>
              <w:left w:val="nil"/>
              <w:bottom w:val="nil"/>
              <w:right w:val="single" w:sz="4" w:space="0" w:color="0070C0"/>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54.7%</w:t>
            </w:r>
          </w:p>
        </w:tc>
      </w:tr>
      <w:tr w:rsidR="004C2B76" w:rsidRPr="004C2B76" w:rsidTr="004C2B76">
        <w:trPr>
          <w:trHeight w:val="239"/>
          <w:jc w:val="center"/>
        </w:trPr>
        <w:tc>
          <w:tcPr>
            <w:tcW w:w="3660" w:type="dxa"/>
            <w:tcBorders>
              <w:top w:val="nil"/>
              <w:left w:val="single" w:sz="4" w:space="0" w:color="0070C0"/>
              <w:bottom w:val="single" w:sz="4" w:space="0" w:color="0070C0"/>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b/>
                <w:color w:val="000000"/>
                <w:sz w:val="16"/>
                <w:szCs w:val="22"/>
                <w:lang w:val="en-GB" w:eastAsia="en-GB"/>
              </w:rPr>
            </w:pPr>
            <w:r w:rsidRPr="004C2B76">
              <w:rPr>
                <w:rFonts w:cs="Calibri"/>
                <w:b/>
                <w:color w:val="000000"/>
                <w:sz w:val="16"/>
                <w:szCs w:val="22"/>
                <w:lang w:val="en-GB" w:eastAsia="en-GB"/>
              </w:rPr>
              <w:t>Birrë Importi</w:t>
            </w:r>
          </w:p>
        </w:tc>
        <w:tc>
          <w:tcPr>
            <w:tcW w:w="1117" w:type="dxa"/>
            <w:tcBorders>
              <w:top w:val="nil"/>
              <w:left w:val="nil"/>
              <w:bottom w:val="single" w:sz="4" w:space="0" w:color="0070C0"/>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Mij/lit</w:t>
            </w:r>
          </w:p>
        </w:tc>
        <w:tc>
          <w:tcPr>
            <w:tcW w:w="918" w:type="dxa"/>
            <w:tcBorders>
              <w:top w:val="nil"/>
              <w:left w:val="nil"/>
              <w:bottom w:val="single" w:sz="4" w:space="0" w:color="0070C0"/>
              <w:right w:val="nil"/>
            </w:tcBorders>
            <w:shd w:val="clear" w:color="auto" w:fill="DBEFF9" w:themeFill="background2"/>
            <w:noWrap/>
            <w:vAlign w:val="center"/>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49,892</w:t>
            </w:r>
          </w:p>
        </w:tc>
        <w:tc>
          <w:tcPr>
            <w:tcW w:w="961" w:type="dxa"/>
            <w:tcBorders>
              <w:top w:val="nil"/>
              <w:left w:val="nil"/>
              <w:bottom w:val="single" w:sz="4" w:space="0" w:color="0070C0"/>
              <w:right w:val="nil"/>
            </w:tcBorders>
            <w:shd w:val="clear" w:color="auto" w:fill="DBEFF9" w:themeFill="background2"/>
            <w:noWrap/>
            <w:vAlign w:val="center"/>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51,992</w:t>
            </w:r>
          </w:p>
        </w:tc>
        <w:tc>
          <w:tcPr>
            <w:tcW w:w="1347" w:type="dxa"/>
            <w:tcBorders>
              <w:top w:val="nil"/>
              <w:left w:val="nil"/>
              <w:bottom w:val="single" w:sz="4" w:space="0" w:color="0070C0"/>
              <w:right w:val="nil"/>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2,100</w:t>
            </w:r>
          </w:p>
        </w:tc>
        <w:tc>
          <w:tcPr>
            <w:tcW w:w="1240" w:type="dxa"/>
            <w:tcBorders>
              <w:top w:val="nil"/>
              <w:left w:val="nil"/>
              <w:bottom w:val="single" w:sz="4" w:space="0" w:color="0070C0"/>
              <w:right w:val="single" w:sz="4" w:space="0" w:color="0070C0"/>
            </w:tcBorders>
            <w:shd w:val="clear" w:color="auto" w:fill="DBEFF9" w:themeFill="background2"/>
            <w:noWrap/>
            <w:vAlign w:val="bottom"/>
            <w:hideMark/>
          </w:tcPr>
          <w:p w:rsidR="004C2B76" w:rsidRPr="004C2B76" w:rsidRDefault="004C2B76" w:rsidP="004C2B76">
            <w:pPr>
              <w:spacing w:before="0" w:line="240" w:lineRule="auto"/>
              <w:jc w:val="center"/>
              <w:rPr>
                <w:rFonts w:cs="Calibri"/>
                <w:color w:val="000000"/>
                <w:sz w:val="16"/>
                <w:szCs w:val="22"/>
                <w:lang w:val="en-GB" w:eastAsia="en-GB"/>
              </w:rPr>
            </w:pPr>
            <w:r w:rsidRPr="004C2B76">
              <w:rPr>
                <w:rFonts w:cs="Calibri"/>
                <w:color w:val="000000"/>
                <w:sz w:val="16"/>
                <w:szCs w:val="22"/>
                <w:lang w:val="en-GB" w:eastAsia="en-GB"/>
              </w:rPr>
              <w:t>6.1%</w:t>
            </w:r>
          </w:p>
        </w:tc>
      </w:tr>
    </w:tbl>
    <w:p w:rsidR="006D2CC4"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F83EE8" w:rsidRPr="00981E8B" w:rsidRDefault="00F83EE8" w:rsidP="00FC729E">
      <w:pPr>
        <w:spacing w:before="0"/>
        <w:rPr>
          <w:rFonts w:cs="Calibri"/>
          <w:i/>
          <w:noProof/>
          <w:sz w:val="8"/>
          <w:szCs w:val="18"/>
          <w:lang w:val="sq-AL"/>
        </w:rPr>
      </w:pPr>
    </w:p>
    <w:p w:rsidR="00F82F26" w:rsidRPr="00F04A00" w:rsidRDefault="00F82F26" w:rsidP="00FC729E">
      <w:pPr>
        <w:pStyle w:val="Caption"/>
        <w:keepNext/>
        <w:spacing w:after="0"/>
        <w:rPr>
          <w:rFonts w:cs="Calibri"/>
          <w:lang w:val="sq-AL"/>
        </w:rPr>
      </w:pPr>
      <w:bookmarkStart w:id="102" w:name="_Toc136526462"/>
      <w:r w:rsidRPr="00F04A00">
        <w:rPr>
          <w:rFonts w:cs="Calibri"/>
          <w:lang w:val="sq-AL"/>
        </w:rPr>
        <w:t xml:space="preserve">Grafiku </w:t>
      </w:r>
      <w:r w:rsidR="00C87F41" w:rsidRPr="00F04A00">
        <w:rPr>
          <w:rFonts w:cs="Calibri"/>
          <w:noProof/>
          <w:lang w:val="sq-AL"/>
        </w:rPr>
        <w:fldChar w:fldCharType="begin"/>
      </w:r>
      <w:r w:rsidR="00C87F41" w:rsidRPr="00F04A00">
        <w:rPr>
          <w:rFonts w:cs="Calibri"/>
          <w:noProof/>
          <w:lang w:val="sq-AL"/>
        </w:rPr>
        <w:instrText xml:space="preserve"> SEQ Grafiku \* ARABIC </w:instrText>
      </w:r>
      <w:r w:rsidR="00C87F41" w:rsidRPr="00F04A00">
        <w:rPr>
          <w:rFonts w:cs="Calibri"/>
          <w:noProof/>
          <w:lang w:val="sq-AL"/>
        </w:rPr>
        <w:fldChar w:fldCharType="separate"/>
      </w:r>
      <w:r w:rsidR="008C3E07">
        <w:rPr>
          <w:rFonts w:cs="Calibri"/>
          <w:noProof/>
          <w:lang w:val="sq-AL"/>
        </w:rPr>
        <w:t>17</w:t>
      </w:r>
      <w:r w:rsidR="00C87F41" w:rsidRPr="00F04A00">
        <w:rPr>
          <w:rFonts w:cs="Calibri"/>
          <w:noProof/>
          <w:lang w:val="sq-AL"/>
        </w:rPr>
        <w:fldChar w:fldCharType="end"/>
      </w:r>
      <w:r w:rsidRPr="00F04A00">
        <w:rPr>
          <w:rFonts w:cs="Calibri"/>
          <w:lang w:val="sq-AL"/>
        </w:rPr>
        <w:t xml:space="preserve"> Akciza n</w:t>
      </w:r>
      <w:r w:rsidR="00C33B16" w:rsidRPr="00F04A00">
        <w:rPr>
          <w:rFonts w:cs="Calibri"/>
          <w:lang w:val="sq-AL"/>
        </w:rPr>
        <w:t>ë</w:t>
      </w:r>
      <w:r w:rsidRPr="00F04A00">
        <w:rPr>
          <w:rFonts w:cs="Calibri"/>
          <w:lang w:val="sq-AL"/>
        </w:rPr>
        <w:t xml:space="preserve"> vite (miliard lek</w:t>
      </w:r>
      <w:r w:rsidR="00C33B16" w:rsidRPr="00F04A00">
        <w:rPr>
          <w:rFonts w:cs="Calibri"/>
          <w:lang w:val="sq-AL"/>
        </w:rPr>
        <w:t>ë</w:t>
      </w:r>
      <w:r w:rsidRPr="00F04A00">
        <w:rPr>
          <w:rFonts w:cs="Calibri"/>
          <w:lang w:val="sq-AL"/>
        </w:rPr>
        <w:t>)</w:t>
      </w:r>
      <w:bookmarkEnd w:id="102"/>
      <w:r w:rsidRPr="00F04A00">
        <w:rPr>
          <w:rFonts w:cs="Calibri"/>
          <w:lang w:val="sq-AL"/>
        </w:rPr>
        <w:t xml:space="preserve"> </w:t>
      </w:r>
    </w:p>
    <w:p w:rsidR="005616CC" w:rsidRPr="00476D2E" w:rsidRDefault="004C2B76" w:rsidP="00FC729E">
      <w:pPr>
        <w:spacing w:before="0"/>
        <w:jc w:val="center"/>
        <w:rPr>
          <w:rFonts w:cs="Calibri"/>
          <w:lang w:val="sq-AL"/>
        </w:rPr>
      </w:pPr>
      <w:r w:rsidRPr="00734A96">
        <w:rPr>
          <w:noProof/>
        </w:rPr>
        <w:drawing>
          <wp:inline distT="0" distB="0" distL="0" distR="0" wp14:anchorId="3442FA63" wp14:editId="088C864E">
            <wp:extent cx="6648450" cy="1975338"/>
            <wp:effectExtent l="0" t="0" r="0" b="6350"/>
            <wp:docPr id="4" name="Chart 4">
              <a:extLst xmlns:a="http://schemas.openxmlformats.org/drawingml/2006/main">
                <a:ext uri="{FF2B5EF4-FFF2-40B4-BE49-F238E27FC236}">
                  <a16:creationId xmlns:a16="http://schemas.microsoft.com/office/drawing/2014/main" id="{98ED16BF-0EA6-4681-B939-169A255380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A3391" w:rsidRDefault="00153CD6" w:rsidP="00153CD6">
      <w:pPr>
        <w:spacing w:before="0" w:line="360" w:lineRule="auto"/>
        <w:jc w:val="left"/>
        <w:rPr>
          <w:rFonts w:cs="Calibri"/>
          <w:i/>
          <w:noProof/>
          <w:sz w:val="18"/>
          <w:szCs w:val="18"/>
          <w:lang w:val="sq-AL"/>
        </w:rPr>
      </w:pPr>
      <w:r>
        <w:rPr>
          <w:rFonts w:cs="Calibri"/>
          <w:i/>
          <w:noProof/>
          <w:sz w:val="18"/>
          <w:szCs w:val="18"/>
          <w:lang w:val="sq-AL"/>
        </w:rPr>
        <w:t>Burimi: Ministria e Financave dhe Ekonomisë (2023)</w:t>
      </w:r>
    </w:p>
    <w:p w:rsidR="00F83EE8" w:rsidRPr="001D1FB4" w:rsidRDefault="00F83EE8" w:rsidP="00FC729E">
      <w:pPr>
        <w:spacing w:before="0"/>
        <w:jc w:val="left"/>
        <w:rPr>
          <w:rFonts w:cs="Calibri"/>
          <w:i/>
          <w:noProof/>
          <w:sz w:val="8"/>
          <w:szCs w:val="8"/>
          <w:lang w:val="sq-AL"/>
        </w:rPr>
      </w:pPr>
    </w:p>
    <w:p w:rsidR="00F82F26" w:rsidRPr="001D1FB4" w:rsidRDefault="00F82F26" w:rsidP="00FC729E">
      <w:pPr>
        <w:pStyle w:val="Caption"/>
        <w:keepNext/>
        <w:spacing w:after="0"/>
        <w:rPr>
          <w:rFonts w:cs="Calibri"/>
          <w:lang w:val="sq-AL"/>
        </w:rPr>
      </w:pPr>
      <w:bookmarkStart w:id="103" w:name="_Toc136526463"/>
      <w:r w:rsidRPr="001D1FB4">
        <w:rPr>
          <w:rFonts w:cs="Calibri"/>
          <w:lang w:val="sq-AL"/>
        </w:rPr>
        <w:lastRenderedPageBreak/>
        <w:t xml:space="preserve">Grafiku </w:t>
      </w:r>
      <w:r w:rsidR="00C87F41" w:rsidRPr="001D1FB4">
        <w:rPr>
          <w:rFonts w:cs="Calibri"/>
          <w:noProof/>
          <w:lang w:val="sq-AL"/>
        </w:rPr>
        <w:fldChar w:fldCharType="begin"/>
      </w:r>
      <w:r w:rsidR="00C87F41" w:rsidRPr="001D1FB4">
        <w:rPr>
          <w:rFonts w:cs="Calibri"/>
          <w:noProof/>
          <w:lang w:val="sq-AL"/>
        </w:rPr>
        <w:instrText xml:space="preserve"> SEQ Grafiku \* ARABIC </w:instrText>
      </w:r>
      <w:r w:rsidR="00C87F41" w:rsidRPr="001D1FB4">
        <w:rPr>
          <w:rFonts w:cs="Calibri"/>
          <w:noProof/>
          <w:lang w:val="sq-AL"/>
        </w:rPr>
        <w:fldChar w:fldCharType="separate"/>
      </w:r>
      <w:r w:rsidR="008C3E07">
        <w:rPr>
          <w:rFonts w:cs="Calibri"/>
          <w:noProof/>
          <w:lang w:val="sq-AL"/>
        </w:rPr>
        <w:t>18</w:t>
      </w:r>
      <w:r w:rsidR="00C87F41" w:rsidRPr="001D1FB4">
        <w:rPr>
          <w:rFonts w:cs="Calibri"/>
          <w:noProof/>
          <w:lang w:val="sq-AL"/>
        </w:rPr>
        <w:fldChar w:fldCharType="end"/>
      </w:r>
      <w:r w:rsidRPr="001D1FB4">
        <w:rPr>
          <w:rFonts w:cs="Calibri"/>
          <w:lang w:val="sq-AL"/>
        </w:rPr>
        <w:t xml:space="preserve"> Akciza sipas natyr</w:t>
      </w:r>
      <w:r w:rsidR="00C33B16" w:rsidRPr="001D1FB4">
        <w:rPr>
          <w:rFonts w:cs="Calibri"/>
          <w:lang w:val="sq-AL"/>
        </w:rPr>
        <w:t>ë</w:t>
      </w:r>
      <w:r w:rsidRPr="001D1FB4">
        <w:rPr>
          <w:rFonts w:cs="Calibri"/>
          <w:lang w:val="sq-AL"/>
        </w:rPr>
        <w:t>s s</w:t>
      </w:r>
      <w:r w:rsidR="00C33B16" w:rsidRPr="001D1FB4">
        <w:rPr>
          <w:rFonts w:cs="Calibri"/>
          <w:lang w:val="sq-AL"/>
        </w:rPr>
        <w:t>ë</w:t>
      </w:r>
      <w:r w:rsidRPr="001D1FB4">
        <w:rPr>
          <w:rFonts w:cs="Calibri"/>
          <w:lang w:val="sq-AL"/>
        </w:rPr>
        <w:t xml:space="preserve"> mallrave (n</w:t>
      </w:r>
      <w:r w:rsidR="00C33B16" w:rsidRPr="001D1FB4">
        <w:rPr>
          <w:rFonts w:cs="Calibri"/>
          <w:lang w:val="sq-AL"/>
        </w:rPr>
        <w:t>ë</w:t>
      </w:r>
      <w:r w:rsidRPr="001D1FB4">
        <w:rPr>
          <w:rFonts w:cs="Calibri"/>
          <w:lang w:val="sq-AL"/>
        </w:rPr>
        <w:t xml:space="preserve"> %)</w:t>
      </w:r>
      <w:bookmarkEnd w:id="103"/>
    </w:p>
    <w:p w:rsidR="006D2CC4" w:rsidRPr="00476D2E" w:rsidRDefault="004C2B76" w:rsidP="00FC729E">
      <w:pPr>
        <w:spacing w:before="0"/>
        <w:contextualSpacing/>
        <w:jc w:val="center"/>
        <w:rPr>
          <w:rFonts w:cs="Calibri"/>
          <w:i/>
          <w:noProof/>
          <w:sz w:val="20"/>
          <w:lang w:val="sq-AL"/>
        </w:rPr>
      </w:pPr>
      <w:r w:rsidRPr="00734A96">
        <w:rPr>
          <w:rFonts w:cs="Calibri"/>
          <w:noProof/>
        </w:rPr>
        <w:drawing>
          <wp:inline distT="0" distB="0" distL="0" distR="0" wp14:anchorId="120905C0" wp14:editId="7F2E5F0D">
            <wp:extent cx="5434818" cy="1799492"/>
            <wp:effectExtent l="0" t="0" r="13970" b="10795"/>
            <wp:docPr id="59"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D2CC4" w:rsidRDefault="00153CD6" w:rsidP="00153CD6">
      <w:pPr>
        <w:spacing w:line="360" w:lineRule="auto"/>
        <w:ind w:firstLine="720"/>
        <w:contextualSpacing/>
        <w:rPr>
          <w:rFonts w:cs="Calibri"/>
          <w:i/>
          <w:noProof/>
          <w:sz w:val="18"/>
          <w:szCs w:val="18"/>
          <w:lang w:val="sq-AL"/>
        </w:rPr>
      </w:pPr>
      <w:r>
        <w:rPr>
          <w:rFonts w:cs="Calibri"/>
          <w:i/>
          <w:noProof/>
          <w:sz w:val="18"/>
          <w:szCs w:val="18"/>
          <w:lang w:val="sq-AL"/>
        </w:rPr>
        <w:t>Burimi: Ministria e Financave dhe Ekonomisë (2023)</w:t>
      </w:r>
    </w:p>
    <w:p w:rsidR="004C2B76" w:rsidRPr="00153CD6" w:rsidRDefault="004C2B76" w:rsidP="00FC729E">
      <w:pPr>
        <w:ind w:firstLine="720"/>
        <w:contextualSpacing/>
        <w:rPr>
          <w:rFonts w:cs="Calibri"/>
          <w:i/>
          <w:noProof/>
          <w:sz w:val="4"/>
          <w:szCs w:val="18"/>
          <w:lang w:val="sq-AL"/>
        </w:rPr>
      </w:pPr>
    </w:p>
    <w:p w:rsidR="006D2CC4" w:rsidRPr="00476D2E" w:rsidRDefault="006D2CC4" w:rsidP="00FC729E">
      <w:pPr>
        <w:pStyle w:val="ListParagraph"/>
        <w:numPr>
          <w:ilvl w:val="0"/>
          <w:numId w:val="1"/>
        </w:numPr>
        <w:spacing w:before="0"/>
        <w:ind w:left="990" w:hanging="270"/>
        <w:rPr>
          <w:rFonts w:cs="Calibri"/>
          <w:i/>
          <w:noProof/>
          <w:u w:val="single"/>
          <w:lang w:val="sq-AL"/>
        </w:rPr>
      </w:pPr>
      <w:r w:rsidRPr="00476D2E">
        <w:rPr>
          <w:rFonts w:cs="Calibri"/>
          <w:i/>
          <w:noProof/>
          <w:u w:val="single"/>
          <w:lang w:val="sq-AL"/>
        </w:rPr>
        <w:t>Taksat doganore</w:t>
      </w:r>
    </w:p>
    <w:p w:rsidR="00562D7C" w:rsidRDefault="002719F2" w:rsidP="00FC729E">
      <w:pPr>
        <w:spacing w:before="0"/>
        <w:rPr>
          <w:rFonts w:cs="Calibri"/>
          <w:noProof/>
          <w:lang w:val="sq-AL"/>
        </w:rPr>
      </w:pPr>
      <w:r w:rsidRPr="00A21972">
        <w:rPr>
          <w:rFonts w:cs="Calibri"/>
          <w:noProof/>
          <w:lang w:val="sq-AL"/>
        </w:rPr>
        <w:t xml:space="preserve">Të ardhurat </w:t>
      </w:r>
      <w:r w:rsidR="004C2B76" w:rsidRPr="00734A96">
        <w:rPr>
          <w:rFonts w:cs="Calibri"/>
          <w:noProof/>
          <w:lang w:val="sq-AL"/>
        </w:rPr>
        <w:t>nga taksa doganore për periudhën Janar–Dhjetor 2022 janë rreth 8.4 miliardë lekë; krahasuar me të njëjtën periudhë të vitit 2021, të ardhurat nga kjo taksë janë rritur me 990 milionë lekë ose 13.3</w:t>
      </w:r>
      <w:r w:rsidR="004C2B76">
        <w:rPr>
          <w:rFonts w:cs="Calibri"/>
          <w:noProof/>
          <w:lang w:val="sq-AL"/>
        </w:rPr>
        <w:t>%</w:t>
      </w:r>
      <w:r w:rsidR="004C2B76" w:rsidRPr="00734A96">
        <w:rPr>
          <w:rFonts w:cs="Calibri"/>
          <w:noProof/>
          <w:lang w:val="sq-AL"/>
        </w:rPr>
        <w:t>, si dhe realizim në masën 99.4</w:t>
      </w:r>
      <w:r w:rsidR="004C2B76">
        <w:rPr>
          <w:rFonts w:cs="Calibri"/>
          <w:noProof/>
          <w:lang w:val="sq-AL"/>
        </w:rPr>
        <w:t>%</w:t>
      </w:r>
      <w:r w:rsidR="004C2B76" w:rsidRPr="00734A96">
        <w:rPr>
          <w:rFonts w:cs="Calibri"/>
          <w:noProof/>
          <w:lang w:val="sq-AL"/>
        </w:rPr>
        <w:t xml:space="preserve"> e planit të rishikuar. Peshën më të madhe në taksën doganore e zënë produket si cigaret (11%), mish importi (10%), veshjet e këmbës, (9%) elektro shtepiake (7%).  Faktori kryesor që ka ndikuar në realizim, lidhet me rritjen e volumit te importit nga Kina</w:t>
      </w:r>
      <w:r w:rsidR="00562D7C" w:rsidRPr="00476D2E">
        <w:rPr>
          <w:rFonts w:cs="Calibri"/>
          <w:noProof/>
          <w:lang w:val="sq-AL"/>
        </w:rPr>
        <w:t>.</w:t>
      </w:r>
    </w:p>
    <w:p w:rsidR="00EA69A7" w:rsidRPr="00EA69A7" w:rsidRDefault="00EA69A7" w:rsidP="00FC729E">
      <w:pPr>
        <w:spacing w:before="0"/>
        <w:rPr>
          <w:rFonts w:cs="Calibri"/>
          <w:bCs/>
          <w:iCs/>
          <w:sz w:val="8"/>
          <w:szCs w:val="8"/>
          <w:lang w:val="sq-AL"/>
        </w:rPr>
      </w:pPr>
    </w:p>
    <w:p w:rsidR="006D2CC4" w:rsidRPr="00476D2E" w:rsidRDefault="006D2CC4" w:rsidP="00FC729E">
      <w:pPr>
        <w:pStyle w:val="ListParagraph"/>
        <w:numPr>
          <w:ilvl w:val="0"/>
          <w:numId w:val="1"/>
        </w:numPr>
        <w:spacing w:before="0"/>
        <w:ind w:left="990" w:hanging="270"/>
        <w:rPr>
          <w:rFonts w:cs="Calibri"/>
          <w:i/>
          <w:noProof/>
          <w:u w:val="single"/>
          <w:lang w:val="sq-AL"/>
        </w:rPr>
      </w:pPr>
      <w:r w:rsidRPr="00476D2E">
        <w:rPr>
          <w:rFonts w:cs="Calibri"/>
          <w:i/>
          <w:noProof/>
          <w:u w:val="single"/>
          <w:lang w:val="sq-AL"/>
        </w:rPr>
        <w:t>Taksat nacionale</w:t>
      </w:r>
    </w:p>
    <w:p w:rsidR="00562D7C" w:rsidRPr="00476D2E" w:rsidRDefault="002719F2" w:rsidP="00FC729E">
      <w:pPr>
        <w:spacing w:before="0"/>
        <w:rPr>
          <w:rFonts w:cs="Calibri"/>
          <w:color w:val="FF0000"/>
          <w:lang w:val="sq-AL"/>
        </w:rPr>
      </w:pPr>
      <w:r w:rsidRPr="00077578">
        <w:rPr>
          <w:rFonts w:cs="Calibri"/>
          <w:lang w:val="sq-AL"/>
        </w:rPr>
        <w:t xml:space="preserve">Të ardhurat nga taksat nacionale </w:t>
      </w:r>
      <w:r w:rsidR="004C2B76" w:rsidRPr="00734A96">
        <w:rPr>
          <w:rFonts w:cs="Calibri"/>
          <w:lang w:val="sq-AL"/>
        </w:rPr>
        <w:t>për periudhën janë realizuar në vlerën 40.6 miliardë lekë, me realizim ndaj planit të rishikuar në masën 92.3</w:t>
      </w:r>
      <w:r w:rsidR="004C2B76">
        <w:rPr>
          <w:rFonts w:cs="Calibri"/>
          <w:lang w:val="sq-AL"/>
        </w:rPr>
        <w:t>%</w:t>
      </w:r>
      <w:r w:rsidR="004C2B76" w:rsidRPr="00734A96">
        <w:rPr>
          <w:rFonts w:cs="Calibri"/>
          <w:lang w:val="sq-AL"/>
        </w:rPr>
        <w:t xml:space="preserve"> ose 3.4 miliardë lekë më pak. Krahasuar me vitin e kaluar, të ardhurat nga taksat nacionale kanë pësuar rritje në masën 1.4</w:t>
      </w:r>
      <w:r w:rsidR="004C2B76">
        <w:rPr>
          <w:rFonts w:cs="Calibri"/>
          <w:lang w:val="sq-AL"/>
        </w:rPr>
        <w:t>%</w:t>
      </w:r>
      <w:r w:rsidR="004C2B76" w:rsidRPr="00734A96">
        <w:rPr>
          <w:rFonts w:cs="Calibri"/>
          <w:lang w:val="sq-AL"/>
        </w:rPr>
        <w:t xml:space="preserve"> apo 547 milionë lekë</w:t>
      </w:r>
      <w:r w:rsidR="00562D7C" w:rsidRPr="00476D2E">
        <w:rPr>
          <w:rFonts w:cs="Calibri"/>
          <w:lang w:val="sq-AL"/>
        </w:rPr>
        <w:t xml:space="preserve">. </w:t>
      </w:r>
    </w:p>
    <w:p w:rsidR="00350A9F" w:rsidRDefault="00350A9F" w:rsidP="00FC729E">
      <w:pPr>
        <w:spacing w:before="0"/>
        <w:rPr>
          <w:rFonts w:cs="Calibri"/>
          <w:sz w:val="20"/>
          <w:lang w:val="sq-AL"/>
        </w:rPr>
      </w:pPr>
    </w:p>
    <w:p w:rsidR="004C2B76" w:rsidRPr="00EA69A7" w:rsidRDefault="004C2B76" w:rsidP="00FC729E">
      <w:pPr>
        <w:spacing w:before="0"/>
        <w:rPr>
          <w:rFonts w:cs="Calibri"/>
          <w:sz w:val="20"/>
          <w:lang w:val="sq-AL"/>
        </w:rPr>
      </w:pPr>
    </w:p>
    <w:p w:rsidR="006D2CC4" w:rsidRPr="004C2B76" w:rsidRDefault="006D2CC4" w:rsidP="00FC729E">
      <w:pPr>
        <w:pStyle w:val="fiskale3"/>
        <w:rPr>
          <w:rFonts w:ascii="Calibri" w:hAnsi="Calibri" w:cs="Calibri"/>
        </w:rPr>
      </w:pPr>
      <w:bookmarkStart w:id="104" w:name="_Toc10033276"/>
      <w:bookmarkStart w:id="105" w:name="_Toc10721413"/>
      <w:bookmarkStart w:id="106" w:name="_Toc104980331"/>
      <w:r w:rsidRPr="004C2B76">
        <w:rPr>
          <w:rFonts w:ascii="Calibri" w:hAnsi="Calibri" w:cs="Calibri"/>
        </w:rPr>
        <w:t>Taksimi direkt</w:t>
      </w:r>
      <w:bookmarkEnd w:id="104"/>
      <w:bookmarkEnd w:id="105"/>
      <w:bookmarkEnd w:id="106"/>
    </w:p>
    <w:p w:rsidR="006D2CC4" w:rsidRPr="00476D2E" w:rsidRDefault="006D2CC4" w:rsidP="00FC729E">
      <w:pPr>
        <w:pStyle w:val="ListParagraph"/>
        <w:numPr>
          <w:ilvl w:val="0"/>
          <w:numId w:val="1"/>
        </w:numPr>
        <w:ind w:left="990" w:hanging="270"/>
        <w:rPr>
          <w:rFonts w:cs="Calibri"/>
          <w:i/>
          <w:noProof/>
          <w:u w:val="single"/>
          <w:lang w:val="sq-AL"/>
        </w:rPr>
      </w:pPr>
      <w:r w:rsidRPr="00476D2E">
        <w:rPr>
          <w:rFonts w:cs="Calibri"/>
          <w:i/>
          <w:noProof/>
          <w:u w:val="single"/>
          <w:lang w:val="sq-AL"/>
        </w:rPr>
        <w:t>Tatimi mbi të ardhurat personale</w:t>
      </w:r>
    </w:p>
    <w:p w:rsidR="006D7370" w:rsidRDefault="002719F2" w:rsidP="004C2B76">
      <w:pPr>
        <w:spacing w:before="0"/>
        <w:rPr>
          <w:rFonts w:cs="Calibri"/>
          <w:lang w:val="sq-AL"/>
        </w:rPr>
      </w:pPr>
      <w:r w:rsidRPr="002719F2">
        <w:rPr>
          <w:rFonts w:asciiTheme="majorHAnsi" w:hAnsiTheme="majorHAnsi" w:cs="Calibri"/>
          <w:lang w:val="sq-AL"/>
        </w:rPr>
        <w:t xml:space="preserve">Të ardhurat nga Tatimi mbi të ardhurat personale </w:t>
      </w:r>
      <w:r w:rsidR="004C2B76" w:rsidRPr="00734A96">
        <w:rPr>
          <w:rFonts w:asciiTheme="majorHAnsi" w:hAnsiTheme="majorHAnsi" w:cs="Calibri"/>
          <w:lang w:val="sq-AL"/>
        </w:rPr>
        <w:t>arritën në 45 miliardë lekë për periudhën janar-dhjetor 2022, me rritje kundrejt vitit të kaluar në masën 14.4</w:t>
      </w:r>
      <w:r w:rsidR="004C2B76">
        <w:rPr>
          <w:rFonts w:asciiTheme="majorHAnsi" w:hAnsiTheme="majorHAnsi" w:cs="Calibri"/>
          <w:lang w:val="sq-AL"/>
        </w:rPr>
        <w:t>%</w:t>
      </w:r>
      <w:r w:rsidR="004C2B76" w:rsidRPr="00734A96">
        <w:rPr>
          <w:rFonts w:asciiTheme="majorHAnsi" w:hAnsiTheme="majorHAnsi" w:cs="Calibri"/>
          <w:lang w:val="sq-AL"/>
        </w:rPr>
        <w:t xml:space="preserve"> ose 5.7 miliardë lekë dhe me realizim ndaj planit fillestar në masën 99.6</w:t>
      </w:r>
      <w:r w:rsidR="004C2B76">
        <w:rPr>
          <w:rFonts w:asciiTheme="majorHAnsi" w:hAnsiTheme="majorHAnsi" w:cs="Calibri"/>
          <w:lang w:val="sq-AL"/>
        </w:rPr>
        <w:t>%</w:t>
      </w:r>
      <w:r w:rsidR="004C2B76" w:rsidRPr="00734A96">
        <w:rPr>
          <w:rFonts w:asciiTheme="majorHAnsi" w:hAnsiTheme="majorHAnsi" w:cs="Calibri"/>
          <w:lang w:val="sq-AL"/>
        </w:rPr>
        <w:t xml:space="preserve"> dhe ndaj planit të rishikuar 95.7</w:t>
      </w:r>
      <w:r w:rsidR="004C2B76">
        <w:rPr>
          <w:rFonts w:asciiTheme="majorHAnsi" w:hAnsiTheme="majorHAnsi" w:cs="Calibri"/>
          <w:lang w:val="sq-AL"/>
        </w:rPr>
        <w:t>%</w:t>
      </w:r>
      <w:r w:rsidR="004C2B76" w:rsidRPr="00734A96">
        <w:rPr>
          <w:rFonts w:asciiTheme="majorHAnsi" w:hAnsiTheme="majorHAnsi" w:cs="Calibri"/>
          <w:lang w:val="sq-AL"/>
        </w:rPr>
        <w:t xml:space="preserve"> ose 2 miliardë lekë më pak. Ndikimin kryesor në realizimin e tatimit mbi t</w:t>
      </w:r>
      <w:r w:rsidR="004C2B76" w:rsidRPr="00734A96">
        <w:rPr>
          <w:rFonts w:asciiTheme="majorHAnsi" w:hAnsiTheme="majorHAnsi"/>
          <w:lang w:val="sq-AL"/>
        </w:rPr>
        <w:t xml:space="preserve">ë ardhurat personale kundrejt vitit të mëparshëm e </w:t>
      </w:r>
      <w:r w:rsidR="004C2B76" w:rsidRPr="00734A96">
        <w:rPr>
          <w:rFonts w:asciiTheme="majorHAnsi" w:hAnsiTheme="majorHAnsi" w:cs="Calibri"/>
          <w:lang w:val="sq-AL"/>
        </w:rPr>
        <w:t>ka sjellë</w:t>
      </w:r>
      <w:r w:rsidR="00CE4878">
        <w:rPr>
          <w:rFonts w:asciiTheme="majorHAnsi" w:hAnsiTheme="majorHAnsi" w:cs="Calibri"/>
          <w:lang w:val="sq-AL"/>
        </w:rPr>
        <w:t>:</w:t>
      </w:r>
      <w:r w:rsidR="004C2B76" w:rsidRPr="00734A96">
        <w:rPr>
          <w:rFonts w:asciiTheme="majorHAnsi" w:hAnsiTheme="majorHAnsi" w:cs="Calibri"/>
          <w:lang w:val="sq-AL"/>
        </w:rPr>
        <w:t xml:space="preserve"> tatimi nga të punësuarit në Sektorin Privat me 2.7 miliardë</w:t>
      </w:r>
      <w:r w:rsidR="004C2B76" w:rsidRPr="00734A96">
        <w:rPr>
          <w:rFonts w:asciiTheme="majorHAnsi" w:hAnsiTheme="majorHAnsi"/>
          <w:lang w:val="sq-AL"/>
        </w:rPr>
        <w:t xml:space="preserve"> lekë ose 17.4</w:t>
      </w:r>
      <w:r w:rsidR="004C2B76">
        <w:rPr>
          <w:rFonts w:asciiTheme="majorHAnsi" w:hAnsiTheme="majorHAnsi"/>
          <w:lang w:val="sq-AL"/>
        </w:rPr>
        <w:t>%</w:t>
      </w:r>
      <w:r w:rsidR="004C2B76" w:rsidRPr="00734A96">
        <w:rPr>
          <w:rFonts w:asciiTheme="majorHAnsi" w:hAnsiTheme="majorHAnsi"/>
          <w:lang w:val="sq-AL"/>
        </w:rPr>
        <w:t xml:space="preserve"> me shumë se viti 2021</w:t>
      </w:r>
      <w:r w:rsidR="00CE4878">
        <w:rPr>
          <w:rFonts w:asciiTheme="majorHAnsi" w:hAnsiTheme="majorHAnsi"/>
          <w:lang w:val="sq-AL"/>
        </w:rPr>
        <w:t>;</w:t>
      </w:r>
      <w:r w:rsidR="004C2B76" w:rsidRPr="00734A96">
        <w:rPr>
          <w:rFonts w:asciiTheme="majorHAnsi" w:hAnsiTheme="majorHAnsi"/>
          <w:lang w:val="sq-AL"/>
        </w:rPr>
        <w:t xml:space="preserve"> </w:t>
      </w:r>
      <w:r w:rsidR="00CE4878">
        <w:rPr>
          <w:rFonts w:asciiTheme="majorHAnsi" w:hAnsiTheme="majorHAnsi"/>
          <w:lang w:val="sq-AL"/>
        </w:rPr>
        <w:t>t</w:t>
      </w:r>
      <w:r w:rsidR="004C2B76" w:rsidRPr="00734A96">
        <w:rPr>
          <w:rFonts w:asciiTheme="majorHAnsi" w:hAnsiTheme="majorHAnsi"/>
          <w:lang w:val="sq-AL"/>
        </w:rPr>
        <w:t>atim</w:t>
      </w:r>
      <w:r w:rsidR="00CE4878">
        <w:rPr>
          <w:rFonts w:asciiTheme="majorHAnsi" w:hAnsiTheme="majorHAnsi"/>
          <w:lang w:val="sq-AL"/>
        </w:rPr>
        <w:t>/</w:t>
      </w:r>
      <w:r w:rsidR="004C2B76" w:rsidRPr="00734A96">
        <w:rPr>
          <w:rFonts w:asciiTheme="majorHAnsi" w:hAnsiTheme="majorHAnsi"/>
          <w:lang w:val="sq-AL"/>
        </w:rPr>
        <w:t>shitja e pasurise se paluajteshme me 2.5 miliardë lekë ose 53.1</w:t>
      </w:r>
      <w:r w:rsidR="004C2B76">
        <w:rPr>
          <w:rFonts w:asciiTheme="majorHAnsi" w:hAnsiTheme="majorHAnsi"/>
          <w:lang w:val="sq-AL"/>
        </w:rPr>
        <w:t>%</w:t>
      </w:r>
      <w:r w:rsidR="004C2B76" w:rsidRPr="00734A96">
        <w:rPr>
          <w:rFonts w:asciiTheme="majorHAnsi" w:hAnsiTheme="majorHAnsi"/>
          <w:lang w:val="sq-AL"/>
        </w:rPr>
        <w:t xml:space="preserve"> më shumë dhe</w:t>
      </w:r>
      <w:r w:rsidR="004C2B76" w:rsidRPr="00734A96">
        <w:rPr>
          <w:rFonts w:asciiTheme="majorHAnsi" w:hAnsiTheme="majorHAnsi" w:cs="Calibri"/>
          <w:lang w:val="sq-AL"/>
        </w:rPr>
        <w:t xml:space="preserve"> </w:t>
      </w:r>
      <w:r w:rsidR="00CE4878">
        <w:rPr>
          <w:rFonts w:asciiTheme="majorHAnsi" w:hAnsiTheme="majorHAnsi" w:cs="Calibri"/>
          <w:lang w:val="sq-AL"/>
        </w:rPr>
        <w:t>t</w:t>
      </w:r>
      <w:r w:rsidR="004C2B76" w:rsidRPr="00734A96">
        <w:rPr>
          <w:rFonts w:asciiTheme="majorHAnsi" w:hAnsiTheme="majorHAnsi" w:cs="Calibri"/>
          <w:lang w:val="sq-AL"/>
        </w:rPr>
        <w:t>atimi mbi te ardhurat nga Dividentet dhe Aksionet</w:t>
      </w:r>
      <w:r w:rsidR="004C2B76" w:rsidRPr="00734A96">
        <w:rPr>
          <w:rFonts w:asciiTheme="majorHAnsi" w:hAnsiTheme="majorHAnsi"/>
          <w:lang w:val="sq-AL"/>
        </w:rPr>
        <w:t xml:space="preserve"> 605 milionë lekë ose 16.6</w:t>
      </w:r>
      <w:r w:rsidR="004C2B76">
        <w:rPr>
          <w:rFonts w:asciiTheme="majorHAnsi" w:hAnsiTheme="majorHAnsi"/>
          <w:lang w:val="sq-AL"/>
        </w:rPr>
        <w:t>%</w:t>
      </w:r>
      <w:r w:rsidR="004C2B76" w:rsidRPr="00734A96">
        <w:rPr>
          <w:rFonts w:asciiTheme="majorHAnsi" w:hAnsiTheme="majorHAnsi"/>
          <w:lang w:val="sq-AL"/>
        </w:rPr>
        <w:t xml:space="preserve"> më shumë. </w:t>
      </w:r>
      <w:r w:rsidR="004C2B76" w:rsidRPr="00734A96">
        <w:rPr>
          <w:rFonts w:asciiTheme="majorHAnsi" w:hAnsiTheme="majorHAnsi" w:cs="Calibri"/>
          <w:lang w:val="sq-AL"/>
        </w:rPr>
        <w:t>Sipas burimit të të ardhurave individuale që taksohen, bazuar në të dhënat për 12-mujorin 2022, situata pasqyrohet në grafikun mëposhtë</w:t>
      </w:r>
      <w:r w:rsidR="006D7370" w:rsidRPr="00476D2E">
        <w:rPr>
          <w:rFonts w:cs="Calibri"/>
          <w:lang w:val="sq-AL"/>
        </w:rPr>
        <w:t>:</w:t>
      </w:r>
    </w:p>
    <w:p w:rsidR="00EA69A7" w:rsidRPr="00EA69A7" w:rsidRDefault="00EA69A7" w:rsidP="00FC729E">
      <w:pPr>
        <w:spacing w:before="0"/>
        <w:rPr>
          <w:rFonts w:eastAsia="SimSun" w:cs="Calibri"/>
          <w:sz w:val="8"/>
          <w:szCs w:val="8"/>
          <w:lang w:val="sq-AL"/>
        </w:rPr>
      </w:pPr>
    </w:p>
    <w:p w:rsidR="00F82F26" w:rsidRPr="00476D2E" w:rsidRDefault="00F82F26" w:rsidP="00FC729E">
      <w:pPr>
        <w:pStyle w:val="Caption"/>
        <w:keepNext/>
        <w:spacing w:before="0" w:after="0"/>
        <w:rPr>
          <w:rFonts w:cs="Calibri"/>
          <w:lang w:val="sq-AL"/>
        </w:rPr>
      </w:pPr>
      <w:bookmarkStart w:id="107" w:name="_Toc136526464"/>
      <w:r w:rsidRPr="00476D2E">
        <w:rPr>
          <w:rFonts w:cs="Calibri"/>
          <w:lang w:val="sq-AL"/>
        </w:rPr>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19</w:t>
      </w:r>
      <w:r w:rsidR="00C87F41" w:rsidRPr="00476D2E">
        <w:rPr>
          <w:rFonts w:cs="Calibri"/>
          <w:noProof/>
          <w:lang w:val="sq-AL"/>
        </w:rPr>
        <w:fldChar w:fldCharType="end"/>
      </w:r>
      <w:r w:rsidRPr="00476D2E">
        <w:rPr>
          <w:rFonts w:cs="Calibri"/>
          <w:lang w:val="sq-AL"/>
        </w:rPr>
        <w:t xml:space="preserve"> TAP n</w:t>
      </w:r>
      <w:r w:rsidR="00C33B16" w:rsidRPr="00476D2E">
        <w:rPr>
          <w:rFonts w:cs="Calibri"/>
          <w:lang w:val="sq-AL"/>
        </w:rPr>
        <w:t>ë</w:t>
      </w:r>
      <w:r w:rsidRPr="00476D2E">
        <w:rPr>
          <w:rFonts w:cs="Calibri"/>
          <w:lang w:val="sq-AL"/>
        </w:rPr>
        <w:t xml:space="preserve"> vite (n</w:t>
      </w:r>
      <w:r w:rsidR="00C33B16" w:rsidRPr="00476D2E">
        <w:rPr>
          <w:rFonts w:cs="Calibri"/>
          <w:lang w:val="sq-AL"/>
        </w:rPr>
        <w:t>ë</w:t>
      </w:r>
      <w:r w:rsidRPr="00476D2E">
        <w:rPr>
          <w:rFonts w:cs="Calibri"/>
          <w:lang w:val="sq-AL"/>
        </w:rPr>
        <w:t xml:space="preserve"> miliard</w:t>
      </w:r>
      <w:r w:rsidR="00C249D3" w:rsidRPr="00476D2E">
        <w:rPr>
          <w:rFonts w:cs="Calibri"/>
          <w:lang w:val="sq-AL"/>
        </w:rPr>
        <w:t>ë</w:t>
      </w:r>
      <w:r w:rsidRPr="00476D2E">
        <w:rPr>
          <w:rFonts w:cs="Calibri"/>
          <w:lang w:val="sq-AL"/>
        </w:rPr>
        <w:t xml:space="preserve"> lek</w:t>
      </w:r>
      <w:r w:rsidR="00C33B16" w:rsidRPr="00476D2E">
        <w:rPr>
          <w:rFonts w:cs="Calibri"/>
          <w:lang w:val="sq-AL"/>
        </w:rPr>
        <w:t>ë</w:t>
      </w:r>
      <w:r w:rsidRPr="00476D2E">
        <w:rPr>
          <w:rFonts w:cs="Calibri"/>
          <w:lang w:val="sq-AL"/>
        </w:rPr>
        <w:t>)</w:t>
      </w:r>
      <w:bookmarkEnd w:id="107"/>
    </w:p>
    <w:p w:rsidR="00F82F26" w:rsidRPr="00476D2E" w:rsidRDefault="00CE4878" w:rsidP="00FC729E">
      <w:pPr>
        <w:spacing w:before="0"/>
        <w:jc w:val="center"/>
        <w:rPr>
          <w:rFonts w:cs="Calibri"/>
          <w:lang w:val="sq-AL"/>
        </w:rPr>
      </w:pPr>
      <w:r w:rsidRPr="00734A96">
        <w:rPr>
          <w:noProof/>
        </w:rPr>
        <w:drawing>
          <wp:inline distT="0" distB="0" distL="0" distR="0" wp14:anchorId="310180CA" wp14:editId="21B6A405">
            <wp:extent cx="6644005" cy="1417320"/>
            <wp:effectExtent l="0" t="0" r="4445" b="11430"/>
            <wp:docPr id="44" name="Chart 44">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A3391"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F82F26" w:rsidRPr="00476D2E" w:rsidRDefault="00F82F26" w:rsidP="00FC729E">
      <w:pPr>
        <w:pStyle w:val="Caption"/>
        <w:keepNext/>
        <w:spacing w:after="0"/>
        <w:rPr>
          <w:rFonts w:cs="Calibri"/>
          <w:lang w:val="sq-AL"/>
        </w:rPr>
      </w:pPr>
      <w:bookmarkStart w:id="108" w:name="_Toc136526465"/>
      <w:r w:rsidRPr="00476D2E">
        <w:rPr>
          <w:rFonts w:cs="Calibri"/>
          <w:lang w:val="sq-AL"/>
        </w:rPr>
        <w:lastRenderedPageBreak/>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20</w:t>
      </w:r>
      <w:r w:rsidR="00C87F41" w:rsidRPr="00476D2E">
        <w:rPr>
          <w:rFonts w:cs="Calibri"/>
          <w:noProof/>
          <w:lang w:val="sq-AL"/>
        </w:rPr>
        <w:fldChar w:fldCharType="end"/>
      </w:r>
      <w:r w:rsidR="001F6B60">
        <w:rPr>
          <w:rFonts w:cs="Calibri"/>
          <w:lang w:val="sq-AL"/>
        </w:rPr>
        <w:t xml:space="preserve"> </w:t>
      </w:r>
      <w:r w:rsidRPr="00476D2E">
        <w:rPr>
          <w:rFonts w:cs="Calibri"/>
          <w:lang w:val="sq-AL"/>
        </w:rPr>
        <w:t>TAP sipas z</w:t>
      </w:r>
      <w:r w:rsidR="00C33B16" w:rsidRPr="00476D2E">
        <w:rPr>
          <w:rFonts w:cs="Calibri"/>
          <w:lang w:val="sq-AL"/>
        </w:rPr>
        <w:t>ë</w:t>
      </w:r>
      <w:r w:rsidRPr="00476D2E">
        <w:rPr>
          <w:rFonts w:cs="Calibri"/>
          <w:lang w:val="sq-AL"/>
        </w:rPr>
        <w:t>rave (n</w:t>
      </w:r>
      <w:r w:rsidR="00C33B16" w:rsidRPr="00476D2E">
        <w:rPr>
          <w:rFonts w:cs="Calibri"/>
          <w:lang w:val="sq-AL"/>
        </w:rPr>
        <w:t>ë</w:t>
      </w:r>
      <w:r w:rsidRPr="00476D2E">
        <w:rPr>
          <w:rFonts w:cs="Calibri"/>
          <w:lang w:val="sq-AL"/>
        </w:rPr>
        <w:t xml:space="preserve"> %)</w:t>
      </w:r>
      <w:bookmarkEnd w:id="108"/>
    </w:p>
    <w:p w:rsidR="006D2CC4" w:rsidRPr="00476D2E" w:rsidRDefault="00CE4878" w:rsidP="00FC729E">
      <w:pPr>
        <w:spacing w:before="0"/>
        <w:jc w:val="center"/>
        <w:rPr>
          <w:rFonts w:eastAsia="SimSun" w:cs="Calibri"/>
          <w:i/>
          <w:szCs w:val="22"/>
          <w:lang w:val="sq-AL"/>
        </w:rPr>
      </w:pPr>
      <w:r w:rsidRPr="00734A96">
        <w:rPr>
          <w:noProof/>
        </w:rPr>
        <w:drawing>
          <wp:inline distT="0" distB="0" distL="0" distR="0" wp14:anchorId="76BF1719" wp14:editId="1BE61EA2">
            <wp:extent cx="5461586" cy="2104292"/>
            <wp:effectExtent l="0" t="0" r="6350" b="10795"/>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D2CC4"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5C0A17" w:rsidRPr="005C0A17" w:rsidRDefault="005C0A17" w:rsidP="00FC729E">
      <w:pPr>
        <w:spacing w:before="0"/>
        <w:ind w:firstLine="720"/>
        <w:rPr>
          <w:rFonts w:cs="Calibri"/>
          <w:i/>
          <w:noProof/>
          <w:sz w:val="4"/>
          <w:szCs w:val="18"/>
          <w:lang w:val="sq-AL"/>
        </w:rPr>
      </w:pPr>
    </w:p>
    <w:p w:rsidR="005C0A17" w:rsidRPr="00476D2E" w:rsidRDefault="005C0A17" w:rsidP="005C0A17">
      <w:pPr>
        <w:pStyle w:val="Caption"/>
        <w:keepNext/>
        <w:spacing w:after="0"/>
        <w:rPr>
          <w:rFonts w:cs="Calibri"/>
          <w:lang w:val="sq-AL"/>
        </w:rPr>
      </w:pPr>
      <w:bookmarkStart w:id="109" w:name="_Toc136526466"/>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21</w:t>
      </w:r>
      <w:r w:rsidRPr="00476D2E">
        <w:rPr>
          <w:rFonts w:cs="Calibri"/>
          <w:noProof/>
          <w:lang w:val="sq-AL"/>
        </w:rPr>
        <w:fldChar w:fldCharType="end"/>
      </w:r>
      <w:r w:rsidRPr="00476D2E">
        <w:rPr>
          <w:rFonts w:cs="Calibri"/>
          <w:lang w:val="sq-AL"/>
        </w:rPr>
        <w:t xml:space="preserve"> </w:t>
      </w:r>
      <w:r w:rsidRPr="00734A96">
        <w:rPr>
          <w:rFonts w:cs="Calibri"/>
          <w:lang w:val="sq-AL"/>
        </w:rPr>
        <w:t>TAP sipas sektorve ekonomik (në %)</w:t>
      </w:r>
      <w:bookmarkEnd w:id="109"/>
    </w:p>
    <w:p w:rsidR="005C0A17" w:rsidRDefault="005C0A17" w:rsidP="005C0A17">
      <w:pPr>
        <w:spacing w:before="0" w:line="240" w:lineRule="auto"/>
        <w:jc w:val="center"/>
        <w:rPr>
          <w:rFonts w:cs="Calibri"/>
          <w:i/>
          <w:noProof/>
          <w:sz w:val="18"/>
          <w:szCs w:val="18"/>
          <w:lang w:val="sq-AL"/>
        </w:rPr>
      </w:pPr>
      <w:r w:rsidRPr="005C0A17">
        <w:rPr>
          <w:noProof/>
        </w:rPr>
        <w:drawing>
          <wp:inline distT="0" distB="0" distL="0" distR="0" wp14:anchorId="6631ECC3" wp14:editId="2454F2B9">
            <wp:extent cx="5544007" cy="2250831"/>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52839" cy="2254417"/>
                    </a:xfrm>
                    <a:prstGeom prst="rect">
                      <a:avLst/>
                    </a:prstGeom>
                    <a:noFill/>
                    <a:ln>
                      <a:noFill/>
                    </a:ln>
                  </pic:spPr>
                </pic:pic>
              </a:graphicData>
            </a:graphic>
          </wp:inline>
        </w:drawing>
      </w:r>
    </w:p>
    <w:p w:rsidR="005C0A17"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6D2CC4" w:rsidRPr="00476D2E" w:rsidRDefault="006D2CC4" w:rsidP="00FC729E">
      <w:pPr>
        <w:pStyle w:val="ListParagraph"/>
        <w:numPr>
          <w:ilvl w:val="0"/>
          <w:numId w:val="1"/>
        </w:numPr>
        <w:spacing w:before="240"/>
        <w:ind w:left="990" w:hanging="270"/>
        <w:rPr>
          <w:rFonts w:cs="Calibri"/>
          <w:i/>
          <w:noProof/>
          <w:u w:val="single"/>
          <w:lang w:val="sq-AL"/>
        </w:rPr>
      </w:pPr>
      <w:r w:rsidRPr="00476D2E">
        <w:rPr>
          <w:rFonts w:cs="Calibri"/>
          <w:i/>
          <w:noProof/>
          <w:u w:val="single"/>
          <w:lang w:val="sq-AL"/>
        </w:rPr>
        <w:t>Tatim Fitimi</w:t>
      </w:r>
    </w:p>
    <w:p w:rsidR="006A619D" w:rsidRPr="00476D2E" w:rsidRDefault="001E63C0" w:rsidP="00FC729E">
      <w:pPr>
        <w:spacing w:before="0"/>
        <w:rPr>
          <w:rFonts w:cs="Calibri"/>
        </w:rPr>
      </w:pPr>
      <w:r w:rsidRPr="00DA1CF0">
        <w:rPr>
          <w:rFonts w:cs="Calibri"/>
        </w:rPr>
        <w:t>Të ardhura</w:t>
      </w:r>
      <w:r w:rsidR="00554F56">
        <w:rPr>
          <w:rFonts w:cs="Calibri"/>
        </w:rPr>
        <w:t>t nga Tatimi mbi fitimin për 12</w:t>
      </w:r>
      <w:r w:rsidRPr="00DA1CF0">
        <w:rPr>
          <w:rFonts w:cs="Calibri"/>
        </w:rPr>
        <w:t xml:space="preserve">mujorin </w:t>
      </w:r>
      <w:r w:rsidR="005C0A17" w:rsidRPr="00734A96">
        <w:rPr>
          <w:rFonts w:cs="Calibri"/>
        </w:rPr>
        <w:t>2022 arritën në 47.7 miliardë lekë nga 35.6 miliardë lekë të mbledhura një vit më parë. Krahasuar me planin e rishikuar 3.7</w:t>
      </w:r>
      <w:r w:rsidR="005C0A17">
        <w:rPr>
          <w:rFonts w:cs="Calibri"/>
        </w:rPr>
        <w:t xml:space="preserve">% </w:t>
      </w:r>
      <w:r w:rsidR="005C0A17" w:rsidRPr="00734A96">
        <w:rPr>
          <w:rFonts w:cs="Calibri"/>
        </w:rPr>
        <w:t>ose 1.7 miliardë lekë më shumë. Krahasuar me vitin paraardhës, performanca e të ardhurave nga tatim fitimi ishte 33.9</w:t>
      </w:r>
      <w:r w:rsidR="005C0A17">
        <w:rPr>
          <w:rFonts w:cs="Calibri"/>
        </w:rPr>
        <w:t>%</w:t>
      </w:r>
      <w:r w:rsidR="005C0A17" w:rsidRPr="00734A96">
        <w:rPr>
          <w:rFonts w:cs="Calibri"/>
        </w:rPr>
        <w:t xml:space="preserve"> ose 12.1 miliardë lekë më shumë. Arketimet në buxhetin e shtetit për tatim fitimin bazohen në rikuperimin e ekonomisë dhe rritjen e saj, performaca e mirë e të gjithë sektorve ekonomik si dhe në forcimin e kontrollit të deklaratave, bazuar në kriteret e riskut</w:t>
      </w:r>
      <w:r w:rsidR="006A619D" w:rsidRPr="00476D2E">
        <w:rPr>
          <w:rFonts w:cs="Calibri"/>
        </w:rPr>
        <w:t>.</w:t>
      </w:r>
      <w:r w:rsidR="006B5C51">
        <w:rPr>
          <w:rFonts w:cs="Calibri"/>
        </w:rPr>
        <w:t xml:space="preserve">  </w:t>
      </w:r>
    </w:p>
    <w:p w:rsidR="00F82F26" w:rsidRPr="00476D2E" w:rsidRDefault="00F82F26" w:rsidP="00FC729E">
      <w:pPr>
        <w:pStyle w:val="Caption"/>
        <w:keepNext/>
        <w:spacing w:before="240" w:after="0"/>
        <w:rPr>
          <w:rFonts w:cs="Calibri"/>
          <w:lang w:val="sq-AL"/>
        </w:rPr>
      </w:pPr>
      <w:bookmarkStart w:id="110" w:name="_Toc136526467"/>
      <w:r w:rsidRPr="00476D2E">
        <w:rPr>
          <w:rFonts w:cs="Calibri"/>
          <w:lang w:val="sq-AL"/>
        </w:rPr>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22</w:t>
      </w:r>
      <w:r w:rsidR="00C87F41" w:rsidRPr="00476D2E">
        <w:rPr>
          <w:rFonts w:cs="Calibri"/>
          <w:noProof/>
          <w:lang w:val="sq-AL"/>
        </w:rPr>
        <w:fldChar w:fldCharType="end"/>
      </w:r>
      <w:r w:rsidRPr="00476D2E">
        <w:rPr>
          <w:rFonts w:cs="Calibri"/>
          <w:lang w:val="sq-AL"/>
        </w:rPr>
        <w:t xml:space="preserve"> Tatimi mbi fitimin n</w:t>
      </w:r>
      <w:r w:rsidR="00C33B16" w:rsidRPr="00476D2E">
        <w:rPr>
          <w:rFonts w:cs="Calibri"/>
          <w:lang w:val="sq-AL"/>
        </w:rPr>
        <w:t>ë</w:t>
      </w:r>
      <w:r w:rsidRPr="00476D2E">
        <w:rPr>
          <w:rFonts w:cs="Calibri"/>
          <w:lang w:val="sq-AL"/>
        </w:rPr>
        <w:t xml:space="preserve"> vite (n</w:t>
      </w:r>
      <w:r w:rsidR="00C33B16" w:rsidRPr="00476D2E">
        <w:rPr>
          <w:rFonts w:cs="Calibri"/>
          <w:lang w:val="sq-AL"/>
        </w:rPr>
        <w:t>ë</w:t>
      </w:r>
      <w:r w:rsidRPr="00476D2E">
        <w:rPr>
          <w:rFonts w:cs="Calibri"/>
          <w:lang w:val="sq-AL"/>
        </w:rPr>
        <w:t xml:space="preserve"> miliard lek</w:t>
      </w:r>
      <w:r w:rsidR="00C33B16" w:rsidRPr="00476D2E">
        <w:rPr>
          <w:rFonts w:cs="Calibri"/>
          <w:lang w:val="sq-AL"/>
        </w:rPr>
        <w:t>ë</w:t>
      </w:r>
      <w:r w:rsidRPr="00476D2E">
        <w:rPr>
          <w:rFonts w:cs="Calibri"/>
          <w:lang w:val="sq-AL"/>
        </w:rPr>
        <w:t>)</w:t>
      </w:r>
      <w:bookmarkEnd w:id="110"/>
    </w:p>
    <w:p w:rsidR="00F82F26" w:rsidRPr="00476D2E" w:rsidRDefault="005C0A17" w:rsidP="00FC729E">
      <w:pPr>
        <w:spacing w:before="0"/>
        <w:jc w:val="center"/>
        <w:rPr>
          <w:rFonts w:cs="Calibri"/>
          <w:lang w:val="sq-AL"/>
        </w:rPr>
      </w:pPr>
      <w:r w:rsidRPr="00734A96">
        <w:rPr>
          <w:noProof/>
        </w:rPr>
        <w:drawing>
          <wp:inline distT="0" distB="0" distL="0" distR="0" wp14:anchorId="69F05CAD" wp14:editId="45203EE6">
            <wp:extent cx="6663690" cy="1312985"/>
            <wp:effectExtent l="0" t="0" r="3810" b="1905"/>
            <wp:docPr id="31" name="Chart 31">
              <a:extLst xmlns:a="http://schemas.openxmlformats.org/drawingml/2006/main">
                <a:ext uri="{FF2B5EF4-FFF2-40B4-BE49-F238E27FC236}">
                  <a16:creationId xmlns:a16="http://schemas.microsoft.com/office/drawing/2014/main" id="{00000000-0008-0000-0000-000010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1A3391"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5C0A17" w:rsidRPr="00734A96" w:rsidRDefault="005C0A17" w:rsidP="005C0A17">
      <w:pPr>
        <w:spacing w:before="0"/>
        <w:rPr>
          <w:rFonts w:cs="Calibri"/>
          <w:lang w:val="sq-AL"/>
        </w:rPr>
      </w:pPr>
      <w:r w:rsidRPr="00734A96">
        <w:rPr>
          <w:rFonts w:cs="Calibri"/>
          <w:lang w:val="sq-AL"/>
        </w:rPr>
        <w:lastRenderedPageBreak/>
        <w:t xml:space="preserve">Të ardhurat nga tatim fitimi sipas sektorëve krahasuar me të njëjtën periudhë të një viti më parë janë: </w:t>
      </w:r>
    </w:p>
    <w:p w:rsidR="005C0A17" w:rsidRPr="00153CD6" w:rsidRDefault="005C0A17" w:rsidP="00153CD6">
      <w:pPr>
        <w:numPr>
          <w:ilvl w:val="0"/>
          <w:numId w:val="2"/>
        </w:numPr>
        <w:spacing w:line="240" w:lineRule="auto"/>
        <w:ind w:left="540"/>
        <w:contextualSpacing/>
        <w:rPr>
          <w:rFonts w:asciiTheme="majorHAnsi" w:hAnsiTheme="majorHAnsi" w:cstheme="majorHAnsi"/>
          <w:bCs/>
          <w:i/>
          <w:iCs/>
          <w:lang w:val="sq-AL"/>
        </w:rPr>
      </w:pPr>
      <w:r w:rsidRPr="00153CD6">
        <w:rPr>
          <w:rFonts w:asciiTheme="majorHAnsi" w:hAnsiTheme="majorHAnsi" w:cstheme="majorHAnsi"/>
          <w:bCs/>
          <w:i/>
          <w:iCs/>
          <w:lang w:val="sq-AL"/>
        </w:rPr>
        <w:t>Në sektorin e shërbimeve të ardhurat për periudhën Janar – Dhjetor 2022 janë 14.7 miliardë lekë me rritje në të ardhura 22.4% ose 2.7 miliardë lekë më se viti 2021.</w:t>
      </w:r>
    </w:p>
    <w:p w:rsidR="005C0A17" w:rsidRPr="00153CD6" w:rsidRDefault="005C0A17" w:rsidP="00153CD6">
      <w:pPr>
        <w:numPr>
          <w:ilvl w:val="0"/>
          <w:numId w:val="2"/>
        </w:numPr>
        <w:spacing w:line="240" w:lineRule="auto"/>
        <w:ind w:left="540"/>
        <w:contextualSpacing/>
        <w:rPr>
          <w:rFonts w:asciiTheme="majorHAnsi" w:hAnsiTheme="majorHAnsi" w:cstheme="majorHAnsi"/>
          <w:bCs/>
          <w:i/>
          <w:iCs/>
          <w:lang w:val="sq-AL"/>
        </w:rPr>
      </w:pPr>
      <w:r w:rsidRPr="00153CD6">
        <w:rPr>
          <w:rFonts w:asciiTheme="majorHAnsi" w:hAnsiTheme="majorHAnsi" w:cstheme="majorHAnsi"/>
          <w:bCs/>
          <w:i/>
          <w:iCs/>
          <w:lang w:val="sq-AL"/>
        </w:rPr>
        <w:t>Në sektorin e prodhimit të ardhurat për periudhën Janar – Dhjetor 2022 janë 11.3 miliardë lekë me nje rritje në të ardhura 59.4% ose 4.2 miliardë lekë më shumë se viti 2021.</w:t>
      </w:r>
    </w:p>
    <w:p w:rsidR="005C0A17" w:rsidRPr="00153CD6" w:rsidRDefault="005C0A17" w:rsidP="00153CD6">
      <w:pPr>
        <w:numPr>
          <w:ilvl w:val="0"/>
          <w:numId w:val="2"/>
        </w:numPr>
        <w:spacing w:line="240" w:lineRule="auto"/>
        <w:ind w:left="540"/>
        <w:contextualSpacing/>
        <w:rPr>
          <w:rFonts w:asciiTheme="majorHAnsi" w:hAnsiTheme="majorHAnsi" w:cstheme="majorHAnsi"/>
          <w:bCs/>
          <w:i/>
          <w:iCs/>
          <w:lang w:val="sq-AL"/>
        </w:rPr>
      </w:pPr>
      <w:r w:rsidRPr="00153CD6">
        <w:rPr>
          <w:rFonts w:asciiTheme="majorHAnsi" w:hAnsiTheme="majorHAnsi" w:cstheme="majorHAnsi"/>
          <w:bCs/>
          <w:i/>
          <w:iCs/>
          <w:lang w:val="sq-AL"/>
        </w:rPr>
        <w:t xml:space="preserve">Në sektorin e ndërtimit të ardhurat për periudhën Janar – Dhjetor 2022 janë 6.3 miliardë lekë me nje rritje në të ardhura 18.7% ose 996 milionë lekë më shumë se viti 2021. </w:t>
      </w:r>
    </w:p>
    <w:p w:rsidR="005C0A17" w:rsidRPr="00153CD6" w:rsidRDefault="005C0A17" w:rsidP="00153CD6">
      <w:pPr>
        <w:numPr>
          <w:ilvl w:val="0"/>
          <w:numId w:val="2"/>
        </w:numPr>
        <w:spacing w:line="240" w:lineRule="auto"/>
        <w:ind w:left="540"/>
        <w:contextualSpacing/>
        <w:rPr>
          <w:rFonts w:asciiTheme="majorHAnsi" w:hAnsiTheme="majorHAnsi" w:cstheme="majorHAnsi"/>
          <w:bCs/>
          <w:i/>
          <w:iCs/>
          <w:lang w:val="sq-AL"/>
        </w:rPr>
      </w:pPr>
      <w:r w:rsidRPr="00153CD6">
        <w:rPr>
          <w:rFonts w:asciiTheme="majorHAnsi" w:hAnsiTheme="majorHAnsi" w:cstheme="majorHAnsi"/>
          <w:bCs/>
          <w:i/>
          <w:iCs/>
          <w:lang w:val="sq-AL"/>
        </w:rPr>
        <w:t>Në sektorin e transportit të ardhurat për periudhën Janar – Dhjetor 2022 janë 1.7 miliardë lekë me nje rritje në të ardhura 81.1% ose 781 milion lekë më shumë se viti 2021.</w:t>
      </w:r>
    </w:p>
    <w:p w:rsidR="005C0A17" w:rsidRPr="00153CD6" w:rsidRDefault="005C0A17" w:rsidP="00153CD6">
      <w:pPr>
        <w:numPr>
          <w:ilvl w:val="0"/>
          <w:numId w:val="2"/>
        </w:numPr>
        <w:spacing w:line="240" w:lineRule="auto"/>
        <w:ind w:left="540"/>
        <w:contextualSpacing/>
        <w:rPr>
          <w:rFonts w:asciiTheme="majorHAnsi" w:hAnsiTheme="majorHAnsi" w:cstheme="majorHAnsi"/>
          <w:bCs/>
          <w:i/>
          <w:iCs/>
          <w:lang w:val="sq-AL"/>
        </w:rPr>
      </w:pPr>
      <w:r w:rsidRPr="00153CD6">
        <w:rPr>
          <w:rFonts w:asciiTheme="majorHAnsi" w:hAnsiTheme="majorHAnsi" w:cstheme="majorHAnsi"/>
          <w:bCs/>
          <w:i/>
          <w:iCs/>
          <w:lang w:val="sq-AL"/>
        </w:rPr>
        <w:t>Në sektorin e tregtisë të ardhurat për periudhën Janar – Dhjetor 2022 janë 13.7 miliardë lekë me një rritje në të ardhura 33.6% ose 3.5 miliardë lekë më shumë se viti 2021</w:t>
      </w:r>
    </w:p>
    <w:p w:rsidR="00F82F26" w:rsidRPr="00476D2E" w:rsidRDefault="00F82F26" w:rsidP="00FC729E">
      <w:pPr>
        <w:pStyle w:val="Caption"/>
        <w:keepNext/>
        <w:spacing w:after="0"/>
        <w:rPr>
          <w:rFonts w:cs="Calibri"/>
          <w:lang w:val="sq-AL"/>
        </w:rPr>
      </w:pPr>
      <w:bookmarkStart w:id="111" w:name="_Toc136526468"/>
      <w:r w:rsidRPr="00476D2E">
        <w:rPr>
          <w:rFonts w:cs="Calibri"/>
          <w:lang w:val="sq-AL"/>
        </w:rPr>
        <w:t xml:space="preserve">Grafiku </w:t>
      </w:r>
      <w:r w:rsidR="00C87F41" w:rsidRPr="00476D2E">
        <w:rPr>
          <w:rFonts w:cs="Calibri"/>
          <w:noProof/>
          <w:lang w:val="sq-AL"/>
        </w:rPr>
        <w:fldChar w:fldCharType="begin"/>
      </w:r>
      <w:r w:rsidR="00C87F41" w:rsidRPr="00476D2E">
        <w:rPr>
          <w:rFonts w:cs="Calibri"/>
          <w:noProof/>
          <w:lang w:val="sq-AL"/>
        </w:rPr>
        <w:instrText xml:space="preserve"> SEQ Grafiku \* ARABIC </w:instrText>
      </w:r>
      <w:r w:rsidR="00C87F41" w:rsidRPr="00476D2E">
        <w:rPr>
          <w:rFonts w:cs="Calibri"/>
          <w:noProof/>
          <w:lang w:val="sq-AL"/>
        </w:rPr>
        <w:fldChar w:fldCharType="separate"/>
      </w:r>
      <w:r w:rsidR="008C3E07">
        <w:rPr>
          <w:rFonts w:cs="Calibri"/>
          <w:noProof/>
          <w:lang w:val="sq-AL"/>
        </w:rPr>
        <w:t>23</w:t>
      </w:r>
      <w:r w:rsidR="00C87F41" w:rsidRPr="00476D2E">
        <w:rPr>
          <w:rFonts w:cs="Calibri"/>
          <w:noProof/>
          <w:lang w:val="sq-AL"/>
        </w:rPr>
        <w:fldChar w:fldCharType="end"/>
      </w:r>
      <w:r w:rsidRPr="00476D2E">
        <w:rPr>
          <w:rFonts w:cs="Calibri"/>
          <w:lang w:val="sq-AL"/>
        </w:rPr>
        <w:t xml:space="preserve"> Tatimi mbi fitimin sipas sektor</w:t>
      </w:r>
      <w:r w:rsidR="00C33B16" w:rsidRPr="00476D2E">
        <w:rPr>
          <w:rFonts w:cs="Calibri"/>
          <w:lang w:val="sq-AL"/>
        </w:rPr>
        <w:t>ë</w:t>
      </w:r>
      <w:r w:rsidRPr="00476D2E">
        <w:rPr>
          <w:rFonts w:cs="Calibri"/>
          <w:lang w:val="sq-AL"/>
        </w:rPr>
        <w:t>v</w:t>
      </w:r>
      <w:r w:rsidR="00C33B16" w:rsidRPr="00476D2E">
        <w:rPr>
          <w:rFonts w:cs="Calibri"/>
          <w:lang w:val="sq-AL"/>
        </w:rPr>
        <w:t>ë</w:t>
      </w:r>
      <w:r w:rsidRPr="00476D2E">
        <w:rPr>
          <w:rFonts w:cs="Calibri"/>
          <w:lang w:val="sq-AL"/>
        </w:rPr>
        <w:t xml:space="preserve"> (n</w:t>
      </w:r>
      <w:r w:rsidR="00C33B16" w:rsidRPr="00476D2E">
        <w:rPr>
          <w:rFonts w:cs="Calibri"/>
          <w:lang w:val="sq-AL"/>
        </w:rPr>
        <w:t>ë</w:t>
      </w:r>
      <w:r w:rsidRPr="00476D2E">
        <w:rPr>
          <w:rFonts w:cs="Calibri"/>
          <w:lang w:val="sq-AL"/>
        </w:rPr>
        <w:t xml:space="preserve"> %)</w:t>
      </w:r>
      <w:bookmarkEnd w:id="111"/>
    </w:p>
    <w:p w:rsidR="006D2CC4" w:rsidRPr="00476D2E" w:rsidRDefault="005C0A17" w:rsidP="00FC729E">
      <w:pPr>
        <w:spacing w:before="0"/>
        <w:jc w:val="center"/>
        <w:rPr>
          <w:rFonts w:cs="Calibri"/>
          <w:noProof/>
          <w:lang w:val="sq-AL"/>
        </w:rPr>
      </w:pPr>
      <w:r w:rsidRPr="00734A96">
        <w:rPr>
          <w:noProof/>
        </w:rPr>
        <w:drawing>
          <wp:inline distT="0" distB="0" distL="0" distR="0" wp14:anchorId="0119E689" wp14:editId="59ADB53D">
            <wp:extent cx="5533976" cy="2127738"/>
            <wp:effectExtent l="0" t="0" r="10160" b="6350"/>
            <wp:docPr id="63" name="Chart 63">
              <a:extLst xmlns:a="http://schemas.openxmlformats.org/drawingml/2006/main">
                <a:ext uri="{FF2B5EF4-FFF2-40B4-BE49-F238E27FC236}">
                  <a16:creationId xmlns:a16="http://schemas.microsoft.com/office/drawing/2014/main" id="{00000000-0008-0000-0000-000011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D2CC4" w:rsidRPr="00476D2E"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6D2CC4" w:rsidRPr="00476D2E" w:rsidRDefault="006D2CC4" w:rsidP="00FC729E">
      <w:pPr>
        <w:pStyle w:val="ListParagraph"/>
        <w:numPr>
          <w:ilvl w:val="0"/>
          <w:numId w:val="1"/>
        </w:numPr>
        <w:spacing w:before="240"/>
        <w:ind w:left="990" w:hanging="270"/>
        <w:rPr>
          <w:rFonts w:cs="Calibri"/>
          <w:i/>
          <w:noProof/>
          <w:u w:val="single"/>
          <w:lang w:val="sq-AL"/>
        </w:rPr>
      </w:pPr>
      <w:r w:rsidRPr="00476D2E">
        <w:rPr>
          <w:rFonts w:cs="Calibri"/>
          <w:i/>
          <w:noProof/>
          <w:u w:val="single"/>
          <w:lang w:val="sq-AL"/>
        </w:rPr>
        <w:t xml:space="preserve">Renta Minerare </w:t>
      </w:r>
    </w:p>
    <w:p w:rsidR="006A619D" w:rsidRDefault="001E63C0" w:rsidP="005C0A17">
      <w:pPr>
        <w:spacing w:before="0"/>
        <w:rPr>
          <w:rFonts w:cs="Calibri"/>
          <w:lang w:val="sq-AL"/>
        </w:rPr>
      </w:pPr>
      <w:r w:rsidRPr="009B6ACA">
        <w:rPr>
          <w:rFonts w:cs="Calibri"/>
          <w:lang w:val="sq-AL"/>
        </w:rPr>
        <w:t xml:space="preserve">Të ardhurat nga Renta Minerare në eksport </w:t>
      </w:r>
      <w:r w:rsidR="005C0A17" w:rsidRPr="00734A96">
        <w:rPr>
          <w:rFonts w:cs="Calibri"/>
          <w:lang w:val="sq-AL"/>
        </w:rPr>
        <w:t>janë realizuar në vlerën 4.2 miliardë lekë nga 2.4 miliardë lekë të mbledhura një vit më parë, me rritje prej 71.7</w:t>
      </w:r>
      <w:r w:rsidR="005C0A17">
        <w:rPr>
          <w:rFonts w:cs="Calibri"/>
          <w:lang w:val="sq-AL"/>
        </w:rPr>
        <w:t>%</w:t>
      </w:r>
      <w:r w:rsidR="005C0A17" w:rsidRPr="00734A96">
        <w:rPr>
          <w:rFonts w:cs="Calibri"/>
          <w:lang w:val="sq-AL"/>
        </w:rPr>
        <w:t xml:space="preserve"> ose 1.8 miliardë lekë më shumë, si dhe realizim kundrejt planit vjetor të rishikuar në masën 93.3</w:t>
      </w:r>
      <w:r w:rsidR="005C0A17">
        <w:rPr>
          <w:rFonts w:cs="Calibri"/>
          <w:lang w:val="sq-AL"/>
        </w:rPr>
        <w:t>%</w:t>
      </w:r>
      <w:r w:rsidR="005C0A17" w:rsidRPr="00734A96">
        <w:rPr>
          <w:rFonts w:cs="Calibri"/>
          <w:lang w:val="sq-AL"/>
        </w:rPr>
        <w:t>. Të ardhurat nga renta minerare e naftës bruto ishin 3.3 miliardë lekë,  1,27 milionë ose 64,1% më  shumë se renta e vitit 2021; rënie e cila ka ardhur kryesisht si rezultat i rritjes së çmimit të naftës bruto në tregjet ndërkombëtare, me një efekt +1,334 milionë lekë; megjithë uljen e sasisë së eksportit të naftës bruto me efekt negativ prej -60,9 milionë lekë. Gjatë vitit 2022 pati rritje të rentës për njësi nga 3.22 lekë/ton në 5.45 lekë/ton naftë bruto. Ndërkohë, të ardhurat nga mineralet e eksportuara kanë pësuar rritje në masën 937,2 milionë lekë, për shkak të rritjes së çmimit të mineraleve me efekt 557,6 milionë lekë pavarësisht uljes së sasisë së eksportuar me -431,7 mije ton ose -20.6</w:t>
      </w:r>
      <w:r w:rsidR="005C0A17">
        <w:rPr>
          <w:rFonts w:cs="Calibri"/>
          <w:lang w:val="sq-AL"/>
        </w:rPr>
        <w:t>%</w:t>
      </w:r>
      <w:r w:rsidR="006A619D" w:rsidRPr="00476D2E">
        <w:rPr>
          <w:rFonts w:cs="Calibri"/>
          <w:lang w:val="sq-AL"/>
        </w:rPr>
        <w:t>.</w:t>
      </w:r>
    </w:p>
    <w:p w:rsidR="006D2CC4" w:rsidRPr="006360DC" w:rsidRDefault="006D2CC4" w:rsidP="00FC729E">
      <w:pPr>
        <w:pStyle w:val="ListParagraph"/>
        <w:numPr>
          <w:ilvl w:val="0"/>
          <w:numId w:val="1"/>
        </w:numPr>
        <w:spacing w:before="240"/>
        <w:ind w:left="990" w:hanging="270"/>
        <w:rPr>
          <w:rFonts w:cs="Calibri"/>
          <w:i/>
          <w:noProof/>
          <w:u w:val="single"/>
          <w:lang w:val="sq-AL"/>
        </w:rPr>
      </w:pPr>
      <w:r w:rsidRPr="006360DC">
        <w:rPr>
          <w:rFonts w:cs="Calibri"/>
          <w:i/>
          <w:noProof/>
          <w:u w:val="single"/>
          <w:lang w:val="sq-AL"/>
        </w:rPr>
        <w:t>Të ardhurat e fondeve speciale</w:t>
      </w:r>
    </w:p>
    <w:p w:rsidR="006A619D" w:rsidRPr="006360DC" w:rsidRDefault="00D76212" w:rsidP="005C0A17">
      <w:pPr>
        <w:spacing w:before="0"/>
        <w:rPr>
          <w:rFonts w:cs="Calibri"/>
          <w:noProof/>
          <w:color w:val="FF0000"/>
          <w:lang w:val="sq-AL"/>
        </w:rPr>
      </w:pPr>
      <w:r w:rsidRPr="005C0A17">
        <w:rPr>
          <w:rFonts w:asciiTheme="majorHAnsi" w:hAnsiTheme="majorHAnsi" w:cs="Calibri"/>
          <w:noProof/>
          <w:lang w:val="sq-AL"/>
        </w:rPr>
        <w:t xml:space="preserve">Të ardhurat nga “Fondet Speciale” </w:t>
      </w:r>
      <w:r w:rsidR="005C0A17" w:rsidRPr="005C0A17">
        <w:rPr>
          <w:rFonts w:asciiTheme="majorHAnsi" w:hAnsiTheme="majorHAnsi" w:cs="Calibri"/>
          <w:noProof/>
          <w:lang w:val="sq-AL"/>
        </w:rPr>
        <w:t>rezultuan 122.8 miliardë lekë, me një realizim ndaj planit të rishikuar në nivelin 101.5</w:t>
      </w:r>
      <w:r w:rsidR="005C0A17">
        <w:rPr>
          <w:rFonts w:asciiTheme="majorHAnsi" w:hAnsiTheme="majorHAnsi" w:cs="Calibri"/>
          <w:noProof/>
          <w:lang w:val="sq-AL"/>
        </w:rPr>
        <w:t>%</w:t>
      </w:r>
      <w:r w:rsidR="005C0A17" w:rsidRPr="005C0A17">
        <w:rPr>
          <w:rFonts w:asciiTheme="majorHAnsi" w:hAnsiTheme="majorHAnsi" w:cs="Calibri"/>
          <w:noProof/>
          <w:lang w:val="sq-AL"/>
        </w:rPr>
        <w:t xml:space="preserve"> ose 1.8 miliardë lekë më shumë. Të ardhurat nga fondet speciale shënuan rritje në krahasim me parashikimin në buxhetin fillestar të vitit 2022 me 9.6</w:t>
      </w:r>
      <w:r w:rsidR="005C0A17">
        <w:rPr>
          <w:rFonts w:asciiTheme="majorHAnsi" w:hAnsiTheme="majorHAnsi" w:cs="Calibri"/>
          <w:noProof/>
          <w:lang w:val="sq-AL"/>
        </w:rPr>
        <w:t>%</w:t>
      </w:r>
      <w:r w:rsidR="005C0A17" w:rsidRPr="005C0A17">
        <w:rPr>
          <w:rFonts w:asciiTheme="majorHAnsi" w:hAnsiTheme="majorHAnsi" w:cs="Calibri"/>
          <w:noProof/>
          <w:lang w:val="sq-AL"/>
        </w:rPr>
        <w:t>, ose 10.8 miliardë lekë më shum</w:t>
      </w:r>
      <w:r w:rsidR="005C0A17" w:rsidRPr="005C0A17">
        <w:rPr>
          <w:rFonts w:asciiTheme="majorHAnsi" w:hAnsiTheme="majorHAnsi"/>
          <w:noProof/>
          <w:lang w:val="sq-AL"/>
        </w:rPr>
        <w:t>ë</w:t>
      </w:r>
      <w:r w:rsidR="005C0A17" w:rsidRPr="005C0A17">
        <w:rPr>
          <w:rFonts w:asciiTheme="majorHAnsi" w:hAnsiTheme="majorHAnsi" w:cs="Calibri"/>
          <w:noProof/>
          <w:lang w:val="sq-AL"/>
        </w:rPr>
        <w:t xml:space="preserve"> dhe 11.9 miliardë lekë apo 10.7</w:t>
      </w:r>
      <w:r w:rsidR="005C0A17">
        <w:rPr>
          <w:rFonts w:asciiTheme="majorHAnsi" w:hAnsiTheme="majorHAnsi" w:cs="Calibri"/>
          <w:noProof/>
          <w:lang w:val="sq-AL"/>
        </w:rPr>
        <w:t>%</w:t>
      </w:r>
      <w:r w:rsidR="005C0A17" w:rsidRPr="005C0A17">
        <w:rPr>
          <w:rFonts w:asciiTheme="majorHAnsi" w:hAnsiTheme="majorHAnsi" w:cs="Calibri"/>
          <w:noProof/>
          <w:lang w:val="sq-AL"/>
        </w:rPr>
        <w:t xml:space="preserve"> më shumë se një vit më parë. Zërat që përbëjnë të ardhurat nga “Fondet Speciale” janë: Sigurimi Shoqëror, Sigurimi Shëndetësor dhe të ardhurat për kompensimin në vlerë të pronarëve, përkatësisht në vlerën 105.6 miliardë lekë, 16.3 miliardë lekë dhe 0.9 miliardë lekë</w:t>
      </w:r>
      <w:r w:rsidR="006A619D" w:rsidRPr="006360DC">
        <w:rPr>
          <w:rFonts w:cs="Calibri"/>
          <w:lang w:val="sq-AL"/>
        </w:rPr>
        <w:t xml:space="preserve">. </w:t>
      </w:r>
    </w:p>
    <w:p w:rsidR="00F82F26" w:rsidRPr="003E5F73" w:rsidRDefault="00F82F26" w:rsidP="00FC729E">
      <w:pPr>
        <w:pStyle w:val="Caption"/>
        <w:keepNext/>
        <w:spacing w:after="0"/>
        <w:rPr>
          <w:rFonts w:cs="Calibri"/>
          <w:lang w:val="sq-AL"/>
        </w:rPr>
      </w:pPr>
      <w:bookmarkStart w:id="112" w:name="_Toc136526469"/>
      <w:r w:rsidRPr="003E5F73">
        <w:rPr>
          <w:rFonts w:cs="Calibri"/>
          <w:lang w:val="sq-AL"/>
        </w:rPr>
        <w:lastRenderedPageBreak/>
        <w:t xml:space="preserve">Grafiku </w:t>
      </w:r>
      <w:r w:rsidR="00C87F41" w:rsidRPr="003E5F73">
        <w:rPr>
          <w:rFonts w:cs="Calibri"/>
          <w:noProof/>
          <w:lang w:val="sq-AL"/>
        </w:rPr>
        <w:fldChar w:fldCharType="begin"/>
      </w:r>
      <w:r w:rsidR="00C87F41" w:rsidRPr="003E5F73">
        <w:rPr>
          <w:rFonts w:cs="Calibri"/>
          <w:noProof/>
          <w:lang w:val="sq-AL"/>
        </w:rPr>
        <w:instrText xml:space="preserve"> SEQ Grafiku \* ARABIC </w:instrText>
      </w:r>
      <w:r w:rsidR="00C87F41" w:rsidRPr="003E5F73">
        <w:rPr>
          <w:rFonts w:cs="Calibri"/>
          <w:noProof/>
          <w:lang w:val="sq-AL"/>
        </w:rPr>
        <w:fldChar w:fldCharType="separate"/>
      </w:r>
      <w:r w:rsidR="008C3E07">
        <w:rPr>
          <w:rFonts w:cs="Calibri"/>
          <w:noProof/>
          <w:lang w:val="sq-AL"/>
        </w:rPr>
        <w:t>24</w:t>
      </w:r>
      <w:r w:rsidR="00C87F41" w:rsidRPr="003E5F73">
        <w:rPr>
          <w:rFonts w:cs="Calibri"/>
          <w:noProof/>
          <w:lang w:val="sq-AL"/>
        </w:rPr>
        <w:fldChar w:fldCharType="end"/>
      </w:r>
      <w:r w:rsidR="00B77671" w:rsidRPr="003E5F73">
        <w:rPr>
          <w:rFonts w:cs="Calibri"/>
          <w:lang w:val="sq-AL"/>
        </w:rPr>
        <w:t xml:space="preserve"> K</w:t>
      </w:r>
      <w:r w:rsidR="00382115" w:rsidRPr="003E5F73">
        <w:rPr>
          <w:rFonts w:cs="Calibri"/>
          <w:lang w:val="sq-AL"/>
        </w:rPr>
        <w:t>ontribu</w:t>
      </w:r>
      <w:r w:rsidRPr="003E5F73">
        <w:rPr>
          <w:rFonts w:cs="Calibri"/>
          <w:lang w:val="sq-AL"/>
        </w:rPr>
        <w:t>esit aktiv</w:t>
      </w:r>
      <w:r w:rsidR="00C33B16" w:rsidRPr="003E5F73">
        <w:rPr>
          <w:rFonts w:cs="Calibri"/>
          <w:lang w:val="sq-AL"/>
        </w:rPr>
        <w:t>ë</w:t>
      </w:r>
      <w:r w:rsidRPr="003E5F73">
        <w:rPr>
          <w:rFonts w:cs="Calibri"/>
          <w:lang w:val="sq-AL"/>
        </w:rPr>
        <w:t xml:space="preserve"> p</w:t>
      </w:r>
      <w:r w:rsidR="00C33B16" w:rsidRPr="003E5F73">
        <w:rPr>
          <w:rFonts w:cs="Calibri"/>
          <w:lang w:val="sq-AL"/>
        </w:rPr>
        <w:t>ë</w:t>
      </w:r>
      <w:r w:rsidRPr="003E5F73">
        <w:rPr>
          <w:rFonts w:cs="Calibri"/>
          <w:lang w:val="sq-AL"/>
        </w:rPr>
        <w:t>r sigurimet shoq</w:t>
      </w:r>
      <w:r w:rsidR="00C33B16" w:rsidRPr="003E5F73">
        <w:rPr>
          <w:rFonts w:cs="Calibri"/>
          <w:lang w:val="sq-AL"/>
        </w:rPr>
        <w:t>ë</w:t>
      </w:r>
      <w:r w:rsidRPr="003E5F73">
        <w:rPr>
          <w:rFonts w:cs="Calibri"/>
          <w:lang w:val="sq-AL"/>
        </w:rPr>
        <w:t>rore dhe sh</w:t>
      </w:r>
      <w:r w:rsidR="00C33B16" w:rsidRPr="003E5F73">
        <w:rPr>
          <w:rFonts w:cs="Calibri"/>
          <w:lang w:val="sq-AL"/>
        </w:rPr>
        <w:t>ë</w:t>
      </w:r>
      <w:r w:rsidRPr="003E5F73">
        <w:rPr>
          <w:rFonts w:cs="Calibri"/>
          <w:lang w:val="sq-AL"/>
        </w:rPr>
        <w:t>ndet</w:t>
      </w:r>
      <w:r w:rsidR="00C33B16" w:rsidRPr="003E5F73">
        <w:rPr>
          <w:rFonts w:cs="Calibri"/>
          <w:lang w:val="sq-AL"/>
        </w:rPr>
        <w:t>ë</w:t>
      </w:r>
      <w:r w:rsidRPr="003E5F73">
        <w:rPr>
          <w:rFonts w:cs="Calibri"/>
          <w:lang w:val="sq-AL"/>
        </w:rPr>
        <w:t>sore, sipas llojit t</w:t>
      </w:r>
      <w:r w:rsidR="00C33B16" w:rsidRPr="003E5F73">
        <w:rPr>
          <w:rFonts w:cs="Calibri"/>
          <w:lang w:val="sq-AL"/>
        </w:rPr>
        <w:t>ë</w:t>
      </w:r>
      <w:r w:rsidRPr="003E5F73">
        <w:rPr>
          <w:rFonts w:cs="Calibri"/>
          <w:lang w:val="sq-AL"/>
        </w:rPr>
        <w:t xml:space="preserve"> biznesit</w:t>
      </w:r>
      <w:bookmarkEnd w:id="112"/>
    </w:p>
    <w:p w:rsidR="00F82F26" w:rsidRPr="003E5F73" w:rsidRDefault="005C0A17" w:rsidP="00FC729E">
      <w:pPr>
        <w:spacing w:before="0"/>
        <w:jc w:val="center"/>
        <w:rPr>
          <w:rFonts w:cs="Calibri"/>
          <w:lang w:val="sq-AL"/>
        </w:rPr>
      </w:pPr>
      <w:r w:rsidRPr="00734A96">
        <w:rPr>
          <w:noProof/>
        </w:rPr>
        <w:drawing>
          <wp:inline distT="0" distB="0" distL="0" distR="0" wp14:anchorId="780ECA16" wp14:editId="6A6BACFE">
            <wp:extent cx="6035675" cy="2602523"/>
            <wp:effectExtent l="0" t="0" r="3175" b="7620"/>
            <wp:docPr id="13" name="Chart 13">
              <a:extLst xmlns:a="http://schemas.openxmlformats.org/drawingml/2006/main">
                <a:ext uri="{FF2B5EF4-FFF2-40B4-BE49-F238E27FC236}">
                  <a16:creationId xmlns:a16="http://schemas.microsoft.com/office/drawing/2014/main" id="{00000000-0008-0000-0000-00001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5A06E2"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605DAF" w:rsidRPr="003E5F73" w:rsidRDefault="00605DAF" w:rsidP="00FC729E">
      <w:pPr>
        <w:spacing w:before="0"/>
        <w:ind w:firstLine="720"/>
        <w:rPr>
          <w:rFonts w:cs="Calibri"/>
          <w:i/>
          <w:noProof/>
          <w:sz w:val="18"/>
          <w:szCs w:val="18"/>
          <w:lang w:val="sq-AL"/>
        </w:rPr>
      </w:pPr>
    </w:p>
    <w:p w:rsidR="00F82F26" w:rsidRPr="003E5F73" w:rsidRDefault="00F82F26" w:rsidP="00FC729E">
      <w:pPr>
        <w:pStyle w:val="Caption"/>
        <w:keepNext/>
        <w:spacing w:after="0"/>
        <w:rPr>
          <w:rFonts w:cs="Calibri"/>
          <w:lang w:val="sq-AL"/>
        </w:rPr>
      </w:pPr>
      <w:bookmarkStart w:id="113" w:name="_Toc136526470"/>
      <w:r w:rsidRPr="003E5F73">
        <w:rPr>
          <w:rFonts w:cs="Calibri"/>
          <w:lang w:val="sq-AL"/>
        </w:rPr>
        <w:t xml:space="preserve">Grafiku </w:t>
      </w:r>
      <w:r w:rsidR="00C87F41" w:rsidRPr="003E5F73">
        <w:rPr>
          <w:rFonts w:cs="Calibri"/>
          <w:noProof/>
          <w:lang w:val="sq-AL"/>
        </w:rPr>
        <w:fldChar w:fldCharType="begin"/>
      </w:r>
      <w:r w:rsidR="00C87F41" w:rsidRPr="003E5F73">
        <w:rPr>
          <w:rFonts w:cs="Calibri"/>
          <w:noProof/>
          <w:lang w:val="sq-AL"/>
        </w:rPr>
        <w:instrText xml:space="preserve"> SEQ Grafiku \* ARABIC </w:instrText>
      </w:r>
      <w:r w:rsidR="00C87F41" w:rsidRPr="003E5F73">
        <w:rPr>
          <w:rFonts w:cs="Calibri"/>
          <w:noProof/>
          <w:lang w:val="sq-AL"/>
        </w:rPr>
        <w:fldChar w:fldCharType="separate"/>
      </w:r>
      <w:r w:rsidR="008C3E07">
        <w:rPr>
          <w:rFonts w:cs="Calibri"/>
          <w:noProof/>
          <w:lang w:val="sq-AL"/>
        </w:rPr>
        <w:t>25</w:t>
      </w:r>
      <w:r w:rsidR="00C87F41" w:rsidRPr="003E5F73">
        <w:rPr>
          <w:rFonts w:cs="Calibri"/>
          <w:noProof/>
          <w:lang w:val="sq-AL"/>
        </w:rPr>
        <w:fldChar w:fldCharType="end"/>
      </w:r>
      <w:r w:rsidR="00B77671" w:rsidRPr="003E5F73">
        <w:rPr>
          <w:rFonts w:cs="Calibri"/>
          <w:lang w:val="sq-AL"/>
        </w:rPr>
        <w:t xml:space="preserve"> Kontrib</w:t>
      </w:r>
      <w:r w:rsidRPr="003E5F73">
        <w:rPr>
          <w:rFonts w:cs="Calibri"/>
          <w:lang w:val="sq-AL"/>
        </w:rPr>
        <w:t>uesit aktiv</w:t>
      </w:r>
      <w:r w:rsidR="00C33B16" w:rsidRPr="003E5F73">
        <w:rPr>
          <w:rFonts w:cs="Calibri"/>
          <w:lang w:val="sq-AL"/>
        </w:rPr>
        <w:t>ë</w:t>
      </w:r>
      <w:r w:rsidRPr="003E5F73">
        <w:rPr>
          <w:rFonts w:cs="Calibri"/>
          <w:lang w:val="sq-AL"/>
        </w:rPr>
        <w:t xml:space="preserve"> p</w:t>
      </w:r>
      <w:r w:rsidR="00C33B16" w:rsidRPr="003E5F73">
        <w:rPr>
          <w:rFonts w:cs="Calibri"/>
          <w:lang w:val="sq-AL"/>
        </w:rPr>
        <w:t>ë</w:t>
      </w:r>
      <w:r w:rsidRPr="003E5F73">
        <w:rPr>
          <w:rFonts w:cs="Calibri"/>
          <w:lang w:val="sq-AL"/>
        </w:rPr>
        <w:t>r sigurimet shoq</w:t>
      </w:r>
      <w:r w:rsidR="00C33B16" w:rsidRPr="003E5F73">
        <w:rPr>
          <w:rFonts w:cs="Calibri"/>
          <w:lang w:val="sq-AL"/>
        </w:rPr>
        <w:t>ë</w:t>
      </w:r>
      <w:r w:rsidRPr="003E5F73">
        <w:rPr>
          <w:rFonts w:cs="Calibri"/>
          <w:lang w:val="sq-AL"/>
        </w:rPr>
        <w:t>rore dhe sh</w:t>
      </w:r>
      <w:r w:rsidR="00C33B16" w:rsidRPr="003E5F73">
        <w:rPr>
          <w:rFonts w:cs="Calibri"/>
          <w:lang w:val="sq-AL"/>
        </w:rPr>
        <w:t>ë</w:t>
      </w:r>
      <w:r w:rsidRPr="003E5F73">
        <w:rPr>
          <w:rFonts w:cs="Calibri"/>
          <w:lang w:val="sq-AL"/>
        </w:rPr>
        <w:t>ndet</w:t>
      </w:r>
      <w:r w:rsidR="00C33B16" w:rsidRPr="003E5F73">
        <w:rPr>
          <w:rFonts w:cs="Calibri"/>
          <w:lang w:val="sq-AL"/>
        </w:rPr>
        <w:t>ë</w:t>
      </w:r>
      <w:r w:rsidRPr="003E5F73">
        <w:rPr>
          <w:rFonts w:cs="Calibri"/>
          <w:lang w:val="sq-AL"/>
        </w:rPr>
        <w:t>sore, sipas sektorit (n</w:t>
      </w:r>
      <w:r w:rsidR="00C33B16" w:rsidRPr="003E5F73">
        <w:rPr>
          <w:rFonts w:cs="Calibri"/>
          <w:lang w:val="sq-AL"/>
        </w:rPr>
        <w:t>ë</w:t>
      </w:r>
      <w:r w:rsidRPr="003E5F73">
        <w:rPr>
          <w:rFonts w:cs="Calibri"/>
          <w:lang w:val="sq-AL"/>
        </w:rPr>
        <w:t xml:space="preserve"> %)</w:t>
      </w:r>
      <w:bookmarkEnd w:id="113"/>
    </w:p>
    <w:p w:rsidR="006D2CC4" w:rsidRPr="003E5F73" w:rsidRDefault="005C0A17" w:rsidP="00FC729E">
      <w:pPr>
        <w:spacing w:before="0"/>
        <w:jc w:val="center"/>
        <w:rPr>
          <w:rFonts w:cs="Calibri"/>
          <w:noProof/>
          <w:lang w:val="sq-AL"/>
        </w:rPr>
      </w:pPr>
      <w:r w:rsidRPr="00734A96">
        <w:rPr>
          <w:noProof/>
        </w:rPr>
        <w:drawing>
          <wp:inline distT="0" distB="0" distL="0" distR="0" wp14:anchorId="3FD887FB" wp14:editId="70E57DC0">
            <wp:extent cx="5941450" cy="2504440"/>
            <wp:effectExtent l="0" t="0" r="2540" b="10160"/>
            <wp:docPr id="2" name="Chart 2">
              <a:extLst xmlns:a="http://schemas.openxmlformats.org/drawingml/2006/main">
                <a:ext uri="{FF2B5EF4-FFF2-40B4-BE49-F238E27FC236}">
                  <a16:creationId xmlns:a16="http://schemas.microsoft.com/office/drawing/2014/main" id="{00000000-0008-0000-0000-00001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6D2CC4" w:rsidRPr="003E5F73" w:rsidRDefault="00153CD6" w:rsidP="00153CD6">
      <w:pPr>
        <w:spacing w:before="0" w:line="360" w:lineRule="auto"/>
        <w:ind w:firstLine="720"/>
        <w:rPr>
          <w:rFonts w:cs="Calibri"/>
          <w:i/>
          <w:noProof/>
          <w:sz w:val="18"/>
          <w:szCs w:val="18"/>
          <w:lang w:val="sq-AL"/>
        </w:rPr>
      </w:pPr>
      <w:r>
        <w:rPr>
          <w:rFonts w:cs="Calibri"/>
          <w:i/>
          <w:noProof/>
          <w:sz w:val="18"/>
          <w:szCs w:val="18"/>
          <w:lang w:val="sq-AL"/>
        </w:rPr>
        <w:t>Burimi: Ministria e Financave dhe Ekonomisë (2023)</w:t>
      </w:r>
    </w:p>
    <w:p w:rsidR="00065CCC" w:rsidRDefault="00F827AD" w:rsidP="00605DAF">
      <w:pPr>
        <w:pStyle w:val="Normal1"/>
        <w:spacing w:before="240"/>
        <w:rPr>
          <w:rFonts w:ascii="Calibri" w:hAnsi="Calibri" w:cs="Calibri"/>
          <w:lang w:val="sq-AL"/>
        </w:rPr>
      </w:pPr>
      <w:bookmarkStart w:id="114" w:name="_Toc10033277"/>
      <w:bookmarkStart w:id="115" w:name="_Toc10721414"/>
      <w:r w:rsidRPr="00F827AD">
        <w:rPr>
          <w:rFonts w:ascii="Calibri" w:hAnsi="Calibri" w:cs="Calibri"/>
          <w:lang w:val="sq-AL"/>
        </w:rPr>
        <w:t xml:space="preserve">Peshën më të madhe, </w:t>
      </w:r>
      <w:r w:rsidR="00605DAF" w:rsidRPr="00734A96">
        <w:rPr>
          <w:rFonts w:ascii="Calibri" w:hAnsi="Calibri" w:cs="Calibri"/>
          <w:lang w:val="sq-AL"/>
        </w:rPr>
        <w:t>për numër mesatar kontribuesish e zë biznesi i madh dhe ndërmarrjet shtetërore buxhetore, përkatësisht 37.1</w:t>
      </w:r>
      <w:r w:rsidR="00605DAF">
        <w:rPr>
          <w:rFonts w:ascii="Calibri" w:hAnsi="Calibri" w:cs="Calibri"/>
          <w:lang w:val="sq-AL"/>
        </w:rPr>
        <w:t>%</w:t>
      </w:r>
      <w:r w:rsidR="00605DAF" w:rsidRPr="00734A96">
        <w:rPr>
          <w:rFonts w:ascii="Calibri" w:hAnsi="Calibri" w:cs="Calibri"/>
          <w:lang w:val="sq-AL"/>
        </w:rPr>
        <w:t xml:space="preserve"> dhe 20.4</w:t>
      </w:r>
      <w:r w:rsidR="00605DAF">
        <w:rPr>
          <w:rFonts w:ascii="Calibri" w:hAnsi="Calibri" w:cs="Calibri"/>
          <w:lang w:val="sq-AL"/>
        </w:rPr>
        <w:t>%</w:t>
      </w:r>
      <w:r w:rsidR="00605DAF" w:rsidRPr="00734A96">
        <w:rPr>
          <w:rFonts w:ascii="Calibri" w:hAnsi="Calibri" w:cs="Calibri"/>
          <w:lang w:val="sq-AL"/>
        </w:rPr>
        <w:t>. Duke e analizuar nga këndvështrimi i sektorëve të ekonomisë, peshën kryesore në kontribuesit aktivë e zënë punonjësit në sektorin e “Shërbimit” me 59% të totalit, “Prodhimi” me 16% dhe “Tregtia” me 16%. Krahasuar me vitin e kaluar, ky tregues ka pësuar këto ndryshime: sektori i “Prodhimit” është ulur me 9</w:t>
      </w:r>
      <w:r w:rsidR="00605DAF">
        <w:rPr>
          <w:rFonts w:ascii="Calibri" w:hAnsi="Calibri" w:cs="Calibri"/>
          <w:lang w:val="sq-AL"/>
        </w:rPr>
        <w:t>%</w:t>
      </w:r>
      <w:r w:rsidR="00605DAF" w:rsidRPr="00734A96">
        <w:rPr>
          <w:rFonts w:ascii="Calibri" w:hAnsi="Calibri" w:cs="Calibri"/>
          <w:lang w:val="sq-AL"/>
        </w:rPr>
        <w:t>, sektori i “Shërbimit” është rritur me 23</w:t>
      </w:r>
      <w:r w:rsidR="00605DAF">
        <w:rPr>
          <w:rFonts w:ascii="Calibri" w:hAnsi="Calibri" w:cs="Calibri"/>
          <w:lang w:val="sq-AL"/>
        </w:rPr>
        <w:t>%</w:t>
      </w:r>
      <w:r w:rsidR="00605DAF" w:rsidRPr="00734A96">
        <w:rPr>
          <w:rFonts w:ascii="Calibri" w:hAnsi="Calibri" w:cs="Calibri"/>
          <w:lang w:val="sq-AL"/>
        </w:rPr>
        <w:t>, sektori i “Tregtisë” është ulur me 6</w:t>
      </w:r>
      <w:r w:rsidR="00605DAF">
        <w:rPr>
          <w:rFonts w:ascii="Calibri" w:hAnsi="Calibri" w:cs="Calibri"/>
          <w:lang w:val="sq-AL"/>
        </w:rPr>
        <w:t>%</w:t>
      </w:r>
      <w:r w:rsidR="00605DAF" w:rsidRPr="00734A96">
        <w:rPr>
          <w:rFonts w:ascii="Calibri" w:hAnsi="Calibri" w:cs="Calibri"/>
          <w:lang w:val="sq-AL"/>
        </w:rPr>
        <w:t>, sektori “Ndërtimit” është ulur me 8</w:t>
      </w:r>
      <w:r w:rsidR="00605DAF">
        <w:rPr>
          <w:rFonts w:ascii="Calibri" w:hAnsi="Calibri" w:cs="Calibri"/>
          <w:lang w:val="sq-AL"/>
        </w:rPr>
        <w:t>%</w:t>
      </w:r>
      <w:r w:rsidR="00605DAF" w:rsidRPr="00734A96">
        <w:rPr>
          <w:rFonts w:ascii="Calibri" w:hAnsi="Calibri" w:cs="Calibri"/>
          <w:lang w:val="sq-AL"/>
        </w:rPr>
        <w:t>, sektori i tregtisë eshtë ulur me 6</w:t>
      </w:r>
      <w:r w:rsidR="00605DAF">
        <w:rPr>
          <w:rFonts w:ascii="Calibri" w:hAnsi="Calibri" w:cs="Calibri"/>
          <w:lang w:val="sq-AL"/>
        </w:rPr>
        <w:t>%</w:t>
      </w:r>
      <w:r w:rsidR="00605DAF" w:rsidRPr="00734A96">
        <w:rPr>
          <w:rFonts w:ascii="Calibri" w:hAnsi="Calibri" w:cs="Calibri"/>
          <w:lang w:val="sq-AL"/>
        </w:rPr>
        <w:t xml:space="preserve"> dhe sektori i “Transportit” është në të njëjtat nivele të vitit të kaluar</w:t>
      </w:r>
      <w:r w:rsidR="00065CCC" w:rsidRPr="00F827AD">
        <w:rPr>
          <w:rFonts w:ascii="Calibri" w:hAnsi="Calibri" w:cs="Calibri"/>
          <w:lang w:val="sq-AL"/>
        </w:rPr>
        <w:t>.</w:t>
      </w:r>
      <w:r w:rsidR="00065CCC" w:rsidRPr="00476D2E">
        <w:rPr>
          <w:rFonts w:ascii="Calibri" w:hAnsi="Calibri" w:cs="Calibri"/>
          <w:lang w:val="sq-AL"/>
        </w:rPr>
        <w:t xml:space="preserve"> </w:t>
      </w:r>
    </w:p>
    <w:p w:rsidR="00605DAF" w:rsidRDefault="00605DAF" w:rsidP="00605DAF">
      <w:pPr>
        <w:pStyle w:val="Normal1"/>
        <w:spacing w:before="240"/>
        <w:rPr>
          <w:rFonts w:ascii="Calibri" w:hAnsi="Calibri" w:cs="Calibri"/>
          <w:lang w:val="sq-AL"/>
        </w:rPr>
      </w:pPr>
    </w:p>
    <w:p w:rsidR="00605DAF" w:rsidRDefault="00605DAF" w:rsidP="00605DAF">
      <w:pPr>
        <w:pStyle w:val="Normal1"/>
        <w:spacing w:before="240"/>
        <w:rPr>
          <w:rFonts w:ascii="Calibri" w:hAnsi="Calibri" w:cs="Calibri"/>
          <w:lang w:val="sq-AL"/>
        </w:rPr>
      </w:pPr>
    </w:p>
    <w:p w:rsidR="00A94670" w:rsidRPr="00E448D2" w:rsidRDefault="008B6B58" w:rsidP="00FC729E">
      <w:pPr>
        <w:pStyle w:val="Fiskale1"/>
        <w:rPr>
          <w:rFonts w:ascii="Calibri" w:hAnsi="Calibri" w:cs="Calibri"/>
        </w:rPr>
      </w:pPr>
      <w:bookmarkStart w:id="116" w:name="_Toc104980332"/>
      <w:r w:rsidRPr="00E448D2">
        <w:rPr>
          <w:rFonts w:ascii="Calibri" w:hAnsi="Calibri" w:cs="Calibri"/>
        </w:rPr>
        <w:lastRenderedPageBreak/>
        <w:t>SHPENZIMET E PËRGJITHSHME</w:t>
      </w:r>
      <w:bookmarkEnd w:id="114"/>
      <w:bookmarkEnd w:id="115"/>
      <w:bookmarkEnd w:id="116"/>
    </w:p>
    <w:p w:rsidR="00C07CC2" w:rsidRPr="00476D2E" w:rsidRDefault="00E448D2" w:rsidP="00E448D2">
      <w:pPr>
        <w:pStyle w:val="Normal1"/>
        <w:spacing w:before="0" w:line="240" w:lineRule="auto"/>
        <w:rPr>
          <w:rFonts w:ascii="Calibri" w:hAnsi="Calibri" w:cs="Calibri"/>
          <w:lang w:val="sq-AL"/>
        </w:rPr>
      </w:pPr>
      <w:r w:rsidRPr="00611771">
        <w:rPr>
          <w:rFonts w:ascii="Calibri" w:hAnsi="Calibri" w:cs="Calibri"/>
          <w:lang w:val="sq-AL"/>
        </w:rPr>
        <w:t>Shpenzimet e përgjithshme publike për vitin 2022, arritën në rreth 651 miliard</w:t>
      </w:r>
      <w:r>
        <w:rPr>
          <w:rFonts w:ascii="Calibri" w:hAnsi="Calibri" w:cs="Calibri"/>
          <w:lang w:val="sq-AL"/>
        </w:rPr>
        <w:t>ë</w:t>
      </w:r>
      <w:r w:rsidRPr="00611771">
        <w:rPr>
          <w:rFonts w:ascii="Calibri" w:hAnsi="Calibri" w:cs="Calibri"/>
          <w:lang w:val="sq-AL"/>
        </w:rPr>
        <w:t xml:space="preserve"> </w:t>
      </w:r>
      <w:r>
        <w:rPr>
          <w:rFonts w:ascii="Calibri" w:hAnsi="Calibri" w:cs="Calibri"/>
          <w:lang w:val="sq-AL"/>
        </w:rPr>
        <w:t>lekë</w:t>
      </w:r>
      <w:r w:rsidRPr="00611771">
        <w:rPr>
          <w:rFonts w:ascii="Calibri" w:hAnsi="Calibri" w:cs="Calibri"/>
          <w:lang w:val="sq-AL"/>
        </w:rPr>
        <w:t xml:space="preserve"> me një realizim në masën 102.1 përqind të planit vjetor sipas Buxhetit Fillestar dhe 97.6 përqind të planit vjetor të ndryshuar përmes Aktit Normativ nr.19 datë 29.12.2022. Krahasuar me vitin 2021 shpenzimet e përgjithshme publike rezultojnë 9.2 përqind më të larta ose rreth 55.05 miliard</w:t>
      </w:r>
      <w:r>
        <w:rPr>
          <w:rFonts w:ascii="Calibri" w:hAnsi="Calibri" w:cs="Calibri"/>
          <w:lang w:val="sq-AL"/>
        </w:rPr>
        <w:t>ë</w:t>
      </w:r>
      <w:r w:rsidRPr="00611771">
        <w:rPr>
          <w:rFonts w:ascii="Calibri" w:hAnsi="Calibri" w:cs="Calibri"/>
          <w:lang w:val="sq-AL"/>
        </w:rPr>
        <w:t xml:space="preserve"> </w:t>
      </w:r>
      <w:r w:rsidRPr="004E6BCB">
        <w:rPr>
          <w:rFonts w:ascii="Calibri" w:hAnsi="Calibri" w:cs="Calibri"/>
          <w:lang w:val="sq-AL"/>
        </w:rPr>
        <w:t>lekë</w:t>
      </w:r>
      <w:r w:rsidRPr="00611771">
        <w:rPr>
          <w:rFonts w:ascii="Calibri" w:hAnsi="Calibri" w:cs="Calibri"/>
          <w:lang w:val="sq-AL"/>
        </w:rPr>
        <w:t xml:space="preserve"> më shumë</w:t>
      </w:r>
      <w:r w:rsidR="007E67EA" w:rsidRPr="00476D2E">
        <w:rPr>
          <w:rFonts w:ascii="Calibri" w:hAnsi="Calibri" w:cs="Calibri"/>
          <w:lang w:val="sq-AL"/>
        </w:rPr>
        <w:t xml:space="preserve">. </w:t>
      </w:r>
    </w:p>
    <w:p w:rsidR="00C07CC2" w:rsidRPr="00476D2E" w:rsidRDefault="00C07CC2" w:rsidP="00FC729E">
      <w:pPr>
        <w:pStyle w:val="Caption"/>
        <w:keepNext/>
        <w:spacing w:after="0"/>
        <w:rPr>
          <w:rFonts w:cs="Calibri"/>
          <w:lang w:val="sq-AL"/>
        </w:rPr>
      </w:pPr>
      <w:bookmarkStart w:id="117" w:name="_Toc136526471"/>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26</w:t>
      </w:r>
      <w:r w:rsidRPr="00476D2E">
        <w:rPr>
          <w:rFonts w:cs="Calibri"/>
          <w:noProof/>
          <w:lang w:val="sq-AL"/>
        </w:rPr>
        <w:fldChar w:fldCharType="end"/>
      </w:r>
      <w:r w:rsidRPr="00476D2E">
        <w:rPr>
          <w:rFonts w:cs="Calibri"/>
          <w:lang w:val="sq-AL"/>
        </w:rPr>
        <w:t xml:space="preserve"> Shpenzimet e përgjithshme korren</w:t>
      </w:r>
      <w:r w:rsidR="00F53FF5" w:rsidRPr="00476D2E">
        <w:rPr>
          <w:rFonts w:cs="Calibri"/>
          <w:lang w:val="sq-AL"/>
        </w:rPr>
        <w:t>te dhe kapitale (mld  lekë</w:t>
      </w:r>
      <w:r w:rsidR="00C73F4F" w:rsidRPr="00476D2E">
        <w:rPr>
          <w:rFonts w:cs="Calibri"/>
          <w:lang w:val="sq-AL"/>
        </w:rPr>
        <w:t xml:space="preserve">) dhe </w:t>
      </w:r>
      <w:r w:rsidRPr="00476D2E">
        <w:rPr>
          <w:rFonts w:cs="Calibri"/>
          <w:lang w:val="sq-AL"/>
        </w:rPr>
        <w:t>ritmi i rritjes vjetore (në %)</w:t>
      </w:r>
      <w:bookmarkEnd w:id="117"/>
    </w:p>
    <w:p w:rsidR="00B9341E" w:rsidRPr="00476D2E" w:rsidRDefault="00E448D2" w:rsidP="00E448D2">
      <w:pPr>
        <w:spacing w:before="0" w:line="240" w:lineRule="auto"/>
        <w:jc w:val="center"/>
        <w:rPr>
          <w:rFonts w:eastAsia="SimSun" w:cs="Calibri"/>
          <w:i/>
          <w:lang w:val="sq-AL"/>
        </w:rPr>
      </w:pPr>
      <w:r>
        <w:rPr>
          <w:rFonts w:eastAsia="SimSun" w:cs="Calibri"/>
          <w:i/>
          <w:noProof/>
        </w:rPr>
        <w:drawing>
          <wp:inline distT="0" distB="0" distL="0" distR="0" wp14:anchorId="2F161939" wp14:editId="7DD27DE3">
            <wp:extent cx="5850890" cy="1840523"/>
            <wp:effectExtent l="0" t="0" r="0" b="762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09611" cy="1858995"/>
                    </a:xfrm>
                    <a:prstGeom prst="rect">
                      <a:avLst/>
                    </a:prstGeom>
                    <a:noFill/>
                  </pic:spPr>
                </pic:pic>
              </a:graphicData>
            </a:graphic>
          </wp:inline>
        </w:drawing>
      </w:r>
    </w:p>
    <w:p w:rsidR="00C07CC2" w:rsidRDefault="00153CD6" w:rsidP="00153CD6">
      <w:pPr>
        <w:spacing w:before="0" w:line="360" w:lineRule="auto"/>
        <w:ind w:firstLine="360"/>
        <w:rPr>
          <w:rFonts w:eastAsia="SimSun" w:cs="Calibri"/>
          <w:i/>
          <w:sz w:val="18"/>
          <w:szCs w:val="18"/>
          <w:lang w:val="sq-AL"/>
        </w:rPr>
      </w:pPr>
      <w:r>
        <w:rPr>
          <w:rFonts w:eastAsia="SimSun" w:cs="Calibri"/>
          <w:i/>
          <w:sz w:val="18"/>
          <w:szCs w:val="18"/>
          <w:lang w:val="sq-AL"/>
        </w:rPr>
        <w:t>Burimi: Ministria e Financave dhe Ekonomisë (2023)</w:t>
      </w:r>
      <w:r w:rsidR="00C07CC2" w:rsidRPr="00476D2E">
        <w:rPr>
          <w:rFonts w:eastAsia="SimSun" w:cs="Calibri"/>
          <w:i/>
          <w:sz w:val="18"/>
          <w:szCs w:val="18"/>
          <w:lang w:val="sq-AL"/>
        </w:rPr>
        <w:t xml:space="preserve"> </w:t>
      </w:r>
    </w:p>
    <w:p w:rsidR="006360DC" w:rsidRPr="00476D2E" w:rsidRDefault="006360DC" w:rsidP="00FC729E">
      <w:pPr>
        <w:spacing w:before="0"/>
        <w:ind w:firstLine="360"/>
        <w:rPr>
          <w:rFonts w:eastAsia="SimSun" w:cs="Calibri"/>
          <w:i/>
          <w:sz w:val="18"/>
          <w:szCs w:val="18"/>
          <w:lang w:val="sq-AL"/>
        </w:rPr>
      </w:pPr>
    </w:p>
    <w:p w:rsidR="003E52B1" w:rsidRPr="00DD139E" w:rsidRDefault="003E52B1" w:rsidP="00FC729E">
      <w:pPr>
        <w:pStyle w:val="Fiskale2"/>
        <w:rPr>
          <w:rFonts w:ascii="Calibri" w:hAnsi="Calibri" w:cs="Calibri"/>
        </w:rPr>
      </w:pPr>
      <w:bookmarkStart w:id="118" w:name="_Toc10033278"/>
      <w:bookmarkStart w:id="119" w:name="_Toc10721415"/>
      <w:bookmarkStart w:id="120" w:name="_Toc104980333"/>
      <w:bookmarkStart w:id="121" w:name="_Toc515446555"/>
      <w:r w:rsidRPr="00DD139E">
        <w:rPr>
          <w:rFonts w:ascii="Calibri" w:hAnsi="Calibri" w:cs="Calibri"/>
        </w:rPr>
        <w:t>Shpenzimet sipas natyr</w:t>
      </w:r>
      <w:r w:rsidR="00C33B16" w:rsidRPr="00DD139E">
        <w:rPr>
          <w:rFonts w:ascii="Calibri" w:hAnsi="Calibri" w:cs="Calibri"/>
        </w:rPr>
        <w:t>ë</w:t>
      </w:r>
      <w:r w:rsidRPr="00DD139E">
        <w:rPr>
          <w:rFonts w:ascii="Calibri" w:hAnsi="Calibri" w:cs="Calibri"/>
        </w:rPr>
        <w:t>s ekonomike</w:t>
      </w:r>
      <w:bookmarkEnd w:id="118"/>
      <w:bookmarkEnd w:id="119"/>
      <w:bookmarkEnd w:id="120"/>
    </w:p>
    <w:p w:rsidR="000804E3" w:rsidRPr="00476D2E" w:rsidRDefault="00DD139E" w:rsidP="00E16B1D">
      <w:pPr>
        <w:spacing w:before="0" w:line="240" w:lineRule="auto"/>
        <w:rPr>
          <w:rFonts w:eastAsia="SimSun" w:cs="Calibri"/>
          <w:lang w:val="sq-AL"/>
        </w:rPr>
      </w:pPr>
      <w:bookmarkStart w:id="122" w:name="_Toc8810310"/>
      <w:bookmarkEnd w:id="121"/>
      <w:r w:rsidRPr="00DD139E">
        <w:rPr>
          <w:rFonts w:eastAsia="SimSun" w:cs="Calibri"/>
          <w:lang w:val="sq-AL"/>
        </w:rPr>
        <w:t>Struktura e shpenzimeve gjatë vitit 202</w:t>
      </w:r>
      <w:r w:rsidR="00E16B1D">
        <w:rPr>
          <w:rFonts w:eastAsia="SimSun" w:cs="Calibri"/>
          <w:lang w:val="sq-AL"/>
        </w:rPr>
        <w:t>2</w:t>
      </w:r>
      <w:r w:rsidRPr="00DD139E">
        <w:rPr>
          <w:rFonts w:eastAsia="SimSun" w:cs="Calibri"/>
          <w:lang w:val="sq-AL"/>
        </w:rPr>
        <w:t xml:space="preserve"> paraqet disa ndryshime në krahasim me planin fillestar, </w:t>
      </w:r>
      <w:r w:rsidR="00E16B1D" w:rsidRPr="00E16B1D">
        <w:rPr>
          <w:rFonts w:eastAsia="SimSun" w:cs="Calibri"/>
          <w:lang w:val="sq-AL"/>
        </w:rPr>
        <w:t>për shkak të ecurisë së procesit të rindërtimit si dhe mbështetjes në kuadër të krizës së sektorit energjitik</w:t>
      </w:r>
      <w:r w:rsidRPr="00DD139E">
        <w:rPr>
          <w:rFonts w:eastAsia="SimSun" w:cs="Calibri"/>
          <w:lang w:val="sq-AL"/>
        </w:rPr>
        <w:t>, të cilat sollën nevojën për disa rishikime të buxhetit</w:t>
      </w:r>
      <w:r w:rsidR="001D54B0" w:rsidRPr="00DD139E">
        <w:rPr>
          <w:rFonts w:eastAsia="SimSun" w:cs="Calibri"/>
          <w:lang w:val="sq-AL"/>
        </w:rPr>
        <w:t>.</w:t>
      </w:r>
    </w:p>
    <w:p w:rsidR="000804E3" w:rsidRPr="00476D2E" w:rsidRDefault="000804E3" w:rsidP="00FC729E">
      <w:pPr>
        <w:pStyle w:val="Caption"/>
        <w:keepNext/>
        <w:spacing w:after="0"/>
        <w:rPr>
          <w:rFonts w:cs="Calibri"/>
          <w:lang w:val="sq-AL"/>
        </w:rPr>
      </w:pPr>
      <w:bookmarkStart w:id="123" w:name="_Toc136526472"/>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27</w:t>
      </w:r>
      <w:r w:rsidRPr="00476D2E">
        <w:rPr>
          <w:rFonts w:cs="Calibri"/>
          <w:noProof/>
          <w:lang w:val="sq-AL"/>
        </w:rPr>
        <w:fldChar w:fldCharType="end"/>
      </w:r>
      <w:r w:rsidRPr="00476D2E">
        <w:rPr>
          <w:rFonts w:cs="Calibri"/>
          <w:lang w:val="sq-AL"/>
        </w:rPr>
        <w:t xml:space="preserve"> Shpenzimet korrente dhe kapitale plan dhe f</w:t>
      </w:r>
      <w:r w:rsidR="00FE45AE">
        <w:rPr>
          <w:rFonts w:cs="Calibri"/>
          <w:lang w:val="sq-AL"/>
        </w:rPr>
        <w:t>akt ndaj totalit të shpenzimeve</w:t>
      </w:r>
      <w:r w:rsidRPr="00476D2E">
        <w:rPr>
          <w:rFonts w:cs="Calibri"/>
          <w:lang w:val="sq-AL"/>
        </w:rPr>
        <w:t xml:space="preserve"> (mln lekë)</w:t>
      </w:r>
      <w:bookmarkEnd w:id="123"/>
    </w:p>
    <w:p w:rsidR="00EC7349" w:rsidRPr="00476D2E" w:rsidRDefault="00E16B1D" w:rsidP="00FC729E">
      <w:pPr>
        <w:pStyle w:val="ListParagraph"/>
        <w:spacing w:before="0"/>
        <w:ind w:left="0"/>
        <w:jc w:val="center"/>
        <w:rPr>
          <w:rFonts w:eastAsia="SimSun" w:cs="Calibri"/>
          <w:i/>
          <w:sz w:val="20"/>
          <w:lang w:val="sq-AL"/>
        </w:rPr>
      </w:pPr>
      <w:r>
        <w:rPr>
          <w:rFonts w:eastAsia="SimSun" w:cs="Calibri"/>
          <w:i/>
          <w:noProof/>
          <w:sz w:val="20"/>
        </w:rPr>
        <w:drawing>
          <wp:inline distT="0" distB="0" distL="0" distR="0" wp14:anchorId="0F347A09" wp14:editId="6B3A5574">
            <wp:extent cx="5864415" cy="1899139"/>
            <wp:effectExtent l="0" t="0" r="3175"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82364" cy="1937336"/>
                    </a:xfrm>
                    <a:prstGeom prst="rect">
                      <a:avLst/>
                    </a:prstGeom>
                    <a:noFill/>
                  </pic:spPr>
                </pic:pic>
              </a:graphicData>
            </a:graphic>
          </wp:inline>
        </w:drawing>
      </w:r>
    </w:p>
    <w:p w:rsidR="000804E3" w:rsidRPr="00476D2E" w:rsidRDefault="000804E3" w:rsidP="00C5057E">
      <w:pPr>
        <w:pStyle w:val="ListParagraph"/>
        <w:spacing w:before="0" w:line="240" w:lineRule="auto"/>
        <w:ind w:left="0"/>
        <w:jc w:val="left"/>
        <w:rPr>
          <w:rFonts w:eastAsia="SimSun" w:cs="Calibri"/>
          <w:i/>
          <w:sz w:val="18"/>
          <w:szCs w:val="18"/>
          <w:lang w:val="sq-AL"/>
        </w:rPr>
      </w:pPr>
      <w:r w:rsidRPr="00476D2E">
        <w:rPr>
          <w:rFonts w:eastAsia="SimSun" w:cs="Calibri"/>
          <w:i/>
          <w:sz w:val="18"/>
          <w:szCs w:val="18"/>
          <w:lang w:val="sq-AL"/>
        </w:rPr>
        <w:t xml:space="preserve"> </w:t>
      </w:r>
      <w:r w:rsidR="00A52C02">
        <w:rPr>
          <w:rFonts w:eastAsia="SimSun" w:cs="Calibri"/>
          <w:i/>
          <w:sz w:val="18"/>
          <w:szCs w:val="18"/>
          <w:lang w:val="sq-AL"/>
        </w:rPr>
        <w:tab/>
      </w:r>
      <w:r w:rsidR="00153CD6">
        <w:rPr>
          <w:rFonts w:eastAsia="SimSun" w:cs="Calibri"/>
          <w:i/>
          <w:sz w:val="18"/>
          <w:szCs w:val="18"/>
          <w:lang w:val="sq-AL"/>
        </w:rPr>
        <w:t>Burimi: Ministria e Financave dhe Ekonomisë (2023)</w:t>
      </w:r>
    </w:p>
    <w:p w:rsidR="001106AA" w:rsidRPr="00476D2E" w:rsidRDefault="000804E3" w:rsidP="00FC729E">
      <w:pPr>
        <w:pStyle w:val="Caption"/>
        <w:keepNext/>
        <w:spacing w:after="0"/>
        <w:rPr>
          <w:rFonts w:cs="Calibri"/>
          <w:lang w:val="sq-AL"/>
        </w:rPr>
      </w:pPr>
      <w:bookmarkStart w:id="124" w:name="_Toc136526473"/>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28</w:t>
      </w:r>
      <w:r w:rsidRPr="00476D2E">
        <w:rPr>
          <w:rFonts w:cs="Calibri"/>
          <w:noProof/>
          <w:lang w:val="sq-AL"/>
        </w:rPr>
        <w:fldChar w:fldCharType="end"/>
      </w:r>
      <w:r w:rsidRPr="00476D2E">
        <w:rPr>
          <w:rFonts w:cs="Calibri"/>
          <w:lang w:val="sq-AL"/>
        </w:rPr>
        <w:t xml:space="preserve"> Struktura e shpenzimeve </w:t>
      </w:r>
      <w:r w:rsidR="00691C1E" w:rsidRPr="00476D2E">
        <w:rPr>
          <w:rFonts w:cs="Calibri"/>
          <w:lang w:val="sq-AL"/>
        </w:rPr>
        <w:t>korente, kapitale</w:t>
      </w:r>
      <w:r w:rsidRPr="00476D2E">
        <w:rPr>
          <w:rFonts w:cs="Calibri"/>
          <w:lang w:val="sq-AL"/>
        </w:rPr>
        <w:t xml:space="preserve"> dhe raporti me PBB-në ndër vite</w:t>
      </w:r>
      <w:bookmarkEnd w:id="124"/>
    </w:p>
    <w:p w:rsidR="00163A5D" w:rsidRPr="00476D2E" w:rsidRDefault="00C5057E" w:rsidP="00C5057E">
      <w:pPr>
        <w:spacing w:before="0" w:line="240" w:lineRule="auto"/>
        <w:jc w:val="center"/>
        <w:rPr>
          <w:rFonts w:eastAsia="SimSun" w:cs="Calibri"/>
          <w:lang w:val="sq-AL"/>
        </w:rPr>
      </w:pPr>
      <w:r>
        <w:rPr>
          <w:rFonts w:eastAsia="SimSun" w:cs="Calibri"/>
          <w:noProof/>
        </w:rPr>
        <w:drawing>
          <wp:inline distT="0" distB="0" distL="0" distR="0" wp14:anchorId="37ED2719" wp14:editId="2001A966">
            <wp:extent cx="5844461" cy="1535723"/>
            <wp:effectExtent l="0" t="0" r="4445" b="762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31081" cy="1584760"/>
                    </a:xfrm>
                    <a:prstGeom prst="rect">
                      <a:avLst/>
                    </a:prstGeom>
                    <a:noFill/>
                  </pic:spPr>
                </pic:pic>
              </a:graphicData>
            </a:graphic>
          </wp:inline>
        </w:drawing>
      </w:r>
    </w:p>
    <w:p w:rsidR="000804E3" w:rsidRPr="00476D2E" w:rsidRDefault="00153CD6" w:rsidP="00153CD6">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6F10EA" w:rsidRPr="004E6BCB" w:rsidRDefault="00C73F4F" w:rsidP="00CF305C">
      <w:pPr>
        <w:spacing w:line="240" w:lineRule="auto"/>
        <w:rPr>
          <w:rFonts w:cs="Calibri"/>
          <w:bCs/>
          <w:iCs/>
          <w:lang w:val="sq-AL"/>
        </w:rPr>
      </w:pPr>
      <w:r w:rsidRPr="00476D2E">
        <w:rPr>
          <w:rFonts w:eastAsia="SimSun" w:cs="Calibri"/>
          <w:b/>
          <w:lang w:val="sq-AL"/>
        </w:rPr>
        <w:lastRenderedPageBreak/>
        <w:t>Shpenzimet korrente</w:t>
      </w:r>
      <w:r w:rsidRPr="00476D2E">
        <w:rPr>
          <w:rFonts w:eastAsia="SimSun" w:cs="Calibri"/>
          <w:lang w:val="sq-AL"/>
        </w:rPr>
        <w:t xml:space="preserve"> </w:t>
      </w:r>
      <w:r w:rsidR="00CF305C" w:rsidRPr="004E6BCB">
        <w:rPr>
          <w:rFonts w:cs="Calibri"/>
          <w:bCs/>
          <w:iCs/>
          <w:lang w:val="sq-AL"/>
        </w:rPr>
        <w:t>për vitin 202</w:t>
      </w:r>
      <w:r w:rsidR="00CF305C">
        <w:rPr>
          <w:rFonts w:cs="Calibri"/>
          <w:bCs/>
          <w:iCs/>
          <w:lang w:val="sq-AL"/>
        </w:rPr>
        <w:t>2</w:t>
      </w:r>
      <w:r w:rsidR="00CF305C" w:rsidRPr="004E6BCB">
        <w:rPr>
          <w:rFonts w:cs="Calibri"/>
          <w:bCs/>
          <w:iCs/>
          <w:lang w:val="sq-AL"/>
        </w:rPr>
        <w:t xml:space="preserve"> rezultuan në rreth </w:t>
      </w:r>
      <w:r w:rsidR="00CF305C">
        <w:rPr>
          <w:rFonts w:cs="Calibri"/>
          <w:bCs/>
          <w:iCs/>
          <w:lang w:val="sq-AL"/>
        </w:rPr>
        <w:t>500</w:t>
      </w:r>
      <w:r w:rsidR="00CF305C" w:rsidRPr="004E6BCB">
        <w:rPr>
          <w:rFonts w:cs="Calibri"/>
          <w:bCs/>
          <w:iCs/>
          <w:lang w:val="sq-AL"/>
        </w:rPr>
        <w:t xml:space="preserve"> miliardë lekë ose 98.</w:t>
      </w:r>
      <w:r w:rsidR="00CF305C">
        <w:rPr>
          <w:rFonts w:cs="Calibri"/>
          <w:bCs/>
          <w:iCs/>
          <w:lang w:val="sq-AL"/>
        </w:rPr>
        <w:t>5</w:t>
      </w:r>
      <w:r w:rsidR="00CF305C" w:rsidRPr="004E6BCB">
        <w:rPr>
          <w:rFonts w:cs="Calibri"/>
          <w:bCs/>
          <w:iCs/>
          <w:lang w:val="sq-AL"/>
        </w:rPr>
        <w:t xml:space="preserve"> përqind të planit vjetor fillestar</w:t>
      </w:r>
      <w:r w:rsidR="00CF305C">
        <w:rPr>
          <w:rFonts w:cs="Calibri"/>
          <w:bCs/>
          <w:iCs/>
          <w:lang w:val="sq-AL"/>
        </w:rPr>
        <w:t>, 100.3</w:t>
      </w:r>
      <w:r w:rsidR="00CF305C" w:rsidRPr="004E6BCB">
        <w:rPr>
          <w:rFonts w:cs="Calibri"/>
          <w:bCs/>
          <w:iCs/>
          <w:lang w:val="sq-AL"/>
        </w:rPr>
        <w:t xml:space="preserve"> përqind të planit vjetor të ndryshuar me AN nr.</w:t>
      </w:r>
      <w:r w:rsidR="00CF305C">
        <w:rPr>
          <w:rFonts w:cs="Calibri"/>
          <w:bCs/>
          <w:iCs/>
          <w:lang w:val="sq-AL"/>
        </w:rPr>
        <w:t>19</w:t>
      </w:r>
      <w:r w:rsidR="00CF305C" w:rsidRPr="004E6BCB">
        <w:rPr>
          <w:rFonts w:cs="Calibri"/>
          <w:bCs/>
          <w:iCs/>
          <w:lang w:val="sq-AL"/>
        </w:rPr>
        <w:t xml:space="preserve"> dhe </w:t>
      </w:r>
      <w:r w:rsidR="00CF305C">
        <w:rPr>
          <w:rFonts w:cs="Calibri"/>
          <w:bCs/>
          <w:iCs/>
          <w:lang w:val="sq-AL"/>
        </w:rPr>
        <w:t>96.4</w:t>
      </w:r>
      <w:r w:rsidR="00CF305C" w:rsidRPr="004E6BCB">
        <w:rPr>
          <w:rFonts w:cs="Calibri"/>
          <w:bCs/>
          <w:iCs/>
          <w:lang w:val="sq-AL"/>
        </w:rPr>
        <w:t xml:space="preserve"> përqind sipas planit vjetor me ndryshime, shpërndarje rezervash. Krahasuar </w:t>
      </w:r>
      <w:r w:rsidR="00CF305C" w:rsidRPr="004E6BCB">
        <w:rPr>
          <w:rFonts w:eastAsia="SimSun" w:cs="Calibri"/>
          <w:lang w:val="sq-AL"/>
        </w:rPr>
        <w:t>me të njëjtën periudhë të një viti më parë, shpenzimet korrente për vitin 202</w:t>
      </w:r>
      <w:r w:rsidR="00CF305C">
        <w:rPr>
          <w:rFonts w:eastAsia="SimSun" w:cs="Calibri"/>
          <w:lang w:val="sq-AL"/>
        </w:rPr>
        <w:t>2</w:t>
      </w:r>
      <w:r w:rsidR="00CF305C" w:rsidRPr="004E6BCB">
        <w:rPr>
          <w:rFonts w:cs="Calibri"/>
          <w:bCs/>
          <w:iCs/>
          <w:lang w:val="sq-AL"/>
        </w:rPr>
        <w:t xml:space="preserve"> rezultuan </w:t>
      </w:r>
      <w:r w:rsidR="00CF305C">
        <w:rPr>
          <w:rFonts w:cs="Calibri"/>
          <w:bCs/>
          <w:iCs/>
          <w:lang w:val="sq-AL"/>
        </w:rPr>
        <w:t>8</w:t>
      </w:r>
      <w:r w:rsidR="00CF305C" w:rsidRPr="004E6BCB">
        <w:rPr>
          <w:rFonts w:cs="Calibri"/>
          <w:bCs/>
          <w:iCs/>
          <w:lang w:val="sq-AL"/>
        </w:rPr>
        <w:t xml:space="preserve">.4 përqind më të larta ose rreth </w:t>
      </w:r>
      <w:r w:rsidR="00CF305C">
        <w:rPr>
          <w:rFonts w:cs="Calibri"/>
          <w:bCs/>
          <w:iCs/>
          <w:lang w:val="sq-AL"/>
        </w:rPr>
        <w:t>38.9</w:t>
      </w:r>
      <w:r w:rsidR="00CF305C" w:rsidRPr="004E6BCB">
        <w:rPr>
          <w:rFonts w:cs="Calibri"/>
          <w:bCs/>
          <w:iCs/>
          <w:lang w:val="sq-AL"/>
        </w:rPr>
        <w:t xml:space="preserve"> miliardë lekë më shumë.</w:t>
      </w:r>
      <w:r w:rsidR="00CF305C" w:rsidRPr="004E6BCB">
        <w:rPr>
          <w:rFonts w:eastAsia="SimSun" w:cs="Calibri"/>
          <w:lang w:val="sq-AL"/>
        </w:rPr>
        <w:t xml:space="preserve"> Kategoritë kryesore që kanë ndikuar në realizimin e shpenzimeve korrente ishin kryesisht</w:t>
      </w:r>
      <w:r w:rsidR="006F10EA" w:rsidRPr="004E6BCB">
        <w:rPr>
          <w:rFonts w:eastAsia="SimSun" w:cs="Calibri"/>
          <w:lang w:val="sq-AL"/>
        </w:rPr>
        <w:t>:</w:t>
      </w:r>
    </w:p>
    <w:p w:rsidR="00CF305C" w:rsidRPr="006F10EA" w:rsidRDefault="00CF305C" w:rsidP="00C71069">
      <w:pPr>
        <w:pStyle w:val="ListParagraph"/>
        <w:numPr>
          <w:ilvl w:val="0"/>
          <w:numId w:val="30"/>
        </w:numPr>
        <w:spacing w:before="0"/>
        <w:ind w:left="540"/>
        <w:rPr>
          <w:rFonts w:cs="Calibri"/>
          <w:bCs/>
          <w:i/>
          <w:iCs/>
          <w:lang w:val="sq-AL"/>
        </w:rPr>
      </w:pPr>
      <w:r w:rsidRPr="006F10EA">
        <w:rPr>
          <w:rFonts w:cs="Calibri"/>
          <w:bCs/>
          <w:i/>
          <w:iCs/>
          <w:lang w:val="sq-AL"/>
        </w:rPr>
        <w:t xml:space="preserve">Shpenzimet </w:t>
      </w:r>
      <w:r>
        <w:rPr>
          <w:rFonts w:cs="Calibri"/>
          <w:bCs/>
          <w:i/>
          <w:iCs/>
          <w:lang w:val="sq-AL"/>
        </w:rPr>
        <w:t>e tjera sociale</w:t>
      </w:r>
      <w:r w:rsidRPr="006F10EA">
        <w:rPr>
          <w:rFonts w:cs="Calibri"/>
          <w:bCs/>
          <w:i/>
          <w:iCs/>
          <w:lang w:val="sq-AL"/>
        </w:rPr>
        <w:t xml:space="preserve"> të cilat rezultuan 1</w:t>
      </w:r>
      <w:r>
        <w:rPr>
          <w:rFonts w:cs="Calibri"/>
          <w:bCs/>
          <w:i/>
          <w:iCs/>
          <w:lang w:val="sq-AL"/>
        </w:rPr>
        <w:t>09.6</w:t>
      </w:r>
      <w:r w:rsidRPr="006F10EA">
        <w:rPr>
          <w:rFonts w:cs="Calibri"/>
          <w:bCs/>
          <w:i/>
          <w:iCs/>
          <w:lang w:val="sq-AL"/>
        </w:rPr>
        <w:t xml:space="preserve"> përqind të planit vjetor fillestar (</w:t>
      </w:r>
      <w:r>
        <w:rPr>
          <w:rFonts w:cs="Calibri"/>
          <w:bCs/>
          <w:i/>
          <w:iCs/>
          <w:lang w:val="sq-AL"/>
        </w:rPr>
        <w:t>110.1</w:t>
      </w:r>
      <w:r w:rsidRPr="006F10EA">
        <w:rPr>
          <w:rFonts w:cs="Calibri"/>
          <w:bCs/>
          <w:i/>
          <w:iCs/>
          <w:lang w:val="sq-AL"/>
        </w:rPr>
        <w:t xml:space="preserve"> përqind të planit vjetor të ndryshuar me AN nr.</w:t>
      </w:r>
      <w:r>
        <w:rPr>
          <w:rFonts w:cs="Calibri"/>
          <w:bCs/>
          <w:i/>
          <w:iCs/>
          <w:lang w:val="sq-AL"/>
        </w:rPr>
        <w:t>19</w:t>
      </w:r>
      <w:r w:rsidRPr="006F10EA">
        <w:rPr>
          <w:rFonts w:cs="Calibri"/>
          <w:bCs/>
          <w:i/>
          <w:iCs/>
          <w:lang w:val="sq-AL"/>
        </w:rPr>
        <w:t xml:space="preserve"> dhe </w:t>
      </w:r>
      <w:r>
        <w:rPr>
          <w:rFonts w:cs="Calibri"/>
          <w:bCs/>
          <w:i/>
          <w:iCs/>
          <w:lang w:val="sq-AL"/>
        </w:rPr>
        <w:t>99.4</w:t>
      </w:r>
      <w:r w:rsidRPr="006F10EA">
        <w:rPr>
          <w:rFonts w:cs="Calibri"/>
          <w:bCs/>
          <w:i/>
          <w:iCs/>
          <w:lang w:val="sq-AL"/>
        </w:rPr>
        <w:t xml:space="preserve"> përqind të planit vjetor me ndryshime, shpërndarje rezervash).</w:t>
      </w:r>
    </w:p>
    <w:p w:rsidR="00CF305C" w:rsidRPr="006F10EA" w:rsidRDefault="00CF305C" w:rsidP="00C71069">
      <w:pPr>
        <w:pStyle w:val="ListParagraph"/>
        <w:numPr>
          <w:ilvl w:val="0"/>
          <w:numId w:val="30"/>
        </w:numPr>
        <w:spacing w:before="0"/>
        <w:ind w:left="540"/>
        <w:rPr>
          <w:rFonts w:cs="Calibri"/>
          <w:bCs/>
          <w:i/>
          <w:iCs/>
          <w:lang w:val="sq-AL"/>
        </w:rPr>
      </w:pPr>
      <w:r w:rsidRPr="006F10EA">
        <w:rPr>
          <w:rFonts w:cs="Calibri"/>
          <w:bCs/>
          <w:i/>
          <w:iCs/>
          <w:lang w:val="sq-AL"/>
        </w:rPr>
        <w:t xml:space="preserve">Shpenzimet </w:t>
      </w:r>
      <w:r>
        <w:rPr>
          <w:rFonts w:cs="Calibri"/>
          <w:bCs/>
          <w:i/>
          <w:iCs/>
          <w:lang w:val="sq-AL"/>
        </w:rPr>
        <w:t>Operative Mirëmbajtje</w:t>
      </w:r>
      <w:r w:rsidRPr="006F10EA">
        <w:rPr>
          <w:rFonts w:cs="Calibri"/>
          <w:bCs/>
          <w:i/>
          <w:iCs/>
          <w:lang w:val="sq-AL"/>
        </w:rPr>
        <w:t xml:space="preserve"> të cilat rezultuan </w:t>
      </w:r>
      <w:r>
        <w:rPr>
          <w:rFonts w:cs="Calibri"/>
          <w:bCs/>
          <w:i/>
          <w:iCs/>
          <w:lang w:val="sq-AL"/>
        </w:rPr>
        <w:t>108.3</w:t>
      </w:r>
      <w:r w:rsidRPr="006F10EA">
        <w:rPr>
          <w:rFonts w:cs="Calibri"/>
          <w:bCs/>
          <w:i/>
          <w:iCs/>
          <w:lang w:val="sq-AL"/>
        </w:rPr>
        <w:t xml:space="preserve"> përqind të planit vjetor fillestar (10</w:t>
      </w:r>
      <w:r>
        <w:rPr>
          <w:rFonts w:cs="Calibri"/>
          <w:bCs/>
          <w:i/>
          <w:iCs/>
          <w:lang w:val="sq-AL"/>
        </w:rPr>
        <w:t>2.9</w:t>
      </w:r>
      <w:r w:rsidRPr="006F10EA">
        <w:rPr>
          <w:rFonts w:cs="Calibri"/>
          <w:bCs/>
          <w:i/>
          <w:iCs/>
          <w:lang w:val="sq-AL"/>
        </w:rPr>
        <w:t xml:space="preserve"> përqind të planit vjetor të ndryshuar me AN nr.</w:t>
      </w:r>
      <w:r>
        <w:rPr>
          <w:rFonts w:cs="Calibri"/>
          <w:bCs/>
          <w:i/>
          <w:iCs/>
          <w:lang w:val="sq-AL"/>
        </w:rPr>
        <w:t>19</w:t>
      </w:r>
      <w:r w:rsidRPr="006F10EA">
        <w:rPr>
          <w:rFonts w:cs="Calibri"/>
          <w:bCs/>
          <w:i/>
          <w:iCs/>
          <w:lang w:val="sq-AL"/>
        </w:rPr>
        <w:t xml:space="preserve"> dhe 9</w:t>
      </w:r>
      <w:r>
        <w:rPr>
          <w:rFonts w:cs="Calibri"/>
          <w:bCs/>
          <w:i/>
          <w:iCs/>
          <w:lang w:val="sq-AL"/>
        </w:rPr>
        <w:t>3</w:t>
      </w:r>
      <w:r w:rsidRPr="006F10EA">
        <w:rPr>
          <w:rFonts w:cs="Calibri"/>
          <w:bCs/>
          <w:i/>
          <w:iCs/>
          <w:lang w:val="sq-AL"/>
        </w:rPr>
        <w:t>.</w:t>
      </w:r>
      <w:r>
        <w:rPr>
          <w:rFonts w:cs="Calibri"/>
          <w:bCs/>
          <w:i/>
          <w:iCs/>
          <w:lang w:val="sq-AL"/>
        </w:rPr>
        <w:t>8</w:t>
      </w:r>
      <w:r w:rsidRPr="006F10EA">
        <w:rPr>
          <w:rFonts w:cs="Calibri"/>
          <w:bCs/>
          <w:i/>
          <w:iCs/>
          <w:lang w:val="sq-AL"/>
        </w:rPr>
        <w:t xml:space="preserve"> përqind të planit vjetor me ndryshime, shpërndarje rezervash).</w:t>
      </w:r>
    </w:p>
    <w:p w:rsidR="006F10EA" w:rsidRPr="006F10EA" w:rsidRDefault="00CF305C" w:rsidP="00C71069">
      <w:pPr>
        <w:pStyle w:val="ListParagraph"/>
        <w:numPr>
          <w:ilvl w:val="0"/>
          <w:numId w:val="30"/>
        </w:numPr>
        <w:spacing w:before="0"/>
        <w:ind w:left="540"/>
        <w:rPr>
          <w:rFonts w:cs="Calibri"/>
          <w:bCs/>
          <w:i/>
          <w:iCs/>
          <w:lang w:val="sq-AL"/>
        </w:rPr>
      </w:pPr>
      <w:r w:rsidRPr="006F10EA">
        <w:rPr>
          <w:rFonts w:cs="Calibri"/>
          <w:bCs/>
          <w:i/>
          <w:iCs/>
          <w:lang w:val="sq-AL"/>
        </w:rPr>
        <w:t xml:space="preserve">Shpenzimet </w:t>
      </w:r>
      <w:r>
        <w:rPr>
          <w:rFonts w:cs="Calibri"/>
          <w:bCs/>
          <w:i/>
          <w:iCs/>
          <w:lang w:val="sq-AL"/>
        </w:rPr>
        <w:t>për subvencione</w:t>
      </w:r>
      <w:r w:rsidRPr="006F10EA">
        <w:rPr>
          <w:rFonts w:cs="Calibri"/>
          <w:bCs/>
          <w:i/>
          <w:iCs/>
          <w:lang w:val="sq-AL"/>
        </w:rPr>
        <w:t xml:space="preserve"> të cilat rezultuan 10</w:t>
      </w:r>
      <w:r>
        <w:rPr>
          <w:rFonts w:cs="Calibri"/>
          <w:bCs/>
          <w:i/>
          <w:iCs/>
          <w:lang w:val="sq-AL"/>
        </w:rPr>
        <w:t>6</w:t>
      </w:r>
      <w:r w:rsidRPr="006F10EA">
        <w:rPr>
          <w:rFonts w:cs="Calibri"/>
          <w:bCs/>
          <w:i/>
          <w:iCs/>
          <w:lang w:val="sq-AL"/>
        </w:rPr>
        <w:t>.</w:t>
      </w:r>
      <w:r>
        <w:rPr>
          <w:rFonts w:cs="Calibri"/>
          <w:bCs/>
          <w:i/>
          <w:iCs/>
          <w:lang w:val="sq-AL"/>
        </w:rPr>
        <w:t>5</w:t>
      </w:r>
      <w:r w:rsidRPr="006F10EA">
        <w:rPr>
          <w:rFonts w:cs="Calibri"/>
          <w:bCs/>
          <w:i/>
          <w:iCs/>
          <w:lang w:val="sq-AL"/>
        </w:rPr>
        <w:t xml:space="preserve"> përqind të planit vjetor fillestar (10</w:t>
      </w:r>
      <w:r>
        <w:rPr>
          <w:rFonts w:cs="Calibri"/>
          <w:bCs/>
          <w:i/>
          <w:iCs/>
          <w:lang w:val="sq-AL"/>
        </w:rPr>
        <w:t>2</w:t>
      </w:r>
      <w:r w:rsidRPr="006F10EA">
        <w:rPr>
          <w:rFonts w:cs="Calibri"/>
          <w:bCs/>
          <w:i/>
          <w:iCs/>
          <w:lang w:val="sq-AL"/>
        </w:rPr>
        <w:t>.</w:t>
      </w:r>
      <w:r>
        <w:rPr>
          <w:rFonts w:cs="Calibri"/>
          <w:bCs/>
          <w:i/>
          <w:iCs/>
          <w:lang w:val="sq-AL"/>
        </w:rPr>
        <w:t>8</w:t>
      </w:r>
      <w:r w:rsidRPr="006F10EA">
        <w:rPr>
          <w:rFonts w:cs="Calibri"/>
          <w:bCs/>
          <w:i/>
          <w:iCs/>
          <w:lang w:val="sq-AL"/>
        </w:rPr>
        <w:t xml:space="preserve"> përqind të planit vjetor të ndryshuar me AN nr.</w:t>
      </w:r>
      <w:r>
        <w:rPr>
          <w:rFonts w:cs="Calibri"/>
          <w:bCs/>
          <w:i/>
          <w:iCs/>
          <w:lang w:val="sq-AL"/>
        </w:rPr>
        <w:t>19</w:t>
      </w:r>
      <w:r w:rsidRPr="006F10EA">
        <w:rPr>
          <w:rFonts w:cs="Calibri"/>
          <w:bCs/>
          <w:i/>
          <w:iCs/>
          <w:lang w:val="sq-AL"/>
        </w:rPr>
        <w:t xml:space="preserve"> dhe 9</w:t>
      </w:r>
      <w:r>
        <w:rPr>
          <w:rFonts w:cs="Calibri"/>
          <w:bCs/>
          <w:i/>
          <w:iCs/>
          <w:lang w:val="sq-AL"/>
        </w:rPr>
        <w:t>9.</w:t>
      </w:r>
      <w:r w:rsidRPr="006F10EA">
        <w:rPr>
          <w:rFonts w:cs="Calibri"/>
          <w:bCs/>
          <w:i/>
          <w:iCs/>
          <w:lang w:val="sq-AL"/>
        </w:rPr>
        <w:t>7 përqind të planit vjetor me ndryshime, shpërndarje rezervash)</w:t>
      </w:r>
      <w:r w:rsidR="006F10EA" w:rsidRPr="006F10EA">
        <w:rPr>
          <w:rFonts w:cs="Calibri"/>
          <w:bCs/>
          <w:i/>
          <w:iCs/>
          <w:lang w:val="sq-AL"/>
        </w:rPr>
        <w:t>.</w:t>
      </w:r>
    </w:p>
    <w:p w:rsidR="00C73F4F" w:rsidRPr="00476D2E" w:rsidRDefault="006F10EA" w:rsidP="00CF305C">
      <w:pPr>
        <w:spacing w:line="240" w:lineRule="auto"/>
        <w:rPr>
          <w:rFonts w:cs="Calibri"/>
          <w:b/>
          <w:bCs/>
          <w:i/>
          <w:iCs/>
          <w:lang w:val="sq-AL"/>
        </w:rPr>
      </w:pPr>
      <w:r w:rsidRPr="004E6BCB">
        <w:rPr>
          <w:rFonts w:cs="Calibri"/>
          <w:bCs/>
          <w:iCs/>
          <w:lang w:val="sq-AL"/>
        </w:rPr>
        <w:t xml:space="preserve">Shpenzimet korrente në vitin </w:t>
      </w:r>
      <w:r w:rsidR="00CF305C" w:rsidRPr="004E6BCB">
        <w:rPr>
          <w:rFonts w:cs="Calibri"/>
          <w:bCs/>
          <w:iCs/>
          <w:lang w:val="sq-AL"/>
        </w:rPr>
        <w:t>202</w:t>
      </w:r>
      <w:r w:rsidR="00CF305C">
        <w:rPr>
          <w:rFonts w:cs="Calibri"/>
          <w:bCs/>
          <w:iCs/>
          <w:lang w:val="sq-AL"/>
        </w:rPr>
        <w:t>2</w:t>
      </w:r>
      <w:r w:rsidR="00CF305C" w:rsidRPr="004E6BCB">
        <w:rPr>
          <w:rFonts w:cs="Calibri"/>
          <w:bCs/>
          <w:iCs/>
          <w:lang w:val="sq-AL"/>
        </w:rPr>
        <w:t xml:space="preserve"> arritën në nivelin rreth </w:t>
      </w:r>
      <w:r w:rsidR="00CF305C">
        <w:rPr>
          <w:rFonts w:cs="Calibri"/>
          <w:bCs/>
          <w:iCs/>
          <w:lang w:val="sq-AL"/>
        </w:rPr>
        <w:t>24.3</w:t>
      </w:r>
      <w:r w:rsidR="00CF305C" w:rsidRPr="004E6BCB">
        <w:rPr>
          <w:rFonts w:cs="Calibri"/>
          <w:bCs/>
          <w:iCs/>
          <w:lang w:val="sq-AL"/>
        </w:rPr>
        <w:t xml:space="preserve"> </w:t>
      </w:r>
      <w:r w:rsidR="00CF305C">
        <w:rPr>
          <w:rFonts w:cs="Calibri"/>
          <w:bCs/>
          <w:iCs/>
          <w:lang w:val="sq-AL"/>
        </w:rPr>
        <w:t>përqind</w:t>
      </w:r>
      <w:r w:rsidR="00CF305C" w:rsidRPr="004E6BCB">
        <w:rPr>
          <w:rFonts w:cs="Calibri"/>
          <w:bCs/>
          <w:iCs/>
          <w:lang w:val="sq-AL"/>
        </w:rPr>
        <w:t xml:space="preserve"> të PBB-së, duke rezultuar pothuajse në të njëjtin nivel</w:t>
      </w:r>
      <w:r w:rsidR="00CF305C">
        <w:rPr>
          <w:rFonts w:cs="Calibri"/>
          <w:bCs/>
          <w:iCs/>
          <w:lang w:val="sq-AL"/>
        </w:rPr>
        <w:t xml:space="preserve"> </w:t>
      </w:r>
      <w:r w:rsidR="00CF305C" w:rsidRPr="004E6BCB">
        <w:rPr>
          <w:rFonts w:cs="Calibri"/>
          <w:bCs/>
          <w:iCs/>
          <w:lang w:val="sq-AL"/>
        </w:rPr>
        <w:t>me vitin 202</w:t>
      </w:r>
      <w:r w:rsidR="00CF305C">
        <w:rPr>
          <w:rFonts w:cs="Calibri"/>
          <w:bCs/>
          <w:iCs/>
          <w:lang w:val="sq-AL"/>
        </w:rPr>
        <w:t>1 (rreth 24.4 përqind)</w:t>
      </w:r>
      <w:r w:rsidR="00CF305C" w:rsidRPr="004E6BCB">
        <w:rPr>
          <w:rFonts w:cs="Calibri"/>
          <w:bCs/>
          <w:iCs/>
          <w:lang w:val="sq-AL"/>
        </w:rPr>
        <w:t>. Në vitet paraardhëse</w:t>
      </w:r>
      <w:r w:rsidR="00CF305C">
        <w:rPr>
          <w:rFonts w:cs="Calibri"/>
          <w:bCs/>
          <w:iCs/>
          <w:lang w:val="sq-AL"/>
        </w:rPr>
        <w:t>,</w:t>
      </w:r>
      <w:r w:rsidR="00CF305C" w:rsidRPr="004E6BCB">
        <w:rPr>
          <w:rFonts w:cs="Calibri"/>
          <w:bCs/>
          <w:iCs/>
          <w:lang w:val="sq-AL"/>
        </w:rPr>
        <w:t xml:space="preserve"> niveli mesatar i shpenzimeve korrente ndaj PBB-</w:t>
      </w:r>
      <w:r w:rsidR="00CF305C" w:rsidRPr="000642C5">
        <w:rPr>
          <w:rFonts w:cs="Calibri"/>
          <w:bCs/>
          <w:iCs/>
          <w:lang w:val="sq-AL"/>
        </w:rPr>
        <w:t>së nominal rezulton</w:t>
      </w:r>
      <w:r w:rsidR="00CF305C" w:rsidRPr="004E6BCB">
        <w:rPr>
          <w:rFonts w:cs="Calibri"/>
          <w:bCs/>
          <w:iCs/>
          <w:lang w:val="sq-AL"/>
        </w:rPr>
        <w:t xml:space="preserve"> </w:t>
      </w:r>
      <w:r w:rsidR="00CF305C">
        <w:rPr>
          <w:rFonts w:cs="Calibri"/>
          <w:bCs/>
          <w:iCs/>
          <w:lang w:val="sq-AL"/>
        </w:rPr>
        <w:t xml:space="preserve">në </w:t>
      </w:r>
      <w:r w:rsidR="00CF305C" w:rsidRPr="004E6BCB">
        <w:rPr>
          <w:rFonts w:cs="Calibri"/>
          <w:bCs/>
          <w:iCs/>
          <w:lang w:val="sq-AL"/>
        </w:rPr>
        <w:t>rreth 24.</w:t>
      </w:r>
      <w:r w:rsidR="00CF305C">
        <w:rPr>
          <w:rFonts w:cs="Calibri"/>
          <w:bCs/>
          <w:iCs/>
          <w:lang w:val="sq-AL"/>
        </w:rPr>
        <w:t>2</w:t>
      </w:r>
      <w:r w:rsidR="00CF305C" w:rsidRPr="004E6BCB">
        <w:rPr>
          <w:rFonts w:cs="Calibri"/>
          <w:bCs/>
          <w:iCs/>
          <w:lang w:val="sq-AL"/>
        </w:rPr>
        <w:t>%</w:t>
      </w:r>
      <w:r w:rsidR="00CF305C" w:rsidRPr="00476D2E">
        <w:rPr>
          <w:rFonts w:cs="Calibri"/>
          <w:bCs/>
          <w:iCs/>
          <w:lang w:val="sq-AL"/>
        </w:rPr>
        <w:t>.</w:t>
      </w:r>
    </w:p>
    <w:p w:rsidR="00E22DED" w:rsidRPr="00476D2E" w:rsidRDefault="00E22DED" w:rsidP="00FC729E">
      <w:pPr>
        <w:pStyle w:val="Caption"/>
        <w:keepNext/>
        <w:spacing w:after="0"/>
        <w:rPr>
          <w:rFonts w:cs="Calibri"/>
          <w:lang w:val="sq-AL"/>
        </w:rPr>
      </w:pPr>
      <w:bookmarkStart w:id="125" w:name="_Toc136526474"/>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29</w:t>
      </w:r>
      <w:r w:rsidRPr="00476D2E">
        <w:rPr>
          <w:rFonts w:cs="Calibri"/>
          <w:noProof/>
          <w:lang w:val="sq-AL"/>
        </w:rPr>
        <w:fldChar w:fldCharType="end"/>
      </w:r>
      <w:r w:rsidRPr="00476D2E">
        <w:rPr>
          <w:rFonts w:cs="Calibri"/>
          <w:lang w:val="sq-AL"/>
        </w:rPr>
        <w:t xml:space="preserve"> Shpenzimet korente dhe ritmi i rritjes së tyre (milion lekë)</w:t>
      </w:r>
      <w:bookmarkEnd w:id="125"/>
    </w:p>
    <w:p w:rsidR="00E22DED" w:rsidRPr="00476D2E" w:rsidRDefault="00CF305C" w:rsidP="00CF305C">
      <w:pPr>
        <w:spacing w:before="0" w:line="240" w:lineRule="auto"/>
        <w:jc w:val="center"/>
        <w:rPr>
          <w:rFonts w:cs="Calibri"/>
          <w:bCs/>
          <w:i/>
          <w:iCs/>
          <w:lang w:val="sq-AL"/>
        </w:rPr>
      </w:pPr>
      <w:r>
        <w:rPr>
          <w:rFonts w:cs="Calibri"/>
          <w:bCs/>
          <w:i/>
          <w:iCs/>
          <w:noProof/>
        </w:rPr>
        <w:drawing>
          <wp:inline distT="0" distB="0" distL="0" distR="0" wp14:anchorId="7ACC742F" wp14:editId="10922FE1">
            <wp:extent cx="6009025" cy="162306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33953" cy="1629793"/>
                    </a:xfrm>
                    <a:prstGeom prst="rect">
                      <a:avLst/>
                    </a:prstGeom>
                    <a:noFill/>
                  </pic:spPr>
                </pic:pic>
              </a:graphicData>
            </a:graphic>
          </wp:inline>
        </w:drawing>
      </w:r>
    </w:p>
    <w:p w:rsidR="00E22DED" w:rsidRPr="00476D2E" w:rsidRDefault="00153CD6" w:rsidP="00153CD6">
      <w:pPr>
        <w:spacing w:before="0" w:line="360" w:lineRule="auto"/>
        <w:ind w:firstLine="720"/>
        <w:jc w:val="left"/>
        <w:rPr>
          <w:rFonts w:eastAsia="SimSun" w:cs="Calibri"/>
          <w:i/>
          <w:sz w:val="18"/>
          <w:szCs w:val="18"/>
          <w:lang w:val="sq-AL"/>
        </w:rPr>
      </w:pPr>
      <w:r>
        <w:rPr>
          <w:rFonts w:eastAsia="SimSun" w:cs="Calibri"/>
          <w:i/>
          <w:sz w:val="18"/>
          <w:szCs w:val="18"/>
          <w:lang w:val="sq-AL"/>
        </w:rPr>
        <w:t>Burimi: Ministria e Financave dhe Ekonomisë (2023)</w:t>
      </w:r>
    </w:p>
    <w:p w:rsidR="00E22DED" w:rsidRPr="00476D2E" w:rsidRDefault="00E22DED" w:rsidP="00FC729E">
      <w:pPr>
        <w:pStyle w:val="Caption"/>
        <w:keepNext/>
        <w:spacing w:after="0"/>
        <w:rPr>
          <w:rFonts w:cs="Calibri"/>
          <w:lang w:val="sq-AL"/>
        </w:rPr>
      </w:pPr>
      <w:bookmarkStart w:id="126" w:name="_Toc136526475"/>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30</w:t>
      </w:r>
      <w:r w:rsidRPr="00476D2E">
        <w:rPr>
          <w:rFonts w:cs="Calibri"/>
          <w:noProof/>
          <w:lang w:val="sq-AL"/>
        </w:rPr>
        <w:fldChar w:fldCharType="end"/>
      </w:r>
      <w:r w:rsidRPr="00476D2E">
        <w:rPr>
          <w:rFonts w:cs="Calibri"/>
          <w:lang w:val="sq-AL"/>
        </w:rPr>
        <w:t xml:space="preserve"> Struktura e shpenzimeve kor</w:t>
      </w:r>
      <w:r w:rsidR="00BF0575" w:rsidRPr="00476D2E">
        <w:rPr>
          <w:rFonts w:cs="Calibri"/>
          <w:lang w:val="sq-AL"/>
        </w:rPr>
        <w:t>r</w:t>
      </w:r>
      <w:r w:rsidRPr="00476D2E">
        <w:rPr>
          <w:rFonts w:cs="Calibri"/>
          <w:lang w:val="sq-AL"/>
        </w:rPr>
        <w:t>ente (milion lekë)</w:t>
      </w:r>
      <w:bookmarkEnd w:id="126"/>
    </w:p>
    <w:p w:rsidR="00EB0AF4" w:rsidRPr="00476D2E" w:rsidRDefault="00CF305C" w:rsidP="00FC729E">
      <w:pPr>
        <w:spacing w:before="0"/>
        <w:jc w:val="center"/>
        <w:rPr>
          <w:rFonts w:eastAsia="SimSun" w:cs="Calibri"/>
          <w:lang w:val="sq-AL"/>
        </w:rPr>
      </w:pPr>
      <w:r>
        <w:rPr>
          <w:rFonts w:eastAsia="SimSun" w:cs="Calibri"/>
          <w:noProof/>
        </w:rPr>
        <w:drawing>
          <wp:inline distT="0" distB="0" distL="0" distR="0" wp14:anchorId="53438781" wp14:editId="60B2459D">
            <wp:extent cx="4783827" cy="310661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21271" cy="3130932"/>
                    </a:xfrm>
                    <a:prstGeom prst="rect">
                      <a:avLst/>
                    </a:prstGeom>
                    <a:noFill/>
                  </pic:spPr>
                </pic:pic>
              </a:graphicData>
            </a:graphic>
          </wp:inline>
        </w:drawing>
      </w:r>
    </w:p>
    <w:p w:rsidR="00E22DED" w:rsidRPr="00476D2E" w:rsidRDefault="00153CD6" w:rsidP="00153CD6">
      <w:pPr>
        <w:spacing w:before="0" w:line="360" w:lineRule="auto"/>
        <w:ind w:left="720" w:firstLine="720"/>
        <w:rPr>
          <w:rFonts w:eastAsia="SimSun" w:cs="Calibri"/>
          <w:i/>
          <w:sz w:val="18"/>
          <w:szCs w:val="18"/>
          <w:lang w:val="sq-AL"/>
        </w:rPr>
      </w:pPr>
      <w:r>
        <w:rPr>
          <w:rFonts w:eastAsia="SimSun" w:cs="Calibri"/>
          <w:i/>
          <w:sz w:val="18"/>
          <w:szCs w:val="18"/>
          <w:lang w:val="sq-AL"/>
        </w:rPr>
        <w:t>Burimi: Ministria e Financave dhe Ekonomisë (2023)</w:t>
      </w:r>
    </w:p>
    <w:p w:rsidR="00E22DED" w:rsidRPr="00476D2E" w:rsidRDefault="00E22DED" w:rsidP="00CF305C">
      <w:pPr>
        <w:spacing w:before="0" w:line="240" w:lineRule="auto"/>
        <w:rPr>
          <w:rFonts w:eastAsia="SimSun" w:cs="Calibri"/>
          <w:lang w:val="sq-AL"/>
        </w:rPr>
      </w:pPr>
      <w:r w:rsidRPr="00CF305C">
        <w:rPr>
          <w:rFonts w:eastAsia="SimSun" w:cs="Calibri"/>
          <w:i/>
          <w:lang w:val="sq-AL"/>
        </w:rPr>
        <w:lastRenderedPageBreak/>
        <w:t xml:space="preserve">Shpenzimet e </w:t>
      </w:r>
      <w:r w:rsidR="00925174" w:rsidRPr="00CF305C">
        <w:rPr>
          <w:rFonts w:eastAsia="SimSun" w:cs="Calibri"/>
          <w:i/>
          <w:lang w:val="sq-AL"/>
        </w:rPr>
        <w:t>p</w:t>
      </w:r>
      <w:r w:rsidRPr="00CF305C">
        <w:rPr>
          <w:rFonts w:eastAsia="SimSun" w:cs="Calibri"/>
          <w:i/>
          <w:lang w:val="sq-AL"/>
        </w:rPr>
        <w:t>ersonelit</w:t>
      </w:r>
      <w:r w:rsidRPr="00476D2E">
        <w:rPr>
          <w:rFonts w:eastAsia="SimSun" w:cs="Calibri"/>
          <w:lang w:val="sq-AL"/>
        </w:rPr>
        <w:t xml:space="preserve"> </w:t>
      </w:r>
      <w:r w:rsidR="00CF305C" w:rsidRPr="004E6BCB">
        <w:rPr>
          <w:rFonts w:eastAsia="SimSun" w:cs="Calibri"/>
          <w:lang w:val="sq-AL"/>
        </w:rPr>
        <w:t>për vitin 202</w:t>
      </w:r>
      <w:r w:rsidR="00CF305C">
        <w:rPr>
          <w:rFonts w:eastAsia="SimSun" w:cs="Calibri"/>
          <w:lang w:val="sq-AL"/>
        </w:rPr>
        <w:t>2</w:t>
      </w:r>
      <w:r w:rsidR="00CF305C" w:rsidRPr="004E6BCB">
        <w:rPr>
          <w:rFonts w:eastAsia="SimSun" w:cs="Calibri"/>
          <w:lang w:val="sq-AL"/>
        </w:rPr>
        <w:t xml:space="preserve">, përfaqësuan </w:t>
      </w:r>
      <w:r w:rsidR="00CF305C">
        <w:rPr>
          <w:rFonts w:eastAsia="SimSun" w:cs="Calibri"/>
          <w:lang w:val="sq-AL"/>
        </w:rPr>
        <w:t>16.9</w:t>
      </w:r>
      <w:r w:rsidR="00CF305C" w:rsidRPr="004E6BCB">
        <w:rPr>
          <w:rFonts w:eastAsia="SimSun" w:cs="Calibri"/>
          <w:lang w:val="sq-AL"/>
        </w:rPr>
        <w:t xml:space="preserve"> përqind të totalit të shpenzimeve kor</w:t>
      </w:r>
      <w:r w:rsidR="00CF305C">
        <w:rPr>
          <w:rFonts w:eastAsia="SimSun" w:cs="Calibri"/>
          <w:lang w:val="sq-AL"/>
        </w:rPr>
        <w:t>r</w:t>
      </w:r>
      <w:r w:rsidR="00CF305C" w:rsidRPr="004E6BCB">
        <w:rPr>
          <w:rFonts w:eastAsia="SimSun" w:cs="Calibri"/>
          <w:lang w:val="sq-AL"/>
        </w:rPr>
        <w:t xml:space="preserve">ente. Niveli i shpenzimeve faktike të personelit prej rreth </w:t>
      </w:r>
      <w:r w:rsidR="00CF305C">
        <w:rPr>
          <w:rFonts w:eastAsia="SimSun" w:cs="Calibri"/>
          <w:lang w:val="sq-AL"/>
        </w:rPr>
        <w:t>84.7</w:t>
      </w:r>
      <w:r w:rsidR="00CF305C" w:rsidRPr="004E6BCB">
        <w:rPr>
          <w:rFonts w:eastAsia="SimSun" w:cs="Calibri"/>
          <w:lang w:val="sq-AL"/>
        </w:rPr>
        <w:t xml:space="preserve"> miliardë lekë, realizon nivelin e parashikuar për këtë zë në masën </w:t>
      </w:r>
      <w:r w:rsidR="00CF305C">
        <w:rPr>
          <w:rFonts w:eastAsia="SimSun" w:cs="Calibri"/>
          <w:lang w:val="sq-AL"/>
        </w:rPr>
        <w:t>92.5</w:t>
      </w:r>
      <w:r w:rsidR="00CF305C" w:rsidRPr="004E6BCB">
        <w:rPr>
          <w:rFonts w:eastAsia="SimSun" w:cs="Calibri"/>
          <w:lang w:val="sq-AL"/>
        </w:rPr>
        <w:t xml:space="preserve"> përqind të planit vjetor sipas buxhetit fillestar</w:t>
      </w:r>
      <w:r w:rsidR="00CF305C">
        <w:rPr>
          <w:rFonts w:eastAsia="SimSun" w:cs="Calibri"/>
          <w:lang w:val="sq-AL"/>
        </w:rPr>
        <w:t>, 97.7</w:t>
      </w:r>
      <w:r w:rsidR="00CF305C" w:rsidRPr="004E6BCB">
        <w:rPr>
          <w:rFonts w:eastAsia="SimSun" w:cs="Calibri"/>
          <w:lang w:val="sq-AL"/>
        </w:rPr>
        <w:t xml:space="preserve"> përqind të planit vjetor të ndryshuar me AN nr.</w:t>
      </w:r>
      <w:r w:rsidR="00CF305C">
        <w:rPr>
          <w:rFonts w:eastAsia="SimSun" w:cs="Calibri"/>
          <w:lang w:val="sq-AL"/>
        </w:rPr>
        <w:t>19</w:t>
      </w:r>
      <w:r w:rsidR="00CF305C" w:rsidRPr="004E6BCB">
        <w:rPr>
          <w:rFonts w:eastAsia="SimSun" w:cs="Calibri"/>
          <w:lang w:val="sq-AL"/>
        </w:rPr>
        <w:t xml:space="preserve"> dhe 98.</w:t>
      </w:r>
      <w:r w:rsidR="00CF305C">
        <w:rPr>
          <w:rFonts w:eastAsia="SimSun" w:cs="Calibri"/>
          <w:lang w:val="sq-AL"/>
        </w:rPr>
        <w:t>9</w:t>
      </w:r>
      <w:r w:rsidR="00CF305C" w:rsidRPr="004E6BCB">
        <w:rPr>
          <w:rFonts w:eastAsia="SimSun" w:cs="Calibri"/>
          <w:lang w:val="sq-AL"/>
        </w:rPr>
        <w:t xml:space="preserve"> përqind të planit vjetor me ndryshime, shpërndarje rezervash. Krahasuar me viti</w:t>
      </w:r>
      <w:r w:rsidR="00CF305C">
        <w:rPr>
          <w:rFonts w:eastAsia="SimSun" w:cs="Calibri"/>
          <w:lang w:val="sq-AL"/>
        </w:rPr>
        <w:t>n</w:t>
      </w:r>
      <w:r w:rsidR="00CF305C" w:rsidRPr="004E6BCB">
        <w:rPr>
          <w:rFonts w:eastAsia="SimSun" w:cs="Calibri"/>
          <w:lang w:val="sq-AL"/>
        </w:rPr>
        <w:t xml:space="preserve"> 202</w:t>
      </w:r>
      <w:r w:rsidR="00CF305C">
        <w:rPr>
          <w:rFonts w:eastAsia="SimSun" w:cs="Calibri"/>
          <w:lang w:val="sq-AL"/>
        </w:rPr>
        <w:t>1</w:t>
      </w:r>
      <w:r w:rsidR="00CF305C" w:rsidRPr="004E6BCB">
        <w:rPr>
          <w:rFonts w:eastAsia="SimSun" w:cs="Calibri"/>
          <w:lang w:val="sq-AL"/>
        </w:rPr>
        <w:t xml:space="preserve">, ky zë është </w:t>
      </w:r>
      <w:r w:rsidR="00CF305C">
        <w:rPr>
          <w:rFonts w:eastAsia="SimSun" w:cs="Calibri"/>
          <w:lang w:val="sq-AL"/>
        </w:rPr>
        <w:t>1.7</w:t>
      </w:r>
      <w:r w:rsidR="00CF305C" w:rsidRPr="004E6BCB">
        <w:rPr>
          <w:rFonts w:eastAsia="SimSun" w:cs="Calibri"/>
          <w:lang w:val="sq-AL"/>
        </w:rPr>
        <w:t xml:space="preserve"> përqind më i lartë ose rreth </w:t>
      </w:r>
      <w:r w:rsidR="00CF305C">
        <w:rPr>
          <w:rFonts w:eastAsia="SimSun" w:cs="Calibri"/>
          <w:lang w:val="sq-AL"/>
        </w:rPr>
        <w:t>1</w:t>
      </w:r>
      <w:r w:rsidR="00CF305C" w:rsidRPr="004E6BCB">
        <w:rPr>
          <w:rFonts w:eastAsia="SimSun" w:cs="Calibri"/>
          <w:lang w:val="sq-AL"/>
        </w:rPr>
        <w:t>.4 miliardë lekë më shumë</w:t>
      </w:r>
      <w:r w:rsidRPr="00476D2E">
        <w:rPr>
          <w:rFonts w:eastAsia="SimSun" w:cs="Calibri"/>
          <w:lang w:val="sq-AL"/>
        </w:rPr>
        <w:t>.</w:t>
      </w:r>
    </w:p>
    <w:p w:rsidR="00C07CC2" w:rsidRPr="00476D2E" w:rsidRDefault="00C07CC2" w:rsidP="00FC729E">
      <w:pPr>
        <w:pStyle w:val="Caption"/>
        <w:keepNext/>
        <w:spacing w:after="0"/>
        <w:rPr>
          <w:rFonts w:cs="Calibri"/>
          <w:lang w:val="sq-AL"/>
        </w:rPr>
      </w:pPr>
      <w:bookmarkStart w:id="127" w:name="_Toc136526476"/>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31</w:t>
      </w:r>
      <w:r w:rsidRPr="00476D2E">
        <w:rPr>
          <w:rFonts w:cs="Calibri"/>
          <w:noProof/>
          <w:lang w:val="sq-AL"/>
        </w:rPr>
        <w:fldChar w:fldCharType="end"/>
      </w:r>
      <w:r w:rsidRPr="00476D2E">
        <w:rPr>
          <w:rFonts w:cs="Calibri"/>
          <w:lang w:val="sq-AL"/>
        </w:rPr>
        <w:t xml:space="preserve"> Shpenzimet e personelit në vite dhe ritmi i rritjes (miliardë lekë)</w:t>
      </w:r>
      <w:bookmarkEnd w:id="127"/>
      <w:r w:rsidRPr="00476D2E">
        <w:rPr>
          <w:rFonts w:cs="Calibri"/>
          <w:lang w:val="sq-AL"/>
        </w:rPr>
        <w:t xml:space="preserve"> </w:t>
      </w:r>
    </w:p>
    <w:p w:rsidR="00C07CC2" w:rsidRPr="00476D2E" w:rsidRDefault="00CF305C" w:rsidP="00CF305C">
      <w:pPr>
        <w:spacing w:before="0" w:line="240" w:lineRule="auto"/>
        <w:jc w:val="center"/>
        <w:rPr>
          <w:rFonts w:eastAsia="SimSun" w:cs="Calibri"/>
          <w:i/>
          <w:lang w:val="sq-AL"/>
        </w:rPr>
      </w:pPr>
      <w:r>
        <w:rPr>
          <w:rFonts w:eastAsia="SimSun" w:cs="Calibri"/>
          <w:i/>
          <w:noProof/>
        </w:rPr>
        <w:drawing>
          <wp:inline distT="0" distB="0" distL="0" distR="0" wp14:anchorId="32258B80" wp14:editId="656583D1">
            <wp:extent cx="5709611" cy="1600200"/>
            <wp:effectExtent l="0" t="0" r="571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90468" cy="1622861"/>
                    </a:xfrm>
                    <a:prstGeom prst="rect">
                      <a:avLst/>
                    </a:prstGeom>
                    <a:noFill/>
                  </pic:spPr>
                </pic:pic>
              </a:graphicData>
            </a:graphic>
          </wp:inline>
        </w:drawing>
      </w:r>
    </w:p>
    <w:p w:rsidR="00C07CC2" w:rsidRPr="00476D2E" w:rsidRDefault="00153CD6" w:rsidP="00153CD6">
      <w:pPr>
        <w:spacing w:before="0" w:line="360" w:lineRule="auto"/>
        <w:ind w:left="720" w:firstLine="720"/>
        <w:rPr>
          <w:rFonts w:eastAsia="SimSun" w:cs="Calibri"/>
          <w:i/>
          <w:sz w:val="18"/>
          <w:szCs w:val="18"/>
          <w:lang w:val="sq-AL"/>
        </w:rPr>
      </w:pPr>
      <w:r>
        <w:rPr>
          <w:rFonts w:eastAsia="SimSun" w:cs="Calibri"/>
          <w:i/>
          <w:sz w:val="18"/>
          <w:szCs w:val="18"/>
          <w:lang w:val="sq-AL"/>
        </w:rPr>
        <w:t>Burimi: Ministria e Financave dhe Ekonomisë (2023)</w:t>
      </w:r>
    </w:p>
    <w:p w:rsidR="00E22DED" w:rsidRPr="00476D2E" w:rsidRDefault="00E22DED" w:rsidP="00CF305C">
      <w:pPr>
        <w:spacing w:before="0" w:line="240" w:lineRule="auto"/>
        <w:rPr>
          <w:rFonts w:eastAsia="SimSun" w:cs="Calibri"/>
          <w:lang w:val="sq-AL"/>
        </w:rPr>
      </w:pPr>
      <w:r w:rsidRPr="00476D2E">
        <w:rPr>
          <w:rFonts w:eastAsia="SimSun" w:cs="Calibri"/>
          <w:i/>
          <w:lang w:val="sq-AL"/>
        </w:rPr>
        <w:t>Shpenzimet për Interesa</w:t>
      </w:r>
      <w:r w:rsidRPr="00476D2E">
        <w:rPr>
          <w:rFonts w:eastAsia="SimSun" w:cs="Calibri"/>
          <w:lang w:val="sq-AL"/>
        </w:rPr>
        <w:t xml:space="preserve"> </w:t>
      </w:r>
      <w:r w:rsidR="00CF305C" w:rsidRPr="004E6BCB">
        <w:rPr>
          <w:rFonts w:eastAsia="SimSun" w:cs="Calibri"/>
          <w:lang w:val="sq-AL"/>
        </w:rPr>
        <w:t>për vitin 202</w:t>
      </w:r>
      <w:r w:rsidR="00CF305C">
        <w:rPr>
          <w:rFonts w:eastAsia="SimSun" w:cs="Calibri"/>
          <w:lang w:val="sq-AL"/>
        </w:rPr>
        <w:t>2</w:t>
      </w:r>
      <w:r w:rsidR="00CF305C" w:rsidRPr="004E6BCB">
        <w:rPr>
          <w:rFonts w:eastAsia="SimSun" w:cs="Calibri"/>
          <w:lang w:val="sq-AL"/>
        </w:rPr>
        <w:t xml:space="preserve"> kanë arritur në masën rreth </w:t>
      </w:r>
      <w:r w:rsidR="00CF305C">
        <w:rPr>
          <w:rFonts w:eastAsia="SimSun" w:cs="Calibri"/>
          <w:lang w:val="sq-AL"/>
        </w:rPr>
        <w:t>39.6</w:t>
      </w:r>
      <w:r w:rsidR="00CF305C" w:rsidRPr="004E6BCB">
        <w:rPr>
          <w:rFonts w:eastAsia="SimSun" w:cs="Calibri"/>
          <w:lang w:val="sq-AL"/>
        </w:rPr>
        <w:t xml:space="preserve"> miliardë lekë duke përfaqësuar 7.</w:t>
      </w:r>
      <w:r w:rsidR="00CF305C">
        <w:rPr>
          <w:rFonts w:eastAsia="SimSun" w:cs="Calibri"/>
          <w:lang w:val="sq-AL"/>
        </w:rPr>
        <w:t>9</w:t>
      </w:r>
      <w:r w:rsidR="00CF305C" w:rsidRPr="004E6BCB">
        <w:rPr>
          <w:rFonts w:eastAsia="SimSun" w:cs="Calibri"/>
          <w:lang w:val="sq-AL"/>
        </w:rPr>
        <w:t xml:space="preserve"> përqind të shpenzimeve korrente. Niveli faktik i tyre ka rezultuar në masën </w:t>
      </w:r>
      <w:r w:rsidR="00CF305C">
        <w:rPr>
          <w:rFonts w:eastAsia="SimSun" w:cs="Calibri"/>
          <w:lang w:val="sq-AL"/>
        </w:rPr>
        <w:t>78.1</w:t>
      </w:r>
      <w:r w:rsidR="00CF305C" w:rsidRPr="004E6BCB">
        <w:rPr>
          <w:rFonts w:eastAsia="SimSun" w:cs="Calibri"/>
          <w:lang w:val="sq-AL"/>
        </w:rPr>
        <w:t xml:space="preserve"> përqind të planit vjetor fillestar</w:t>
      </w:r>
      <w:r w:rsidR="00CF305C">
        <w:rPr>
          <w:rFonts w:eastAsia="SimSun" w:cs="Calibri"/>
          <w:lang w:val="sq-AL"/>
        </w:rPr>
        <w:t xml:space="preserve">, </w:t>
      </w:r>
      <w:r w:rsidR="00CF305C" w:rsidRPr="004E6BCB">
        <w:rPr>
          <w:rFonts w:eastAsia="SimSun" w:cs="Calibri"/>
          <w:lang w:val="sq-AL"/>
        </w:rPr>
        <w:t>8</w:t>
      </w:r>
      <w:r w:rsidR="00CF305C">
        <w:rPr>
          <w:rFonts w:eastAsia="SimSun" w:cs="Calibri"/>
          <w:lang w:val="sq-AL"/>
        </w:rPr>
        <w:t>8</w:t>
      </w:r>
      <w:r w:rsidR="00CF305C" w:rsidRPr="004E6BCB">
        <w:rPr>
          <w:rFonts w:eastAsia="SimSun" w:cs="Calibri"/>
          <w:lang w:val="sq-AL"/>
        </w:rPr>
        <w:t>.</w:t>
      </w:r>
      <w:r w:rsidR="00CF305C">
        <w:rPr>
          <w:rFonts w:eastAsia="SimSun" w:cs="Calibri"/>
          <w:lang w:val="sq-AL"/>
        </w:rPr>
        <w:t>7</w:t>
      </w:r>
      <w:r w:rsidR="00CF305C" w:rsidRPr="004E6BCB">
        <w:rPr>
          <w:rFonts w:eastAsia="SimSun" w:cs="Calibri"/>
          <w:lang w:val="sq-AL"/>
        </w:rPr>
        <w:t xml:space="preserve"> përqind të planit vjetor të ndryshuar sipas AN nr.</w:t>
      </w:r>
      <w:r w:rsidR="00CF305C">
        <w:rPr>
          <w:rFonts w:eastAsia="SimSun" w:cs="Calibri"/>
          <w:lang w:val="sq-AL"/>
        </w:rPr>
        <w:t>19</w:t>
      </w:r>
      <w:r w:rsidR="00CF305C" w:rsidRPr="000642C5">
        <w:rPr>
          <w:lang w:val="sq-AL"/>
        </w:rPr>
        <w:t xml:space="preserve"> dhe </w:t>
      </w:r>
      <w:r w:rsidR="00CF305C" w:rsidRPr="004E6BCB">
        <w:rPr>
          <w:rFonts w:eastAsia="SimSun" w:cs="Calibri"/>
          <w:lang w:val="sq-AL"/>
        </w:rPr>
        <w:t xml:space="preserve">të planit vjetor me ndryshime, shpërndarje rezervash. Krahasuar me </w:t>
      </w:r>
      <w:r w:rsidR="00CF305C">
        <w:rPr>
          <w:rFonts w:eastAsia="SimSun" w:cs="Calibri"/>
          <w:lang w:val="sq-AL"/>
        </w:rPr>
        <w:t>vitin</w:t>
      </w:r>
      <w:r w:rsidR="00CF305C" w:rsidRPr="004E6BCB">
        <w:rPr>
          <w:rFonts w:eastAsia="SimSun" w:cs="Calibri"/>
          <w:lang w:val="sq-AL"/>
        </w:rPr>
        <w:t xml:space="preserve"> 202</w:t>
      </w:r>
      <w:r w:rsidR="00CF305C">
        <w:rPr>
          <w:rFonts w:eastAsia="SimSun" w:cs="Calibri"/>
          <w:lang w:val="sq-AL"/>
        </w:rPr>
        <w:t>1</w:t>
      </w:r>
      <w:r w:rsidR="00CF305C" w:rsidRPr="004E6BCB">
        <w:rPr>
          <w:rFonts w:eastAsia="SimSun" w:cs="Calibri"/>
          <w:lang w:val="sq-AL"/>
        </w:rPr>
        <w:t xml:space="preserve">, ky zë ka rezultuar </w:t>
      </w:r>
      <w:r w:rsidR="00CF305C">
        <w:rPr>
          <w:rFonts w:eastAsia="SimSun" w:cs="Calibri"/>
          <w:lang w:val="sq-AL"/>
        </w:rPr>
        <w:t>10.6</w:t>
      </w:r>
      <w:r w:rsidR="00CF305C" w:rsidRPr="004E6BCB">
        <w:rPr>
          <w:rFonts w:eastAsia="SimSun" w:cs="Calibri"/>
          <w:lang w:val="sq-AL"/>
        </w:rPr>
        <w:t xml:space="preserve"> përqind më i lartë ose rreth </w:t>
      </w:r>
      <w:r w:rsidR="00CF305C">
        <w:rPr>
          <w:rFonts w:eastAsia="SimSun" w:cs="Calibri"/>
          <w:lang w:val="sq-AL"/>
        </w:rPr>
        <w:t>3.8</w:t>
      </w:r>
      <w:r w:rsidR="00CF305C" w:rsidRPr="004E6BCB">
        <w:rPr>
          <w:rFonts w:eastAsia="SimSun" w:cs="Calibri"/>
          <w:lang w:val="sq-AL"/>
        </w:rPr>
        <w:t xml:space="preserve"> miliardë lekë më shumë</w:t>
      </w:r>
      <w:r w:rsidRPr="00476D2E">
        <w:rPr>
          <w:rFonts w:eastAsia="SimSun" w:cs="Calibri"/>
          <w:lang w:val="sq-AL"/>
        </w:rPr>
        <w:t>.</w:t>
      </w:r>
    </w:p>
    <w:p w:rsidR="00C07CC2" w:rsidRPr="00476D2E" w:rsidRDefault="00C07CC2" w:rsidP="00FC729E">
      <w:pPr>
        <w:pStyle w:val="Caption"/>
        <w:keepNext/>
        <w:spacing w:after="0"/>
        <w:rPr>
          <w:rFonts w:cs="Calibri"/>
          <w:lang w:val="sq-AL"/>
        </w:rPr>
      </w:pPr>
      <w:bookmarkStart w:id="128" w:name="_Toc136526477"/>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32</w:t>
      </w:r>
      <w:r w:rsidRPr="00476D2E">
        <w:rPr>
          <w:rFonts w:cs="Calibri"/>
          <w:noProof/>
          <w:lang w:val="sq-AL"/>
        </w:rPr>
        <w:fldChar w:fldCharType="end"/>
      </w:r>
      <w:r w:rsidRPr="00476D2E">
        <w:rPr>
          <w:rFonts w:cs="Calibri"/>
          <w:lang w:val="sq-AL"/>
        </w:rPr>
        <w:t xml:space="preserve"> Shpenzimet për interesa në vite dhe ritmi i rritjes (miliardë lekë)</w:t>
      </w:r>
      <w:bookmarkEnd w:id="128"/>
    </w:p>
    <w:p w:rsidR="00C07CC2" w:rsidRPr="00476D2E" w:rsidRDefault="00CF305C" w:rsidP="00CF305C">
      <w:pPr>
        <w:spacing w:before="0" w:line="240" w:lineRule="auto"/>
        <w:jc w:val="center"/>
        <w:rPr>
          <w:rFonts w:eastAsia="SimSun" w:cs="Calibri"/>
          <w:lang w:val="sq-AL"/>
        </w:rPr>
      </w:pPr>
      <w:r>
        <w:rPr>
          <w:rFonts w:eastAsia="SimSun" w:cs="Calibri"/>
          <w:noProof/>
        </w:rPr>
        <w:drawing>
          <wp:inline distT="0" distB="0" distL="0" distR="0" wp14:anchorId="027ECC5C" wp14:editId="55729A52">
            <wp:extent cx="5172141" cy="1494693"/>
            <wp:effectExtent l="19050" t="19050" r="9525" b="1079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219672" cy="1508429"/>
                    </a:xfrm>
                    <a:prstGeom prst="rect">
                      <a:avLst/>
                    </a:prstGeom>
                    <a:noFill/>
                    <a:ln>
                      <a:solidFill>
                        <a:schemeClr val="bg1">
                          <a:lumMod val="95000"/>
                        </a:schemeClr>
                      </a:solidFill>
                    </a:ln>
                  </pic:spPr>
                </pic:pic>
              </a:graphicData>
            </a:graphic>
          </wp:inline>
        </w:drawing>
      </w:r>
    </w:p>
    <w:p w:rsidR="00C07CC2" w:rsidRPr="0024447E" w:rsidRDefault="00153CD6" w:rsidP="00CF305C">
      <w:pPr>
        <w:spacing w:before="0" w:line="360" w:lineRule="auto"/>
        <w:ind w:left="720" w:firstLine="720"/>
        <w:rPr>
          <w:rFonts w:eastAsia="SimSun" w:cs="Calibri"/>
          <w:i/>
          <w:sz w:val="18"/>
          <w:lang w:val="sq-AL"/>
        </w:rPr>
      </w:pPr>
      <w:r>
        <w:rPr>
          <w:rFonts w:eastAsia="SimSun" w:cs="Calibri"/>
          <w:i/>
          <w:sz w:val="18"/>
          <w:lang w:val="sq-AL"/>
        </w:rPr>
        <w:t>Burimi: Ministria e Financave dhe Ekonomisë (2023)</w:t>
      </w:r>
    </w:p>
    <w:p w:rsidR="00E22DED" w:rsidRPr="00476D2E" w:rsidRDefault="00E22DED" w:rsidP="00CF305C">
      <w:pPr>
        <w:spacing w:before="0" w:line="240" w:lineRule="auto"/>
        <w:rPr>
          <w:rFonts w:eastAsia="SimSun" w:cs="Calibri"/>
          <w:lang w:val="sq-AL"/>
        </w:rPr>
      </w:pPr>
      <w:r w:rsidRPr="00476D2E">
        <w:rPr>
          <w:rFonts w:eastAsia="SimSun" w:cs="Calibri"/>
          <w:i/>
          <w:lang w:val="sq-AL"/>
        </w:rPr>
        <w:t xml:space="preserve">Shpenzimet </w:t>
      </w:r>
      <w:r w:rsidR="00925174" w:rsidRPr="00476D2E">
        <w:rPr>
          <w:rFonts w:eastAsia="SimSun" w:cs="Calibri"/>
          <w:i/>
          <w:lang w:val="sq-AL"/>
        </w:rPr>
        <w:t>o</w:t>
      </w:r>
      <w:r w:rsidRPr="00476D2E">
        <w:rPr>
          <w:rFonts w:eastAsia="SimSun" w:cs="Calibri"/>
          <w:i/>
          <w:lang w:val="sq-AL"/>
        </w:rPr>
        <w:t xml:space="preserve">perative &amp; </w:t>
      </w:r>
      <w:r w:rsidR="00925174" w:rsidRPr="00476D2E">
        <w:rPr>
          <w:rFonts w:eastAsia="SimSun" w:cs="Calibri"/>
          <w:i/>
          <w:lang w:val="sq-AL"/>
        </w:rPr>
        <w:t>m</w:t>
      </w:r>
      <w:r w:rsidRPr="00476D2E">
        <w:rPr>
          <w:rFonts w:eastAsia="SimSun" w:cs="Calibri"/>
          <w:i/>
          <w:lang w:val="sq-AL"/>
        </w:rPr>
        <w:t xml:space="preserve">irëmbajtje </w:t>
      </w:r>
      <w:r w:rsidR="00CF305C" w:rsidRPr="004E6BCB">
        <w:rPr>
          <w:rFonts w:eastAsia="SimSun" w:cs="Calibri"/>
          <w:lang w:val="sq-AL"/>
        </w:rPr>
        <w:t>për vitin 202</w:t>
      </w:r>
      <w:r w:rsidR="00CF305C">
        <w:rPr>
          <w:rFonts w:eastAsia="SimSun" w:cs="Calibri"/>
          <w:lang w:val="sq-AL"/>
        </w:rPr>
        <w:t>2</w:t>
      </w:r>
      <w:r w:rsidR="00CF305C" w:rsidRPr="004E6BCB">
        <w:rPr>
          <w:rFonts w:eastAsia="SimSun" w:cs="Calibri"/>
          <w:lang w:val="sq-AL"/>
        </w:rPr>
        <w:t xml:space="preserve">, kanë shënuar një realizim në masën rreth </w:t>
      </w:r>
      <w:r w:rsidR="00CF305C">
        <w:rPr>
          <w:rFonts w:eastAsia="SimSun" w:cs="Calibri"/>
          <w:lang w:val="sq-AL"/>
        </w:rPr>
        <w:t>68.5</w:t>
      </w:r>
      <w:r w:rsidR="00CF305C" w:rsidRPr="004E6BCB">
        <w:rPr>
          <w:rFonts w:eastAsia="SimSun" w:cs="Calibri"/>
          <w:lang w:val="sq-AL"/>
        </w:rPr>
        <w:t xml:space="preserve"> miliardë lekë ose 1</w:t>
      </w:r>
      <w:r w:rsidR="00CF305C">
        <w:rPr>
          <w:rFonts w:eastAsia="SimSun" w:cs="Calibri"/>
          <w:lang w:val="sq-AL"/>
        </w:rPr>
        <w:t>08.3</w:t>
      </w:r>
      <w:r w:rsidR="00CF305C" w:rsidRPr="004E6BCB">
        <w:rPr>
          <w:rFonts w:eastAsia="SimSun" w:cs="Calibri"/>
          <w:lang w:val="sq-AL"/>
        </w:rPr>
        <w:t xml:space="preserve"> përqind të planit vjetor fillestar, 10</w:t>
      </w:r>
      <w:r w:rsidR="00CF305C">
        <w:rPr>
          <w:rFonts w:eastAsia="SimSun" w:cs="Calibri"/>
          <w:lang w:val="sq-AL"/>
        </w:rPr>
        <w:t>2</w:t>
      </w:r>
      <w:r w:rsidR="00CF305C" w:rsidRPr="004E6BCB">
        <w:rPr>
          <w:rFonts w:eastAsia="SimSun" w:cs="Calibri"/>
          <w:lang w:val="sq-AL"/>
        </w:rPr>
        <w:t>.</w:t>
      </w:r>
      <w:r w:rsidR="00CF305C">
        <w:rPr>
          <w:rFonts w:eastAsia="SimSun" w:cs="Calibri"/>
          <w:lang w:val="sq-AL"/>
        </w:rPr>
        <w:t>9</w:t>
      </w:r>
      <w:r w:rsidR="00CF305C" w:rsidRPr="004E6BCB">
        <w:rPr>
          <w:rFonts w:eastAsia="SimSun" w:cs="Calibri"/>
          <w:lang w:val="sq-AL"/>
        </w:rPr>
        <w:t xml:space="preserve"> përqind të planit vjetor të ndryshuar sipas AN nr.</w:t>
      </w:r>
      <w:r w:rsidR="00CF305C">
        <w:rPr>
          <w:rFonts w:eastAsia="SimSun" w:cs="Calibri"/>
          <w:lang w:val="sq-AL"/>
        </w:rPr>
        <w:t>19</w:t>
      </w:r>
      <w:r w:rsidR="00CF305C" w:rsidRPr="004E6BCB">
        <w:rPr>
          <w:rFonts w:eastAsia="SimSun" w:cs="Calibri"/>
          <w:lang w:val="sq-AL"/>
        </w:rPr>
        <w:t xml:space="preserve"> dhe 93.</w:t>
      </w:r>
      <w:r w:rsidR="00CF305C">
        <w:rPr>
          <w:rFonts w:eastAsia="SimSun" w:cs="Calibri"/>
          <w:lang w:val="sq-AL"/>
        </w:rPr>
        <w:t>8</w:t>
      </w:r>
      <w:r w:rsidR="00CF305C" w:rsidRPr="004E6BCB">
        <w:rPr>
          <w:rFonts w:eastAsia="SimSun" w:cs="Calibri"/>
          <w:lang w:val="sq-AL"/>
        </w:rPr>
        <w:t xml:space="preserve"> përqind të planit vjetor me ndryshime, shpërndarje rezervash. Krahasuar me viti</w:t>
      </w:r>
      <w:r w:rsidR="00CF305C">
        <w:rPr>
          <w:rFonts w:eastAsia="SimSun" w:cs="Calibri"/>
          <w:lang w:val="sq-AL"/>
        </w:rPr>
        <w:t>n</w:t>
      </w:r>
      <w:r w:rsidR="00CF305C" w:rsidRPr="004E6BCB">
        <w:rPr>
          <w:rFonts w:eastAsia="SimSun" w:cs="Calibri"/>
          <w:lang w:val="sq-AL"/>
        </w:rPr>
        <w:t xml:space="preserve"> 202</w:t>
      </w:r>
      <w:r w:rsidR="00CF305C">
        <w:rPr>
          <w:rFonts w:eastAsia="SimSun" w:cs="Calibri"/>
          <w:lang w:val="sq-AL"/>
        </w:rPr>
        <w:t>1</w:t>
      </w:r>
      <w:r w:rsidR="00CF305C" w:rsidRPr="004E6BCB">
        <w:rPr>
          <w:rFonts w:eastAsia="SimSun" w:cs="Calibri"/>
          <w:lang w:val="sq-AL"/>
        </w:rPr>
        <w:t xml:space="preserve">, ky zë ka rezultuar </w:t>
      </w:r>
      <w:r w:rsidR="00CF305C">
        <w:rPr>
          <w:rFonts w:eastAsia="SimSun" w:cs="Calibri"/>
          <w:lang w:val="sq-AL"/>
        </w:rPr>
        <w:t>15.4</w:t>
      </w:r>
      <w:r w:rsidR="00CF305C" w:rsidRPr="004E6BCB">
        <w:rPr>
          <w:rFonts w:eastAsia="SimSun" w:cs="Calibri"/>
          <w:lang w:val="sq-AL"/>
        </w:rPr>
        <w:t xml:space="preserve"> përqind më i lartë, ose rreth </w:t>
      </w:r>
      <w:r w:rsidR="00CF305C">
        <w:rPr>
          <w:rFonts w:eastAsia="SimSun" w:cs="Calibri"/>
          <w:lang w:val="sq-AL"/>
        </w:rPr>
        <w:t>9.1</w:t>
      </w:r>
      <w:r w:rsidR="00CF305C" w:rsidRPr="004E6BCB">
        <w:rPr>
          <w:rFonts w:eastAsia="SimSun" w:cs="Calibri"/>
          <w:lang w:val="sq-AL"/>
        </w:rPr>
        <w:t xml:space="preserve"> miliardë lekë më shumë</w:t>
      </w:r>
      <w:r w:rsidRPr="00476D2E">
        <w:rPr>
          <w:rFonts w:eastAsia="SimSun" w:cs="Calibri"/>
          <w:lang w:val="sq-AL"/>
        </w:rPr>
        <w:t>.</w:t>
      </w:r>
    </w:p>
    <w:p w:rsidR="00C07CC2" w:rsidRPr="00476D2E" w:rsidRDefault="00C07CC2" w:rsidP="00FC729E">
      <w:pPr>
        <w:pStyle w:val="Caption"/>
        <w:keepNext/>
        <w:spacing w:after="0"/>
        <w:rPr>
          <w:rFonts w:cs="Calibri"/>
          <w:lang w:val="sq-AL"/>
        </w:rPr>
      </w:pPr>
      <w:bookmarkStart w:id="129" w:name="_Toc136526478"/>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33</w:t>
      </w:r>
      <w:r w:rsidRPr="00476D2E">
        <w:rPr>
          <w:rFonts w:cs="Calibri"/>
          <w:noProof/>
          <w:lang w:val="sq-AL"/>
        </w:rPr>
        <w:fldChar w:fldCharType="end"/>
      </w:r>
      <w:r w:rsidRPr="00476D2E">
        <w:rPr>
          <w:rFonts w:cs="Calibri"/>
          <w:lang w:val="sq-AL"/>
        </w:rPr>
        <w:t xml:space="preserve"> Shpenzimet operative e të mirëmbajtjes dhe ritmi i rritjes vjetore (miliardë lekë)</w:t>
      </w:r>
      <w:bookmarkEnd w:id="129"/>
    </w:p>
    <w:p w:rsidR="00C07CC2" w:rsidRPr="00476D2E" w:rsidRDefault="00CF305C" w:rsidP="00FC729E">
      <w:pPr>
        <w:spacing w:before="0"/>
        <w:jc w:val="center"/>
        <w:rPr>
          <w:rFonts w:eastAsia="SimSun" w:cs="Calibri"/>
          <w:lang w:val="sq-AL"/>
        </w:rPr>
      </w:pPr>
      <w:r>
        <w:rPr>
          <w:rFonts w:eastAsia="SimSun" w:cs="Calibri"/>
          <w:noProof/>
        </w:rPr>
        <w:drawing>
          <wp:inline distT="0" distB="0" distL="0" distR="0" wp14:anchorId="28971EC6" wp14:editId="48845A63">
            <wp:extent cx="5274962" cy="1729154"/>
            <wp:effectExtent l="0" t="0" r="1905" b="444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26592" cy="1746078"/>
                    </a:xfrm>
                    <a:prstGeom prst="rect">
                      <a:avLst/>
                    </a:prstGeom>
                    <a:noFill/>
                  </pic:spPr>
                </pic:pic>
              </a:graphicData>
            </a:graphic>
          </wp:inline>
        </w:drawing>
      </w:r>
    </w:p>
    <w:p w:rsidR="00C07CC2" w:rsidRPr="0024447E" w:rsidRDefault="00153CD6" w:rsidP="00153CD6">
      <w:pPr>
        <w:spacing w:before="0" w:line="360" w:lineRule="auto"/>
        <w:ind w:firstLine="720"/>
        <w:rPr>
          <w:rFonts w:eastAsia="SimSun" w:cs="Calibri"/>
          <w:i/>
          <w:sz w:val="18"/>
          <w:lang w:val="sq-AL"/>
        </w:rPr>
      </w:pPr>
      <w:r>
        <w:rPr>
          <w:rFonts w:eastAsia="SimSun" w:cs="Calibri"/>
          <w:i/>
          <w:sz w:val="18"/>
          <w:lang w:val="sq-AL"/>
        </w:rPr>
        <w:t>Burimi: Ministria e Financave dhe Ekonomisë (2023)</w:t>
      </w:r>
    </w:p>
    <w:p w:rsidR="00E22DED" w:rsidRPr="00476D2E" w:rsidRDefault="00E22DED" w:rsidP="00392522">
      <w:pPr>
        <w:spacing w:before="240" w:line="240" w:lineRule="auto"/>
        <w:rPr>
          <w:rFonts w:eastAsia="SimSun" w:cs="Calibri"/>
          <w:lang w:val="sq-AL"/>
        </w:rPr>
      </w:pPr>
      <w:r w:rsidRPr="00476D2E">
        <w:rPr>
          <w:rFonts w:eastAsia="SimSun" w:cs="Calibri"/>
          <w:i/>
          <w:lang w:val="sq-AL"/>
        </w:rPr>
        <w:lastRenderedPageBreak/>
        <w:t xml:space="preserve">Shpenzimet për </w:t>
      </w:r>
      <w:r w:rsidR="00325806" w:rsidRPr="00476D2E">
        <w:rPr>
          <w:rFonts w:eastAsia="SimSun" w:cs="Calibri"/>
          <w:i/>
          <w:lang w:val="sq-AL"/>
        </w:rPr>
        <w:t>s</w:t>
      </w:r>
      <w:r w:rsidRPr="00476D2E">
        <w:rPr>
          <w:rFonts w:eastAsia="SimSun" w:cs="Calibri"/>
          <w:i/>
          <w:lang w:val="sq-AL"/>
        </w:rPr>
        <w:t>ubvencione,</w:t>
      </w:r>
      <w:r w:rsidRPr="00476D2E">
        <w:rPr>
          <w:rFonts w:eastAsia="SimSun" w:cs="Calibri"/>
          <w:lang w:val="sq-AL"/>
        </w:rPr>
        <w:t xml:space="preserve"> </w:t>
      </w:r>
      <w:r w:rsidR="00392522" w:rsidRPr="004E6BCB">
        <w:rPr>
          <w:rFonts w:eastAsia="SimSun" w:cs="Calibri"/>
          <w:lang w:val="sq-AL"/>
        </w:rPr>
        <w:t>në fund të vitit 202</w:t>
      </w:r>
      <w:r w:rsidR="00392522">
        <w:rPr>
          <w:rFonts w:eastAsia="SimSun" w:cs="Calibri"/>
          <w:lang w:val="sq-AL"/>
        </w:rPr>
        <w:t>2</w:t>
      </w:r>
      <w:r w:rsidR="00392522" w:rsidRPr="004E6BCB">
        <w:rPr>
          <w:rFonts w:eastAsia="SimSun" w:cs="Calibri"/>
          <w:lang w:val="sq-AL"/>
        </w:rPr>
        <w:t xml:space="preserve"> arritën nivelin 1.</w:t>
      </w:r>
      <w:r w:rsidR="00392522">
        <w:rPr>
          <w:rFonts w:eastAsia="SimSun" w:cs="Calibri"/>
          <w:lang w:val="sq-AL"/>
        </w:rPr>
        <w:t>65</w:t>
      </w:r>
      <w:r w:rsidR="00392522" w:rsidRPr="004E6BCB">
        <w:rPr>
          <w:rFonts w:eastAsia="SimSun" w:cs="Calibri"/>
          <w:lang w:val="sq-AL"/>
        </w:rPr>
        <w:t xml:space="preserve"> miliardë lekë, me një realizim në masën </w:t>
      </w:r>
      <w:r w:rsidR="00392522">
        <w:rPr>
          <w:rFonts w:eastAsia="SimSun" w:cs="Calibri"/>
          <w:lang w:val="sq-AL"/>
        </w:rPr>
        <w:t>106.5</w:t>
      </w:r>
      <w:r w:rsidR="00392522" w:rsidRPr="004E6BCB">
        <w:rPr>
          <w:rFonts w:eastAsia="SimSun" w:cs="Calibri"/>
          <w:lang w:val="sq-AL"/>
        </w:rPr>
        <w:t xml:space="preserve"> përqind të planit vjetor fillestar, </w:t>
      </w:r>
      <w:r w:rsidR="00392522">
        <w:rPr>
          <w:rFonts w:eastAsia="SimSun" w:cs="Calibri"/>
          <w:lang w:val="sq-AL"/>
        </w:rPr>
        <w:t>102.8</w:t>
      </w:r>
      <w:r w:rsidR="00392522" w:rsidRPr="004E6BCB">
        <w:rPr>
          <w:rFonts w:eastAsia="SimSun" w:cs="Calibri"/>
          <w:lang w:val="sq-AL"/>
        </w:rPr>
        <w:t xml:space="preserve"> përqind të planit vjetor sipas AN nr.</w:t>
      </w:r>
      <w:r w:rsidR="00392522">
        <w:rPr>
          <w:rFonts w:eastAsia="SimSun" w:cs="Calibri"/>
          <w:lang w:val="sq-AL"/>
        </w:rPr>
        <w:t>19</w:t>
      </w:r>
      <w:r w:rsidR="00392522" w:rsidRPr="004E6BCB">
        <w:rPr>
          <w:rFonts w:eastAsia="SimSun" w:cs="Calibri"/>
          <w:lang w:val="sq-AL"/>
        </w:rPr>
        <w:t xml:space="preserve"> dhe </w:t>
      </w:r>
      <w:r w:rsidR="00392522">
        <w:rPr>
          <w:rFonts w:eastAsia="SimSun" w:cs="Calibri"/>
          <w:lang w:val="sq-AL"/>
        </w:rPr>
        <w:t>99.7</w:t>
      </w:r>
      <w:r w:rsidR="00392522" w:rsidRPr="004E6BCB">
        <w:rPr>
          <w:rFonts w:eastAsia="SimSun" w:cs="Calibri"/>
          <w:lang w:val="sq-AL"/>
        </w:rPr>
        <w:t xml:space="preserve"> përqind të planit vjetor me ndryshime, shpërndarje rezervash. </w:t>
      </w:r>
      <w:r w:rsidR="00392522">
        <w:rPr>
          <w:rFonts w:eastAsia="SimSun" w:cs="Calibri"/>
          <w:lang w:val="sq-AL"/>
        </w:rPr>
        <w:t>Krahasuar me vitin 2021</w:t>
      </w:r>
      <w:r w:rsidR="00392522" w:rsidRPr="004E6BCB">
        <w:rPr>
          <w:rFonts w:eastAsia="SimSun" w:cs="Calibri"/>
          <w:lang w:val="sq-AL"/>
        </w:rPr>
        <w:t xml:space="preserve"> shpenzimet për subvencione rezultojnë </w:t>
      </w:r>
      <w:r w:rsidR="00392522">
        <w:rPr>
          <w:rFonts w:eastAsia="SimSun" w:cs="Calibri"/>
          <w:lang w:val="sq-AL"/>
        </w:rPr>
        <w:t>16.1</w:t>
      </w:r>
      <w:r w:rsidR="00392522" w:rsidRPr="004E6BCB">
        <w:rPr>
          <w:rFonts w:eastAsia="SimSun" w:cs="Calibri"/>
          <w:lang w:val="sq-AL"/>
        </w:rPr>
        <w:t xml:space="preserve"> përqind më të </w:t>
      </w:r>
      <w:r w:rsidR="00392522">
        <w:rPr>
          <w:rFonts w:eastAsia="SimSun" w:cs="Calibri"/>
          <w:lang w:val="sq-AL"/>
        </w:rPr>
        <w:t>larta</w:t>
      </w:r>
      <w:r w:rsidR="00392522" w:rsidRPr="004E6BCB">
        <w:rPr>
          <w:rFonts w:eastAsia="SimSun" w:cs="Calibri"/>
          <w:lang w:val="sq-AL"/>
        </w:rPr>
        <w:t xml:space="preserve"> ose </w:t>
      </w:r>
      <w:r w:rsidR="00392522">
        <w:rPr>
          <w:rFonts w:eastAsia="SimSun" w:cs="Calibri"/>
          <w:lang w:val="sq-AL"/>
        </w:rPr>
        <w:t>229</w:t>
      </w:r>
      <w:r w:rsidR="00392522" w:rsidRPr="004E6BCB">
        <w:rPr>
          <w:rFonts w:eastAsia="SimSun" w:cs="Calibri"/>
          <w:lang w:val="sq-AL"/>
        </w:rPr>
        <w:t xml:space="preserve"> milionë lekë më </w:t>
      </w:r>
      <w:r w:rsidR="00392522">
        <w:rPr>
          <w:rFonts w:eastAsia="SimSun" w:cs="Calibri"/>
          <w:lang w:val="sq-AL"/>
        </w:rPr>
        <w:t>shumë</w:t>
      </w:r>
      <w:r w:rsidRPr="00476D2E">
        <w:rPr>
          <w:rFonts w:eastAsia="SimSun" w:cs="Calibri"/>
          <w:lang w:val="sq-AL"/>
        </w:rPr>
        <w:t>.</w:t>
      </w:r>
    </w:p>
    <w:p w:rsidR="00C07CC2" w:rsidRPr="00476D2E" w:rsidRDefault="00C07CC2" w:rsidP="00FC729E">
      <w:pPr>
        <w:pStyle w:val="Caption"/>
        <w:keepNext/>
        <w:spacing w:after="0"/>
        <w:rPr>
          <w:rFonts w:cs="Calibri"/>
          <w:lang w:val="sq-AL"/>
        </w:rPr>
      </w:pPr>
      <w:bookmarkStart w:id="130" w:name="_Toc136526479"/>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34</w:t>
      </w:r>
      <w:r w:rsidRPr="00476D2E">
        <w:rPr>
          <w:rFonts w:cs="Calibri"/>
          <w:noProof/>
          <w:lang w:val="sq-AL"/>
        </w:rPr>
        <w:fldChar w:fldCharType="end"/>
      </w:r>
      <w:r w:rsidRPr="00476D2E">
        <w:rPr>
          <w:rFonts w:cs="Calibri"/>
          <w:lang w:val="sq-AL"/>
        </w:rPr>
        <w:t xml:space="preserve"> Shpenzimet per subvencione dhe ritmi i rritjes (miliardë lekë)</w:t>
      </w:r>
      <w:bookmarkEnd w:id="130"/>
    </w:p>
    <w:p w:rsidR="00C07CC2" w:rsidRPr="00476D2E" w:rsidRDefault="00392522" w:rsidP="00392522">
      <w:pPr>
        <w:spacing w:before="0" w:line="240" w:lineRule="auto"/>
        <w:jc w:val="center"/>
        <w:rPr>
          <w:rFonts w:eastAsia="SimSun" w:cs="Calibri"/>
          <w:lang w:val="sq-AL"/>
        </w:rPr>
      </w:pPr>
      <w:r>
        <w:rPr>
          <w:rFonts w:eastAsia="SimSun" w:cs="Calibri"/>
          <w:noProof/>
        </w:rPr>
        <w:drawing>
          <wp:inline distT="0" distB="0" distL="0" distR="0" wp14:anchorId="188C543F" wp14:editId="5A88A4EA">
            <wp:extent cx="5559425" cy="1875692"/>
            <wp:effectExtent l="0" t="0" r="317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600297" cy="1889482"/>
                    </a:xfrm>
                    <a:prstGeom prst="rect">
                      <a:avLst/>
                    </a:prstGeom>
                    <a:noFill/>
                  </pic:spPr>
                </pic:pic>
              </a:graphicData>
            </a:graphic>
          </wp:inline>
        </w:drawing>
      </w:r>
    </w:p>
    <w:p w:rsidR="00C07CC2" w:rsidRPr="00476D2E" w:rsidRDefault="00153CD6" w:rsidP="00153CD6">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392522" w:rsidRPr="004E6BCB" w:rsidRDefault="00E22DED" w:rsidP="00392522">
      <w:pPr>
        <w:spacing w:line="240" w:lineRule="auto"/>
        <w:rPr>
          <w:rFonts w:cs="Calibri"/>
          <w:lang w:val="sq-AL"/>
        </w:rPr>
      </w:pPr>
      <w:r w:rsidRPr="00476D2E">
        <w:rPr>
          <w:rFonts w:cs="Calibri"/>
          <w:i/>
          <w:lang w:val="sq-AL"/>
        </w:rPr>
        <w:t>Shpenzimet për Fondet Speciale</w:t>
      </w:r>
      <w:r w:rsidRPr="00476D2E">
        <w:rPr>
          <w:rFonts w:cs="Calibri"/>
          <w:lang w:val="sq-AL"/>
        </w:rPr>
        <w:t xml:space="preserve"> </w:t>
      </w:r>
      <w:r w:rsidR="00392522" w:rsidRPr="004E6BCB">
        <w:rPr>
          <w:rFonts w:cs="Calibri"/>
          <w:lang w:val="sq-AL"/>
        </w:rPr>
        <w:t>për vitin 202</w:t>
      </w:r>
      <w:r w:rsidR="00392522">
        <w:rPr>
          <w:rFonts w:cs="Calibri"/>
          <w:lang w:val="sq-AL"/>
        </w:rPr>
        <w:t>2</w:t>
      </w:r>
      <w:r w:rsidR="00392522" w:rsidRPr="004E6BCB">
        <w:rPr>
          <w:rFonts w:cs="Calibri"/>
          <w:lang w:val="sq-AL"/>
        </w:rPr>
        <w:t xml:space="preserve">, rezultuan në nivelin rreth </w:t>
      </w:r>
      <w:r w:rsidR="00392522">
        <w:rPr>
          <w:rFonts w:cs="Calibri"/>
          <w:lang w:val="sq-AL"/>
        </w:rPr>
        <w:t>216.5</w:t>
      </w:r>
      <w:r w:rsidR="00392522" w:rsidRPr="004E6BCB">
        <w:rPr>
          <w:rFonts w:cs="Calibri"/>
          <w:lang w:val="sq-AL"/>
        </w:rPr>
        <w:t xml:space="preserve"> miliardë </w:t>
      </w:r>
      <w:r w:rsidR="00392522" w:rsidRPr="004E6BCB">
        <w:rPr>
          <w:rFonts w:eastAsia="SimSun" w:cs="Calibri"/>
          <w:lang w:val="sq-AL"/>
        </w:rPr>
        <w:t>lekë</w:t>
      </w:r>
      <w:r w:rsidR="00392522" w:rsidRPr="004E6BCB">
        <w:rPr>
          <w:rFonts w:cs="Calibri"/>
          <w:lang w:val="sq-AL"/>
        </w:rPr>
        <w:t>, me një realizim prej 102 përqind të planit vjetor fillestar, 10</w:t>
      </w:r>
      <w:r w:rsidR="00392522">
        <w:rPr>
          <w:rFonts w:cs="Calibri"/>
          <w:lang w:val="sq-AL"/>
        </w:rPr>
        <w:t>3</w:t>
      </w:r>
      <w:r w:rsidR="00392522" w:rsidRPr="004E6BCB">
        <w:rPr>
          <w:rFonts w:cs="Calibri"/>
          <w:lang w:val="sq-AL"/>
        </w:rPr>
        <w:t>.</w:t>
      </w:r>
      <w:r w:rsidR="00392522">
        <w:rPr>
          <w:rFonts w:cs="Calibri"/>
          <w:lang w:val="sq-AL"/>
        </w:rPr>
        <w:t>2</w:t>
      </w:r>
      <w:r w:rsidR="00392522" w:rsidRPr="004E6BCB">
        <w:rPr>
          <w:rFonts w:cs="Calibri"/>
          <w:lang w:val="sq-AL"/>
        </w:rPr>
        <w:t xml:space="preserve"> përqind të planit vjetor të ndryshuar sipas AN nr.</w:t>
      </w:r>
      <w:r w:rsidR="00392522">
        <w:rPr>
          <w:rFonts w:cs="Calibri"/>
          <w:lang w:val="sq-AL"/>
        </w:rPr>
        <w:t>19</w:t>
      </w:r>
      <w:r w:rsidR="00392522" w:rsidRPr="004E6BCB">
        <w:rPr>
          <w:rFonts w:cs="Calibri"/>
          <w:lang w:val="sq-AL"/>
        </w:rPr>
        <w:t xml:space="preserve"> dhe 9</w:t>
      </w:r>
      <w:r w:rsidR="00392522">
        <w:rPr>
          <w:rFonts w:cs="Calibri"/>
          <w:lang w:val="sq-AL"/>
        </w:rPr>
        <w:t>7</w:t>
      </w:r>
      <w:r w:rsidR="00392522" w:rsidRPr="004E6BCB">
        <w:rPr>
          <w:rFonts w:cs="Calibri"/>
          <w:lang w:val="sq-AL"/>
        </w:rPr>
        <w:t>.7 përqind të planit vjetor me ndryshime, shpërndarje rezervash.</w:t>
      </w:r>
      <w:r w:rsidR="00392522">
        <w:rPr>
          <w:rFonts w:cs="Calibri"/>
          <w:lang w:val="sq-AL"/>
        </w:rPr>
        <w:t xml:space="preserve"> </w:t>
      </w:r>
      <w:r w:rsidR="00392522" w:rsidRPr="004E6BCB">
        <w:rPr>
          <w:rFonts w:cs="Calibri"/>
          <w:lang w:val="sq-AL"/>
        </w:rPr>
        <w:t>Përkatësisht:</w:t>
      </w:r>
    </w:p>
    <w:p w:rsidR="00392522" w:rsidRPr="004E6BCB" w:rsidRDefault="00392522" w:rsidP="00392522">
      <w:pPr>
        <w:numPr>
          <w:ilvl w:val="0"/>
          <w:numId w:val="2"/>
        </w:numPr>
        <w:spacing w:before="0"/>
        <w:ind w:left="450"/>
        <w:rPr>
          <w:rFonts w:cs="Calibri"/>
          <w:bCs/>
          <w:i/>
          <w:iCs/>
          <w:lang w:val="sq-AL"/>
        </w:rPr>
      </w:pPr>
      <w:r w:rsidRPr="004E6BCB">
        <w:rPr>
          <w:rFonts w:cs="Calibri"/>
          <w:bCs/>
          <w:i/>
          <w:iCs/>
          <w:lang w:val="sq-AL"/>
        </w:rPr>
        <w:t xml:space="preserve">Shpenzimet për sigurime shoqërore u realizuan në masën </w:t>
      </w:r>
      <w:r>
        <w:rPr>
          <w:rFonts w:cs="Calibri"/>
          <w:bCs/>
          <w:i/>
          <w:iCs/>
          <w:lang w:val="sq-AL"/>
        </w:rPr>
        <w:t>rreth 163</w:t>
      </w:r>
      <w:r w:rsidRPr="004E6BCB">
        <w:rPr>
          <w:rFonts w:cs="Calibri"/>
          <w:bCs/>
          <w:i/>
          <w:iCs/>
          <w:lang w:val="sq-AL"/>
        </w:rPr>
        <w:t xml:space="preserve"> miliard</w:t>
      </w:r>
      <w:r w:rsidRPr="004E6BCB">
        <w:rPr>
          <w:rFonts w:cs="Calibri"/>
          <w:bCs/>
          <w:iCs/>
          <w:lang w:val="sq-AL"/>
        </w:rPr>
        <w:t xml:space="preserve">ë </w:t>
      </w:r>
      <w:r w:rsidRPr="004E6BCB">
        <w:rPr>
          <w:rFonts w:eastAsia="SimSun" w:cs="Calibri"/>
          <w:i/>
          <w:lang w:val="sq-AL"/>
        </w:rPr>
        <w:t>lekë</w:t>
      </w:r>
      <w:r w:rsidRPr="004E6BCB">
        <w:rPr>
          <w:rFonts w:cs="Calibri"/>
          <w:bCs/>
          <w:i/>
          <w:iCs/>
          <w:lang w:val="sq-AL"/>
        </w:rPr>
        <w:t xml:space="preserve">, duke rezultuar </w:t>
      </w:r>
      <w:r>
        <w:rPr>
          <w:rFonts w:cs="Calibri"/>
          <w:bCs/>
          <w:i/>
          <w:iCs/>
          <w:lang w:val="sq-AL"/>
        </w:rPr>
        <w:t>109.5</w:t>
      </w:r>
      <w:r w:rsidRPr="004E6BCB">
        <w:rPr>
          <w:rFonts w:cs="Calibri"/>
          <w:bCs/>
          <w:i/>
          <w:iCs/>
          <w:lang w:val="sq-AL"/>
        </w:rPr>
        <w:t xml:space="preserve"> </w:t>
      </w:r>
      <w:r>
        <w:rPr>
          <w:rFonts w:cs="Calibri"/>
          <w:bCs/>
          <w:i/>
          <w:iCs/>
          <w:lang w:val="sq-AL"/>
        </w:rPr>
        <w:t>përqind</w:t>
      </w:r>
      <w:r w:rsidRPr="004E6BCB">
        <w:rPr>
          <w:rFonts w:cs="Calibri"/>
          <w:bCs/>
          <w:i/>
          <w:iCs/>
          <w:lang w:val="sq-AL"/>
        </w:rPr>
        <w:t xml:space="preserve"> të planit vjetor fillestar, 1</w:t>
      </w:r>
      <w:r>
        <w:rPr>
          <w:rFonts w:cs="Calibri"/>
          <w:bCs/>
          <w:i/>
          <w:iCs/>
          <w:lang w:val="sq-AL"/>
        </w:rPr>
        <w:t>1</w:t>
      </w:r>
      <w:r w:rsidRPr="004E6BCB">
        <w:rPr>
          <w:rFonts w:cs="Calibri"/>
          <w:bCs/>
          <w:i/>
          <w:iCs/>
          <w:lang w:val="sq-AL"/>
        </w:rPr>
        <w:t>0.</w:t>
      </w:r>
      <w:r>
        <w:rPr>
          <w:rFonts w:cs="Calibri"/>
          <w:bCs/>
          <w:i/>
          <w:iCs/>
          <w:lang w:val="sq-AL"/>
        </w:rPr>
        <w:t>1</w:t>
      </w:r>
      <w:r w:rsidRPr="004E6BCB">
        <w:rPr>
          <w:rFonts w:cs="Calibri"/>
          <w:bCs/>
          <w:i/>
          <w:iCs/>
          <w:lang w:val="sq-AL"/>
        </w:rPr>
        <w:t xml:space="preserve"> përqind të planit vjetor të ndryshuar sipas AN nr.</w:t>
      </w:r>
      <w:r>
        <w:rPr>
          <w:rFonts w:cs="Calibri"/>
          <w:bCs/>
          <w:i/>
          <w:iCs/>
          <w:lang w:val="sq-AL"/>
        </w:rPr>
        <w:t>19</w:t>
      </w:r>
      <w:r w:rsidRPr="004E6BCB">
        <w:rPr>
          <w:rFonts w:cs="Calibri"/>
          <w:bCs/>
          <w:i/>
          <w:iCs/>
          <w:lang w:val="sq-AL"/>
        </w:rPr>
        <w:t xml:space="preserve"> dhe </w:t>
      </w:r>
      <w:r>
        <w:rPr>
          <w:rFonts w:cs="Calibri"/>
          <w:bCs/>
          <w:i/>
          <w:iCs/>
          <w:lang w:val="sq-AL"/>
        </w:rPr>
        <w:t>97.7</w:t>
      </w:r>
      <w:r w:rsidRPr="004E6BCB">
        <w:rPr>
          <w:rFonts w:cs="Calibri"/>
          <w:bCs/>
          <w:i/>
          <w:iCs/>
          <w:lang w:val="sq-AL"/>
        </w:rPr>
        <w:t xml:space="preserve"> përqind të planit vjetor me ndryshime, shpërndarje rezervash,</w:t>
      </w:r>
    </w:p>
    <w:p w:rsidR="00392522" w:rsidRPr="004E6BCB" w:rsidRDefault="00392522" w:rsidP="00392522">
      <w:pPr>
        <w:numPr>
          <w:ilvl w:val="0"/>
          <w:numId w:val="2"/>
        </w:numPr>
        <w:spacing w:before="0"/>
        <w:ind w:left="450"/>
        <w:rPr>
          <w:rFonts w:cs="Calibri"/>
          <w:bCs/>
          <w:i/>
          <w:iCs/>
          <w:lang w:val="sq-AL"/>
        </w:rPr>
      </w:pPr>
      <w:r w:rsidRPr="004E6BCB">
        <w:rPr>
          <w:rFonts w:cs="Calibri"/>
          <w:bCs/>
          <w:i/>
          <w:iCs/>
          <w:lang w:val="sq-AL"/>
        </w:rPr>
        <w:t>Shpenzimet për sigurime shëndetësore</w:t>
      </w:r>
      <w:r>
        <w:rPr>
          <w:rFonts w:cs="Calibri"/>
          <w:bCs/>
          <w:i/>
          <w:iCs/>
          <w:lang w:val="sq-AL"/>
        </w:rPr>
        <w:t xml:space="preserve"> u realizuan</w:t>
      </w:r>
      <w:r w:rsidRPr="004E6BCB">
        <w:rPr>
          <w:rFonts w:cs="Calibri"/>
          <w:bCs/>
          <w:i/>
          <w:iCs/>
          <w:lang w:val="sq-AL"/>
        </w:rPr>
        <w:t xml:space="preserve"> në </w:t>
      </w:r>
      <w:r>
        <w:rPr>
          <w:rFonts w:cs="Calibri"/>
          <w:bCs/>
          <w:i/>
          <w:iCs/>
          <w:lang w:val="sq-AL"/>
        </w:rPr>
        <w:t xml:space="preserve">masën </w:t>
      </w:r>
      <w:r w:rsidRPr="004E6BCB">
        <w:rPr>
          <w:rFonts w:cs="Calibri"/>
          <w:bCs/>
          <w:i/>
          <w:iCs/>
          <w:lang w:val="sq-AL"/>
        </w:rPr>
        <w:t xml:space="preserve">rreth </w:t>
      </w:r>
      <w:r>
        <w:rPr>
          <w:rFonts w:cs="Calibri"/>
          <w:bCs/>
          <w:i/>
          <w:iCs/>
          <w:lang w:val="sq-AL"/>
        </w:rPr>
        <w:t>52.2</w:t>
      </w:r>
      <w:r w:rsidRPr="004E6BCB">
        <w:rPr>
          <w:rFonts w:cs="Calibri"/>
          <w:bCs/>
          <w:i/>
          <w:iCs/>
          <w:lang w:val="sq-AL"/>
        </w:rPr>
        <w:t xml:space="preserve"> miliard</w:t>
      </w:r>
      <w:r w:rsidRPr="004E6BCB">
        <w:rPr>
          <w:rFonts w:cs="Calibri"/>
          <w:bCs/>
          <w:iCs/>
          <w:lang w:val="sq-AL"/>
        </w:rPr>
        <w:t xml:space="preserve">ë </w:t>
      </w:r>
      <w:r w:rsidRPr="004E6BCB">
        <w:rPr>
          <w:rFonts w:eastAsia="SimSun" w:cs="Calibri"/>
          <w:i/>
          <w:lang w:val="sq-AL"/>
        </w:rPr>
        <w:t>lekë</w:t>
      </w:r>
      <w:r w:rsidRPr="004E6BCB">
        <w:rPr>
          <w:rFonts w:cs="Calibri"/>
          <w:bCs/>
          <w:i/>
          <w:iCs/>
          <w:lang w:val="sq-AL"/>
        </w:rPr>
        <w:t xml:space="preserve">, duke rezultuar </w:t>
      </w:r>
      <w:r>
        <w:rPr>
          <w:rFonts w:cs="Calibri"/>
          <w:bCs/>
          <w:i/>
          <w:iCs/>
          <w:lang w:val="sq-AL"/>
        </w:rPr>
        <w:t>98.9</w:t>
      </w:r>
      <w:r w:rsidRPr="004E6BCB">
        <w:rPr>
          <w:rFonts w:cs="Calibri"/>
          <w:bCs/>
          <w:i/>
          <w:iCs/>
          <w:lang w:val="sq-AL"/>
        </w:rPr>
        <w:t xml:space="preserve"> përqind të planit vjetor sipas buxhetit fillestar, të</w:t>
      </w:r>
      <w:r>
        <w:rPr>
          <w:rFonts w:cs="Calibri"/>
          <w:bCs/>
          <w:i/>
          <w:iCs/>
          <w:lang w:val="sq-AL"/>
        </w:rPr>
        <w:t xml:space="preserve"> planit vjetor të</w:t>
      </w:r>
      <w:r w:rsidRPr="004E6BCB">
        <w:rPr>
          <w:rFonts w:cs="Calibri"/>
          <w:bCs/>
          <w:i/>
          <w:iCs/>
          <w:lang w:val="sq-AL"/>
        </w:rPr>
        <w:t xml:space="preserve"> ndryshuar sipas AN nr.</w:t>
      </w:r>
      <w:r>
        <w:rPr>
          <w:rFonts w:cs="Calibri"/>
          <w:bCs/>
          <w:i/>
          <w:iCs/>
          <w:lang w:val="sq-AL"/>
        </w:rPr>
        <w:t>19</w:t>
      </w:r>
      <w:r w:rsidRPr="004E6BCB">
        <w:rPr>
          <w:rFonts w:cs="Calibri"/>
          <w:bCs/>
          <w:i/>
          <w:iCs/>
          <w:lang w:val="sq-AL"/>
        </w:rPr>
        <w:t xml:space="preserve"> dhe të planit vjetor me ndryshime, shpërndarje rezervash, </w:t>
      </w:r>
    </w:p>
    <w:p w:rsidR="007F2203" w:rsidRPr="004E6BCB" w:rsidRDefault="00392522" w:rsidP="00392522">
      <w:pPr>
        <w:numPr>
          <w:ilvl w:val="0"/>
          <w:numId w:val="2"/>
        </w:numPr>
        <w:spacing w:before="0"/>
        <w:ind w:left="450"/>
        <w:rPr>
          <w:rFonts w:cs="Calibri"/>
          <w:bCs/>
          <w:i/>
          <w:iCs/>
          <w:lang w:val="sq-AL"/>
        </w:rPr>
      </w:pPr>
      <w:r w:rsidRPr="004E6BCB">
        <w:rPr>
          <w:rFonts w:cs="Calibri"/>
          <w:bCs/>
          <w:i/>
          <w:iCs/>
          <w:lang w:val="sq-AL"/>
        </w:rPr>
        <w:t xml:space="preserve">Shpenzimet për kompensimin e pronarëve </w:t>
      </w:r>
      <w:r>
        <w:rPr>
          <w:rFonts w:cs="Calibri"/>
          <w:bCs/>
          <w:i/>
          <w:iCs/>
          <w:lang w:val="sq-AL"/>
        </w:rPr>
        <w:t>u realizuan</w:t>
      </w:r>
      <w:r w:rsidRPr="004E6BCB">
        <w:rPr>
          <w:rFonts w:cs="Calibri"/>
          <w:bCs/>
          <w:i/>
          <w:iCs/>
          <w:lang w:val="sq-AL"/>
        </w:rPr>
        <w:t xml:space="preserve"> në </w:t>
      </w:r>
      <w:r>
        <w:rPr>
          <w:rFonts w:cs="Calibri"/>
          <w:bCs/>
          <w:i/>
          <w:iCs/>
          <w:lang w:val="sq-AL"/>
        </w:rPr>
        <w:t xml:space="preserve">masën </w:t>
      </w:r>
      <w:r w:rsidRPr="004E6BCB">
        <w:rPr>
          <w:rFonts w:cs="Calibri"/>
          <w:bCs/>
          <w:i/>
          <w:iCs/>
          <w:lang w:val="sq-AL"/>
        </w:rPr>
        <w:t xml:space="preserve">në rreth </w:t>
      </w:r>
      <w:r>
        <w:rPr>
          <w:rFonts w:cs="Calibri"/>
          <w:bCs/>
          <w:i/>
          <w:iCs/>
          <w:lang w:val="sq-AL"/>
        </w:rPr>
        <w:t>1.23</w:t>
      </w:r>
      <w:r w:rsidRPr="004E6BCB">
        <w:rPr>
          <w:rFonts w:cs="Calibri"/>
          <w:bCs/>
          <w:i/>
          <w:iCs/>
          <w:lang w:val="sq-AL"/>
        </w:rPr>
        <w:t xml:space="preserve"> miliardë </w:t>
      </w:r>
      <w:r w:rsidRPr="00392522">
        <w:rPr>
          <w:rFonts w:cs="Calibri"/>
          <w:bCs/>
          <w:i/>
          <w:iCs/>
          <w:lang w:val="sq-AL"/>
        </w:rPr>
        <w:t>lekë</w:t>
      </w:r>
      <w:r w:rsidRPr="004E6BCB">
        <w:rPr>
          <w:rFonts w:cs="Calibri"/>
          <w:bCs/>
          <w:i/>
          <w:iCs/>
          <w:lang w:val="sq-AL"/>
        </w:rPr>
        <w:t xml:space="preserve">, duke rezultuar </w:t>
      </w:r>
      <w:r>
        <w:rPr>
          <w:rFonts w:cs="Calibri"/>
          <w:bCs/>
          <w:i/>
          <w:iCs/>
          <w:lang w:val="sq-AL"/>
        </w:rPr>
        <w:t>27.4</w:t>
      </w:r>
      <w:r w:rsidRPr="004E6BCB">
        <w:rPr>
          <w:rFonts w:cs="Calibri"/>
          <w:bCs/>
          <w:i/>
          <w:iCs/>
          <w:lang w:val="sq-AL"/>
        </w:rPr>
        <w:t xml:space="preserve"> përqind të planit vjetor fillestar ose </w:t>
      </w:r>
      <w:r>
        <w:rPr>
          <w:rFonts w:cs="Calibri"/>
          <w:bCs/>
          <w:i/>
          <w:iCs/>
          <w:lang w:val="sq-AL"/>
        </w:rPr>
        <w:t>61.7</w:t>
      </w:r>
      <w:r w:rsidRPr="004E6BCB">
        <w:rPr>
          <w:rFonts w:cs="Calibri"/>
          <w:bCs/>
          <w:i/>
          <w:iCs/>
          <w:lang w:val="sq-AL"/>
        </w:rPr>
        <w:t xml:space="preserve"> </w:t>
      </w:r>
      <w:r>
        <w:rPr>
          <w:rFonts w:cs="Calibri"/>
          <w:bCs/>
          <w:i/>
          <w:iCs/>
          <w:lang w:val="sq-AL"/>
        </w:rPr>
        <w:t>përqind</w:t>
      </w:r>
      <w:r w:rsidRPr="004E6BCB">
        <w:rPr>
          <w:rFonts w:cs="Calibri"/>
          <w:bCs/>
          <w:i/>
          <w:iCs/>
          <w:lang w:val="sq-AL"/>
        </w:rPr>
        <w:t xml:space="preserve"> të planit vjetor të ndryshuar sipas AN nr.</w:t>
      </w:r>
      <w:r>
        <w:rPr>
          <w:rFonts w:cs="Calibri"/>
          <w:bCs/>
          <w:i/>
          <w:iCs/>
          <w:lang w:val="sq-AL"/>
        </w:rPr>
        <w:t>19</w:t>
      </w:r>
      <w:r w:rsidRPr="00392522">
        <w:rPr>
          <w:rFonts w:cs="Calibri"/>
          <w:bCs/>
          <w:i/>
          <w:iCs/>
          <w:lang w:val="sq-AL"/>
        </w:rPr>
        <w:t xml:space="preserve"> </w:t>
      </w:r>
      <w:r w:rsidRPr="004E6BCB">
        <w:rPr>
          <w:rFonts w:cs="Calibri"/>
          <w:bCs/>
          <w:i/>
          <w:iCs/>
          <w:lang w:val="sq-AL"/>
        </w:rPr>
        <w:t>dhe planit vjetor me ndryshime, shpërndarje rezervash</w:t>
      </w:r>
      <w:r w:rsidR="007F2203" w:rsidRPr="004E6BCB">
        <w:rPr>
          <w:rFonts w:cs="Calibri"/>
          <w:bCs/>
          <w:i/>
          <w:iCs/>
          <w:lang w:val="sq-AL"/>
        </w:rPr>
        <w:t xml:space="preserve">. </w:t>
      </w:r>
    </w:p>
    <w:p w:rsidR="00E22DED" w:rsidRPr="00476D2E" w:rsidRDefault="00392522" w:rsidP="00392522">
      <w:pPr>
        <w:spacing w:before="0" w:line="240" w:lineRule="auto"/>
        <w:rPr>
          <w:rFonts w:cs="Calibri"/>
          <w:lang w:val="sq-AL"/>
        </w:rPr>
      </w:pPr>
      <w:r w:rsidRPr="004E6BCB">
        <w:rPr>
          <w:rFonts w:cs="Calibri"/>
          <w:lang w:val="sq-AL"/>
        </w:rPr>
        <w:t>Kundrejt vitit 202</w:t>
      </w:r>
      <w:r>
        <w:rPr>
          <w:rFonts w:cs="Calibri"/>
          <w:lang w:val="sq-AL"/>
        </w:rPr>
        <w:t>1</w:t>
      </w:r>
      <w:r w:rsidRPr="004E6BCB">
        <w:rPr>
          <w:rFonts w:cs="Calibri"/>
          <w:lang w:val="sq-AL"/>
        </w:rPr>
        <w:t xml:space="preserve">, shpenzimet për sigurime shoqërore janë rreth </w:t>
      </w:r>
      <w:r>
        <w:rPr>
          <w:rFonts w:cs="Calibri"/>
          <w:lang w:val="sq-AL"/>
        </w:rPr>
        <w:t>15</w:t>
      </w:r>
      <w:r w:rsidRPr="004E6BCB">
        <w:rPr>
          <w:rFonts w:cs="Calibri"/>
          <w:lang w:val="sq-AL"/>
        </w:rPr>
        <w:t xml:space="preserve"> miliardë lekë më të larta, shpenzimet për sigurime shëndetësore janë rreth </w:t>
      </w:r>
      <w:r>
        <w:rPr>
          <w:rFonts w:cs="Calibri"/>
          <w:lang w:val="sq-AL"/>
        </w:rPr>
        <w:t>3.1</w:t>
      </w:r>
      <w:r w:rsidRPr="004E6BCB">
        <w:rPr>
          <w:rFonts w:cs="Calibri"/>
          <w:lang w:val="sq-AL"/>
        </w:rPr>
        <w:t xml:space="preserve"> miliardë lekë më të larta dhe shpenzimet për kompensimin e pronarëve</w:t>
      </w:r>
      <w:r>
        <w:rPr>
          <w:rFonts w:cs="Calibri"/>
          <w:lang w:val="sq-AL"/>
        </w:rPr>
        <w:t xml:space="preserve"> rreth</w:t>
      </w:r>
      <w:r w:rsidRPr="004E6BCB">
        <w:rPr>
          <w:rFonts w:cs="Calibri"/>
          <w:lang w:val="sq-AL"/>
        </w:rPr>
        <w:t xml:space="preserve"> </w:t>
      </w:r>
      <w:r>
        <w:rPr>
          <w:rFonts w:cs="Calibri"/>
          <w:lang w:val="sq-AL"/>
        </w:rPr>
        <w:t xml:space="preserve">1.06 </w:t>
      </w:r>
      <w:r w:rsidRPr="004E6BCB">
        <w:rPr>
          <w:rFonts w:cs="Calibri"/>
          <w:lang w:val="sq-AL"/>
        </w:rPr>
        <w:t>mili</w:t>
      </w:r>
      <w:r>
        <w:rPr>
          <w:rFonts w:cs="Calibri"/>
          <w:lang w:val="sq-AL"/>
        </w:rPr>
        <w:t>ard</w:t>
      </w:r>
      <w:r w:rsidRPr="004E6BCB">
        <w:rPr>
          <w:rFonts w:cs="Calibri"/>
          <w:lang w:val="sq-AL"/>
        </w:rPr>
        <w:t xml:space="preserve">ë lekë më të </w:t>
      </w:r>
      <w:r>
        <w:rPr>
          <w:rFonts w:cs="Calibri"/>
          <w:lang w:val="sq-AL"/>
        </w:rPr>
        <w:t>ulëta</w:t>
      </w:r>
      <w:r w:rsidR="00E22DED" w:rsidRPr="00476D2E">
        <w:rPr>
          <w:rFonts w:cs="Calibri"/>
          <w:lang w:val="sq-AL"/>
        </w:rPr>
        <w:t>.</w:t>
      </w:r>
    </w:p>
    <w:p w:rsidR="00C07CC2" w:rsidRPr="00476D2E" w:rsidRDefault="00C07CC2" w:rsidP="00FC729E">
      <w:pPr>
        <w:pStyle w:val="Caption"/>
        <w:keepNext/>
        <w:spacing w:after="0"/>
        <w:rPr>
          <w:rFonts w:cs="Calibri"/>
          <w:lang w:val="sq-AL"/>
        </w:rPr>
      </w:pPr>
      <w:bookmarkStart w:id="131" w:name="_Toc136526480"/>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35</w:t>
      </w:r>
      <w:r w:rsidRPr="00476D2E">
        <w:rPr>
          <w:rFonts w:cs="Calibri"/>
          <w:noProof/>
          <w:lang w:val="sq-AL"/>
        </w:rPr>
        <w:fldChar w:fldCharType="end"/>
      </w:r>
      <w:r w:rsidRPr="00476D2E">
        <w:rPr>
          <w:rFonts w:cs="Calibri"/>
          <w:lang w:val="sq-AL"/>
        </w:rPr>
        <w:t xml:space="preserve"> Shpenzimet per sigurimet shoqërore dhe shëndetësore (miliardë lekë)</w:t>
      </w:r>
      <w:bookmarkEnd w:id="131"/>
    </w:p>
    <w:p w:rsidR="00C07CC2" w:rsidRPr="00476D2E" w:rsidRDefault="00392522" w:rsidP="00FC729E">
      <w:pPr>
        <w:spacing w:before="0"/>
        <w:jc w:val="center"/>
        <w:rPr>
          <w:rFonts w:eastAsia="SimSun" w:cs="Calibri"/>
          <w:lang w:val="sq-AL"/>
        </w:rPr>
      </w:pPr>
      <w:r>
        <w:rPr>
          <w:rFonts w:eastAsia="SimSun" w:cs="Calibri"/>
          <w:noProof/>
        </w:rPr>
        <w:drawing>
          <wp:inline distT="0" distB="0" distL="0" distR="0" wp14:anchorId="472B8F68" wp14:editId="6D295FEC">
            <wp:extent cx="5192395" cy="2039815"/>
            <wp:effectExtent l="0" t="0" r="825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241055" cy="2058931"/>
                    </a:xfrm>
                    <a:prstGeom prst="rect">
                      <a:avLst/>
                    </a:prstGeom>
                    <a:noFill/>
                  </pic:spPr>
                </pic:pic>
              </a:graphicData>
            </a:graphic>
          </wp:inline>
        </w:drawing>
      </w:r>
    </w:p>
    <w:p w:rsidR="00C07CC2" w:rsidRPr="00FB4015" w:rsidRDefault="00153CD6" w:rsidP="00392522">
      <w:pPr>
        <w:spacing w:before="0" w:line="360" w:lineRule="auto"/>
        <w:ind w:left="720" w:firstLine="720"/>
        <w:rPr>
          <w:rFonts w:eastAsia="SimSun" w:cs="Calibri"/>
          <w:i/>
          <w:sz w:val="18"/>
          <w:lang w:val="sq-AL"/>
        </w:rPr>
      </w:pPr>
      <w:r>
        <w:rPr>
          <w:rFonts w:eastAsia="SimSun" w:cs="Calibri"/>
          <w:i/>
          <w:sz w:val="18"/>
          <w:lang w:val="sq-AL"/>
        </w:rPr>
        <w:t>Burimi: Ministria e Financave dhe Ekonomisë (2023)</w:t>
      </w:r>
    </w:p>
    <w:p w:rsidR="007F2203" w:rsidRPr="004E6BCB" w:rsidRDefault="00E22DED" w:rsidP="00392522">
      <w:pPr>
        <w:spacing w:before="240" w:line="240" w:lineRule="auto"/>
        <w:rPr>
          <w:rFonts w:eastAsia="SimSun" w:cs="Calibri"/>
          <w:lang w:val="sq-AL"/>
        </w:rPr>
      </w:pPr>
      <w:r w:rsidRPr="00476D2E">
        <w:rPr>
          <w:rFonts w:eastAsia="SimSun" w:cs="Calibri"/>
          <w:i/>
          <w:lang w:val="sq-AL"/>
        </w:rPr>
        <w:lastRenderedPageBreak/>
        <w:t>Shpenzimet për Papunësinë</w:t>
      </w:r>
      <w:r w:rsidRPr="00476D2E">
        <w:rPr>
          <w:rFonts w:eastAsia="SimSun" w:cs="Calibri"/>
          <w:lang w:val="sq-AL"/>
        </w:rPr>
        <w:t xml:space="preserve"> </w:t>
      </w:r>
      <w:r w:rsidR="00392522" w:rsidRPr="00C70A33">
        <w:rPr>
          <w:rFonts w:eastAsia="SimSun" w:cs="Calibri"/>
          <w:lang w:val="sq-AL"/>
        </w:rPr>
        <w:t>për vitin 2022 janë realizuar në masën 746 milion</w:t>
      </w:r>
      <w:r w:rsidR="00392522">
        <w:rPr>
          <w:rFonts w:eastAsia="SimSun" w:cs="Calibri"/>
          <w:lang w:val="sq-AL"/>
        </w:rPr>
        <w:t>ë</w:t>
      </w:r>
      <w:r w:rsidR="00392522" w:rsidRPr="00C70A33">
        <w:rPr>
          <w:rFonts w:eastAsia="SimSun" w:cs="Calibri"/>
          <w:lang w:val="sq-AL"/>
        </w:rPr>
        <w:t xml:space="preserve"> </w:t>
      </w:r>
      <w:r w:rsidR="00392522">
        <w:rPr>
          <w:rFonts w:eastAsia="SimSun" w:cs="Calibri"/>
          <w:lang w:val="sq-AL"/>
        </w:rPr>
        <w:t>lekë</w:t>
      </w:r>
      <w:r w:rsidR="00392522" w:rsidRPr="00C70A33">
        <w:rPr>
          <w:rFonts w:eastAsia="SimSun" w:cs="Calibri"/>
          <w:lang w:val="sq-AL"/>
        </w:rPr>
        <w:t xml:space="preserve"> ose 82.8 përqind e planin vjetor sipas Buxhetit fillestar, 101.4 përqind e planit vjetor të ndryshuar me AN nr.19 dhe 100 përqind të planit vjetor me ndryshime, shpërndarje rezervash. Krahasuar me vitin 2021 shpenzimet për këtë zë rezultojnë me një ulje në masën 21.7 përqind, ose 206 milion</w:t>
      </w:r>
      <w:r w:rsidR="00392522">
        <w:rPr>
          <w:rFonts w:eastAsia="SimSun" w:cs="Calibri"/>
          <w:lang w:val="sq-AL"/>
        </w:rPr>
        <w:t>ë</w:t>
      </w:r>
      <w:r w:rsidR="00392522" w:rsidRPr="00C70A33">
        <w:rPr>
          <w:rFonts w:eastAsia="SimSun" w:cs="Calibri"/>
          <w:lang w:val="sq-AL"/>
        </w:rPr>
        <w:t xml:space="preserve"> </w:t>
      </w:r>
      <w:r w:rsidR="00392522">
        <w:rPr>
          <w:rFonts w:eastAsia="SimSun" w:cs="Calibri"/>
          <w:lang w:val="sq-AL"/>
        </w:rPr>
        <w:t>lekë</w:t>
      </w:r>
      <w:r w:rsidR="00392522" w:rsidRPr="00C70A33">
        <w:rPr>
          <w:rFonts w:eastAsia="SimSun" w:cs="Calibri"/>
          <w:lang w:val="sq-AL"/>
        </w:rPr>
        <w:t xml:space="preserve"> më pak në terma nominalë</w:t>
      </w:r>
      <w:r w:rsidR="007F2203" w:rsidRPr="004E6BCB">
        <w:rPr>
          <w:rFonts w:eastAsia="SimSun" w:cs="Calibri"/>
          <w:lang w:val="sq-AL"/>
        </w:rPr>
        <w:t>.</w:t>
      </w:r>
    </w:p>
    <w:p w:rsidR="007F2203" w:rsidRPr="004E6BCB" w:rsidRDefault="007F2203" w:rsidP="00392522">
      <w:pPr>
        <w:spacing w:line="240" w:lineRule="auto"/>
        <w:rPr>
          <w:rFonts w:eastAsia="SimSun" w:cs="Calibri"/>
          <w:lang w:val="sq-AL"/>
        </w:rPr>
      </w:pPr>
      <w:r w:rsidRPr="004E6BCB">
        <w:rPr>
          <w:rFonts w:eastAsia="SimSun" w:cs="Calibri"/>
          <w:i/>
          <w:lang w:val="sq-AL"/>
        </w:rPr>
        <w:t>Shpenzimet për Ndihmën Ekonomike dhe Pagesën e Paaftësisë (PAK)</w:t>
      </w:r>
      <w:r w:rsidRPr="004E6BCB">
        <w:rPr>
          <w:rFonts w:ascii="Times New Roman" w:eastAsia="SimSun" w:hAnsi="Times New Roman"/>
          <w:sz w:val="24"/>
          <w:lang w:val="sq-AL"/>
        </w:rPr>
        <w:t xml:space="preserve"> </w:t>
      </w:r>
      <w:r w:rsidR="00392522" w:rsidRPr="00812CD2">
        <w:rPr>
          <w:rFonts w:eastAsia="SimSun" w:cs="Calibri"/>
          <w:lang w:val="sq-AL"/>
        </w:rPr>
        <w:t xml:space="preserve">për vitin 2022 u realizuan në masën rreth 25.5 miliard </w:t>
      </w:r>
      <w:r w:rsidR="00392522">
        <w:rPr>
          <w:rFonts w:eastAsia="SimSun" w:cs="Calibri"/>
          <w:lang w:val="sq-AL"/>
        </w:rPr>
        <w:t>lekë</w:t>
      </w:r>
      <w:r w:rsidR="00392522" w:rsidRPr="00812CD2">
        <w:rPr>
          <w:rFonts w:eastAsia="SimSun" w:cs="Calibri"/>
          <w:lang w:val="sq-AL"/>
        </w:rPr>
        <w:t xml:space="preserve"> duke rezultuar 108.1 përqind e planin vjetor sipas Buxhetit fillestar, 107.9 përqind e planit vjetor të ndryshuar me AN nr.19 dhe 99.2 përqind të planit vjetor me ndryshime</w:t>
      </w:r>
      <w:r w:rsidR="00392522" w:rsidRPr="009F1246">
        <w:rPr>
          <w:rFonts w:eastAsia="SimSun" w:cs="Calibri"/>
          <w:lang w:val="sq-AL"/>
        </w:rPr>
        <w:t>, shpërndarje rezervash</w:t>
      </w:r>
      <w:r w:rsidR="00392522" w:rsidRPr="00812CD2">
        <w:rPr>
          <w:rFonts w:eastAsia="SimSun" w:cs="Calibri"/>
          <w:lang w:val="sq-AL"/>
        </w:rPr>
        <w:t>. Krahasuar me realizimin e vitit 2021, shpenzimet për këtë zë rezultojnë me një rritje në masën 6.2 përqind ose rreth 1.5 miliard</w:t>
      </w:r>
      <w:r w:rsidR="00392522">
        <w:rPr>
          <w:rFonts w:eastAsia="SimSun" w:cs="Calibri"/>
          <w:lang w:val="sq-AL"/>
        </w:rPr>
        <w:t>ë</w:t>
      </w:r>
      <w:r w:rsidR="00392522" w:rsidRPr="00812CD2">
        <w:rPr>
          <w:rFonts w:eastAsia="SimSun" w:cs="Calibri"/>
          <w:lang w:val="sq-AL"/>
        </w:rPr>
        <w:t xml:space="preserve"> </w:t>
      </w:r>
      <w:r w:rsidR="00392522" w:rsidRPr="009F1246">
        <w:rPr>
          <w:rFonts w:eastAsia="SimSun" w:cs="Calibri"/>
          <w:lang w:val="sq-AL"/>
        </w:rPr>
        <w:t>lekë</w:t>
      </w:r>
      <w:r w:rsidR="00392522" w:rsidRPr="00812CD2">
        <w:rPr>
          <w:rFonts w:eastAsia="SimSun" w:cs="Calibri"/>
          <w:lang w:val="sq-AL"/>
        </w:rPr>
        <w:t xml:space="preserve"> më shumë në terma nominalë</w:t>
      </w:r>
      <w:r w:rsidRPr="004E6BCB">
        <w:rPr>
          <w:rFonts w:eastAsia="SimSun" w:cs="Calibri"/>
          <w:lang w:val="sq-AL"/>
        </w:rPr>
        <w:t>.</w:t>
      </w:r>
    </w:p>
    <w:p w:rsidR="007F2203" w:rsidRPr="004E6BCB" w:rsidRDefault="007F2203" w:rsidP="00392522">
      <w:pPr>
        <w:spacing w:line="240" w:lineRule="auto"/>
        <w:rPr>
          <w:rFonts w:eastAsia="SimSun" w:cs="Calibri"/>
          <w:lang w:val="sq-AL"/>
        </w:rPr>
      </w:pPr>
      <w:r w:rsidRPr="004E6BCB">
        <w:rPr>
          <w:rFonts w:eastAsia="SimSun" w:cs="Calibri"/>
          <w:i/>
          <w:lang w:val="sq-AL"/>
        </w:rPr>
        <w:t>Shpenzimet për kompensimin e ish-të përndjekurve politikë</w:t>
      </w:r>
      <w:r w:rsidRPr="004E6BCB">
        <w:rPr>
          <w:rFonts w:eastAsia="SimSun" w:cs="Calibri"/>
          <w:lang w:val="sq-AL"/>
        </w:rPr>
        <w:t xml:space="preserve"> </w:t>
      </w:r>
      <w:r w:rsidR="00392522" w:rsidRPr="006507C9">
        <w:rPr>
          <w:rFonts w:eastAsia="SimSun" w:cs="Calibri"/>
          <w:lang w:val="sq-AL"/>
        </w:rPr>
        <w:t>për vitin 2022 u realizuan në masën 996 milion</w:t>
      </w:r>
      <w:r w:rsidR="00392522">
        <w:rPr>
          <w:rFonts w:eastAsia="SimSun" w:cs="Calibri"/>
          <w:lang w:val="sq-AL"/>
        </w:rPr>
        <w:t>ë</w:t>
      </w:r>
      <w:r w:rsidR="00392522" w:rsidRPr="006507C9">
        <w:rPr>
          <w:rFonts w:eastAsia="SimSun" w:cs="Calibri"/>
          <w:lang w:val="sq-AL"/>
        </w:rPr>
        <w:t xml:space="preserve"> </w:t>
      </w:r>
      <w:r w:rsidR="00392522">
        <w:rPr>
          <w:rFonts w:eastAsia="SimSun" w:cs="Calibri"/>
          <w:lang w:val="sq-AL"/>
        </w:rPr>
        <w:t>lekë</w:t>
      </w:r>
      <w:r w:rsidR="00392522" w:rsidRPr="006507C9">
        <w:rPr>
          <w:rFonts w:eastAsia="SimSun" w:cs="Calibri"/>
          <w:lang w:val="sq-AL"/>
        </w:rPr>
        <w:t xml:space="preserve"> duke rezultuar 99.6 përqind e planin vjetor sipas Buxhetit fillestar</w:t>
      </w:r>
      <w:r w:rsidR="00392522">
        <w:rPr>
          <w:rFonts w:eastAsia="SimSun" w:cs="Calibri"/>
          <w:lang w:val="sq-AL"/>
        </w:rPr>
        <w:t xml:space="preserve"> dhe </w:t>
      </w:r>
      <w:r w:rsidR="00392522" w:rsidRPr="006507C9">
        <w:rPr>
          <w:rFonts w:eastAsia="SimSun" w:cs="Calibri"/>
          <w:lang w:val="sq-AL"/>
        </w:rPr>
        <w:t xml:space="preserve">të ndryshuar </w:t>
      </w:r>
      <w:r w:rsidR="00392522">
        <w:rPr>
          <w:rFonts w:eastAsia="SimSun" w:cs="Calibri"/>
          <w:lang w:val="sq-AL"/>
        </w:rPr>
        <w:t xml:space="preserve">(sipas </w:t>
      </w:r>
      <w:r w:rsidR="00392522" w:rsidRPr="006507C9">
        <w:rPr>
          <w:rFonts w:eastAsia="SimSun" w:cs="Calibri"/>
          <w:lang w:val="sq-AL"/>
        </w:rPr>
        <w:t>AN nr.19 dhe planit vjetor me ndryshime</w:t>
      </w:r>
      <w:r w:rsidR="00392522">
        <w:rPr>
          <w:rFonts w:eastAsia="SimSun" w:cs="Calibri"/>
          <w:lang w:val="sq-AL"/>
        </w:rPr>
        <w:t>, shpërndarje rezervash)</w:t>
      </w:r>
      <w:r w:rsidR="00392522" w:rsidRPr="006507C9">
        <w:rPr>
          <w:rFonts w:eastAsia="SimSun" w:cs="Calibri"/>
          <w:lang w:val="sq-AL"/>
        </w:rPr>
        <w:t>. Krahasuar me realizimin e vitit 2021, shpenzimet për këtë zë rezultojnë me një rritje në masën 9.1 përqind ose 83 milion</w:t>
      </w:r>
      <w:r w:rsidR="00392522">
        <w:rPr>
          <w:rFonts w:eastAsia="SimSun" w:cs="Calibri"/>
          <w:lang w:val="sq-AL"/>
        </w:rPr>
        <w:t>ë</w:t>
      </w:r>
      <w:r w:rsidR="00392522" w:rsidRPr="006507C9">
        <w:rPr>
          <w:rFonts w:eastAsia="SimSun" w:cs="Calibri"/>
          <w:lang w:val="sq-AL"/>
        </w:rPr>
        <w:t xml:space="preserve"> </w:t>
      </w:r>
      <w:r w:rsidR="00392522">
        <w:rPr>
          <w:rFonts w:eastAsia="SimSun" w:cs="Calibri"/>
          <w:lang w:val="sq-AL"/>
        </w:rPr>
        <w:t>lekë</w:t>
      </w:r>
      <w:r w:rsidR="00392522" w:rsidRPr="006507C9">
        <w:rPr>
          <w:rFonts w:eastAsia="SimSun" w:cs="Calibri"/>
          <w:lang w:val="sq-AL"/>
        </w:rPr>
        <w:t xml:space="preserve"> më shumë</w:t>
      </w:r>
      <w:r w:rsidRPr="004E6BCB">
        <w:rPr>
          <w:rFonts w:eastAsia="SimSun" w:cs="Calibri"/>
          <w:lang w:val="sq-AL"/>
        </w:rPr>
        <w:t>.</w:t>
      </w:r>
    </w:p>
    <w:p w:rsidR="00E22DED" w:rsidRPr="00476D2E" w:rsidRDefault="007F2203" w:rsidP="00392522">
      <w:pPr>
        <w:spacing w:before="240" w:line="240" w:lineRule="auto"/>
        <w:rPr>
          <w:rFonts w:eastAsia="SimSun" w:cs="Calibri"/>
          <w:lang w:val="sq-AL"/>
        </w:rPr>
      </w:pPr>
      <w:r w:rsidRPr="004E6BCB">
        <w:rPr>
          <w:rFonts w:eastAsia="SimSun" w:cs="Calibri"/>
          <w:i/>
          <w:lang w:val="sq-AL"/>
        </w:rPr>
        <w:t>Shpenzimet për bonusin e lindjeve</w:t>
      </w:r>
      <w:r w:rsidRPr="004E6BCB">
        <w:rPr>
          <w:rFonts w:eastAsia="SimSun" w:cs="Calibri"/>
          <w:lang w:val="sq-AL"/>
        </w:rPr>
        <w:t xml:space="preserve"> </w:t>
      </w:r>
      <w:r w:rsidR="00392522" w:rsidRPr="002B4160">
        <w:rPr>
          <w:rFonts w:eastAsia="SimSun" w:cs="Calibri"/>
          <w:lang w:val="sq-AL"/>
        </w:rPr>
        <w:t>për vitin 2022 u realizuan në masën 3.1 miliard</w:t>
      </w:r>
      <w:r w:rsidR="00392522">
        <w:rPr>
          <w:rFonts w:eastAsia="SimSun" w:cs="Calibri"/>
          <w:lang w:val="sq-AL"/>
        </w:rPr>
        <w:t>ë</w:t>
      </w:r>
      <w:r w:rsidR="00392522" w:rsidRPr="002B4160">
        <w:rPr>
          <w:rFonts w:eastAsia="SimSun" w:cs="Calibri"/>
          <w:lang w:val="sq-AL"/>
        </w:rPr>
        <w:t xml:space="preserve"> </w:t>
      </w:r>
      <w:r w:rsidR="00392522">
        <w:rPr>
          <w:rFonts w:eastAsia="SimSun" w:cs="Calibri"/>
          <w:lang w:val="sq-AL"/>
        </w:rPr>
        <w:t>lekë</w:t>
      </w:r>
      <w:r w:rsidR="00392522" w:rsidRPr="002B4160">
        <w:rPr>
          <w:rFonts w:eastAsia="SimSun" w:cs="Calibri"/>
          <w:lang w:val="sq-AL"/>
        </w:rPr>
        <w:t xml:space="preserve"> duke rezultuar 140.9 përqind e planin vjetor sipas Buxhetit fillestar dhe të ndryshuar me AN nr.19 dhe 100 përqind të planit vjetor me ndryshime</w:t>
      </w:r>
      <w:r w:rsidR="00392522">
        <w:rPr>
          <w:rFonts w:eastAsia="SimSun" w:cs="Calibri"/>
          <w:lang w:val="sq-AL"/>
        </w:rPr>
        <w:t>, shpërndarje rezervash</w:t>
      </w:r>
      <w:r w:rsidR="00392522" w:rsidRPr="002B4160">
        <w:rPr>
          <w:rFonts w:eastAsia="SimSun" w:cs="Calibri"/>
          <w:lang w:val="sq-AL"/>
        </w:rPr>
        <w:t>. Krahasuar me realizimin e vitit 2021, shpenzimet për këtë zë rezultojnë një ulje në masën 6.1 përqind ose 203 milion</w:t>
      </w:r>
      <w:r w:rsidR="00392522">
        <w:rPr>
          <w:rFonts w:eastAsia="SimSun" w:cs="Calibri"/>
          <w:lang w:val="sq-AL"/>
        </w:rPr>
        <w:t>ë</w:t>
      </w:r>
      <w:r w:rsidR="00392522" w:rsidRPr="002B4160">
        <w:rPr>
          <w:rFonts w:eastAsia="SimSun" w:cs="Calibri"/>
          <w:lang w:val="sq-AL"/>
        </w:rPr>
        <w:t xml:space="preserve"> </w:t>
      </w:r>
      <w:r w:rsidR="00392522">
        <w:rPr>
          <w:rFonts w:eastAsia="SimSun" w:cs="Calibri"/>
          <w:lang w:val="sq-AL"/>
        </w:rPr>
        <w:t>lekë</w:t>
      </w:r>
      <w:r w:rsidR="00392522" w:rsidRPr="002B4160">
        <w:rPr>
          <w:rFonts w:eastAsia="SimSun" w:cs="Calibri"/>
          <w:lang w:val="sq-AL"/>
        </w:rPr>
        <w:t xml:space="preserve"> më pak</w:t>
      </w:r>
      <w:r w:rsidR="00E22DED" w:rsidRPr="00476D2E">
        <w:rPr>
          <w:rFonts w:eastAsia="SimSun" w:cs="Calibri"/>
          <w:lang w:val="sq-AL"/>
        </w:rPr>
        <w:t xml:space="preserve">. </w:t>
      </w:r>
    </w:p>
    <w:p w:rsidR="00C07CC2" w:rsidRPr="00476D2E" w:rsidRDefault="00C07CC2" w:rsidP="00FC729E">
      <w:pPr>
        <w:pStyle w:val="Caption"/>
        <w:keepNext/>
        <w:spacing w:after="0"/>
        <w:rPr>
          <w:rFonts w:cs="Calibri"/>
          <w:lang w:val="sq-AL"/>
        </w:rPr>
      </w:pPr>
      <w:bookmarkStart w:id="132" w:name="_Toc136526481"/>
      <w:r w:rsidRPr="00476D2E">
        <w:rPr>
          <w:rFonts w:cs="Calibri"/>
          <w:lang w:val="sq-AL"/>
        </w:rPr>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36</w:t>
      </w:r>
      <w:r w:rsidRPr="00476D2E">
        <w:rPr>
          <w:rFonts w:cs="Calibri"/>
          <w:noProof/>
          <w:lang w:val="sq-AL"/>
        </w:rPr>
        <w:fldChar w:fldCharType="end"/>
      </w:r>
      <w:r w:rsidRPr="00476D2E">
        <w:rPr>
          <w:rFonts w:cs="Calibri"/>
          <w:lang w:val="sq-AL"/>
        </w:rPr>
        <w:t xml:space="preserve"> Shpenzimet per ndihmën ekonomike, PAK dhe papunësinë (miliardë lekë)</w:t>
      </w:r>
      <w:bookmarkEnd w:id="132"/>
    </w:p>
    <w:p w:rsidR="00C07CC2" w:rsidRPr="00476D2E" w:rsidRDefault="00392522" w:rsidP="00392522">
      <w:pPr>
        <w:spacing w:before="0" w:line="240" w:lineRule="auto"/>
        <w:jc w:val="center"/>
        <w:rPr>
          <w:rFonts w:eastAsia="SimSun" w:cs="Calibri"/>
          <w:sz w:val="20"/>
          <w:lang w:val="sq-AL"/>
        </w:rPr>
      </w:pPr>
      <w:r>
        <w:rPr>
          <w:rFonts w:eastAsia="SimSun" w:cs="Calibri"/>
          <w:noProof/>
          <w:sz w:val="20"/>
        </w:rPr>
        <w:drawing>
          <wp:inline distT="0" distB="0" distL="0" distR="0" wp14:anchorId="6751C416" wp14:editId="46DC7AA6">
            <wp:extent cx="5807178" cy="1951892"/>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850205" cy="1966354"/>
                    </a:xfrm>
                    <a:prstGeom prst="rect">
                      <a:avLst/>
                    </a:prstGeom>
                    <a:noFill/>
                  </pic:spPr>
                </pic:pic>
              </a:graphicData>
            </a:graphic>
          </wp:inline>
        </w:drawing>
      </w:r>
    </w:p>
    <w:p w:rsidR="00C07CC2" w:rsidRDefault="00153CD6" w:rsidP="00392522">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392522" w:rsidRPr="00476D2E" w:rsidRDefault="00392522" w:rsidP="00392522">
      <w:pPr>
        <w:spacing w:before="0" w:line="360" w:lineRule="auto"/>
        <w:ind w:firstLine="720"/>
        <w:rPr>
          <w:rFonts w:eastAsia="SimSun" w:cs="Calibri"/>
          <w:i/>
          <w:sz w:val="18"/>
          <w:szCs w:val="18"/>
          <w:lang w:val="sq-AL"/>
        </w:rPr>
      </w:pPr>
    </w:p>
    <w:p w:rsidR="00E22DED" w:rsidRPr="00476D2E" w:rsidRDefault="001D54B0" w:rsidP="008F4F9E">
      <w:pPr>
        <w:spacing w:line="240" w:lineRule="auto"/>
        <w:rPr>
          <w:rFonts w:cs="Calibri"/>
          <w:bCs/>
          <w:iCs/>
          <w:lang w:val="sq-AL"/>
        </w:rPr>
      </w:pPr>
      <w:r w:rsidRPr="009A26AF">
        <w:rPr>
          <w:rFonts w:cs="Calibri"/>
          <w:b/>
          <w:bCs/>
          <w:iCs/>
          <w:lang w:val="sq-AL"/>
        </w:rPr>
        <w:t>Shpenzimet kapitale</w:t>
      </w:r>
      <w:r w:rsidRPr="009A26AF">
        <w:rPr>
          <w:rFonts w:cs="Calibri"/>
          <w:bCs/>
          <w:iCs/>
          <w:lang w:val="sq-AL"/>
        </w:rPr>
        <w:t xml:space="preserve"> </w:t>
      </w:r>
      <w:r w:rsidR="008F4F9E" w:rsidRPr="008F4F9E">
        <w:rPr>
          <w:rFonts w:cs="Calibri"/>
          <w:bCs/>
          <w:iCs/>
          <w:lang w:val="sq-AL"/>
        </w:rPr>
        <w:t>për vitin 2022 (përfshirë Fondin e Rindërtimit) rezultuan në rreth 112.1 miliardë lekë, ose 93.9 përqind të planit vjetor fillestar (93.4 përqind të planit vjetor të ndryshuar me AN nr.19). Krahasuar me vitin 2021, ky zë është 12.2 përqind më i ulët ose rreth 15.6 miliardë lekë më pak. Investimet me financim të brendshëm u realizuan në masën 63.7 miliardë lekë përkundrejt planit prej 64.6 miliardë lekë, rreth 8 miliardë lekë më pak se viti 2021. Ndërkohë, për vitin 2022 shpenzimet kapitale për procesin e rindërtimit ishin në masën 28.9 miliardë lekë kundrejt planit prej 32.4 miliardë lekë të cilat paraqiten më të ulëta se vitin 2021 në masën 647 milionë lekë. Investimet nga të ardhurat e arsimit të lartë shënuan një realizim në masën 892 milionë lekë ose 89.2 përqind në raport me planin vjetor fillestar (89.2 përqind të planit të ndryshuar); Investimet me financim të huaj shënuan ulje krahasuar me vitin 2021 duke shënuar realizim në masën rreth 18.7 miliardë lekë ose 54.1 përqind të planit vjetor fillestar (84.6 përqind të planit vjetor të ndryshuar me AN nr.19) ose rreth 6.7 miliardë lekë më pak se viti 2021</w:t>
      </w:r>
      <w:r w:rsidRPr="00476D2E">
        <w:rPr>
          <w:rFonts w:cs="Calibri"/>
          <w:bCs/>
          <w:iCs/>
          <w:lang w:val="sq-AL"/>
        </w:rPr>
        <w:t>.</w:t>
      </w:r>
    </w:p>
    <w:p w:rsidR="00C07CC2" w:rsidRPr="00476D2E" w:rsidRDefault="00C07CC2" w:rsidP="00FC729E">
      <w:pPr>
        <w:pStyle w:val="Caption"/>
        <w:keepNext/>
        <w:spacing w:after="0"/>
        <w:rPr>
          <w:rFonts w:cs="Calibri"/>
          <w:lang w:val="sq-AL"/>
        </w:rPr>
      </w:pPr>
      <w:bookmarkStart w:id="133" w:name="_Toc136526482"/>
      <w:r w:rsidRPr="00476D2E">
        <w:rPr>
          <w:rFonts w:cs="Calibri"/>
          <w:lang w:val="sq-AL"/>
        </w:rPr>
        <w:lastRenderedPageBreak/>
        <w:t xml:space="preserve">Grafiku </w:t>
      </w:r>
      <w:r w:rsidRPr="00476D2E">
        <w:rPr>
          <w:rFonts w:cs="Calibri"/>
          <w:noProof/>
          <w:lang w:val="sq-AL"/>
        </w:rPr>
        <w:fldChar w:fldCharType="begin"/>
      </w:r>
      <w:r w:rsidRPr="00476D2E">
        <w:rPr>
          <w:rFonts w:cs="Calibri"/>
          <w:noProof/>
          <w:lang w:val="sq-AL"/>
        </w:rPr>
        <w:instrText xml:space="preserve"> SEQ Grafiku \* ARABIC </w:instrText>
      </w:r>
      <w:r w:rsidRPr="00476D2E">
        <w:rPr>
          <w:rFonts w:cs="Calibri"/>
          <w:noProof/>
          <w:lang w:val="sq-AL"/>
        </w:rPr>
        <w:fldChar w:fldCharType="separate"/>
      </w:r>
      <w:r w:rsidR="008C3E07">
        <w:rPr>
          <w:rFonts w:cs="Calibri"/>
          <w:noProof/>
          <w:lang w:val="sq-AL"/>
        </w:rPr>
        <w:t>37</w:t>
      </w:r>
      <w:r w:rsidRPr="00476D2E">
        <w:rPr>
          <w:rFonts w:cs="Calibri"/>
          <w:noProof/>
          <w:lang w:val="sq-AL"/>
        </w:rPr>
        <w:fldChar w:fldCharType="end"/>
      </w:r>
      <w:r w:rsidRPr="00476D2E">
        <w:rPr>
          <w:rFonts w:cs="Calibri"/>
          <w:lang w:val="sq-AL"/>
        </w:rPr>
        <w:t xml:space="preserve"> S</w:t>
      </w:r>
      <w:r w:rsidRPr="00476D2E">
        <w:rPr>
          <w:rFonts w:eastAsia="SimSun" w:cs="Calibri"/>
          <w:i w:val="0"/>
          <w:lang w:val="sq-AL"/>
        </w:rPr>
        <w:t>hpenzimet Kapitale dhe burimi i financimit të tyre (në miliardë lekë)</w:t>
      </w:r>
      <w:bookmarkEnd w:id="133"/>
    </w:p>
    <w:p w:rsidR="00B7482B" w:rsidRPr="00476D2E" w:rsidRDefault="008F4F9E" w:rsidP="008F4F9E">
      <w:pPr>
        <w:spacing w:before="0" w:line="240" w:lineRule="auto"/>
        <w:jc w:val="center"/>
        <w:rPr>
          <w:rFonts w:eastAsia="SimSun" w:cs="Calibri"/>
          <w:b/>
          <w:lang w:val="sq-AL"/>
        </w:rPr>
      </w:pPr>
      <w:r>
        <w:rPr>
          <w:rFonts w:eastAsia="SimSun"/>
          <w:i/>
          <w:noProof/>
        </w:rPr>
        <w:drawing>
          <wp:inline distT="0" distB="0" distL="0" distR="0" wp14:anchorId="135A1969" wp14:editId="028D823A">
            <wp:extent cx="6461578" cy="1910862"/>
            <wp:effectExtent l="38100" t="38100" r="92075" b="8953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81470" cy="1916744"/>
                    </a:xfrm>
                    <a:prstGeom prst="rect">
                      <a:avLst/>
                    </a:prstGeom>
                    <a:noFill/>
                    <a:effectLst>
                      <a:outerShdw blurRad="50800" dist="38100" dir="2700000" algn="tl" rotWithShape="0">
                        <a:prstClr val="black">
                          <a:alpha val="40000"/>
                        </a:prstClr>
                      </a:outerShdw>
                    </a:effectLst>
                  </pic:spPr>
                </pic:pic>
              </a:graphicData>
            </a:graphic>
          </wp:inline>
        </w:drawing>
      </w:r>
    </w:p>
    <w:p w:rsidR="00C07CC2" w:rsidRPr="00476D2E" w:rsidRDefault="00153CD6" w:rsidP="00392522">
      <w:pPr>
        <w:spacing w:before="0" w:line="24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635D0E" w:rsidRPr="00513D2E" w:rsidRDefault="00635D0E" w:rsidP="00FC729E">
      <w:pPr>
        <w:spacing w:before="0"/>
        <w:rPr>
          <w:rFonts w:eastAsia="SimSun" w:cs="Calibri"/>
          <w:sz w:val="12"/>
          <w:highlight w:val="yellow"/>
          <w:lang w:val="sq-AL"/>
        </w:rPr>
      </w:pPr>
    </w:p>
    <w:p w:rsidR="002F6176" w:rsidRPr="00476D2E" w:rsidRDefault="008F4F9E" w:rsidP="008F4F9E">
      <w:pPr>
        <w:spacing w:before="0" w:line="240" w:lineRule="auto"/>
        <w:rPr>
          <w:rFonts w:eastAsia="SimSun" w:cs="Calibri"/>
          <w:lang w:val="sq-AL"/>
        </w:rPr>
      </w:pPr>
      <w:r w:rsidRPr="00890C4A">
        <w:rPr>
          <w:lang w:val="sq-AL"/>
        </w:rPr>
        <w:t>Fondet buxhetore të alokuara për investime kanë prekur fusha të rëndësishme të ekonomisë. Një prej prioriteteve të buxhetit 2022 për shpenzimet kapitale ishte rindërtimi i infrastrukturës së dëmtuar nga tërmeti i nëntorit të vitit 2019, kryesisht në fushën e arsimit, infrastrukturës publike dhe strehimit. Sektorë të tjerë prioritarë ishin edhe infrastruktura e ujësjellës kanalizimeve; transporti rrugor, mbrojtja, etj. Realizimi i investimeve në total ka qenë në nivele të larta, veçanërisht për financimin e brendshëm</w:t>
      </w:r>
      <w:r w:rsidR="002F6176" w:rsidRPr="00626069">
        <w:rPr>
          <w:rFonts w:eastAsia="SimSun" w:cs="Calibri"/>
          <w:lang w:val="sq-AL"/>
        </w:rPr>
        <w:t>.</w:t>
      </w:r>
      <w:r w:rsidR="002F6176" w:rsidRPr="00476D2E">
        <w:rPr>
          <w:rFonts w:eastAsia="SimSun" w:cs="Calibri"/>
          <w:lang w:val="sq-AL"/>
        </w:rPr>
        <w:t xml:space="preserve"> </w:t>
      </w:r>
    </w:p>
    <w:p w:rsidR="00203B24" w:rsidRPr="002617BE" w:rsidRDefault="00203B24" w:rsidP="008F4F9E">
      <w:pPr>
        <w:spacing w:line="240" w:lineRule="auto"/>
        <w:rPr>
          <w:rFonts w:asciiTheme="majorHAnsi" w:eastAsia="SimSun" w:hAnsiTheme="majorHAnsi" w:cs="Calibri Light"/>
          <w:szCs w:val="22"/>
          <w:lang w:val="sq-AL"/>
        </w:rPr>
      </w:pPr>
      <w:r w:rsidRPr="002617BE">
        <w:rPr>
          <w:rFonts w:asciiTheme="majorHAnsi" w:eastAsia="SimSun" w:hAnsiTheme="majorHAnsi" w:cs="Calibri Light"/>
          <w:szCs w:val="22"/>
          <w:lang w:val="sq-AL"/>
        </w:rPr>
        <w:t xml:space="preserve">Me buxhetin e vitit 2022 në ministritë e linjës janë </w:t>
      </w:r>
      <w:r w:rsidRPr="002617BE">
        <w:rPr>
          <w:rFonts w:asciiTheme="majorHAnsi" w:eastAsia="SimSun" w:hAnsiTheme="majorHAnsi" w:cs="Calibri Light"/>
          <w:b/>
          <w:szCs w:val="22"/>
          <w:lang w:val="sq-AL"/>
        </w:rPr>
        <w:t>financuar dhe mbyllur rreth 2</w:t>
      </w:r>
      <w:r>
        <w:rPr>
          <w:rFonts w:asciiTheme="majorHAnsi" w:eastAsia="SimSun" w:hAnsiTheme="majorHAnsi" w:cs="Calibri Light"/>
          <w:b/>
          <w:szCs w:val="22"/>
          <w:lang w:val="sq-AL"/>
        </w:rPr>
        <w:t>3</w:t>
      </w:r>
      <w:r w:rsidRPr="002617BE">
        <w:rPr>
          <w:rFonts w:asciiTheme="majorHAnsi" w:eastAsia="SimSun" w:hAnsiTheme="majorHAnsi" w:cs="Calibri Light"/>
          <w:b/>
          <w:szCs w:val="22"/>
          <w:lang w:val="sq-AL"/>
        </w:rPr>
        <w:t>0 kontrata të rëndësishme investimesh me financim të brendshëm me vlerë të plotë projektesh me rreth 35 miliardë lekë</w:t>
      </w:r>
      <w:r w:rsidRPr="002617BE">
        <w:rPr>
          <w:rFonts w:asciiTheme="majorHAnsi" w:eastAsia="SimSun" w:hAnsiTheme="majorHAnsi" w:cs="Calibri Light"/>
          <w:szCs w:val="22"/>
          <w:lang w:val="sq-AL"/>
        </w:rPr>
        <w:t xml:space="preserve">. Konkretisht: </w:t>
      </w:r>
    </w:p>
    <w:p w:rsidR="00203B24" w:rsidRPr="002617BE" w:rsidRDefault="00203B24" w:rsidP="00203B24">
      <w:pPr>
        <w:numPr>
          <w:ilvl w:val="0"/>
          <w:numId w:val="2"/>
        </w:numPr>
        <w:spacing w:before="0" w:line="240" w:lineRule="auto"/>
        <w:ind w:left="630"/>
        <w:rPr>
          <w:rFonts w:asciiTheme="majorHAnsi" w:hAnsiTheme="majorHAnsi" w:cs="Calibri Light"/>
          <w:bCs/>
          <w:i/>
          <w:iCs/>
          <w:szCs w:val="22"/>
          <w:lang w:val="sq-AL"/>
        </w:rPr>
      </w:pPr>
      <w:r w:rsidRPr="002617BE">
        <w:rPr>
          <w:rFonts w:asciiTheme="majorHAnsi" w:hAnsiTheme="majorHAnsi" w:cs="Calibri Light"/>
          <w:bCs/>
          <w:i/>
          <w:iCs/>
          <w:szCs w:val="22"/>
          <w:lang w:val="sq-AL"/>
        </w:rPr>
        <w:t>Janë mbyllur 1</w:t>
      </w:r>
      <w:r>
        <w:rPr>
          <w:rFonts w:asciiTheme="majorHAnsi" w:hAnsiTheme="majorHAnsi" w:cs="Calibri Light"/>
          <w:bCs/>
          <w:i/>
          <w:iCs/>
          <w:szCs w:val="22"/>
          <w:lang w:val="sq-AL"/>
        </w:rPr>
        <w:t>5</w:t>
      </w:r>
      <w:r w:rsidRPr="002617BE">
        <w:rPr>
          <w:rFonts w:asciiTheme="majorHAnsi" w:hAnsiTheme="majorHAnsi" w:cs="Calibri Light"/>
          <w:bCs/>
          <w:i/>
          <w:iCs/>
          <w:szCs w:val="22"/>
          <w:lang w:val="sq-AL"/>
        </w:rPr>
        <w:t xml:space="preserve"> kontrata investimi të transportit rrugor me vlerë totale rreth 14 miliardë lekë.</w:t>
      </w:r>
    </w:p>
    <w:p w:rsidR="00203B24" w:rsidRPr="002617BE" w:rsidRDefault="00203B24" w:rsidP="00203B24">
      <w:pPr>
        <w:numPr>
          <w:ilvl w:val="0"/>
          <w:numId w:val="2"/>
        </w:numPr>
        <w:spacing w:before="0" w:line="240" w:lineRule="auto"/>
        <w:ind w:left="630"/>
        <w:rPr>
          <w:rFonts w:asciiTheme="majorHAnsi" w:hAnsiTheme="majorHAnsi" w:cs="Calibri Light"/>
          <w:bCs/>
          <w:i/>
          <w:iCs/>
          <w:szCs w:val="22"/>
          <w:lang w:val="sq-AL"/>
        </w:rPr>
      </w:pPr>
      <w:r w:rsidRPr="002617BE">
        <w:rPr>
          <w:rFonts w:asciiTheme="majorHAnsi" w:hAnsiTheme="majorHAnsi" w:cs="Calibri Light"/>
          <w:bCs/>
          <w:i/>
          <w:iCs/>
          <w:szCs w:val="22"/>
          <w:lang w:val="sq-AL"/>
        </w:rPr>
        <w:t>Janë mbyllur 35 kontrata investimi për ujësjellësa dhe kanalizime me vlerë totale 4 miliardë lekë.</w:t>
      </w:r>
    </w:p>
    <w:p w:rsidR="00203B24" w:rsidRPr="002617BE" w:rsidRDefault="00203B24" w:rsidP="00203B24">
      <w:pPr>
        <w:numPr>
          <w:ilvl w:val="0"/>
          <w:numId w:val="2"/>
        </w:numPr>
        <w:spacing w:before="0" w:line="240" w:lineRule="auto"/>
        <w:ind w:left="630"/>
        <w:rPr>
          <w:rFonts w:asciiTheme="majorHAnsi" w:hAnsiTheme="majorHAnsi" w:cs="Calibri Light"/>
          <w:bCs/>
          <w:i/>
          <w:iCs/>
          <w:szCs w:val="22"/>
          <w:lang w:val="sq-AL"/>
        </w:rPr>
      </w:pPr>
      <w:r w:rsidRPr="002617BE">
        <w:rPr>
          <w:rFonts w:asciiTheme="majorHAnsi" w:hAnsiTheme="majorHAnsi" w:cs="Calibri Light"/>
          <w:bCs/>
          <w:i/>
          <w:iCs/>
          <w:szCs w:val="22"/>
          <w:lang w:val="sq-AL"/>
        </w:rPr>
        <w:t xml:space="preserve">Në fushën e menaxhimit të mbetjeve janë mbyllur pagesat për </w:t>
      </w:r>
      <w:r w:rsidRPr="002617BE">
        <w:rPr>
          <w:rFonts w:asciiTheme="majorHAnsi" w:eastAsia="Calibri" w:hAnsiTheme="majorHAnsi" w:cs="Calibri Light"/>
          <w:color w:val="000000" w:themeColor="text1"/>
          <w:szCs w:val="22"/>
          <w:lang w:val="sq-AL"/>
        </w:rPr>
        <w:t>Impjantin e prodhimit të energjisë nga mbetjet në Fier” me vlerë rreth 4. 5 miliardë lekë</w:t>
      </w:r>
      <w:r w:rsidRPr="002617BE">
        <w:rPr>
          <w:rFonts w:asciiTheme="majorHAnsi" w:hAnsiTheme="majorHAnsi" w:cs="Calibri Light"/>
          <w:bCs/>
          <w:i/>
          <w:iCs/>
          <w:szCs w:val="22"/>
          <w:lang w:val="sq-AL"/>
        </w:rPr>
        <w:t>.</w:t>
      </w:r>
    </w:p>
    <w:p w:rsidR="00203B24" w:rsidRPr="002617BE" w:rsidRDefault="00203B24" w:rsidP="00203B24">
      <w:pPr>
        <w:numPr>
          <w:ilvl w:val="0"/>
          <w:numId w:val="2"/>
        </w:numPr>
        <w:spacing w:before="0" w:line="240" w:lineRule="auto"/>
        <w:ind w:left="630"/>
        <w:rPr>
          <w:rFonts w:asciiTheme="majorHAnsi" w:hAnsiTheme="majorHAnsi" w:cs="Calibri Light"/>
          <w:bCs/>
          <w:i/>
          <w:iCs/>
          <w:szCs w:val="22"/>
          <w:lang w:val="sq-AL"/>
        </w:rPr>
      </w:pPr>
      <w:r w:rsidRPr="002617BE">
        <w:rPr>
          <w:rFonts w:asciiTheme="majorHAnsi" w:hAnsiTheme="majorHAnsi" w:cs="Calibri Light"/>
          <w:bCs/>
          <w:i/>
          <w:iCs/>
          <w:szCs w:val="22"/>
          <w:lang w:val="sq-AL"/>
        </w:rPr>
        <w:t>Janë mbyllur 30 kontrata për rikonstruksione të ambieneteve në disa spitale dhe poliklinika, qendra shëndetësore, furnizim dhe vendosje pajisjesh spitalore etj me vlerë tot</w:t>
      </w:r>
      <w:r>
        <w:rPr>
          <w:rFonts w:asciiTheme="majorHAnsi" w:hAnsiTheme="majorHAnsi" w:cs="Calibri Light"/>
          <w:bCs/>
          <w:i/>
          <w:iCs/>
          <w:szCs w:val="22"/>
          <w:lang w:val="sq-AL"/>
        </w:rPr>
        <w:t>a</w:t>
      </w:r>
      <w:r w:rsidRPr="002617BE">
        <w:rPr>
          <w:rFonts w:asciiTheme="majorHAnsi" w:hAnsiTheme="majorHAnsi" w:cs="Calibri Light"/>
          <w:bCs/>
          <w:i/>
          <w:iCs/>
          <w:szCs w:val="22"/>
          <w:lang w:val="sq-AL"/>
        </w:rPr>
        <w:t>le projektesh prej 900 milion</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 xml:space="preserve"> lekë.</w:t>
      </w:r>
    </w:p>
    <w:p w:rsidR="00203B24" w:rsidRPr="002617BE" w:rsidRDefault="00203B24" w:rsidP="00203B24">
      <w:pPr>
        <w:numPr>
          <w:ilvl w:val="0"/>
          <w:numId w:val="2"/>
        </w:numPr>
        <w:spacing w:before="0" w:line="240" w:lineRule="auto"/>
        <w:ind w:left="630"/>
        <w:rPr>
          <w:rFonts w:asciiTheme="majorHAnsi" w:hAnsiTheme="majorHAnsi" w:cs="Calibri Light"/>
          <w:bCs/>
          <w:i/>
          <w:iCs/>
          <w:szCs w:val="22"/>
          <w:lang w:val="sq-AL"/>
        </w:rPr>
      </w:pPr>
      <w:r w:rsidRPr="002617BE">
        <w:rPr>
          <w:rFonts w:asciiTheme="majorHAnsi" w:hAnsiTheme="majorHAnsi" w:cs="Calibri Light"/>
          <w:bCs/>
          <w:i/>
          <w:iCs/>
          <w:szCs w:val="22"/>
          <w:lang w:val="sq-AL"/>
        </w:rPr>
        <w:t xml:space="preserve">Janë mbyllur </w:t>
      </w:r>
      <w:r>
        <w:rPr>
          <w:rFonts w:asciiTheme="majorHAnsi" w:hAnsiTheme="majorHAnsi" w:cs="Calibri Light"/>
          <w:bCs/>
          <w:i/>
          <w:iCs/>
          <w:szCs w:val="22"/>
          <w:lang w:val="sq-AL"/>
        </w:rPr>
        <w:t>35</w:t>
      </w:r>
      <w:r w:rsidRPr="002617BE">
        <w:rPr>
          <w:rFonts w:asciiTheme="majorHAnsi" w:hAnsiTheme="majorHAnsi" w:cs="Calibri Light"/>
          <w:bCs/>
          <w:i/>
          <w:iCs/>
          <w:szCs w:val="22"/>
          <w:lang w:val="sq-AL"/>
        </w:rPr>
        <w:t xml:space="preserve"> kontrata investimi për përmirësimin e kanaleve ujitëse në disa zona, ndërtimi i argjinaturave të lumenjve dhe mbrojtja prej tyre, etj  me vlerë totale  rreth 1.8 miliardë lekë.</w:t>
      </w:r>
    </w:p>
    <w:p w:rsidR="00203B24" w:rsidRPr="002617BE" w:rsidRDefault="00203B24" w:rsidP="00203B24">
      <w:pPr>
        <w:numPr>
          <w:ilvl w:val="0"/>
          <w:numId w:val="2"/>
        </w:numPr>
        <w:spacing w:before="0" w:line="240" w:lineRule="auto"/>
        <w:ind w:left="630"/>
        <w:rPr>
          <w:rFonts w:asciiTheme="majorHAnsi" w:hAnsiTheme="majorHAnsi" w:cs="Calibri Light"/>
          <w:bCs/>
          <w:i/>
          <w:iCs/>
          <w:szCs w:val="22"/>
          <w:lang w:val="sq-AL"/>
        </w:rPr>
      </w:pPr>
      <w:r w:rsidRPr="002617BE">
        <w:rPr>
          <w:rFonts w:asciiTheme="majorHAnsi" w:hAnsiTheme="majorHAnsi" w:cs="Calibri Light"/>
          <w:bCs/>
          <w:i/>
          <w:iCs/>
          <w:szCs w:val="22"/>
          <w:lang w:val="sq-AL"/>
        </w:rPr>
        <w:t>Janë mbyllur 15 kontrata investimi për sisteme armatimi, paisje  ushtarake, sisteme kompjuterike etj me vlerë totale rreth 6.3 miliardë lekë.</w:t>
      </w:r>
    </w:p>
    <w:p w:rsidR="00203B24" w:rsidRPr="002617BE" w:rsidRDefault="00203B24" w:rsidP="00203B24">
      <w:pPr>
        <w:numPr>
          <w:ilvl w:val="0"/>
          <w:numId w:val="2"/>
        </w:numPr>
        <w:spacing w:before="0" w:line="240" w:lineRule="auto"/>
        <w:ind w:left="630"/>
        <w:rPr>
          <w:rFonts w:asciiTheme="majorHAnsi" w:hAnsiTheme="majorHAnsi" w:cs="Calibri Light"/>
          <w:bCs/>
          <w:i/>
          <w:iCs/>
          <w:szCs w:val="22"/>
          <w:lang w:val="sq-AL"/>
        </w:rPr>
      </w:pPr>
      <w:r w:rsidRPr="002617BE">
        <w:rPr>
          <w:rFonts w:asciiTheme="majorHAnsi" w:hAnsiTheme="majorHAnsi" w:cs="Calibri Light"/>
          <w:bCs/>
          <w:i/>
          <w:iCs/>
          <w:szCs w:val="22"/>
          <w:lang w:val="sq-AL"/>
        </w:rPr>
        <w:t>Janë mbyllur 15 kontrata për përshtatje mjedisesh pune Drejtoritë vendore të Policisë, janë blerë paisje, etj me vlerë totale projektesh prej 720 milion</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 xml:space="preserve"> lekë.</w:t>
      </w:r>
    </w:p>
    <w:p w:rsidR="00203B24" w:rsidRPr="002617BE" w:rsidRDefault="00203B24" w:rsidP="00203B24">
      <w:pPr>
        <w:numPr>
          <w:ilvl w:val="0"/>
          <w:numId w:val="2"/>
        </w:numPr>
        <w:spacing w:before="0" w:line="240" w:lineRule="auto"/>
        <w:ind w:left="630"/>
        <w:rPr>
          <w:rFonts w:asciiTheme="majorHAnsi" w:hAnsiTheme="majorHAnsi" w:cs="Calibri Light"/>
          <w:bCs/>
          <w:i/>
          <w:iCs/>
          <w:szCs w:val="22"/>
          <w:lang w:val="sq-AL"/>
        </w:rPr>
      </w:pPr>
      <w:r w:rsidRPr="002617BE">
        <w:rPr>
          <w:rFonts w:asciiTheme="majorHAnsi" w:hAnsiTheme="majorHAnsi" w:cs="Calibri Light"/>
          <w:bCs/>
          <w:i/>
          <w:iCs/>
          <w:szCs w:val="22"/>
          <w:lang w:val="sq-AL"/>
        </w:rPr>
        <w:t>Janë mbyllur 30 kontrata të rëndësishme për rikonstruksione/ndërtime shkolla</w:t>
      </w:r>
      <w:r>
        <w:rPr>
          <w:rFonts w:asciiTheme="majorHAnsi" w:hAnsiTheme="majorHAnsi" w:cs="Calibri Light"/>
          <w:bCs/>
          <w:i/>
          <w:iCs/>
          <w:szCs w:val="22"/>
          <w:lang w:val="sq-AL"/>
        </w:rPr>
        <w:t>sh</w:t>
      </w:r>
      <w:r w:rsidRPr="002617BE">
        <w:rPr>
          <w:rFonts w:asciiTheme="majorHAnsi" w:hAnsiTheme="majorHAnsi" w:cs="Calibri Light"/>
          <w:bCs/>
          <w:i/>
          <w:iCs/>
          <w:szCs w:val="22"/>
          <w:lang w:val="sq-AL"/>
        </w:rPr>
        <w:t>, universitete</w:t>
      </w:r>
      <w:r>
        <w:rPr>
          <w:rFonts w:asciiTheme="majorHAnsi" w:hAnsiTheme="majorHAnsi" w:cs="Calibri Light"/>
          <w:bCs/>
          <w:i/>
          <w:iCs/>
          <w:szCs w:val="22"/>
          <w:lang w:val="sq-AL"/>
        </w:rPr>
        <w:t>sh</w:t>
      </w:r>
      <w:r w:rsidRPr="002617BE">
        <w:rPr>
          <w:rFonts w:asciiTheme="majorHAnsi" w:hAnsiTheme="majorHAnsi" w:cs="Calibri Light"/>
          <w:bCs/>
          <w:i/>
          <w:iCs/>
          <w:szCs w:val="22"/>
          <w:lang w:val="sq-AL"/>
        </w:rPr>
        <w:t xml:space="preserve"> dhe ambientesh sportive me vlerë totale projektesh prej 1.3 miliard</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 xml:space="preserve"> lekë.</w:t>
      </w:r>
    </w:p>
    <w:p w:rsidR="00203B24" w:rsidRPr="002617BE" w:rsidRDefault="00203B24" w:rsidP="00203B24">
      <w:pPr>
        <w:numPr>
          <w:ilvl w:val="0"/>
          <w:numId w:val="2"/>
        </w:numPr>
        <w:spacing w:before="0" w:line="240" w:lineRule="auto"/>
        <w:ind w:left="630"/>
        <w:rPr>
          <w:rFonts w:asciiTheme="majorHAnsi" w:hAnsiTheme="majorHAnsi" w:cs="Calibri Light"/>
          <w:bCs/>
          <w:i/>
          <w:iCs/>
          <w:szCs w:val="22"/>
          <w:lang w:val="sq-AL"/>
        </w:rPr>
      </w:pPr>
      <w:r w:rsidRPr="002617BE">
        <w:rPr>
          <w:rFonts w:asciiTheme="majorHAnsi" w:hAnsiTheme="majorHAnsi" w:cs="Calibri Light"/>
          <w:bCs/>
          <w:i/>
          <w:iCs/>
          <w:szCs w:val="22"/>
          <w:lang w:val="sq-AL"/>
        </w:rPr>
        <w:t>Janë mbyllur 15 kontrata kryesore p</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r ngritjen e infrastruktur</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s turistike, me vlerë totale 330 milionë lekë</w:t>
      </w:r>
    </w:p>
    <w:p w:rsidR="00203B24" w:rsidRPr="002617BE" w:rsidRDefault="00203B24" w:rsidP="00203B24">
      <w:pPr>
        <w:pStyle w:val="ListParagraph"/>
        <w:numPr>
          <w:ilvl w:val="0"/>
          <w:numId w:val="2"/>
        </w:numPr>
        <w:spacing w:before="0" w:line="240" w:lineRule="auto"/>
        <w:ind w:left="630"/>
        <w:rPr>
          <w:rFonts w:asciiTheme="majorHAnsi" w:eastAsia="Calibri" w:hAnsiTheme="majorHAnsi" w:cs="Calibri Light"/>
          <w:i/>
          <w:color w:val="000000" w:themeColor="text1"/>
          <w:szCs w:val="22"/>
          <w:lang w:val="sq-AL"/>
        </w:rPr>
      </w:pPr>
      <w:r>
        <w:rPr>
          <w:rFonts w:asciiTheme="majorHAnsi" w:eastAsia="Calibri" w:hAnsiTheme="majorHAnsi" w:cs="Calibri Light"/>
          <w:i/>
          <w:color w:val="000000" w:themeColor="text1"/>
          <w:szCs w:val="22"/>
          <w:lang w:val="sq-AL"/>
        </w:rPr>
        <w:t>Disa k</w:t>
      </w:r>
      <w:r w:rsidRPr="002617BE">
        <w:rPr>
          <w:rFonts w:asciiTheme="majorHAnsi" w:eastAsia="Calibri" w:hAnsiTheme="majorHAnsi" w:cs="Calibri Light"/>
          <w:i/>
          <w:color w:val="000000" w:themeColor="text1"/>
          <w:szCs w:val="22"/>
          <w:lang w:val="sq-AL"/>
        </w:rPr>
        <w:t>ontrata kryesisht p</w:t>
      </w:r>
      <w:r>
        <w:rPr>
          <w:rFonts w:asciiTheme="majorHAnsi" w:eastAsia="Calibri" w:hAnsiTheme="majorHAnsi" w:cs="Calibri Light"/>
          <w:i/>
          <w:color w:val="000000" w:themeColor="text1"/>
          <w:szCs w:val="22"/>
          <w:lang w:val="sq-AL"/>
        </w:rPr>
        <w:t>ë</w:t>
      </w:r>
      <w:r w:rsidRPr="002617BE">
        <w:rPr>
          <w:rFonts w:asciiTheme="majorHAnsi" w:eastAsia="Calibri" w:hAnsiTheme="majorHAnsi" w:cs="Calibri Light"/>
          <w:i/>
          <w:color w:val="000000" w:themeColor="text1"/>
          <w:szCs w:val="22"/>
          <w:lang w:val="sq-AL"/>
        </w:rPr>
        <w:t>r studime p</w:t>
      </w:r>
      <w:r>
        <w:rPr>
          <w:rFonts w:asciiTheme="majorHAnsi" w:eastAsia="Calibri" w:hAnsiTheme="majorHAnsi" w:cs="Calibri Light"/>
          <w:i/>
          <w:color w:val="000000" w:themeColor="text1"/>
          <w:szCs w:val="22"/>
          <w:lang w:val="sq-AL"/>
        </w:rPr>
        <w:t>ë</w:t>
      </w:r>
      <w:r w:rsidRPr="002617BE">
        <w:rPr>
          <w:rFonts w:asciiTheme="majorHAnsi" w:eastAsia="Calibri" w:hAnsiTheme="majorHAnsi" w:cs="Calibri Light"/>
          <w:i/>
          <w:color w:val="000000" w:themeColor="text1"/>
          <w:szCs w:val="22"/>
          <w:lang w:val="sq-AL"/>
        </w:rPr>
        <w:t>r p</w:t>
      </w:r>
      <w:r>
        <w:rPr>
          <w:rFonts w:asciiTheme="majorHAnsi" w:eastAsia="Calibri" w:hAnsiTheme="majorHAnsi" w:cs="Calibri Light"/>
          <w:i/>
          <w:color w:val="000000" w:themeColor="text1"/>
          <w:szCs w:val="22"/>
          <w:lang w:val="sq-AL"/>
        </w:rPr>
        <w:t>ë</w:t>
      </w:r>
      <w:r w:rsidRPr="002617BE">
        <w:rPr>
          <w:rFonts w:asciiTheme="majorHAnsi" w:eastAsia="Calibri" w:hAnsiTheme="majorHAnsi" w:cs="Calibri Light"/>
          <w:i/>
          <w:color w:val="000000" w:themeColor="text1"/>
          <w:szCs w:val="22"/>
          <w:lang w:val="sq-AL"/>
        </w:rPr>
        <w:t>rmir</w:t>
      </w:r>
      <w:r>
        <w:rPr>
          <w:rFonts w:asciiTheme="majorHAnsi" w:eastAsia="Calibri" w:hAnsiTheme="majorHAnsi" w:cs="Calibri Light"/>
          <w:i/>
          <w:color w:val="000000" w:themeColor="text1"/>
          <w:szCs w:val="22"/>
          <w:lang w:val="sq-AL"/>
        </w:rPr>
        <w:t>ë</w:t>
      </w:r>
      <w:r w:rsidRPr="002617BE">
        <w:rPr>
          <w:rFonts w:asciiTheme="majorHAnsi" w:eastAsia="Calibri" w:hAnsiTheme="majorHAnsi" w:cs="Calibri Light"/>
          <w:i/>
          <w:color w:val="000000" w:themeColor="text1"/>
          <w:szCs w:val="22"/>
          <w:lang w:val="sq-AL"/>
        </w:rPr>
        <w:t>simin e eficenc</w:t>
      </w:r>
      <w:r>
        <w:rPr>
          <w:rFonts w:asciiTheme="majorHAnsi" w:eastAsia="Calibri" w:hAnsiTheme="majorHAnsi" w:cs="Calibri Light"/>
          <w:i/>
          <w:color w:val="000000" w:themeColor="text1"/>
          <w:szCs w:val="22"/>
          <w:lang w:val="sq-AL"/>
        </w:rPr>
        <w:t>ë</w:t>
      </w:r>
      <w:r w:rsidRPr="002617BE">
        <w:rPr>
          <w:rFonts w:asciiTheme="majorHAnsi" w:eastAsia="Calibri" w:hAnsiTheme="majorHAnsi" w:cs="Calibri Light"/>
          <w:i/>
          <w:color w:val="000000" w:themeColor="text1"/>
          <w:szCs w:val="22"/>
          <w:lang w:val="sq-AL"/>
        </w:rPr>
        <w:t>s s</w:t>
      </w:r>
      <w:r>
        <w:rPr>
          <w:rFonts w:asciiTheme="majorHAnsi" w:eastAsia="Calibri" w:hAnsiTheme="majorHAnsi" w:cs="Calibri Light"/>
          <w:i/>
          <w:color w:val="000000" w:themeColor="text1"/>
          <w:szCs w:val="22"/>
          <w:lang w:val="sq-AL"/>
        </w:rPr>
        <w:t>ë</w:t>
      </w:r>
      <w:r w:rsidRPr="002617BE">
        <w:rPr>
          <w:rFonts w:asciiTheme="majorHAnsi" w:eastAsia="Calibri" w:hAnsiTheme="majorHAnsi" w:cs="Calibri Light"/>
          <w:i/>
          <w:color w:val="000000" w:themeColor="text1"/>
          <w:szCs w:val="22"/>
          <w:lang w:val="sq-AL"/>
        </w:rPr>
        <w:t xml:space="preserve"> energjis</w:t>
      </w:r>
      <w:r>
        <w:rPr>
          <w:rFonts w:asciiTheme="majorHAnsi" w:eastAsia="Calibri" w:hAnsiTheme="majorHAnsi" w:cs="Calibri Light"/>
          <w:i/>
          <w:color w:val="000000" w:themeColor="text1"/>
          <w:szCs w:val="22"/>
          <w:lang w:val="sq-AL"/>
        </w:rPr>
        <w:t>ë</w:t>
      </w:r>
      <w:r w:rsidRPr="002617BE">
        <w:rPr>
          <w:rFonts w:asciiTheme="majorHAnsi" w:eastAsia="Calibri" w:hAnsiTheme="majorHAnsi" w:cs="Calibri Light"/>
          <w:i/>
          <w:color w:val="000000" w:themeColor="text1"/>
          <w:szCs w:val="22"/>
          <w:lang w:val="sq-AL"/>
        </w:rPr>
        <w:t xml:space="preserve"> me vlerë  rreth 225 milionë lekë.</w:t>
      </w:r>
    </w:p>
    <w:p w:rsidR="00203B24" w:rsidRPr="002617BE" w:rsidRDefault="00203B24" w:rsidP="00203B24">
      <w:pPr>
        <w:numPr>
          <w:ilvl w:val="0"/>
          <w:numId w:val="2"/>
        </w:numPr>
        <w:spacing w:before="0" w:line="240" w:lineRule="auto"/>
        <w:ind w:left="630"/>
        <w:rPr>
          <w:rFonts w:asciiTheme="majorHAnsi" w:hAnsiTheme="majorHAnsi" w:cs="Calibri Light"/>
          <w:bCs/>
          <w:i/>
          <w:iCs/>
          <w:szCs w:val="22"/>
          <w:lang w:val="sq-AL"/>
        </w:rPr>
      </w:pPr>
      <w:r w:rsidRPr="002617BE">
        <w:rPr>
          <w:rFonts w:asciiTheme="majorHAnsi" w:hAnsiTheme="majorHAnsi" w:cs="Calibri Light"/>
          <w:bCs/>
          <w:i/>
          <w:iCs/>
          <w:szCs w:val="22"/>
          <w:lang w:val="sq-AL"/>
        </w:rPr>
        <w:t>Kanë përfunduar 15 kontrata në fushën kulturore  me vlerë totale 100 milionë lekë.</w:t>
      </w:r>
    </w:p>
    <w:p w:rsidR="00203B24" w:rsidRDefault="00203B24"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iCs/>
          <w:szCs w:val="22"/>
          <w:lang w:val="sq-AL"/>
        </w:rPr>
        <w:t>N</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 xml:space="preserve"> fush</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n e strehimit social kan</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 xml:space="preserve"> p</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rfunduar projektet n</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 xml:space="preserve"> bashkit</w:t>
      </w:r>
      <w:r>
        <w:rPr>
          <w:rFonts w:asciiTheme="majorHAnsi" w:hAnsiTheme="majorHAnsi" w:cs="Calibri Light"/>
          <w:bCs/>
          <w:i/>
          <w:iCs/>
          <w:szCs w:val="22"/>
          <w:lang w:val="sq-AL"/>
        </w:rPr>
        <w:t>ë</w:t>
      </w:r>
      <w:r w:rsidRPr="002617BE">
        <w:rPr>
          <w:rFonts w:asciiTheme="majorHAnsi" w:hAnsiTheme="majorHAnsi" w:cs="Calibri Light"/>
          <w:bCs/>
          <w:i/>
          <w:iCs/>
          <w:szCs w:val="22"/>
          <w:lang w:val="sq-AL"/>
        </w:rPr>
        <w:t xml:space="preserve"> </w:t>
      </w:r>
      <w:r w:rsidRPr="002617BE">
        <w:rPr>
          <w:rFonts w:asciiTheme="majorHAnsi" w:hAnsiTheme="majorHAnsi" w:cs="Calibri Light"/>
          <w:bCs/>
          <w:i/>
          <w:szCs w:val="22"/>
          <w:lang w:val="sq-AL" w:eastAsia="en-GB"/>
        </w:rPr>
        <w:t>Berat, Bulqizë Delvinë, Bilisht, Elbasan, Cerrik, Roskovec, Korce, Kucove, Librazhd, Mat, Pogradec, Polican, Vlorë, Vau Dejës, Kamëz, Dimal dhe Maliq në vlerën 303 milionë lekë</w:t>
      </w:r>
      <w:r>
        <w:rPr>
          <w:rFonts w:asciiTheme="majorHAnsi" w:hAnsiTheme="majorHAnsi" w:cs="Calibri Light"/>
          <w:bCs/>
          <w:i/>
          <w:szCs w:val="22"/>
          <w:lang w:val="sq-AL" w:eastAsia="en-GB"/>
        </w:rPr>
        <w:t>.</w:t>
      </w:r>
    </w:p>
    <w:p w:rsidR="000124AC" w:rsidRPr="006D2F9F" w:rsidRDefault="000124AC" w:rsidP="00203B24">
      <w:pPr>
        <w:spacing w:before="0" w:line="240" w:lineRule="auto"/>
        <w:ind w:left="630"/>
        <w:rPr>
          <w:rFonts w:asciiTheme="majorHAnsi" w:hAnsiTheme="majorHAnsi" w:cs="Calibri Light"/>
          <w:bCs/>
          <w:i/>
          <w:iCs/>
          <w:szCs w:val="22"/>
          <w:lang w:val="sq-AL"/>
        </w:rPr>
      </w:pPr>
    </w:p>
    <w:p w:rsidR="00C9116F" w:rsidRDefault="00C9116F" w:rsidP="00FC729E">
      <w:pPr>
        <w:rPr>
          <w:rFonts w:eastAsia="SimSun"/>
          <w:lang w:val="sq-AL"/>
        </w:rPr>
      </w:pPr>
    </w:p>
    <w:p w:rsidR="00392522" w:rsidRDefault="00392522" w:rsidP="00FC729E">
      <w:pPr>
        <w:rPr>
          <w:rFonts w:eastAsia="SimSun"/>
          <w:lang w:val="sq-AL"/>
        </w:rPr>
      </w:pPr>
    </w:p>
    <w:p w:rsidR="00392522" w:rsidRPr="00476D2E" w:rsidRDefault="00392522" w:rsidP="00FC729E">
      <w:pPr>
        <w:rPr>
          <w:rFonts w:eastAsia="SimSun"/>
          <w:lang w:val="sq-AL"/>
        </w:rPr>
      </w:pPr>
    </w:p>
    <w:p w:rsidR="00AC045F" w:rsidRPr="00830E13" w:rsidRDefault="006E4EB6" w:rsidP="00FC729E">
      <w:pPr>
        <w:pStyle w:val="Fiskale2"/>
        <w:rPr>
          <w:rFonts w:ascii="Calibri" w:hAnsi="Calibri" w:cs="Calibri"/>
        </w:rPr>
      </w:pPr>
      <w:bookmarkStart w:id="134" w:name="_Toc74679447"/>
      <w:bookmarkStart w:id="135" w:name="_Toc74725219"/>
      <w:bookmarkStart w:id="136" w:name="_Toc74725280"/>
      <w:bookmarkStart w:id="137" w:name="_Toc74679448"/>
      <w:bookmarkStart w:id="138" w:name="_Toc74725220"/>
      <w:bookmarkStart w:id="139" w:name="_Toc74725281"/>
      <w:bookmarkStart w:id="140" w:name="_Toc10033279"/>
      <w:bookmarkStart w:id="141" w:name="_Toc10721416"/>
      <w:bookmarkStart w:id="142" w:name="_Toc104980334"/>
      <w:bookmarkStart w:id="143" w:name="_Hlk135818971"/>
      <w:bookmarkEnd w:id="122"/>
      <w:bookmarkEnd w:id="134"/>
      <w:bookmarkEnd w:id="135"/>
      <w:bookmarkEnd w:id="136"/>
      <w:bookmarkEnd w:id="137"/>
      <w:bookmarkEnd w:id="138"/>
      <w:bookmarkEnd w:id="139"/>
      <w:r w:rsidRPr="00830E13">
        <w:rPr>
          <w:rFonts w:ascii="Calibri" w:hAnsi="Calibri" w:cs="Calibri"/>
        </w:rPr>
        <w:lastRenderedPageBreak/>
        <w:t>Shp</w:t>
      </w:r>
      <w:r w:rsidR="005C6E2E" w:rsidRPr="00830E13">
        <w:rPr>
          <w:rFonts w:ascii="Calibri" w:hAnsi="Calibri" w:cs="Calibri"/>
        </w:rPr>
        <w:t>e</w:t>
      </w:r>
      <w:r w:rsidRPr="00830E13">
        <w:rPr>
          <w:rFonts w:ascii="Calibri" w:hAnsi="Calibri" w:cs="Calibri"/>
        </w:rPr>
        <w:t>nzimet sipas natyr</w:t>
      </w:r>
      <w:r w:rsidR="00C33B16" w:rsidRPr="00830E13">
        <w:rPr>
          <w:rFonts w:ascii="Calibri" w:hAnsi="Calibri" w:cs="Calibri"/>
        </w:rPr>
        <w:t>ë</w:t>
      </w:r>
      <w:r w:rsidRPr="00830E13">
        <w:rPr>
          <w:rFonts w:ascii="Calibri" w:hAnsi="Calibri" w:cs="Calibri"/>
        </w:rPr>
        <w:t>s funksionale</w:t>
      </w:r>
      <w:bookmarkEnd w:id="140"/>
      <w:bookmarkEnd w:id="141"/>
      <w:bookmarkEnd w:id="142"/>
      <w:r w:rsidR="00A11F89" w:rsidRPr="00830E13">
        <w:rPr>
          <w:rFonts w:ascii="Calibri" w:hAnsi="Calibri" w:cs="Calibri"/>
        </w:rPr>
        <w:t xml:space="preserve"> </w:t>
      </w:r>
    </w:p>
    <w:bookmarkEnd w:id="143"/>
    <w:p w:rsidR="00830E13" w:rsidRPr="00476D2E" w:rsidRDefault="00830E13" w:rsidP="004116F3">
      <w:pPr>
        <w:spacing w:line="240" w:lineRule="auto"/>
        <w:rPr>
          <w:rFonts w:eastAsia="SimSun"/>
          <w:lang w:val="sq-AL"/>
        </w:rPr>
      </w:pPr>
      <w:r w:rsidRPr="00D556AA">
        <w:rPr>
          <w:rFonts w:eastAsia="SimSun"/>
          <w:lang w:val="sq-AL"/>
        </w:rPr>
        <w:t xml:space="preserve">Sektori me peshën më të lartë në shpenzimet buxhetore është </w:t>
      </w:r>
      <w:r w:rsidR="00D10121">
        <w:rPr>
          <w:rFonts w:eastAsia="SimSun"/>
          <w:lang w:val="sq-AL"/>
        </w:rPr>
        <w:t>‘M</w:t>
      </w:r>
      <w:r w:rsidRPr="00D556AA">
        <w:rPr>
          <w:rFonts w:eastAsia="SimSun"/>
          <w:lang w:val="sq-AL"/>
        </w:rPr>
        <w:t>brojtja sociale</w:t>
      </w:r>
      <w:r w:rsidR="00D10121">
        <w:rPr>
          <w:rFonts w:eastAsia="SimSun"/>
          <w:lang w:val="sq-AL"/>
        </w:rPr>
        <w:t>’</w:t>
      </w:r>
      <w:r w:rsidRPr="00D556AA">
        <w:rPr>
          <w:rFonts w:eastAsia="SimSun"/>
          <w:lang w:val="sq-AL"/>
        </w:rPr>
        <w:t>, me 30 përqind të shpenzimeve të përgjithshme publike në vitin 202</w:t>
      </w:r>
      <w:r>
        <w:rPr>
          <w:rFonts w:eastAsia="SimSun"/>
          <w:lang w:val="sq-AL"/>
        </w:rPr>
        <w:t>2</w:t>
      </w:r>
      <w:r w:rsidRPr="00D556AA">
        <w:rPr>
          <w:rFonts w:eastAsia="SimSun"/>
          <w:lang w:val="sq-AL"/>
        </w:rPr>
        <w:t xml:space="preserve">, e dominuar nga shpenzimet për fondin e pensioneve si edhe programet në mbështetje të familjeve dhe individëve në nevojë (ndihma ekonomike dhe aftësia e kufizuar). </w:t>
      </w:r>
      <w:r w:rsidR="00D10121">
        <w:rPr>
          <w:rFonts w:eastAsia="SimSun"/>
          <w:lang w:val="sq-AL"/>
        </w:rPr>
        <w:t>Nd</w:t>
      </w:r>
      <w:r w:rsidR="00D65C9E">
        <w:rPr>
          <w:rFonts w:eastAsia="SimSun"/>
          <w:lang w:val="sq-AL"/>
        </w:rPr>
        <w:t>ë</w:t>
      </w:r>
      <w:r w:rsidR="00D10121">
        <w:rPr>
          <w:rFonts w:eastAsia="SimSun"/>
          <w:lang w:val="sq-AL"/>
        </w:rPr>
        <w:t>rkoh</w:t>
      </w:r>
      <w:r w:rsidR="00D65C9E">
        <w:rPr>
          <w:rFonts w:eastAsia="SimSun"/>
          <w:lang w:val="sq-AL"/>
        </w:rPr>
        <w:t>ë</w:t>
      </w:r>
      <w:r w:rsidR="00D10121">
        <w:rPr>
          <w:rFonts w:eastAsia="SimSun"/>
          <w:lang w:val="sq-AL"/>
        </w:rPr>
        <w:t xml:space="preserve">, </w:t>
      </w:r>
      <w:r w:rsidRPr="00D556AA">
        <w:rPr>
          <w:rFonts w:eastAsia="SimSun"/>
          <w:lang w:val="sq-AL"/>
        </w:rPr>
        <w:t xml:space="preserve">Shëndetësia dhe </w:t>
      </w:r>
      <w:r>
        <w:rPr>
          <w:rFonts w:eastAsia="SimSun"/>
          <w:lang w:val="sq-AL"/>
        </w:rPr>
        <w:t>Arsimi</w:t>
      </w:r>
      <w:r w:rsidRPr="00D556AA">
        <w:rPr>
          <w:rFonts w:eastAsia="SimSun"/>
          <w:lang w:val="sq-AL"/>
        </w:rPr>
        <w:t xml:space="preserve"> përbëjnë 1</w:t>
      </w:r>
      <w:r>
        <w:rPr>
          <w:rFonts w:eastAsia="SimSun"/>
          <w:lang w:val="sq-AL"/>
        </w:rPr>
        <w:t xml:space="preserve">0 </w:t>
      </w:r>
      <w:r w:rsidRPr="00D556AA">
        <w:rPr>
          <w:rFonts w:eastAsia="SimSun"/>
          <w:lang w:val="sq-AL"/>
        </w:rPr>
        <w:t>përqind të shpenzimeve të përgjithshme publike në vitin 202</w:t>
      </w:r>
      <w:r>
        <w:rPr>
          <w:rFonts w:eastAsia="SimSun"/>
          <w:lang w:val="sq-AL"/>
        </w:rPr>
        <w:t>2</w:t>
      </w:r>
      <w:r w:rsidR="00D10121">
        <w:rPr>
          <w:rFonts w:eastAsia="SimSun"/>
          <w:lang w:val="sq-AL"/>
        </w:rPr>
        <w:t xml:space="preserve">; </w:t>
      </w:r>
      <w:r w:rsidRPr="00D556AA">
        <w:rPr>
          <w:rFonts w:eastAsia="SimSun"/>
          <w:lang w:val="sq-AL"/>
        </w:rPr>
        <w:t xml:space="preserve">Çështjet </w:t>
      </w:r>
      <w:r w:rsidR="00D10121">
        <w:rPr>
          <w:rFonts w:eastAsia="SimSun"/>
          <w:lang w:val="sq-AL"/>
        </w:rPr>
        <w:t>E</w:t>
      </w:r>
      <w:r w:rsidRPr="00D556AA">
        <w:rPr>
          <w:rFonts w:eastAsia="SimSun"/>
          <w:lang w:val="sq-AL"/>
        </w:rPr>
        <w:t xml:space="preserve">konomike dhe </w:t>
      </w:r>
      <w:r>
        <w:rPr>
          <w:rFonts w:eastAsia="SimSun"/>
          <w:lang w:val="sq-AL"/>
        </w:rPr>
        <w:t>Strehimi</w:t>
      </w:r>
      <w:r w:rsidRPr="00D556AA">
        <w:rPr>
          <w:rFonts w:eastAsia="SimSun"/>
          <w:lang w:val="sq-AL"/>
        </w:rPr>
        <w:t xml:space="preserve"> përbëjnë përkatësishit 1</w:t>
      </w:r>
      <w:r>
        <w:rPr>
          <w:rFonts w:eastAsia="SimSun"/>
          <w:lang w:val="sq-AL"/>
        </w:rPr>
        <w:t>6</w:t>
      </w:r>
      <w:r w:rsidRPr="00D556AA">
        <w:rPr>
          <w:rFonts w:eastAsia="SimSun"/>
          <w:lang w:val="sq-AL"/>
        </w:rPr>
        <w:t xml:space="preserve"> dhe </w:t>
      </w:r>
      <w:r>
        <w:rPr>
          <w:rFonts w:eastAsia="SimSun"/>
          <w:lang w:val="sq-AL"/>
        </w:rPr>
        <w:t>9</w:t>
      </w:r>
      <w:r w:rsidRPr="00D556AA">
        <w:rPr>
          <w:rFonts w:eastAsia="SimSun"/>
          <w:lang w:val="sq-AL"/>
        </w:rPr>
        <w:t xml:space="preserve"> përqind</w:t>
      </w:r>
      <w:r w:rsidR="00D10121">
        <w:rPr>
          <w:rFonts w:eastAsia="SimSun"/>
          <w:lang w:val="sq-AL"/>
        </w:rPr>
        <w:t>; S</w:t>
      </w:r>
      <w:r w:rsidRPr="00D556AA">
        <w:rPr>
          <w:rFonts w:eastAsia="SimSun"/>
          <w:lang w:val="sq-AL"/>
        </w:rPr>
        <w:t>hpenzimet e përgjithshme publike</w:t>
      </w:r>
      <w:r w:rsidR="00D10121">
        <w:rPr>
          <w:rFonts w:eastAsia="SimSun"/>
          <w:lang w:val="sq-AL"/>
        </w:rPr>
        <w:t>,</w:t>
      </w:r>
      <w:r w:rsidRPr="00D556AA">
        <w:rPr>
          <w:rFonts w:eastAsia="SimSun"/>
          <w:lang w:val="sq-AL"/>
        </w:rPr>
        <w:t xml:space="preserve"> </w:t>
      </w:r>
      <w:r w:rsidR="00D10121" w:rsidRPr="00D556AA">
        <w:rPr>
          <w:rFonts w:eastAsia="SimSun"/>
          <w:lang w:val="sq-AL"/>
        </w:rPr>
        <w:t>përfshirë edhe pagesat e borxhit</w:t>
      </w:r>
      <w:r w:rsidR="00D10121">
        <w:rPr>
          <w:rFonts w:eastAsia="SimSun"/>
          <w:lang w:val="sq-AL"/>
        </w:rPr>
        <w:t>,</w:t>
      </w:r>
      <w:r w:rsidR="00D10121" w:rsidRPr="00D556AA">
        <w:rPr>
          <w:rFonts w:eastAsia="SimSun"/>
          <w:lang w:val="sq-AL"/>
        </w:rPr>
        <w:t xml:space="preserve"> </w:t>
      </w:r>
      <w:r w:rsidRPr="00D556AA">
        <w:rPr>
          <w:rFonts w:eastAsia="SimSun"/>
          <w:lang w:val="sq-AL"/>
        </w:rPr>
        <w:t>përbëjnë 1</w:t>
      </w:r>
      <w:r>
        <w:rPr>
          <w:rFonts w:eastAsia="SimSun"/>
          <w:lang w:val="sq-AL"/>
        </w:rPr>
        <w:t>4</w:t>
      </w:r>
      <w:r w:rsidR="00D10121" w:rsidRPr="00D10121">
        <w:rPr>
          <w:rFonts w:eastAsia="SimSun"/>
          <w:lang w:val="sq-AL"/>
        </w:rPr>
        <w:t xml:space="preserve"> </w:t>
      </w:r>
      <w:r w:rsidR="00D10121" w:rsidRPr="00D556AA">
        <w:rPr>
          <w:rFonts w:eastAsia="SimSun"/>
          <w:lang w:val="sq-AL"/>
        </w:rPr>
        <w:t>përqind</w:t>
      </w:r>
      <w:r w:rsidR="00D10121" w:rsidRPr="00D10121">
        <w:rPr>
          <w:rFonts w:eastAsia="SimSun"/>
          <w:lang w:val="sq-AL"/>
        </w:rPr>
        <w:t xml:space="preserve"> </w:t>
      </w:r>
      <w:r w:rsidR="00D10121" w:rsidRPr="00D556AA">
        <w:rPr>
          <w:rFonts w:eastAsia="SimSun"/>
          <w:lang w:val="sq-AL"/>
        </w:rPr>
        <w:t>të shpenzimeve të përgjithshme publike në vitin 202</w:t>
      </w:r>
      <w:r w:rsidR="00D10121">
        <w:rPr>
          <w:rFonts w:eastAsia="SimSun"/>
          <w:lang w:val="sq-AL"/>
        </w:rPr>
        <w:t>2</w:t>
      </w:r>
      <w:r w:rsidRPr="00476D2E">
        <w:rPr>
          <w:rFonts w:eastAsia="SimSun"/>
          <w:lang w:val="sq-AL"/>
        </w:rPr>
        <w:t xml:space="preserve">. </w:t>
      </w:r>
    </w:p>
    <w:p w:rsidR="00830E13" w:rsidRPr="00D10121" w:rsidRDefault="00830E13" w:rsidP="00830E13">
      <w:pPr>
        <w:pStyle w:val="Caption"/>
        <w:keepNext/>
        <w:spacing w:after="0"/>
        <w:jc w:val="left"/>
        <w:rPr>
          <w:rFonts w:eastAsia="SimSun"/>
          <w:iCs w:val="0"/>
          <w:color w:val="17406D"/>
          <w:lang w:val="sq-AL"/>
        </w:rPr>
      </w:pPr>
      <w:bookmarkStart w:id="144" w:name="_Toc136526336"/>
      <w:r w:rsidRPr="00D10121">
        <w:t xml:space="preserve">Tabela </w:t>
      </w:r>
      <w:fldSimple w:instr=" SEQ Tabela \* ARABIC ">
        <w:r w:rsidR="008C3E07">
          <w:rPr>
            <w:noProof/>
          </w:rPr>
          <w:t>10</w:t>
        </w:r>
      </w:fldSimple>
      <w:r w:rsidRPr="00D10121">
        <w:rPr>
          <w:rFonts w:eastAsia="SimSun"/>
          <w:iCs w:val="0"/>
          <w:color w:val="17406D"/>
          <w:lang w:val="sq-AL"/>
        </w:rPr>
        <w:t xml:space="preserve"> Shpenzimet sipas funksionit (në milionë lekë)</w:t>
      </w:r>
      <w:bookmarkEnd w:id="144"/>
    </w:p>
    <w:p w:rsidR="00830E13" w:rsidRPr="00F953D4" w:rsidRDefault="00830E13" w:rsidP="00830E13">
      <w:pPr>
        <w:jc w:val="center"/>
        <w:rPr>
          <w:lang w:val="sq-AL"/>
        </w:rPr>
      </w:pPr>
      <w:r w:rsidRPr="004C434A">
        <w:rPr>
          <w:noProof/>
        </w:rPr>
        <w:drawing>
          <wp:inline distT="0" distB="0" distL="0" distR="0" wp14:anchorId="09C99D93" wp14:editId="16AED438">
            <wp:extent cx="6628196" cy="3341076"/>
            <wp:effectExtent l="0" t="0" r="127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8893" cy="3356550"/>
                    </a:xfrm>
                    <a:prstGeom prst="rect">
                      <a:avLst/>
                    </a:prstGeom>
                    <a:noFill/>
                    <a:ln>
                      <a:noFill/>
                    </a:ln>
                  </pic:spPr>
                </pic:pic>
              </a:graphicData>
            </a:graphic>
          </wp:inline>
        </w:drawing>
      </w:r>
    </w:p>
    <w:p w:rsidR="00830E13" w:rsidRPr="002A593E" w:rsidRDefault="00830E13" w:rsidP="00830E13">
      <w:pPr>
        <w:spacing w:before="0" w:line="240" w:lineRule="auto"/>
        <w:rPr>
          <w:i/>
          <w:sz w:val="16"/>
          <w:szCs w:val="20"/>
          <w:lang w:val="sq-AL"/>
        </w:rPr>
      </w:pPr>
      <w:r w:rsidRPr="002A593E">
        <w:rPr>
          <w:i/>
          <w:sz w:val="16"/>
          <w:szCs w:val="20"/>
          <w:lang w:val="sq-AL"/>
        </w:rPr>
        <w:t xml:space="preserve">* Ne zerin "Shpenzime te tjera te paklasifikuara" (Totali) jane perfshire: (i) </w:t>
      </w:r>
      <w:r w:rsidRPr="002A593E">
        <w:rPr>
          <w:rFonts w:eastAsia="SimSun"/>
          <w:i/>
          <w:sz w:val="16"/>
          <w:szCs w:val="20"/>
          <w:lang w:val="sq-AL"/>
        </w:rPr>
        <w:t>pagesat</w:t>
      </w:r>
      <w:r w:rsidRPr="002A593E">
        <w:rPr>
          <w:i/>
          <w:sz w:val="16"/>
          <w:szCs w:val="20"/>
          <w:lang w:val="sq-AL"/>
        </w:rPr>
        <w:t xml:space="preserve"> per sherbimin e borxhit, (ii) kontigjenca per politika pagash dhe pensionesh, (iii) fondi rezerve,  (iv) shpenzimet e pushtetit vendor</w:t>
      </w:r>
      <w:r w:rsidRPr="002A593E">
        <w:rPr>
          <w:sz w:val="20"/>
          <w:lang w:val="sq-AL"/>
        </w:rPr>
        <w:t xml:space="preserve"> </w:t>
      </w:r>
      <w:r w:rsidRPr="002A593E">
        <w:rPr>
          <w:i/>
          <w:sz w:val="16"/>
          <w:szCs w:val="20"/>
          <w:lang w:val="sq-AL"/>
        </w:rPr>
        <w:t>dhe (v) fondi i rindertimit</w:t>
      </w:r>
    </w:p>
    <w:p w:rsidR="00830E13" w:rsidRPr="002A593E" w:rsidRDefault="00830E13" w:rsidP="00830E13">
      <w:pPr>
        <w:spacing w:before="0" w:line="240" w:lineRule="auto"/>
        <w:rPr>
          <w:i/>
          <w:sz w:val="14"/>
          <w:szCs w:val="20"/>
          <w:lang w:val="sq-AL"/>
        </w:rPr>
      </w:pPr>
      <w:r w:rsidRPr="002A593E">
        <w:rPr>
          <w:i/>
          <w:sz w:val="16"/>
          <w:szCs w:val="20"/>
          <w:lang w:val="sq-AL"/>
        </w:rPr>
        <w:t>** Vlerësim i përafërt, korrigjuar për interesat, shpenzimet e buxhetit vendor, fondi rezervë</w:t>
      </w:r>
      <w:r>
        <w:rPr>
          <w:i/>
          <w:sz w:val="16"/>
          <w:szCs w:val="20"/>
          <w:lang w:val="sq-AL"/>
        </w:rPr>
        <w:t>, kontigjenca</w:t>
      </w:r>
      <w:r w:rsidRPr="002A593E">
        <w:rPr>
          <w:i/>
          <w:sz w:val="16"/>
          <w:szCs w:val="20"/>
          <w:lang w:val="sq-AL"/>
        </w:rPr>
        <w:t>, fondi i rindërtimit dhe kontigjenca per</w:t>
      </w:r>
      <w:r>
        <w:rPr>
          <w:i/>
          <w:sz w:val="16"/>
          <w:szCs w:val="20"/>
          <w:lang w:val="sq-AL"/>
        </w:rPr>
        <w:t xml:space="preserve"> politika pagash dhe pensionesh, hua e dhënë dhe mbështetje buxhetoore për sektorin energjitik.</w:t>
      </w:r>
    </w:p>
    <w:p w:rsidR="00392522" w:rsidRPr="00392522" w:rsidRDefault="00392522" w:rsidP="004116F3">
      <w:pPr>
        <w:spacing w:line="240" w:lineRule="auto"/>
        <w:rPr>
          <w:rFonts w:eastAsia="SimSun"/>
          <w:sz w:val="12"/>
          <w:lang w:val="sq-AL"/>
        </w:rPr>
      </w:pPr>
    </w:p>
    <w:p w:rsidR="00830E13" w:rsidRDefault="00830E13" w:rsidP="004116F3">
      <w:pPr>
        <w:spacing w:line="240" w:lineRule="auto"/>
        <w:rPr>
          <w:rFonts w:eastAsia="SimSun"/>
          <w:lang w:val="sq-AL"/>
        </w:rPr>
      </w:pPr>
      <w:r>
        <w:rPr>
          <w:rFonts w:eastAsia="SimSun"/>
          <w:lang w:val="sq-AL"/>
        </w:rPr>
        <w:t>Plani fillestar i vitit 2022</w:t>
      </w:r>
      <w:r w:rsidRPr="00D556AA">
        <w:rPr>
          <w:rFonts w:eastAsia="SimSun"/>
          <w:lang w:val="sq-AL"/>
        </w:rPr>
        <w:t xml:space="preserve"> kishte parashikuar po këto nivele, pak a shumë të ngjashme, të peshave relative të shpenzimeve sipas klasifikimit funksional, kundrejt një viti më parë. Në shmangien e vërejtur kundrejt rezultatit faktik 202</w:t>
      </w:r>
      <w:r>
        <w:rPr>
          <w:rFonts w:eastAsia="SimSun"/>
          <w:lang w:val="sq-AL"/>
        </w:rPr>
        <w:t>2</w:t>
      </w:r>
      <w:r w:rsidRPr="00D556AA">
        <w:rPr>
          <w:rFonts w:eastAsia="SimSun"/>
          <w:lang w:val="sq-AL"/>
        </w:rPr>
        <w:t>, ka ndikuar shpërn</w:t>
      </w:r>
      <w:r>
        <w:rPr>
          <w:rFonts w:eastAsia="SimSun"/>
          <w:lang w:val="sq-AL"/>
        </w:rPr>
        <w:t>darja gjatë vitit 2022</w:t>
      </w:r>
      <w:r w:rsidRPr="00D556AA">
        <w:rPr>
          <w:rFonts w:eastAsia="SimSun"/>
          <w:lang w:val="sq-AL"/>
        </w:rPr>
        <w:t xml:space="preserve"> e atyre shpenzime të paklasifikuara, të lidhura respektivisht me shërbimin e borxhit</w:t>
      </w:r>
      <w:r>
        <w:rPr>
          <w:rFonts w:eastAsia="SimSun"/>
          <w:lang w:val="sq-AL"/>
        </w:rPr>
        <w:t xml:space="preserve">, shpenzimet e pushtetit vendor, fondin rezervë, </w:t>
      </w:r>
      <w:r w:rsidRPr="00D556AA">
        <w:rPr>
          <w:rFonts w:eastAsia="SimSun"/>
          <w:lang w:val="sq-AL"/>
        </w:rPr>
        <w:t>fondin e rindërtimit</w:t>
      </w:r>
      <w:r>
        <w:rPr>
          <w:rFonts w:eastAsia="SimSun"/>
          <w:lang w:val="sq-AL"/>
        </w:rPr>
        <w:t xml:space="preserve"> dhe mbështetjen buxhetore </w:t>
      </w:r>
      <w:r w:rsidR="00D10121">
        <w:rPr>
          <w:rFonts w:eastAsia="SimSun"/>
          <w:lang w:val="sq-AL"/>
        </w:rPr>
        <w:t>t</w:t>
      </w:r>
      <w:r w:rsidR="00D65C9E">
        <w:rPr>
          <w:rFonts w:eastAsia="SimSun"/>
          <w:lang w:val="sq-AL"/>
        </w:rPr>
        <w:t>ë</w:t>
      </w:r>
      <w:r w:rsidR="00D10121">
        <w:rPr>
          <w:rFonts w:eastAsia="SimSun"/>
          <w:lang w:val="sq-AL"/>
        </w:rPr>
        <w:t xml:space="preserve"> </w:t>
      </w:r>
      <w:r>
        <w:rPr>
          <w:rFonts w:eastAsia="SimSun"/>
          <w:lang w:val="sq-AL"/>
        </w:rPr>
        <w:t>dh</w:t>
      </w:r>
      <w:r w:rsidR="00D65C9E">
        <w:rPr>
          <w:rFonts w:eastAsia="SimSun"/>
          <w:lang w:val="sq-AL"/>
        </w:rPr>
        <w:t>ë</w:t>
      </w:r>
      <w:r>
        <w:rPr>
          <w:rFonts w:eastAsia="SimSun"/>
          <w:lang w:val="sq-AL"/>
        </w:rPr>
        <w:t>në për sektorin energjitik</w:t>
      </w:r>
      <w:r w:rsidRPr="00D556AA">
        <w:rPr>
          <w:rFonts w:eastAsia="SimSun"/>
          <w:lang w:val="sq-AL"/>
        </w:rPr>
        <w:t xml:space="preserve">. </w:t>
      </w:r>
      <w:r>
        <w:rPr>
          <w:rFonts w:eastAsia="SimSun"/>
          <w:lang w:val="sq-AL"/>
        </w:rPr>
        <w:t>N</w:t>
      </w:r>
      <w:r w:rsidRPr="00D556AA">
        <w:rPr>
          <w:rFonts w:eastAsia="SimSun"/>
          <w:lang w:val="sq-AL"/>
        </w:rPr>
        <w:t xml:space="preserve">jë vend të konsiderueshëm zënë edhe rishpërndarjet dhe alokimet e fondeve në kuadër të financimit të </w:t>
      </w:r>
      <w:r w:rsidRPr="00F953D4">
        <w:rPr>
          <w:rFonts w:eastAsia="SimSun"/>
          <w:lang w:val="sq-AL"/>
        </w:rPr>
        <w:t xml:space="preserve">masave </w:t>
      </w:r>
      <w:r w:rsidRPr="00F953D4">
        <w:rPr>
          <w:rFonts w:cs="Calibri"/>
          <w:color w:val="000000"/>
          <w:lang w:val="sq-AL"/>
        </w:rPr>
        <w:t>të ndërmarra me qëllim zbutjen e impaktit nga rritja e çmimeve dhe pasojav</w:t>
      </w:r>
      <w:r w:rsidR="00D10121">
        <w:rPr>
          <w:rFonts w:cs="Calibri"/>
          <w:color w:val="000000"/>
          <w:lang w:val="sq-AL"/>
        </w:rPr>
        <w:t>e</w:t>
      </w:r>
      <w:r w:rsidRPr="00F953D4">
        <w:rPr>
          <w:rFonts w:cs="Calibri"/>
          <w:color w:val="000000"/>
          <w:lang w:val="sq-AL"/>
        </w:rPr>
        <w:t xml:space="preserve"> që solli lufta Ukrainë-Rusi</w:t>
      </w:r>
      <w:r w:rsidRPr="00F953D4">
        <w:rPr>
          <w:rFonts w:eastAsia="SimSun"/>
          <w:lang w:val="sq-AL"/>
        </w:rPr>
        <w:t>,</w:t>
      </w:r>
      <w:r w:rsidRPr="00D556AA">
        <w:rPr>
          <w:rFonts w:eastAsia="SimSun"/>
          <w:lang w:val="sq-AL"/>
        </w:rPr>
        <w:t xml:space="preserve"> të cilat kanë qenë në fokus </w:t>
      </w:r>
      <w:r>
        <w:rPr>
          <w:rFonts w:eastAsia="SimSun"/>
          <w:lang w:val="sq-AL"/>
        </w:rPr>
        <w:t>përgjatë katër akteve normative të miratuara për vitin 2022</w:t>
      </w:r>
      <w:r w:rsidRPr="00D556AA">
        <w:rPr>
          <w:rFonts w:eastAsia="SimSun"/>
          <w:lang w:val="sq-AL"/>
        </w:rPr>
        <w:t xml:space="preserve">. Në çdo rast, rezultati faktik i korrigjuar tregon nivele </w:t>
      </w:r>
      <w:r w:rsidR="00D10121">
        <w:rPr>
          <w:rFonts w:eastAsia="SimSun"/>
          <w:lang w:val="sq-AL"/>
        </w:rPr>
        <w:t>të k</w:t>
      </w:r>
      <w:r w:rsidR="00D65C9E">
        <w:rPr>
          <w:rFonts w:eastAsia="SimSun"/>
          <w:lang w:val="sq-AL"/>
        </w:rPr>
        <w:t>ë</w:t>
      </w:r>
      <w:r w:rsidR="00D10121">
        <w:rPr>
          <w:rFonts w:eastAsia="SimSun"/>
          <w:lang w:val="sq-AL"/>
        </w:rPr>
        <w:t>naqshme</w:t>
      </w:r>
      <w:r w:rsidRPr="00D556AA">
        <w:rPr>
          <w:rFonts w:eastAsia="SimSun"/>
          <w:lang w:val="sq-AL"/>
        </w:rPr>
        <w:t xml:space="preserve"> të realizimit të planit sipas funksioneve për vitin 202</w:t>
      </w:r>
      <w:r>
        <w:rPr>
          <w:rFonts w:eastAsia="SimSun"/>
          <w:lang w:val="sq-AL"/>
        </w:rPr>
        <w:t>2</w:t>
      </w:r>
      <w:r w:rsidRPr="00476D2E">
        <w:rPr>
          <w:rFonts w:eastAsia="SimSun"/>
          <w:lang w:val="sq-AL"/>
        </w:rPr>
        <w:t xml:space="preserve">. </w:t>
      </w:r>
    </w:p>
    <w:p w:rsidR="00392522" w:rsidRDefault="00392522" w:rsidP="004116F3">
      <w:pPr>
        <w:spacing w:line="240" w:lineRule="auto"/>
        <w:rPr>
          <w:rFonts w:eastAsia="SimSun"/>
          <w:lang w:val="sq-AL"/>
        </w:rPr>
      </w:pPr>
    </w:p>
    <w:p w:rsidR="00392522" w:rsidRDefault="00392522" w:rsidP="004116F3">
      <w:pPr>
        <w:spacing w:line="240" w:lineRule="auto"/>
        <w:rPr>
          <w:rFonts w:eastAsia="SimSun"/>
          <w:lang w:val="sq-AL"/>
        </w:rPr>
      </w:pPr>
    </w:p>
    <w:p w:rsidR="00392522" w:rsidRDefault="00392522" w:rsidP="004116F3">
      <w:pPr>
        <w:spacing w:line="240" w:lineRule="auto"/>
        <w:rPr>
          <w:rFonts w:eastAsia="SimSun"/>
          <w:lang w:val="sq-AL"/>
        </w:rPr>
      </w:pPr>
    </w:p>
    <w:p w:rsidR="00392522" w:rsidRDefault="00392522" w:rsidP="004116F3">
      <w:pPr>
        <w:spacing w:line="240" w:lineRule="auto"/>
        <w:rPr>
          <w:rFonts w:eastAsia="SimSun"/>
          <w:lang w:val="sq-AL"/>
        </w:rPr>
      </w:pPr>
    </w:p>
    <w:p w:rsidR="006D089B" w:rsidRPr="001C3070" w:rsidRDefault="006D089B" w:rsidP="00FC729E">
      <w:pPr>
        <w:pStyle w:val="Fiskale2"/>
        <w:rPr>
          <w:rFonts w:ascii="Calibri" w:hAnsi="Calibri" w:cs="Calibri"/>
        </w:rPr>
      </w:pPr>
      <w:bookmarkStart w:id="145" w:name="_Toc74679450"/>
      <w:bookmarkStart w:id="146" w:name="_Toc74725222"/>
      <w:bookmarkStart w:id="147" w:name="_Toc74725283"/>
      <w:bookmarkStart w:id="148" w:name="_Toc74679451"/>
      <w:bookmarkStart w:id="149" w:name="_Toc74725223"/>
      <w:bookmarkStart w:id="150" w:name="_Toc74725284"/>
      <w:bookmarkStart w:id="151" w:name="_Toc104980335"/>
      <w:bookmarkStart w:id="152" w:name="_Toc10033293"/>
      <w:bookmarkStart w:id="153" w:name="_Ref10193976"/>
      <w:bookmarkStart w:id="154" w:name="_Toc10721430"/>
      <w:bookmarkStart w:id="155" w:name="_Toc10033280"/>
      <w:bookmarkStart w:id="156" w:name="_Toc10721417"/>
      <w:bookmarkEnd w:id="145"/>
      <w:bookmarkEnd w:id="146"/>
      <w:bookmarkEnd w:id="147"/>
      <w:bookmarkEnd w:id="148"/>
      <w:bookmarkEnd w:id="149"/>
      <w:bookmarkEnd w:id="150"/>
      <w:r w:rsidRPr="001C3070">
        <w:rPr>
          <w:rFonts w:ascii="Calibri" w:hAnsi="Calibri" w:cs="Calibri"/>
        </w:rPr>
        <w:lastRenderedPageBreak/>
        <w:t xml:space="preserve">Ndryshimet në </w:t>
      </w:r>
      <w:r w:rsidR="00AC7CD6" w:rsidRPr="001C3070">
        <w:rPr>
          <w:rFonts w:ascii="Calibri" w:hAnsi="Calibri" w:cs="Calibri"/>
        </w:rPr>
        <w:t xml:space="preserve">ligjin e </w:t>
      </w:r>
      <w:r w:rsidRPr="001C3070">
        <w:rPr>
          <w:rFonts w:ascii="Calibri" w:hAnsi="Calibri" w:cs="Calibri"/>
        </w:rPr>
        <w:t>buxheti</w:t>
      </w:r>
      <w:r w:rsidR="00AC7CD6" w:rsidRPr="001C3070">
        <w:rPr>
          <w:rFonts w:ascii="Calibri" w:hAnsi="Calibri" w:cs="Calibri"/>
        </w:rPr>
        <w:t>t</w:t>
      </w:r>
      <w:r w:rsidRPr="001C3070">
        <w:rPr>
          <w:rFonts w:ascii="Calibri" w:hAnsi="Calibri" w:cs="Calibri"/>
        </w:rPr>
        <w:t xml:space="preserve"> 20</w:t>
      </w:r>
      <w:r w:rsidR="00393657" w:rsidRPr="001C3070">
        <w:rPr>
          <w:rFonts w:ascii="Calibri" w:hAnsi="Calibri" w:cs="Calibri"/>
        </w:rPr>
        <w:t>2</w:t>
      </w:r>
      <w:bookmarkEnd w:id="151"/>
      <w:r w:rsidR="00170585" w:rsidRPr="001C3070">
        <w:rPr>
          <w:rFonts w:ascii="Calibri" w:hAnsi="Calibri" w:cs="Calibri"/>
        </w:rPr>
        <w:t>2</w:t>
      </w:r>
    </w:p>
    <w:p w:rsidR="006D089B" w:rsidRDefault="006D089B" w:rsidP="00153CD6">
      <w:pPr>
        <w:spacing w:line="240" w:lineRule="auto"/>
        <w:rPr>
          <w:rFonts w:cs="Calibri"/>
          <w:lang w:val="sq-AL"/>
        </w:rPr>
      </w:pPr>
      <w:r w:rsidRPr="00476D2E">
        <w:rPr>
          <w:rFonts w:cs="Calibri"/>
          <w:lang w:val="sq-AL"/>
        </w:rPr>
        <w:t>Gjatë vitit 20</w:t>
      </w:r>
      <w:r w:rsidR="00393657" w:rsidRPr="00476D2E">
        <w:rPr>
          <w:rFonts w:cs="Calibri"/>
          <w:lang w:val="sq-AL"/>
        </w:rPr>
        <w:t>2</w:t>
      </w:r>
      <w:r w:rsidR="00224CEA">
        <w:rPr>
          <w:rFonts w:cs="Calibri"/>
          <w:lang w:val="sq-AL"/>
        </w:rPr>
        <w:t>2</w:t>
      </w:r>
      <w:r w:rsidRPr="00476D2E">
        <w:rPr>
          <w:rFonts w:cs="Calibri"/>
          <w:lang w:val="sq-AL"/>
        </w:rPr>
        <w:t xml:space="preserve">, buxheti i shtetit u ndryshua me </w:t>
      </w:r>
      <w:r w:rsidR="00224CEA">
        <w:rPr>
          <w:rFonts w:cs="Calibri"/>
          <w:lang w:val="sq-AL"/>
        </w:rPr>
        <w:t>4</w:t>
      </w:r>
      <w:r w:rsidRPr="00476D2E">
        <w:rPr>
          <w:rFonts w:cs="Calibri"/>
          <w:lang w:val="sq-AL"/>
        </w:rPr>
        <w:t xml:space="preserve"> Akte Normative dhe më specifikisht:</w:t>
      </w:r>
    </w:p>
    <w:p w:rsidR="00221E18" w:rsidRPr="00C244E2" w:rsidRDefault="00221E18" w:rsidP="00153CD6">
      <w:pPr>
        <w:spacing w:line="240" w:lineRule="auto"/>
        <w:rPr>
          <w:rFonts w:cs="Calibri"/>
          <w:sz w:val="4"/>
          <w:lang w:val="sq-AL"/>
        </w:rPr>
      </w:pPr>
    </w:p>
    <w:p w:rsidR="006D089B" w:rsidRPr="00476D2E" w:rsidRDefault="006D089B" w:rsidP="00C71069">
      <w:pPr>
        <w:pStyle w:val="ListParagraph"/>
        <w:numPr>
          <w:ilvl w:val="0"/>
          <w:numId w:val="41"/>
        </w:numPr>
        <w:spacing w:line="240" w:lineRule="auto"/>
        <w:ind w:left="360"/>
        <w:rPr>
          <w:rFonts w:cs="Calibri"/>
          <w:i/>
          <w:u w:val="single"/>
          <w:lang w:val="sq-AL"/>
        </w:rPr>
      </w:pPr>
      <w:r w:rsidRPr="00476D2E">
        <w:rPr>
          <w:rFonts w:cs="Calibri"/>
          <w:b/>
          <w:u w:val="single"/>
          <w:lang w:val="sq-AL"/>
        </w:rPr>
        <w:t>Akti Normativ Nr.</w:t>
      </w:r>
      <w:r w:rsidR="00224CEA">
        <w:rPr>
          <w:rFonts w:cs="Calibri"/>
          <w:b/>
          <w:u w:val="single"/>
          <w:lang w:val="sq-AL"/>
        </w:rPr>
        <w:t>3</w:t>
      </w:r>
      <w:r w:rsidRPr="00476D2E">
        <w:rPr>
          <w:rFonts w:cs="Calibri"/>
          <w:b/>
          <w:u w:val="single"/>
          <w:lang w:val="sq-AL"/>
        </w:rPr>
        <w:t xml:space="preserve"> </w:t>
      </w:r>
      <w:r w:rsidRPr="00476D2E">
        <w:rPr>
          <w:rFonts w:cs="Calibri"/>
          <w:b/>
          <w:spacing w:val="-1"/>
          <w:u w:val="single"/>
          <w:lang w:val="sq-AL"/>
        </w:rPr>
        <w:t xml:space="preserve">datë </w:t>
      </w:r>
      <w:r w:rsidR="00224CEA">
        <w:rPr>
          <w:rFonts w:cs="Calibri"/>
          <w:b/>
          <w:spacing w:val="-1"/>
          <w:u w:val="single"/>
          <w:lang w:val="sq-AL"/>
        </w:rPr>
        <w:t>12</w:t>
      </w:r>
      <w:r w:rsidR="00E8360D" w:rsidRPr="00476D2E">
        <w:rPr>
          <w:rFonts w:cs="Calibri"/>
          <w:b/>
          <w:spacing w:val="-1"/>
          <w:u w:val="single"/>
          <w:lang w:val="sq-AL"/>
        </w:rPr>
        <w:t>.0</w:t>
      </w:r>
      <w:r w:rsidR="00224CEA">
        <w:rPr>
          <w:rFonts w:cs="Calibri"/>
          <w:b/>
          <w:spacing w:val="-1"/>
          <w:u w:val="single"/>
          <w:lang w:val="sq-AL"/>
        </w:rPr>
        <w:t>3</w:t>
      </w:r>
      <w:r w:rsidR="00E8360D" w:rsidRPr="00476D2E">
        <w:rPr>
          <w:rFonts w:cs="Calibri"/>
          <w:b/>
          <w:spacing w:val="-1"/>
          <w:u w:val="single"/>
          <w:lang w:val="sq-AL"/>
        </w:rPr>
        <w:t>.202</w:t>
      </w:r>
      <w:r w:rsidR="00224CEA">
        <w:rPr>
          <w:rFonts w:cs="Calibri"/>
          <w:b/>
          <w:spacing w:val="-1"/>
          <w:u w:val="single"/>
          <w:lang w:val="sq-AL"/>
        </w:rPr>
        <w:t>2</w:t>
      </w:r>
      <w:r w:rsidRPr="00476D2E">
        <w:rPr>
          <w:rFonts w:cs="Calibri"/>
          <w:spacing w:val="-1"/>
          <w:u w:val="single"/>
          <w:lang w:val="sq-AL"/>
        </w:rPr>
        <w:t xml:space="preserve"> </w:t>
      </w:r>
      <w:r w:rsidRPr="00476D2E">
        <w:rPr>
          <w:rFonts w:cs="Calibri"/>
          <w:i/>
          <w:spacing w:val="-1"/>
          <w:u w:val="single"/>
          <w:lang w:val="sq-AL"/>
        </w:rPr>
        <w:t>“Për disa ndryshime në Ligjin nr.</w:t>
      </w:r>
      <w:r w:rsidR="00224CEA">
        <w:rPr>
          <w:rFonts w:cs="Calibri"/>
          <w:i/>
          <w:spacing w:val="-1"/>
          <w:u w:val="single"/>
          <w:lang w:val="sq-AL"/>
        </w:rPr>
        <w:t>115</w:t>
      </w:r>
      <w:r w:rsidRPr="00476D2E">
        <w:rPr>
          <w:rFonts w:cs="Calibri"/>
          <w:i/>
          <w:spacing w:val="-1"/>
          <w:u w:val="single"/>
          <w:lang w:val="sq-AL"/>
        </w:rPr>
        <w:t>/20</w:t>
      </w:r>
      <w:r w:rsidR="00F14D33">
        <w:rPr>
          <w:rFonts w:cs="Calibri"/>
          <w:i/>
          <w:spacing w:val="-1"/>
          <w:u w:val="single"/>
          <w:lang w:val="sq-AL"/>
        </w:rPr>
        <w:t>2</w:t>
      </w:r>
      <w:r w:rsidR="00224CEA">
        <w:rPr>
          <w:rFonts w:cs="Calibri"/>
          <w:i/>
          <w:spacing w:val="-1"/>
          <w:u w:val="single"/>
          <w:lang w:val="sq-AL"/>
        </w:rPr>
        <w:t>1</w:t>
      </w:r>
      <w:r w:rsidRPr="00476D2E">
        <w:rPr>
          <w:rFonts w:cs="Calibri"/>
          <w:i/>
          <w:spacing w:val="-1"/>
          <w:u w:val="single"/>
          <w:lang w:val="sq-AL"/>
        </w:rPr>
        <w:t xml:space="preserve"> “Për buxhetin e vitit 20</w:t>
      </w:r>
      <w:r w:rsidR="00393657" w:rsidRPr="00476D2E">
        <w:rPr>
          <w:rFonts w:cs="Calibri"/>
          <w:i/>
          <w:spacing w:val="-1"/>
          <w:u w:val="single"/>
          <w:lang w:val="sq-AL"/>
        </w:rPr>
        <w:t>2</w:t>
      </w:r>
      <w:r w:rsidR="00224CEA">
        <w:rPr>
          <w:rFonts w:cs="Calibri"/>
          <w:i/>
          <w:spacing w:val="-1"/>
          <w:u w:val="single"/>
          <w:lang w:val="sq-AL"/>
        </w:rPr>
        <w:t>2</w:t>
      </w:r>
      <w:r w:rsidRPr="00476D2E">
        <w:rPr>
          <w:rFonts w:cs="Calibri"/>
          <w:i/>
          <w:spacing w:val="-1"/>
          <w:u w:val="single"/>
          <w:lang w:val="sq-AL"/>
        </w:rPr>
        <w:t>”</w:t>
      </w:r>
      <w:r w:rsidRPr="00476D2E">
        <w:rPr>
          <w:rFonts w:cs="Calibri"/>
          <w:i/>
          <w:u w:val="single"/>
          <w:lang w:val="sq-AL"/>
        </w:rPr>
        <w:t>:</w:t>
      </w:r>
    </w:p>
    <w:p w:rsidR="00F14D33" w:rsidRPr="00F14D33" w:rsidRDefault="00393657" w:rsidP="00153CD6">
      <w:pPr>
        <w:spacing w:line="240" w:lineRule="auto"/>
        <w:rPr>
          <w:lang w:val="sq-AL" w:eastAsia="ja-JP"/>
        </w:rPr>
      </w:pPr>
      <w:r w:rsidRPr="00476D2E">
        <w:rPr>
          <w:rFonts w:cs="Calibri"/>
          <w:lang w:val="sq-AL"/>
        </w:rPr>
        <w:t>Aspekti i nevojës dhe urgjencës së këtij akti normativ lidhej t</w:t>
      </w:r>
      <w:r w:rsidR="000279F1" w:rsidRPr="00476D2E">
        <w:rPr>
          <w:rFonts w:cs="Calibri"/>
          <w:lang w:val="sq-AL"/>
        </w:rPr>
        <w:t>ë</w:t>
      </w:r>
      <w:r w:rsidRPr="00476D2E">
        <w:rPr>
          <w:rFonts w:cs="Calibri"/>
          <w:lang w:val="sq-AL"/>
        </w:rPr>
        <w:t>r</w:t>
      </w:r>
      <w:r w:rsidR="000279F1" w:rsidRPr="00476D2E">
        <w:rPr>
          <w:rFonts w:cs="Calibri"/>
          <w:lang w:val="sq-AL"/>
        </w:rPr>
        <w:t>ë</w:t>
      </w:r>
      <w:r w:rsidRPr="00476D2E">
        <w:rPr>
          <w:rFonts w:cs="Calibri"/>
          <w:lang w:val="sq-AL"/>
        </w:rPr>
        <w:t xml:space="preserve">sisht me alokimin e fondeve të nevojshme buxhetore </w:t>
      </w:r>
      <w:r w:rsidR="00224CEA" w:rsidRPr="00224CEA">
        <w:rPr>
          <w:rFonts w:cs="Calibri"/>
          <w:lang w:val="sq-AL"/>
        </w:rPr>
        <w:t>në kuadër të menaxhimit të situatës emergjente energjitike në shkallë të gjerë për mbështetjen e sektorit energjitik, krahas mbështetjes për shtresat dhe sektorët e tjerë të impaktuar nga situata e krizës</w:t>
      </w:r>
      <w:r w:rsidR="00F14D33">
        <w:rPr>
          <w:lang w:val="sq-AL" w:eastAsia="ja-JP"/>
        </w:rPr>
        <w:t>. Ai miratoi k</w:t>
      </w:r>
      <w:r w:rsidR="00EA7019">
        <w:rPr>
          <w:lang w:val="sq-AL" w:eastAsia="ja-JP"/>
        </w:rPr>
        <w:t>ë</w:t>
      </w:r>
      <w:r w:rsidR="00F14D33">
        <w:rPr>
          <w:lang w:val="sq-AL" w:eastAsia="ja-JP"/>
        </w:rPr>
        <w:t xml:space="preserve">to </w:t>
      </w:r>
      <w:r w:rsidR="00F14D33" w:rsidRPr="00F14D33">
        <w:rPr>
          <w:lang w:val="sq-AL" w:eastAsia="ja-JP"/>
        </w:rPr>
        <w:t>ndryshime pa kosto shtesë:</w:t>
      </w:r>
    </w:p>
    <w:p w:rsidR="002560F1" w:rsidRDefault="002560F1" w:rsidP="00153CD6">
      <w:pPr>
        <w:numPr>
          <w:ilvl w:val="0"/>
          <w:numId w:val="11"/>
        </w:numPr>
        <w:spacing w:before="0" w:line="240" w:lineRule="auto"/>
        <w:contextualSpacing/>
        <w:rPr>
          <w:i/>
          <w:lang w:val="sq-AL"/>
        </w:rPr>
      </w:pPr>
      <w:r w:rsidRPr="002560F1">
        <w:rPr>
          <w:i/>
          <w:lang w:val="sq-AL"/>
        </w:rPr>
        <w:t>Akordimin e mbështetjes buxhetore për sektorin e energjisë, prej 20 miliardë lekë</w:t>
      </w:r>
      <w:r>
        <w:rPr>
          <w:i/>
          <w:lang w:val="sq-AL"/>
        </w:rPr>
        <w:t xml:space="preserve"> e cila u p</w:t>
      </w:r>
      <w:r w:rsidR="00D65C9E">
        <w:rPr>
          <w:i/>
          <w:lang w:val="sq-AL"/>
        </w:rPr>
        <w:t>ë</w:t>
      </w:r>
      <w:r>
        <w:rPr>
          <w:i/>
          <w:lang w:val="sq-AL"/>
        </w:rPr>
        <w:t>rdor nga KESH sha me VKM, mbi baz</w:t>
      </w:r>
      <w:r w:rsidR="00D65C9E">
        <w:rPr>
          <w:i/>
          <w:lang w:val="sq-AL"/>
        </w:rPr>
        <w:t>ë</w:t>
      </w:r>
      <w:r>
        <w:rPr>
          <w:i/>
          <w:lang w:val="sq-AL"/>
        </w:rPr>
        <w:t xml:space="preserve"> transhesh periodike.</w:t>
      </w:r>
    </w:p>
    <w:p w:rsidR="002560F1" w:rsidRPr="002560F1" w:rsidRDefault="002560F1" w:rsidP="00153CD6">
      <w:pPr>
        <w:numPr>
          <w:ilvl w:val="0"/>
          <w:numId w:val="11"/>
        </w:numPr>
        <w:spacing w:before="0" w:line="240" w:lineRule="auto"/>
        <w:contextualSpacing/>
        <w:rPr>
          <w:i/>
          <w:lang w:val="sq-AL"/>
        </w:rPr>
      </w:pPr>
      <w:r w:rsidRPr="002560F1">
        <w:rPr>
          <w:i/>
          <w:lang w:val="sq-AL"/>
        </w:rPr>
        <w:t xml:space="preserve">Akordimin e nje pakete gjithëpërfshirëse ndihme financiare per konsumatoret per te perballuar pasojat e rritjes se cmimeve te konsumit </w:t>
      </w:r>
      <w:r>
        <w:rPr>
          <w:i/>
          <w:lang w:val="sq-AL"/>
        </w:rPr>
        <w:t>n</w:t>
      </w:r>
      <w:r w:rsidR="00D65C9E">
        <w:rPr>
          <w:i/>
          <w:lang w:val="sq-AL"/>
        </w:rPr>
        <w:t>ë</w:t>
      </w:r>
      <w:r>
        <w:rPr>
          <w:i/>
          <w:lang w:val="sq-AL"/>
        </w:rPr>
        <w:t xml:space="preserve"> form</w:t>
      </w:r>
      <w:r w:rsidR="00D65C9E">
        <w:rPr>
          <w:i/>
          <w:lang w:val="sq-AL"/>
        </w:rPr>
        <w:t>ë</w:t>
      </w:r>
      <w:r>
        <w:rPr>
          <w:i/>
          <w:lang w:val="sq-AL"/>
        </w:rPr>
        <w:t>n e</w:t>
      </w:r>
      <w:r w:rsidRPr="002560F1">
        <w:rPr>
          <w:i/>
          <w:lang w:val="sq-AL"/>
        </w:rPr>
        <w:t xml:space="preserve"> </w:t>
      </w:r>
      <w:r>
        <w:rPr>
          <w:i/>
          <w:lang w:val="sq-AL"/>
        </w:rPr>
        <w:t>fondi kontigjenc</w:t>
      </w:r>
      <w:r w:rsidR="00D65C9E">
        <w:rPr>
          <w:i/>
          <w:lang w:val="sq-AL"/>
        </w:rPr>
        <w:t>ë</w:t>
      </w:r>
      <w:r w:rsidRPr="002560F1">
        <w:rPr>
          <w:i/>
          <w:lang w:val="sq-AL"/>
        </w:rPr>
        <w:t xml:space="preserve"> të Rezistencës Sociale ndaj Pasojave të Krizës në masën 6 miliardë lekë, </w:t>
      </w:r>
      <w:r w:rsidR="00342123">
        <w:rPr>
          <w:i/>
          <w:lang w:val="sq-AL"/>
        </w:rPr>
        <w:t>q</w:t>
      </w:r>
      <w:r w:rsidR="00D65C9E">
        <w:rPr>
          <w:i/>
          <w:lang w:val="sq-AL"/>
        </w:rPr>
        <w:t>ë</w:t>
      </w:r>
      <w:r w:rsidRPr="002560F1">
        <w:rPr>
          <w:i/>
          <w:lang w:val="sq-AL"/>
        </w:rPr>
        <w:t xml:space="preserve"> </w:t>
      </w:r>
      <w:r>
        <w:rPr>
          <w:i/>
          <w:lang w:val="sq-AL"/>
        </w:rPr>
        <w:t>u</w:t>
      </w:r>
      <w:r w:rsidRPr="002560F1">
        <w:rPr>
          <w:i/>
          <w:lang w:val="sq-AL"/>
        </w:rPr>
        <w:t xml:space="preserve"> përdor me VKM në mbështetje të: </w:t>
      </w:r>
    </w:p>
    <w:p w:rsidR="002560F1" w:rsidRPr="002560F1" w:rsidRDefault="002560F1" w:rsidP="00C71069">
      <w:pPr>
        <w:numPr>
          <w:ilvl w:val="0"/>
          <w:numId w:val="46"/>
        </w:numPr>
        <w:spacing w:before="0" w:line="240" w:lineRule="auto"/>
        <w:ind w:left="1080" w:hanging="270"/>
        <w:contextualSpacing/>
        <w:rPr>
          <w:i/>
          <w:lang w:val="sq-AL"/>
        </w:rPr>
      </w:pPr>
      <w:r w:rsidRPr="002560F1">
        <w:rPr>
          <w:i/>
          <w:lang w:val="sq-AL"/>
        </w:rPr>
        <w:t>Shtresave në nevojë</w:t>
      </w:r>
    </w:p>
    <w:p w:rsidR="002560F1" w:rsidRPr="002560F1" w:rsidRDefault="002560F1" w:rsidP="00C71069">
      <w:pPr>
        <w:numPr>
          <w:ilvl w:val="0"/>
          <w:numId w:val="46"/>
        </w:numPr>
        <w:spacing w:before="0" w:line="240" w:lineRule="auto"/>
        <w:ind w:left="1080" w:hanging="270"/>
        <w:contextualSpacing/>
        <w:rPr>
          <w:i/>
          <w:lang w:val="sq-AL"/>
        </w:rPr>
      </w:pPr>
      <w:r w:rsidRPr="002560F1">
        <w:rPr>
          <w:i/>
          <w:lang w:val="sq-AL"/>
        </w:rPr>
        <w:t>Sektorit të transportit publik</w:t>
      </w:r>
    </w:p>
    <w:p w:rsidR="00F14D33" w:rsidRPr="00F14D33" w:rsidRDefault="002560F1" w:rsidP="00C71069">
      <w:pPr>
        <w:numPr>
          <w:ilvl w:val="0"/>
          <w:numId w:val="46"/>
        </w:numPr>
        <w:spacing w:before="0" w:line="240" w:lineRule="auto"/>
        <w:ind w:left="1080" w:hanging="270"/>
        <w:contextualSpacing/>
        <w:rPr>
          <w:i/>
          <w:lang w:val="sq-AL"/>
        </w:rPr>
      </w:pPr>
      <w:r w:rsidRPr="002560F1">
        <w:rPr>
          <w:i/>
          <w:lang w:val="sq-AL"/>
        </w:rPr>
        <w:t>Sektorit të bujqësisë</w:t>
      </w:r>
      <w:r w:rsidR="00F14D33" w:rsidRPr="00F14D33">
        <w:rPr>
          <w:i/>
          <w:lang w:val="sq-AL"/>
        </w:rPr>
        <w:t>;</w:t>
      </w:r>
    </w:p>
    <w:p w:rsidR="00393657" w:rsidRDefault="002560F1" w:rsidP="00153CD6">
      <w:pPr>
        <w:numPr>
          <w:ilvl w:val="0"/>
          <w:numId w:val="11"/>
        </w:numPr>
        <w:spacing w:before="0" w:line="240" w:lineRule="auto"/>
        <w:contextualSpacing/>
        <w:rPr>
          <w:i/>
          <w:lang w:val="sq-AL"/>
        </w:rPr>
      </w:pPr>
      <w:r w:rsidRPr="002560F1">
        <w:rPr>
          <w:i/>
          <w:lang w:val="sq-AL"/>
        </w:rPr>
        <w:t xml:space="preserve">Reflektimin në kahun e të ardhurave të një rritje në masën 10 miliardë lekë. Kjo rritje </w:t>
      </w:r>
      <w:r>
        <w:rPr>
          <w:i/>
          <w:lang w:val="sq-AL"/>
        </w:rPr>
        <w:t>u</w:t>
      </w:r>
      <w:r w:rsidRPr="002560F1">
        <w:rPr>
          <w:i/>
          <w:lang w:val="sq-AL"/>
        </w:rPr>
        <w:t xml:space="preserve"> bazua ne performancen pozitive të realizimit të planit te te ardhurave tatimore dhe doganore nga administrata fiskale, per 2 mujorin 2022</w:t>
      </w:r>
      <w:r w:rsidR="00F14D33" w:rsidRPr="00F14D33">
        <w:rPr>
          <w:i/>
          <w:lang w:val="sq-AL"/>
        </w:rPr>
        <w:t>.</w:t>
      </w:r>
    </w:p>
    <w:p w:rsidR="00342123" w:rsidRPr="00F14D33" w:rsidRDefault="00342123" w:rsidP="00153CD6">
      <w:pPr>
        <w:numPr>
          <w:ilvl w:val="0"/>
          <w:numId w:val="11"/>
        </w:numPr>
        <w:spacing w:before="0" w:line="240" w:lineRule="auto"/>
        <w:contextualSpacing/>
        <w:rPr>
          <w:i/>
          <w:lang w:val="sq-AL"/>
        </w:rPr>
      </w:pPr>
      <w:r w:rsidRPr="00F14D33">
        <w:rPr>
          <w:i/>
          <w:lang w:val="sq-AL"/>
        </w:rPr>
        <w:t xml:space="preserve">Shpenzimet kapitale me financim të brendshëm </w:t>
      </w:r>
      <w:r>
        <w:rPr>
          <w:i/>
          <w:lang w:val="sq-AL"/>
        </w:rPr>
        <w:t>u rritën me</w:t>
      </w:r>
      <w:r w:rsidRPr="00F14D33">
        <w:rPr>
          <w:i/>
          <w:lang w:val="sq-AL"/>
        </w:rPr>
        <w:t xml:space="preserve"> 2.42 miliardë lek</w:t>
      </w:r>
      <w:r>
        <w:rPr>
          <w:i/>
          <w:lang w:val="sq-AL"/>
        </w:rPr>
        <w:t>ë</w:t>
      </w:r>
      <w:r w:rsidRPr="00F14D33">
        <w:rPr>
          <w:i/>
          <w:lang w:val="sq-AL"/>
        </w:rPr>
        <w:t>, për financimin e projektit madhor të KQZ-së “Identifikimi elektronik i zgjedhësve”, në kuadër të angazhimit të ndërmarrë për implementimin e tij në zgjedhjet për Kuvend të datës 25 prill 2021.</w:t>
      </w:r>
    </w:p>
    <w:p w:rsidR="00342123" w:rsidRPr="00342123" w:rsidRDefault="00342123" w:rsidP="00153CD6">
      <w:pPr>
        <w:numPr>
          <w:ilvl w:val="0"/>
          <w:numId w:val="11"/>
        </w:numPr>
        <w:spacing w:before="0" w:line="240" w:lineRule="auto"/>
        <w:contextualSpacing/>
        <w:rPr>
          <w:i/>
          <w:lang w:val="sq-AL"/>
        </w:rPr>
      </w:pPr>
      <w:r w:rsidRPr="00342123">
        <w:rPr>
          <w:i/>
          <w:lang w:val="sq-AL"/>
        </w:rPr>
        <w:t>Reflektimin e shkurtimeve të zërave të shpenzimeve korente për të githa institucionet buxhetore prej 5.8 miliardë lekë, përmes aplikimit të një formule në masën:</w:t>
      </w:r>
    </w:p>
    <w:p w:rsidR="00342123" w:rsidRPr="00342123" w:rsidRDefault="00342123" w:rsidP="00C71069">
      <w:pPr>
        <w:numPr>
          <w:ilvl w:val="0"/>
          <w:numId w:val="46"/>
        </w:numPr>
        <w:spacing w:before="0" w:line="240" w:lineRule="auto"/>
        <w:ind w:left="1080" w:hanging="270"/>
        <w:contextualSpacing/>
        <w:rPr>
          <w:i/>
          <w:lang w:val="sq-AL"/>
        </w:rPr>
      </w:pPr>
      <w:r w:rsidRPr="00342123">
        <w:rPr>
          <w:i/>
          <w:lang w:val="sq-AL"/>
        </w:rPr>
        <w:t>Reduktim -2.5% për shpenzimet e Personelit</w:t>
      </w:r>
    </w:p>
    <w:p w:rsidR="00342123" w:rsidRPr="00F14D33" w:rsidRDefault="00342123" w:rsidP="00C71069">
      <w:pPr>
        <w:numPr>
          <w:ilvl w:val="0"/>
          <w:numId w:val="46"/>
        </w:numPr>
        <w:spacing w:before="0" w:line="240" w:lineRule="auto"/>
        <w:ind w:left="1080" w:hanging="270"/>
        <w:contextualSpacing/>
        <w:rPr>
          <w:i/>
          <w:lang w:val="sq-AL"/>
        </w:rPr>
      </w:pPr>
      <w:r w:rsidRPr="00342123">
        <w:rPr>
          <w:i/>
          <w:lang w:val="sq-AL"/>
        </w:rPr>
        <w:t>Reduktim -10% për shpenzimet Operative në tërësi dhe -10% ekstra për shpenzimet e ngushta administrative.</w:t>
      </w:r>
    </w:p>
    <w:p w:rsidR="00342123" w:rsidRPr="00342123" w:rsidRDefault="00342123" w:rsidP="00153CD6">
      <w:pPr>
        <w:numPr>
          <w:ilvl w:val="0"/>
          <w:numId w:val="11"/>
        </w:numPr>
        <w:spacing w:before="0" w:line="240" w:lineRule="auto"/>
        <w:contextualSpacing/>
        <w:rPr>
          <w:i/>
          <w:lang w:val="sq-AL"/>
        </w:rPr>
      </w:pPr>
      <w:r>
        <w:rPr>
          <w:i/>
          <w:lang w:val="sq-AL"/>
        </w:rPr>
        <w:t>R</w:t>
      </w:r>
      <w:r w:rsidRPr="00342123">
        <w:rPr>
          <w:i/>
          <w:lang w:val="sq-AL"/>
        </w:rPr>
        <w:t>eflekt</w:t>
      </w:r>
      <w:r>
        <w:rPr>
          <w:i/>
          <w:lang w:val="sq-AL"/>
        </w:rPr>
        <w:t>imin e</w:t>
      </w:r>
      <w:r w:rsidRPr="00342123">
        <w:rPr>
          <w:i/>
          <w:lang w:val="sq-AL"/>
        </w:rPr>
        <w:t xml:space="preserve"> një shkurtimi </w:t>
      </w:r>
      <w:r>
        <w:rPr>
          <w:i/>
          <w:lang w:val="sq-AL"/>
        </w:rPr>
        <w:t>t</w:t>
      </w:r>
      <w:r w:rsidR="00D65C9E">
        <w:rPr>
          <w:i/>
          <w:lang w:val="sq-AL"/>
        </w:rPr>
        <w:t>ë</w:t>
      </w:r>
      <w:r>
        <w:rPr>
          <w:i/>
          <w:lang w:val="sq-AL"/>
        </w:rPr>
        <w:t xml:space="preserve"> </w:t>
      </w:r>
      <w:r w:rsidRPr="00342123">
        <w:rPr>
          <w:i/>
          <w:lang w:val="sq-AL"/>
        </w:rPr>
        <w:t xml:space="preserve">përgjithshëm </w:t>
      </w:r>
      <w:r>
        <w:rPr>
          <w:i/>
          <w:lang w:val="sq-AL"/>
        </w:rPr>
        <w:t>p</w:t>
      </w:r>
      <w:r w:rsidRPr="00342123">
        <w:rPr>
          <w:i/>
          <w:lang w:val="sq-AL"/>
        </w:rPr>
        <w:t>ër projektet me financim të brendshëm në masën 5.2 miliardë lekë, përmes pakësimit të fondeve të:</w:t>
      </w:r>
    </w:p>
    <w:p w:rsidR="00342123" w:rsidRPr="00342123" w:rsidRDefault="00342123" w:rsidP="00C71069">
      <w:pPr>
        <w:numPr>
          <w:ilvl w:val="0"/>
          <w:numId w:val="46"/>
        </w:numPr>
        <w:spacing w:before="0" w:line="240" w:lineRule="auto"/>
        <w:ind w:left="1080" w:hanging="270"/>
        <w:contextualSpacing/>
        <w:rPr>
          <w:i/>
          <w:lang w:val="sq-AL"/>
        </w:rPr>
      </w:pPr>
      <w:r w:rsidRPr="00342123">
        <w:rPr>
          <w:i/>
          <w:lang w:val="sq-AL"/>
        </w:rPr>
        <w:t>Projekteve të reja (të pa prokuruara ende)</w:t>
      </w:r>
    </w:p>
    <w:p w:rsidR="00342123" w:rsidRPr="00342123" w:rsidRDefault="00342123" w:rsidP="00C71069">
      <w:pPr>
        <w:numPr>
          <w:ilvl w:val="0"/>
          <w:numId w:val="46"/>
        </w:numPr>
        <w:spacing w:before="0" w:line="240" w:lineRule="auto"/>
        <w:ind w:left="1080" w:hanging="270"/>
        <w:contextualSpacing/>
        <w:rPr>
          <w:i/>
          <w:lang w:val="sq-AL"/>
        </w:rPr>
      </w:pPr>
      <w:r w:rsidRPr="00342123">
        <w:rPr>
          <w:i/>
          <w:lang w:val="sq-AL"/>
        </w:rPr>
        <w:t>Projekteve me sfond administrativ (pajisje zyrash, autovetura, etj)</w:t>
      </w:r>
    </w:p>
    <w:p w:rsidR="00342123" w:rsidRPr="00342123" w:rsidRDefault="00342123" w:rsidP="00C71069">
      <w:pPr>
        <w:numPr>
          <w:ilvl w:val="0"/>
          <w:numId w:val="46"/>
        </w:numPr>
        <w:spacing w:before="0" w:line="240" w:lineRule="auto"/>
        <w:ind w:left="1080" w:hanging="270"/>
        <w:contextualSpacing/>
        <w:rPr>
          <w:i/>
          <w:lang w:val="sq-AL"/>
        </w:rPr>
      </w:pPr>
      <w:r w:rsidRPr="00342123">
        <w:rPr>
          <w:i/>
          <w:lang w:val="sq-AL"/>
        </w:rPr>
        <w:t>Projekteve infrastrukturore, të cilëve u shtyhet koha e implementimit.</w:t>
      </w:r>
    </w:p>
    <w:p w:rsidR="00342123" w:rsidRPr="00342123" w:rsidRDefault="00342123" w:rsidP="00153CD6">
      <w:pPr>
        <w:numPr>
          <w:ilvl w:val="0"/>
          <w:numId w:val="11"/>
        </w:numPr>
        <w:spacing w:before="0" w:line="240" w:lineRule="auto"/>
        <w:contextualSpacing/>
        <w:rPr>
          <w:i/>
          <w:lang w:val="sq-AL"/>
        </w:rPr>
      </w:pPr>
      <w:r>
        <w:rPr>
          <w:i/>
          <w:lang w:val="sq-AL"/>
        </w:rPr>
        <w:t>R</w:t>
      </w:r>
      <w:r w:rsidRPr="00342123">
        <w:rPr>
          <w:i/>
          <w:lang w:val="sq-AL"/>
        </w:rPr>
        <w:t>eflekt</w:t>
      </w:r>
      <w:r>
        <w:rPr>
          <w:i/>
          <w:lang w:val="sq-AL"/>
        </w:rPr>
        <w:t>imin e</w:t>
      </w:r>
      <w:r w:rsidRPr="00342123">
        <w:rPr>
          <w:i/>
          <w:lang w:val="sq-AL"/>
        </w:rPr>
        <w:t xml:space="preserve"> një shkurtimi </w:t>
      </w:r>
      <w:r>
        <w:rPr>
          <w:i/>
          <w:lang w:val="sq-AL"/>
        </w:rPr>
        <w:t>t</w:t>
      </w:r>
      <w:r w:rsidR="00D65C9E">
        <w:rPr>
          <w:i/>
          <w:lang w:val="sq-AL"/>
        </w:rPr>
        <w:t>ë</w:t>
      </w:r>
      <w:r>
        <w:rPr>
          <w:i/>
          <w:lang w:val="sq-AL"/>
        </w:rPr>
        <w:t xml:space="preserve"> </w:t>
      </w:r>
      <w:r w:rsidRPr="00342123">
        <w:rPr>
          <w:i/>
          <w:lang w:val="sq-AL"/>
        </w:rPr>
        <w:t xml:space="preserve">përgjithshëm </w:t>
      </w:r>
      <w:r>
        <w:rPr>
          <w:i/>
          <w:lang w:val="sq-AL"/>
        </w:rPr>
        <w:t>p</w:t>
      </w:r>
      <w:r w:rsidRPr="00342123">
        <w:rPr>
          <w:i/>
          <w:lang w:val="sq-AL"/>
        </w:rPr>
        <w:t>ër projektet me financim të huaj, në masën 4.6 miliardë lekë, përmes pakësimit të fondeve të:</w:t>
      </w:r>
    </w:p>
    <w:p w:rsidR="00342123" w:rsidRPr="00342123" w:rsidRDefault="00342123" w:rsidP="00C71069">
      <w:pPr>
        <w:numPr>
          <w:ilvl w:val="0"/>
          <w:numId w:val="46"/>
        </w:numPr>
        <w:spacing w:before="0" w:line="240" w:lineRule="auto"/>
        <w:ind w:left="1080" w:hanging="270"/>
        <w:contextualSpacing/>
        <w:rPr>
          <w:i/>
          <w:lang w:val="sq-AL"/>
        </w:rPr>
      </w:pPr>
      <w:r w:rsidRPr="00342123">
        <w:rPr>
          <w:i/>
          <w:lang w:val="sq-AL"/>
        </w:rPr>
        <w:t>Projekteve të reja infrastrukturore, me pritshmëri të ulët realizimi për 2022.</w:t>
      </w:r>
    </w:p>
    <w:p w:rsidR="00342123" w:rsidRPr="00C244E2" w:rsidRDefault="00342123" w:rsidP="00153CD6">
      <w:pPr>
        <w:tabs>
          <w:tab w:val="left" w:pos="709"/>
        </w:tabs>
        <w:spacing w:before="0" w:line="240" w:lineRule="auto"/>
        <w:rPr>
          <w:noProof/>
          <w:sz w:val="8"/>
          <w:lang w:val="sq-AL"/>
        </w:rPr>
      </w:pPr>
    </w:p>
    <w:p w:rsidR="00393657" w:rsidRPr="00476D2E" w:rsidRDefault="00C9116F" w:rsidP="00153CD6">
      <w:pPr>
        <w:tabs>
          <w:tab w:val="left" w:pos="709"/>
        </w:tabs>
        <w:spacing w:before="0" w:line="240" w:lineRule="auto"/>
        <w:rPr>
          <w:b/>
          <w:sz w:val="26"/>
          <w:szCs w:val="26"/>
          <w:lang w:val="sq-AL"/>
        </w:rPr>
      </w:pPr>
      <w:r w:rsidRPr="00476D2E">
        <w:rPr>
          <w:noProof/>
          <w:lang w:val="sq-AL"/>
        </w:rPr>
        <w:t>Ë</w:t>
      </w:r>
      <w:r w:rsidR="00393657" w:rsidRPr="00476D2E">
        <w:rPr>
          <w:noProof/>
          <w:lang w:val="sq-AL"/>
        </w:rPr>
        <w:t xml:space="preserve">shtë me rëndësi të theksohet që ndryshimet e propozuara </w:t>
      </w:r>
      <w:r w:rsidR="00F14D33">
        <w:rPr>
          <w:noProof/>
          <w:lang w:val="sq-AL"/>
        </w:rPr>
        <w:t xml:space="preserve">nuk </w:t>
      </w:r>
      <w:r w:rsidR="00393657" w:rsidRPr="00476D2E">
        <w:rPr>
          <w:noProof/>
          <w:lang w:val="sq-AL"/>
        </w:rPr>
        <w:t>prek</w:t>
      </w:r>
      <w:r w:rsidR="000279F1" w:rsidRPr="00476D2E">
        <w:rPr>
          <w:noProof/>
          <w:lang w:val="sq-AL"/>
        </w:rPr>
        <w:t>ë</w:t>
      </w:r>
      <w:r w:rsidR="004D6548" w:rsidRPr="00476D2E">
        <w:rPr>
          <w:noProof/>
          <w:lang w:val="sq-AL"/>
        </w:rPr>
        <w:t>n</w:t>
      </w:r>
      <w:r w:rsidR="00393657" w:rsidRPr="00476D2E">
        <w:rPr>
          <w:noProof/>
          <w:lang w:val="sq-AL"/>
        </w:rPr>
        <w:t xml:space="preserve"> </w:t>
      </w:r>
      <w:r w:rsidR="00F14D33" w:rsidRPr="00F14D33">
        <w:rPr>
          <w:noProof/>
          <w:lang w:val="sq-AL"/>
        </w:rPr>
        <w:t>deficiti</w:t>
      </w:r>
      <w:r w:rsidR="00221E18">
        <w:rPr>
          <w:noProof/>
          <w:lang w:val="sq-AL"/>
        </w:rPr>
        <w:t>n</w:t>
      </w:r>
      <w:r w:rsidR="00F14D33" w:rsidRPr="00F14D33">
        <w:rPr>
          <w:noProof/>
          <w:lang w:val="sq-AL"/>
        </w:rPr>
        <w:t xml:space="preserve"> buxhetor, </w:t>
      </w:r>
      <w:r w:rsidR="00221E18">
        <w:rPr>
          <w:noProof/>
          <w:lang w:val="sq-AL"/>
        </w:rPr>
        <w:t>i</w:t>
      </w:r>
      <w:r w:rsidR="00F14D33" w:rsidRPr="00F14D33">
        <w:rPr>
          <w:noProof/>
          <w:lang w:val="sq-AL"/>
        </w:rPr>
        <w:t xml:space="preserve"> cil</w:t>
      </w:r>
      <w:r w:rsidR="00221E18">
        <w:rPr>
          <w:noProof/>
          <w:lang w:val="sq-AL"/>
        </w:rPr>
        <w:t>i</w:t>
      </w:r>
      <w:r w:rsidR="00F14D33" w:rsidRPr="00F14D33">
        <w:rPr>
          <w:noProof/>
          <w:lang w:val="sq-AL"/>
        </w:rPr>
        <w:t xml:space="preserve"> mbet</w:t>
      </w:r>
      <w:r w:rsidR="00221E18">
        <w:rPr>
          <w:noProof/>
          <w:lang w:val="sq-AL"/>
        </w:rPr>
        <w:t>i</w:t>
      </w:r>
      <w:r w:rsidR="00F14D33" w:rsidRPr="00F14D33">
        <w:rPr>
          <w:noProof/>
          <w:lang w:val="sq-AL"/>
        </w:rPr>
        <w:t xml:space="preserve"> </w:t>
      </w:r>
      <w:r w:rsidR="00221E18">
        <w:rPr>
          <w:noProof/>
          <w:lang w:val="sq-AL"/>
        </w:rPr>
        <w:t>i</w:t>
      </w:r>
      <w:r w:rsidR="00F14D33" w:rsidRPr="00F14D33">
        <w:rPr>
          <w:noProof/>
          <w:lang w:val="sq-AL"/>
        </w:rPr>
        <w:t xml:space="preserve"> pandryshuar</w:t>
      </w:r>
      <w:r w:rsidR="00393657" w:rsidRPr="00476D2E">
        <w:rPr>
          <w:noProof/>
          <w:lang w:val="sq-AL"/>
        </w:rPr>
        <w:t>.</w:t>
      </w:r>
    </w:p>
    <w:p w:rsidR="00393657" w:rsidRDefault="00393657" w:rsidP="00153CD6">
      <w:pPr>
        <w:pStyle w:val="ListParagraph"/>
        <w:spacing w:line="240" w:lineRule="auto"/>
        <w:rPr>
          <w:rFonts w:cs="Calibri"/>
          <w:i/>
          <w:noProof/>
          <w:szCs w:val="26"/>
          <w:lang w:val="sq-AL"/>
        </w:rPr>
      </w:pPr>
    </w:p>
    <w:p w:rsidR="006D089B" w:rsidRPr="00A77924" w:rsidRDefault="006D089B" w:rsidP="00C71069">
      <w:pPr>
        <w:pStyle w:val="ListParagraph"/>
        <w:numPr>
          <w:ilvl w:val="0"/>
          <w:numId w:val="41"/>
        </w:numPr>
        <w:spacing w:line="240" w:lineRule="auto"/>
        <w:ind w:left="360"/>
        <w:rPr>
          <w:rFonts w:cs="Calibri"/>
          <w:u w:val="single"/>
          <w:lang w:val="sq-AL"/>
        </w:rPr>
      </w:pPr>
      <w:r w:rsidRPr="00476D2E">
        <w:rPr>
          <w:rFonts w:cs="Calibri"/>
          <w:b/>
          <w:u w:val="single"/>
          <w:lang w:val="sq-AL"/>
        </w:rPr>
        <w:t>Akti Normativ Nr.</w:t>
      </w:r>
      <w:r w:rsidR="004116F3">
        <w:rPr>
          <w:rFonts w:cs="Calibri"/>
          <w:b/>
          <w:u w:val="single"/>
          <w:lang w:val="sq-AL"/>
        </w:rPr>
        <w:t>12</w:t>
      </w:r>
      <w:r w:rsidRPr="00EF7C8D">
        <w:rPr>
          <w:rFonts w:cs="Calibri"/>
          <w:b/>
          <w:u w:val="single"/>
          <w:lang w:val="sq-AL"/>
        </w:rPr>
        <w:t xml:space="preserve"> datë </w:t>
      </w:r>
      <w:r w:rsidR="00996D95" w:rsidRPr="00EF7C8D">
        <w:rPr>
          <w:rFonts w:cs="Calibri"/>
          <w:b/>
          <w:u w:val="single"/>
          <w:lang w:val="sq-AL"/>
        </w:rPr>
        <w:t>2</w:t>
      </w:r>
      <w:r w:rsidR="004116F3">
        <w:rPr>
          <w:rFonts w:cs="Calibri"/>
          <w:b/>
          <w:u w:val="single"/>
          <w:lang w:val="sq-AL"/>
        </w:rPr>
        <w:t>9</w:t>
      </w:r>
      <w:r w:rsidRPr="00EF7C8D">
        <w:rPr>
          <w:rFonts w:cs="Calibri"/>
          <w:b/>
          <w:u w:val="single"/>
          <w:lang w:val="sq-AL"/>
        </w:rPr>
        <w:t>.</w:t>
      </w:r>
      <w:r w:rsidR="00AD5BF5" w:rsidRPr="00EF7C8D">
        <w:rPr>
          <w:rFonts w:cs="Calibri"/>
          <w:b/>
          <w:u w:val="single"/>
          <w:lang w:val="sq-AL"/>
        </w:rPr>
        <w:t>0</w:t>
      </w:r>
      <w:r w:rsidR="004116F3">
        <w:rPr>
          <w:rFonts w:cs="Calibri"/>
          <w:b/>
          <w:u w:val="single"/>
          <w:lang w:val="sq-AL"/>
        </w:rPr>
        <w:t>7</w:t>
      </w:r>
      <w:r w:rsidRPr="00EF7C8D">
        <w:rPr>
          <w:rFonts w:cs="Calibri"/>
          <w:b/>
          <w:u w:val="single"/>
          <w:lang w:val="sq-AL"/>
        </w:rPr>
        <w:t>.20</w:t>
      </w:r>
      <w:r w:rsidR="00AD5BF5" w:rsidRPr="00EF7C8D">
        <w:rPr>
          <w:rFonts w:cs="Calibri"/>
          <w:b/>
          <w:u w:val="single"/>
          <w:lang w:val="sq-AL"/>
        </w:rPr>
        <w:t>2</w:t>
      </w:r>
      <w:r w:rsidR="004116F3">
        <w:rPr>
          <w:rFonts w:cs="Calibri"/>
          <w:b/>
          <w:u w:val="single"/>
          <w:lang w:val="sq-AL"/>
        </w:rPr>
        <w:t>2</w:t>
      </w:r>
      <w:r w:rsidRPr="00EF7C8D">
        <w:rPr>
          <w:rFonts w:cs="Calibri"/>
          <w:b/>
          <w:u w:val="single"/>
          <w:lang w:val="sq-AL"/>
        </w:rPr>
        <w:t xml:space="preserve"> </w:t>
      </w:r>
      <w:r w:rsidRPr="00EF7C8D">
        <w:rPr>
          <w:rFonts w:cs="Calibri"/>
          <w:u w:val="single"/>
          <w:lang w:val="sq-AL"/>
        </w:rPr>
        <w:t>“</w:t>
      </w:r>
      <w:r w:rsidR="00F6501B" w:rsidRPr="00A77924">
        <w:rPr>
          <w:rFonts w:cs="Calibri"/>
          <w:i/>
          <w:u w:val="single"/>
          <w:lang w:val="sq-AL"/>
        </w:rPr>
        <w:t xml:space="preserve">Për disa ndryshime në </w:t>
      </w:r>
      <w:r w:rsidR="00996D95" w:rsidRPr="00A77924">
        <w:rPr>
          <w:rFonts w:cs="Calibri"/>
          <w:i/>
          <w:u w:val="single"/>
          <w:lang w:val="sq-AL"/>
        </w:rPr>
        <w:t xml:space="preserve">Ligjin </w:t>
      </w:r>
      <w:r w:rsidR="004116F3" w:rsidRPr="00A77924">
        <w:rPr>
          <w:rFonts w:cs="Calibri"/>
          <w:i/>
          <w:spacing w:val="-1"/>
          <w:u w:val="single"/>
          <w:lang w:val="sq-AL"/>
        </w:rPr>
        <w:t>nr.115/2021 “Për buxhetin e vitit 2022</w:t>
      </w:r>
      <w:r w:rsidR="00996D95" w:rsidRPr="00A77924">
        <w:rPr>
          <w:rFonts w:cs="Calibri"/>
          <w:i/>
          <w:u w:val="single"/>
          <w:lang w:val="sq-AL"/>
        </w:rPr>
        <w:t xml:space="preserve">, </w:t>
      </w:r>
      <w:r w:rsidR="00F6501B" w:rsidRPr="00A77924">
        <w:rPr>
          <w:rFonts w:cs="Calibri"/>
          <w:i/>
          <w:u w:val="single"/>
          <w:lang w:val="sq-AL"/>
        </w:rPr>
        <w:t>i</w:t>
      </w:r>
      <w:r w:rsidRPr="00A77924">
        <w:rPr>
          <w:rFonts w:cs="Calibri"/>
          <w:i/>
          <w:u w:val="single"/>
          <w:lang w:val="sq-AL"/>
        </w:rPr>
        <w:t xml:space="preserve"> ndryshuar</w:t>
      </w:r>
      <w:r w:rsidRPr="00A77924">
        <w:rPr>
          <w:rFonts w:cs="Calibri"/>
          <w:u w:val="single"/>
          <w:lang w:val="sq-AL"/>
        </w:rPr>
        <w:t>”:</w:t>
      </w:r>
    </w:p>
    <w:p w:rsidR="00441FF6" w:rsidRPr="00441FF6" w:rsidRDefault="00AD5BF5" w:rsidP="00153CD6">
      <w:pPr>
        <w:spacing w:line="240" w:lineRule="auto"/>
        <w:rPr>
          <w:lang w:val="sq-AL"/>
        </w:rPr>
      </w:pPr>
      <w:r w:rsidRPr="00476D2E">
        <w:rPr>
          <w:color w:val="000000"/>
          <w:lang w:val="sq-AL"/>
        </w:rPr>
        <w:t>Aspekti i nevojës dhe emergjencës së k</w:t>
      </w:r>
      <w:r w:rsidR="000279F1" w:rsidRPr="00476D2E">
        <w:rPr>
          <w:color w:val="000000"/>
          <w:lang w:val="sq-AL"/>
        </w:rPr>
        <w:t>ë</w:t>
      </w:r>
      <w:r w:rsidRPr="00476D2E">
        <w:rPr>
          <w:color w:val="000000"/>
          <w:lang w:val="sq-AL"/>
        </w:rPr>
        <w:t xml:space="preserve">tij AN, </w:t>
      </w:r>
      <w:r w:rsidR="00441FF6">
        <w:rPr>
          <w:color w:val="000000"/>
          <w:lang w:val="sq-AL"/>
        </w:rPr>
        <w:t>lidhet me</w:t>
      </w:r>
      <w:r w:rsidR="00441FF6" w:rsidRPr="00441FF6">
        <w:rPr>
          <w:color w:val="000000"/>
          <w:lang w:val="sq-AL"/>
        </w:rPr>
        <w:t xml:space="preserve"> </w:t>
      </w:r>
      <w:r w:rsidR="00A77924" w:rsidRPr="00A77924">
        <w:rPr>
          <w:color w:val="000000"/>
          <w:lang w:val="sq-AL"/>
        </w:rPr>
        <w:t>menaxhimi</w:t>
      </w:r>
      <w:r w:rsidR="00A77924">
        <w:rPr>
          <w:color w:val="000000"/>
          <w:lang w:val="sq-AL"/>
        </w:rPr>
        <w:t>n</w:t>
      </w:r>
      <w:r w:rsidR="00A77924" w:rsidRPr="00A77924">
        <w:rPr>
          <w:color w:val="000000"/>
          <w:lang w:val="sq-AL"/>
        </w:rPr>
        <w:t xml:space="preserve"> </w:t>
      </w:r>
      <w:r w:rsidR="00A77924">
        <w:rPr>
          <w:color w:val="000000"/>
          <w:lang w:val="sq-AL"/>
        </w:rPr>
        <w:t>e</w:t>
      </w:r>
      <w:r w:rsidR="00A77924" w:rsidRPr="00A77924">
        <w:rPr>
          <w:color w:val="000000"/>
          <w:lang w:val="sq-AL"/>
        </w:rPr>
        <w:t xml:space="preserve"> situatës së krizës në shkallë të gjerë si pasojë e luftës në Ukrainë, me fokus primar akomodimin e financimit mbështetjes për shtresat e sektorët e impaktuar nga situata e krizës dhe reduktimin e defiçitit buxhetor për garantimin e qëndrueshmërisë së parametrave makroekonomikë</w:t>
      </w:r>
      <w:r w:rsidR="00A77924">
        <w:rPr>
          <w:color w:val="000000"/>
          <w:lang w:val="sq-AL"/>
        </w:rPr>
        <w:t xml:space="preserve">. </w:t>
      </w:r>
      <w:r w:rsidR="00441FF6">
        <w:rPr>
          <w:lang w:val="sq-AL"/>
        </w:rPr>
        <w:t>Ky AN përcaktoi</w:t>
      </w:r>
      <w:r w:rsidR="00441FF6" w:rsidRPr="00441FF6">
        <w:rPr>
          <w:lang w:val="sq-AL"/>
        </w:rPr>
        <w:t xml:space="preserve"> përkatësisht</w:t>
      </w:r>
      <w:r w:rsidR="00A77924">
        <w:rPr>
          <w:lang w:val="sq-AL"/>
        </w:rPr>
        <w:t xml:space="preserve"> k</w:t>
      </w:r>
      <w:r w:rsidR="00D65C9E">
        <w:rPr>
          <w:lang w:val="sq-AL"/>
        </w:rPr>
        <w:t>ë</w:t>
      </w:r>
      <w:r w:rsidR="00A77924">
        <w:rPr>
          <w:lang w:val="sq-AL"/>
        </w:rPr>
        <w:t>to ndryshime</w:t>
      </w:r>
      <w:r w:rsidR="00441FF6" w:rsidRPr="00441FF6">
        <w:rPr>
          <w:lang w:val="sq-AL"/>
        </w:rPr>
        <w:t>:</w:t>
      </w:r>
    </w:p>
    <w:p w:rsidR="00A77924" w:rsidRPr="00A77924" w:rsidRDefault="00A77924" w:rsidP="00C71069">
      <w:pPr>
        <w:numPr>
          <w:ilvl w:val="0"/>
          <w:numId w:val="40"/>
        </w:numPr>
        <w:spacing w:before="0" w:line="240" w:lineRule="auto"/>
        <w:contextualSpacing/>
        <w:rPr>
          <w:i/>
          <w:lang w:val="sq-AL"/>
        </w:rPr>
      </w:pPr>
      <w:r w:rsidRPr="00A77924">
        <w:rPr>
          <w:i/>
          <w:lang w:val="sq-AL"/>
        </w:rPr>
        <w:t>Shtrirjen e financimit të paketës së parë të ndihmës për konsumatorët, të akorduar përmes AN nr.3/2022, me qëllim përballimin e mëtejshëm të pasojave të rritjes së çmimeve të konsumit, nëpërmjet alokimit sërisht të një fondi kontigjencë për Paketën e Rezistencës Sociale ndaj pasojave të krizës, me kosto 6.1 miliardë lekë;</w:t>
      </w:r>
    </w:p>
    <w:p w:rsidR="00A77924" w:rsidRPr="00A77924" w:rsidRDefault="00A77924" w:rsidP="00C71069">
      <w:pPr>
        <w:numPr>
          <w:ilvl w:val="0"/>
          <w:numId w:val="40"/>
        </w:numPr>
        <w:spacing w:before="0" w:line="240" w:lineRule="auto"/>
        <w:contextualSpacing/>
        <w:rPr>
          <w:i/>
          <w:lang w:val="sq-AL"/>
        </w:rPr>
      </w:pPr>
      <w:r w:rsidRPr="00A77924">
        <w:rPr>
          <w:i/>
          <w:lang w:val="sq-AL"/>
        </w:rPr>
        <w:lastRenderedPageBreak/>
        <w:t>Reflektimin në kahun e të ardhurave të një rritje në masën 30 miliardë lekë. Kjo rritje vjen e bazuar ne performancen pozitive të realizimit të planit te te ardhurave tatimore dhe doganore nga administrata fiskale, per 7 mujorin 2022.</w:t>
      </w:r>
    </w:p>
    <w:p w:rsidR="00441FF6" w:rsidRPr="00A77924" w:rsidRDefault="00A77924" w:rsidP="00C71069">
      <w:pPr>
        <w:numPr>
          <w:ilvl w:val="0"/>
          <w:numId w:val="40"/>
        </w:numPr>
        <w:spacing w:before="0" w:line="240" w:lineRule="auto"/>
        <w:contextualSpacing/>
        <w:rPr>
          <w:i/>
          <w:lang w:val="sq-AL"/>
        </w:rPr>
      </w:pPr>
      <w:r w:rsidRPr="00A77924">
        <w:rPr>
          <w:i/>
          <w:lang w:val="sq-AL"/>
        </w:rPr>
        <w:t>Reduktimin e huamarrjes së brendshme dhe defiçitit buxhetor në masën 17 miliardë lekë;</w:t>
      </w:r>
    </w:p>
    <w:p w:rsidR="009B07E1" w:rsidRDefault="00441FF6" w:rsidP="00153CD6">
      <w:pPr>
        <w:spacing w:line="240" w:lineRule="auto"/>
        <w:rPr>
          <w:noProof/>
          <w:lang w:val="sq-AL"/>
        </w:rPr>
      </w:pPr>
      <w:r w:rsidRPr="00441FF6">
        <w:rPr>
          <w:noProof/>
          <w:lang w:val="sq-AL"/>
        </w:rPr>
        <w:t xml:space="preserve">Është me rëndësi të theksohet se </w:t>
      </w:r>
      <w:r w:rsidR="001823BA">
        <w:rPr>
          <w:noProof/>
          <w:lang w:val="sq-AL"/>
        </w:rPr>
        <w:t xml:space="preserve">ky AN </w:t>
      </w:r>
      <w:r w:rsidR="001823BA" w:rsidRPr="001823BA">
        <w:rPr>
          <w:noProof/>
          <w:lang w:val="sq-AL"/>
        </w:rPr>
        <w:t>shërbe</w:t>
      </w:r>
      <w:r w:rsidR="001823BA">
        <w:rPr>
          <w:noProof/>
          <w:lang w:val="sq-AL"/>
        </w:rPr>
        <w:t>u</w:t>
      </w:r>
      <w:r w:rsidR="001823BA" w:rsidRPr="001823BA">
        <w:rPr>
          <w:noProof/>
          <w:lang w:val="sq-AL"/>
        </w:rPr>
        <w:t xml:space="preserve"> për sigurimin deri në fund të vitit 2022 të qëndrueshmërisë së parametrave kyç makro-fiskale, krahas orientimit të burimeve financiare drejt mbështetjes së shtresave më vulnerabël dhe politikave prioritare</w:t>
      </w:r>
      <w:r w:rsidR="009B07E1" w:rsidRPr="00476D2E">
        <w:rPr>
          <w:noProof/>
          <w:lang w:val="sq-AL"/>
        </w:rPr>
        <w:t>.</w:t>
      </w:r>
    </w:p>
    <w:p w:rsidR="001823BA" w:rsidRPr="00476D2E" w:rsidRDefault="001823BA" w:rsidP="00153CD6">
      <w:pPr>
        <w:spacing w:line="240" w:lineRule="auto"/>
        <w:rPr>
          <w:noProof/>
          <w:lang w:val="sq-AL"/>
        </w:rPr>
      </w:pPr>
    </w:p>
    <w:p w:rsidR="009B07E1" w:rsidRPr="00EF7C8D" w:rsidRDefault="009B07E1" w:rsidP="00C71069">
      <w:pPr>
        <w:pStyle w:val="ListParagraph"/>
        <w:numPr>
          <w:ilvl w:val="0"/>
          <w:numId w:val="41"/>
        </w:numPr>
        <w:spacing w:line="240" w:lineRule="auto"/>
        <w:ind w:left="360"/>
        <w:rPr>
          <w:rFonts w:cs="Calibri"/>
          <w:u w:val="single"/>
          <w:lang w:val="sq-AL"/>
        </w:rPr>
      </w:pPr>
      <w:r w:rsidRPr="00476D2E">
        <w:rPr>
          <w:rFonts w:cs="Calibri"/>
          <w:b/>
          <w:u w:val="single"/>
          <w:lang w:val="sq-AL"/>
        </w:rPr>
        <w:t>Akti Normativ Nr.</w:t>
      </w:r>
      <w:r w:rsidR="00441FF6">
        <w:rPr>
          <w:rFonts w:cs="Calibri"/>
          <w:b/>
          <w:u w:val="single"/>
          <w:lang w:val="sq-AL"/>
        </w:rPr>
        <w:t>1</w:t>
      </w:r>
      <w:r w:rsidR="0023003F">
        <w:rPr>
          <w:rFonts w:cs="Calibri"/>
          <w:b/>
          <w:u w:val="single"/>
          <w:lang w:val="sq-AL"/>
        </w:rPr>
        <w:t>7</w:t>
      </w:r>
      <w:r w:rsidRPr="00EF7C8D">
        <w:rPr>
          <w:rFonts w:cs="Calibri"/>
          <w:b/>
          <w:u w:val="single"/>
          <w:lang w:val="sq-AL"/>
        </w:rPr>
        <w:t xml:space="preserve"> datë </w:t>
      </w:r>
      <w:r w:rsidR="0023003F">
        <w:rPr>
          <w:rFonts w:cs="Calibri"/>
          <w:b/>
          <w:u w:val="single"/>
          <w:lang w:val="sq-AL"/>
        </w:rPr>
        <w:t>01</w:t>
      </w:r>
      <w:r w:rsidRPr="00EF7C8D">
        <w:rPr>
          <w:rFonts w:cs="Calibri"/>
          <w:b/>
          <w:u w:val="single"/>
          <w:lang w:val="sq-AL"/>
        </w:rPr>
        <w:t>.</w:t>
      </w:r>
      <w:r w:rsidR="0023003F">
        <w:rPr>
          <w:rFonts w:cs="Calibri"/>
          <w:b/>
          <w:u w:val="single"/>
          <w:lang w:val="sq-AL"/>
        </w:rPr>
        <w:t>12</w:t>
      </w:r>
      <w:r w:rsidRPr="00EF7C8D">
        <w:rPr>
          <w:rFonts w:cs="Calibri"/>
          <w:b/>
          <w:u w:val="single"/>
          <w:lang w:val="sq-AL"/>
        </w:rPr>
        <w:t>.202</w:t>
      </w:r>
      <w:r w:rsidR="0023003F">
        <w:rPr>
          <w:rFonts w:cs="Calibri"/>
          <w:b/>
          <w:u w:val="single"/>
          <w:lang w:val="sq-AL"/>
        </w:rPr>
        <w:t>2</w:t>
      </w:r>
      <w:r w:rsidRPr="00EF7C8D">
        <w:rPr>
          <w:rFonts w:cs="Calibri"/>
          <w:b/>
          <w:u w:val="single"/>
          <w:lang w:val="sq-AL"/>
        </w:rPr>
        <w:t xml:space="preserve"> </w:t>
      </w:r>
      <w:r w:rsidR="00441FF6" w:rsidRPr="00EF7C8D">
        <w:rPr>
          <w:rFonts w:cs="Calibri"/>
          <w:u w:val="single"/>
          <w:lang w:val="sq-AL"/>
        </w:rPr>
        <w:t>“</w:t>
      </w:r>
      <w:r w:rsidR="0023003F" w:rsidRPr="00A77924">
        <w:rPr>
          <w:rFonts w:cs="Calibri"/>
          <w:i/>
          <w:u w:val="single"/>
          <w:lang w:val="sq-AL"/>
        </w:rPr>
        <w:t xml:space="preserve">Për disa ndryshime në Ligjin </w:t>
      </w:r>
      <w:r w:rsidR="0023003F" w:rsidRPr="00A77924">
        <w:rPr>
          <w:rFonts w:cs="Calibri"/>
          <w:i/>
          <w:spacing w:val="-1"/>
          <w:u w:val="single"/>
          <w:lang w:val="sq-AL"/>
        </w:rPr>
        <w:t>nr.115/2021 “Për buxhetin e vitit 2022</w:t>
      </w:r>
      <w:r w:rsidR="0023003F" w:rsidRPr="00A77924">
        <w:rPr>
          <w:rFonts w:cs="Calibri"/>
          <w:i/>
          <w:u w:val="single"/>
          <w:lang w:val="sq-AL"/>
        </w:rPr>
        <w:t>, i ndryshuar</w:t>
      </w:r>
      <w:r w:rsidR="0023003F" w:rsidRPr="00A77924">
        <w:rPr>
          <w:rFonts w:cs="Calibri"/>
          <w:u w:val="single"/>
          <w:lang w:val="sq-AL"/>
        </w:rPr>
        <w:t>”</w:t>
      </w:r>
      <w:r w:rsidRPr="00EF7C8D">
        <w:rPr>
          <w:rFonts w:cs="Calibri"/>
          <w:u w:val="single"/>
          <w:lang w:val="sq-AL"/>
        </w:rPr>
        <w:t>:</w:t>
      </w:r>
    </w:p>
    <w:p w:rsidR="00EA7019" w:rsidRPr="00441FF6" w:rsidRDefault="00441FF6" w:rsidP="00153CD6">
      <w:pPr>
        <w:spacing w:before="0" w:line="240" w:lineRule="auto"/>
        <w:contextualSpacing/>
        <w:rPr>
          <w:lang w:val="sq-AL"/>
        </w:rPr>
      </w:pPr>
      <w:r w:rsidRPr="00476D2E">
        <w:rPr>
          <w:color w:val="000000"/>
          <w:lang w:val="sq-AL"/>
        </w:rPr>
        <w:t>Aspekti i nevojës dhe emergjencës së këtij AN</w:t>
      </w:r>
      <w:r w:rsidR="00A4409C">
        <w:rPr>
          <w:color w:val="000000"/>
          <w:lang w:val="sq-AL"/>
        </w:rPr>
        <w:t xml:space="preserve"> lidhet</w:t>
      </w:r>
      <w:r w:rsidRPr="00476D2E">
        <w:rPr>
          <w:color w:val="000000"/>
          <w:lang w:val="sq-AL"/>
        </w:rPr>
        <w:t xml:space="preserve"> </w:t>
      </w:r>
      <w:r w:rsidR="00A4409C">
        <w:rPr>
          <w:color w:val="000000"/>
          <w:lang w:val="sq-AL"/>
        </w:rPr>
        <w:t>me</w:t>
      </w:r>
      <w:r w:rsidR="0023003F" w:rsidRPr="0023003F">
        <w:rPr>
          <w:color w:val="000000"/>
          <w:lang w:val="sq-AL"/>
        </w:rPr>
        <w:t xml:space="preserve"> vlerësimi</w:t>
      </w:r>
      <w:r w:rsidR="00A4409C">
        <w:rPr>
          <w:color w:val="000000"/>
          <w:lang w:val="sq-AL"/>
        </w:rPr>
        <w:t>n</w:t>
      </w:r>
      <w:r w:rsidR="0023003F" w:rsidRPr="0023003F">
        <w:rPr>
          <w:color w:val="000000"/>
          <w:lang w:val="sq-AL"/>
        </w:rPr>
        <w:t xml:space="preserve"> </w:t>
      </w:r>
      <w:r w:rsidR="00A4409C">
        <w:rPr>
          <w:color w:val="000000"/>
          <w:lang w:val="sq-AL"/>
        </w:rPr>
        <w:t>e</w:t>
      </w:r>
      <w:r w:rsidR="0023003F" w:rsidRPr="0023003F">
        <w:rPr>
          <w:color w:val="000000"/>
          <w:lang w:val="sq-AL"/>
        </w:rPr>
        <w:t xml:space="preserve"> ecurisë 10 dhe 11 mujore të treguesve fiskalë</w:t>
      </w:r>
      <w:r w:rsidR="00512034">
        <w:rPr>
          <w:color w:val="000000"/>
          <w:lang w:val="sq-AL"/>
        </w:rPr>
        <w:t xml:space="preserve"> nga ana e MFE</w:t>
      </w:r>
      <w:r w:rsidR="0023003F" w:rsidRPr="0023003F">
        <w:rPr>
          <w:color w:val="000000"/>
          <w:lang w:val="sq-AL"/>
        </w:rPr>
        <w:t>, me fokus primar garantimin e finalizimit në terma optimal të vitit buxhetor 2022 sa i takon performancës së shpenzimeve, të ardhurave dhe qëndrueshmërisë së parametrave makroekonomikë në tërësi</w:t>
      </w:r>
      <w:r w:rsidR="00EA7019">
        <w:rPr>
          <w:rFonts w:asciiTheme="majorHAnsi" w:hAnsiTheme="majorHAnsi"/>
          <w:noProof/>
          <w:lang w:val="sq-AL"/>
        </w:rPr>
        <w:t xml:space="preserve">. </w:t>
      </w:r>
      <w:r w:rsidR="00EA7019">
        <w:rPr>
          <w:lang w:val="sq-AL"/>
        </w:rPr>
        <w:t>AN përcaktoi</w:t>
      </w:r>
      <w:r w:rsidR="00EA7019" w:rsidRPr="00441FF6">
        <w:rPr>
          <w:lang w:val="sq-AL"/>
        </w:rPr>
        <w:t xml:space="preserve"> </w:t>
      </w:r>
      <w:r w:rsidR="00A814D4">
        <w:rPr>
          <w:lang w:val="sq-AL"/>
        </w:rPr>
        <w:t>disa</w:t>
      </w:r>
      <w:r w:rsidR="00EA7019" w:rsidRPr="00441FF6">
        <w:rPr>
          <w:lang w:val="sq-AL"/>
        </w:rPr>
        <w:t xml:space="preserve"> ndryshim</w:t>
      </w:r>
      <w:r w:rsidR="00A814D4">
        <w:rPr>
          <w:lang w:val="sq-AL"/>
        </w:rPr>
        <w:t>e</w:t>
      </w:r>
      <w:r w:rsidR="00EA7019" w:rsidRPr="00441FF6">
        <w:rPr>
          <w:lang w:val="sq-AL"/>
        </w:rPr>
        <w:t xml:space="preserve"> </w:t>
      </w:r>
      <w:r w:rsidR="00EA7019">
        <w:rPr>
          <w:lang w:val="sq-AL"/>
        </w:rPr>
        <w:t>që konsist</w:t>
      </w:r>
      <w:r w:rsidR="00A814D4">
        <w:rPr>
          <w:lang w:val="sq-AL"/>
        </w:rPr>
        <w:t>uan</w:t>
      </w:r>
      <w:r w:rsidR="00EA7019">
        <w:rPr>
          <w:lang w:val="sq-AL"/>
        </w:rPr>
        <w:t xml:space="preserve"> në</w:t>
      </w:r>
      <w:r w:rsidR="00EA7019" w:rsidRPr="00441FF6">
        <w:rPr>
          <w:lang w:val="sq-AL"/>
        </w:rPr>
        <w:t>:</w:t>
      </w:r>
    </w:p>
    <w:p w:rsidR="003854C2" w:rsidRPr="003854C2" w:rsidRDefault="003854C2" w:rsidP="00C71069">
      <w:pPr>
        <w:numPr>
          <w:ilvl w:val="0"/>
          <w:numId w:val="40"/>
        </w:numPr>
        <w:spacing w:before="0" w:line="240" w:lineRule="auto"/>
        <w:contextualSpacing/>
        <w:rPr>
          <w:i/>
          <w:lang w:val="sq-AL"/>
        </w:rPr>
      </w:pPr>
      <w:r w:rsidRPr="003854C2">
        <w:rPr>
          <w:i/>
          <w:lang w:val="sq-AL"/>
        </w:rPr>
        <w:t xml:space="preserve">Reflektimin në kahun e të ardhurave të një rritje në masën 5 miliardë lekë, si rezultat i performancës së kënaqshme të realizimit të zërave të tyre për 10 mujorin 2022. </w:t>
      </w:r>
    </w:p>
    <w:p w:rsidR="003854C2" w:rsidRPr="003854C2" w:rsidRDefault="003854C2" w:rsidP="00C71069">
      <w:pPr>
        <w:numPr>
          <w:ilvl w:val="0"/>
          <w:numId w:val="40"/>
        </w:numPr>
        <w:spacing w:before="0" w:line="240" w:lineRule="auto"/>
        <w:contextualSpacing/>
        <w:rPr>
          <w:i/>
          <w:lang w:val="sq-AL"/>
        </w:rPr>
      </w:pPr>
      <w:r w:rsidRPr="003854C2">
        <w:rPr>
          <w:i/>
          <w:lang w:val="sq-AL"/>
        </w:rPr>
        <w:t>Axhustimet mes zërave të shpenzimeve buxhetore, korente e kapitale, me synimin e optimizimit të realizimit të tyre viti</w:t>
      </w:r>
      <w:r>
        <w:rPr>
          <w:i/>
          <w:lang w:val="sq-AL"/>
        </w:rPr>
        <w:t>n</w:t>
      </w:r>
      <w:r w:rsidRPr="003854C2">
        <w:rPr>
          <w:i/>
          <w:lang w:val="sq-AL"/>
        </w:rPr>
        <w:t xml:space="preserve"> 2022, me një rritje NETO po në masën 5 miliardë lekë.</w:t>
      </w:r>
    </w:p>
    <w:p w:rsidR="003854C2" w:rsidRPr="003854C2" w:rsidRDefault="003854C2" w:rsidP="00C71069">
      <w:pPr>
        <w:numPr>
          <w:ilvl w:val="0"/>
          <w:numId w:val="40"/>
        </w:numPr>
        <w:spacing w:before="0" w:line="240" w:lineRule="auto"/>
        <w:contextualSpacing/>
        <w:rPr>
          <w:i/>
          <w:lang w:val="sq-AL"/>
        </w:rPr>
      </w:pPr>
      <w:r w:rsidRPr="003854C2">
        <w:rPr>
          <w:i/>
          <w:lang w:val="sq-AL"/>
        </w:rPr>
        <w:t>Ruajtjen të pandryshuar te deficiti buxhetor dhe borxhit publik.</w:t>
      </w:r>
    </w:p>
    <w:p w:rsidR="004036D4" w:rsidRPr="004036D4" w:rsidRDefault="004036D4" w:rsidP="00153CD6">
      <w:pPr>
        <w:spacing w:before="0" w:line="240" w:lineRule="auto"/>
        <w:rPr>
          <w:rFonts w:cs="Calibri"/>
          <w:sz w:val="8"/>
          <w:lang w:val="sq-AL"/>
        </w:rPr>
      </w:pPr>
    </w:p>
    <w:p w:rsidR="00441FF6" w:rsidRDefault="00C358E8" w:rsidP="00153CD6">
      <w:pPr>
        <w:spacing w:before="0" w:line="240" w:lineRule="auto"/>
        <w:rPr>
          <w:rFonts w:cs="Calibri"/>
          <w:lang w:val="sq-AL"/>
        </w:rPr>
      </w:pPr>
      <w:r>
        <w:rPr>
          <w:rFonts w:cs="Calibri"/>
          <w:lang w:val="sq-AL"/>
        </w:rPr>
        <w:t>Edhe</w:t>
      </w:r>
      <w:r w:rsidRPr="00C358E8">
        <w:rPr>
          <w:rFonts w:cs="Calibri"/>
          <w:lang w:val="sq-AL"/>
        </w:rPr>
        <w:t xml:space="preserve"> ky akt normativ nuk prek</w:t>
      </w:r>
      <w:r>
        <w:rPr>
          <w:rFonts w:cs="Calibri"/>
          <w:lang w:val="sq-AL"/>
        </w:rPr>
        <w:t>u</w:t>
      </w:r>
      <w:r w:rsidRPr="00C358E8">
        <w:rPr>
          <w:rFonts w:cs="Calibri"/>
          <w:lang w:val="sq-AL"/>
        </w:rPr>
        <w:t xml:space="preserve"> deficiti</w:t>
      </w:r>
      <w:r w:rsidR="004036D4">
        <w:rPr>
          <w:rFonts w:cs="Calibri"/>
          <w:lang w:val="sq-AL"/>
        </w:rPr>
        <w:t>n</w:t>
      </w:r>
      <w:r w:rsidRPr="00C358E8">
        <w:rPr>
          <w:rFonts w:cs="Calibri"/>
          <w:lang w:val="sq-AL"/>
        </w:rPr>
        <w:t xml:space="preserve"> buxhetor, </w:t>
      </w:r>
      <w:r w:rsidR="004036D4">
        <w:rPr>
          <w:rFonts w:cs="Calibri"/>
          <w:lang w:val="sq-AL"/>
        </w:rPr>
        <w:t>i</w:t>
      </w:r>
      <w:r w:rsidRPr="00C358E8">
        <w:rPr>
          <w:rFonts w:cs="Calibri"/>
          <w:lang w:val="sq-AL"/>
        </w:rPr>
        <w:t xml:space="preserve"> cil</w:t>
      </w:r>
      <w:r w:rsidR="004036D4">
        <w:rPr>
          <w:rFonts w:cs="Calibri"/>
          <w:lang w:val="sq-AL"/>
        </w:rPr>
        <w:t>i</w:t>
      </w:r>
      <w:r w:rsidRPr="00C358E8">
        <w:rPr>
          <w:rFonts w:cs="Calibri"/>
          <w:lang w:val="sq-AL"/>
        </w:rPr>
        <w:t xml:space="preserve"> mbet</w:t>
      </w:r>
      <w:r w:rsidR="004036D4">
        <w:rPr>
          <w:rFonts w:cs="Calibri"/>
          <w:lang w:val="sq-AL"/>
        </w:rPr>
        <w:t>i i</w:t>
      </w:r>
      <w:r w:rsidRPr="00C358E8">
        <w:rPr>
          <w:rFonts w:cs="Calibri"/>
          <w:lang w:val="sq-AL"/>
        </w:rPr>
        <w:t xml:space="preserve"> pandryshuar</w:t>
      </w:r>
      <w:r w:rsidR="00A11249">
        <w:rPr>
          <w:rFonts w:cs="Calibri"/>
          <w:lang w:val="sq-AL"/>
        </w:rPr>
        <w:t>.</w:t>
      </w:r>
    </w:p>
    <w:p w:rsidR="00A11249" w:rsidRDefault="00A11249" w:rsidP="00153CD6">
      <w:pPr>
        <w:spacing w:line="240" w:lineRule="auto"/>
        <w:rPr>
          <w:rFonts w:cs="Calibri"/>
          <w:sz w:val="12"/>
          <w:lang w:val="sq-AL"/>
        </w:rPr>
      </w:pPr>
    </w:p>
    <w:p w:rsidR="00554F56" w:rsidRPr="00554F56" w:rsidRDefault="00554F56" w:rsidP="00153CD6">
      <w:pPr>
        <w:pStyle w:val="ListParagraph"/>
        <w:spacing w:after="240" w:line="240" w:lineRule="auto"/>
        <w:rPr>
          <w:rFonts w:cs="Calibri"/>
          <w:sz w:val="16"/>
          <w:lang w:val="sq-AL"/>
        </w:rPr>
      </w:pPr>
    </w:p>
    <w:p w:rsidR="00B863AA" w:rsidRPr="00EF7C8D" w:rsidRDefault="00B863AA" w:rsidP="00C71069">
      <w:pPr>
        <w:pStyle w:val="ListParagraph"/>
        <w:numPr>
          <w:ilvl w:val="0"/>
          <w:numId w:val="41"/>
        </w:numPr>
        <w:spacing w:line="240" w:lineRule="auto"/>
        <w:ind w:left="360"/>
        <w:rPr>
          <w:rFonts w:cs="Calibri"/>
          <w:u w:val="single"/>
          <w:lang w:val="sq-AL"/>
        </w:rPr>
      </w:pPr>
      <w:r w:rsidRPr="00441FF6">
        <w:rPr>
          <w:rFonts w:cs="Calibri"/>
          <w:b/>
          <w:u w:val="single"/>
          <w:lang w:val="sq-AL"/>
        </w:rPr>
        <w:t>Akti Normativ Nr.</w:t>
      </w:r>
      <w:r w:rsidR="000151AD">
        <w:rPr>
          <w:rFonts w:cs="Calibri"/>
          <w:b/>
          <w:u w:val="single"/>
          <w:lang w:val="sq-AL"/>
        </w:rPr>
        <w:t>19</w:t>
      </w:r>
      <w:r w:rsidRPr="00EF7C8D">
        <w:rPr>
          <w:rFonts w:cs="Calibri"/>
          <w:b/>
          <w:u w:val="single"/>
          <w:lang w:val="sq-AL"/>
        </w:rPr>
        <w:t xml:space="preserve"> datë </w:t>
      </w:r>
      <w:r w:rsidR="000151AD">
        <w:rPr>
          <w:rFonts w:cs="Calibri"/>
          <w:b/>
          <w:u w:val="single"/>
          <w:lang w:val="sq-AL"/>
        </w:rPr>
        <w:t>29</w:t>
      </w:r>
      <w:r w:rsidRPr="00EF7C8D">
        <w:rPr>
          <w:rFonts w:cs="Calibri"/>
          <w:b/>
          <w:u w:val="single"/>
          <w:lang w:val="sq-AL"/>
        </w:rPr>
        <w:t>.12.202</w:t>
      </w:r>
      <w:r w:rsidR="000151AD">
        <w:rPr>
          <w:rFonts w:cs="Calibri"/>
          <w:b/>
          <w:u w:val="single"/>
          <w:lang w:val="sq-AL"/>
        </w:rPr>
        <w:t>2</w:t>
      </w:r>
      <w:r w:rsidRPr="00EF7C8D">
        <w:rPr>
          <w:rFonts w:cs="Calibri"/>
          <w:b/>
          <w:u w:val="single"/>
          <w:lang w:val="sq-AL"/>
        </w:rPr>
        <w:t xml:space="preserve"> </w:t>
      </w:r>
      <w:r w:rsidR="00DF2457" w:rsidRPr="00EF7C8D">
        <w:rPr>
          <w:rFonts w:cs="Calibri"/>
          <w:u w:val="single"/>
          <w:lang w:val="sq-AL"/>
        </w:rPr>
        <w:t>“</w:t>
      </w:r>
      <w:r w:rsidR="000151AD" w:rsidRPr="00A77924">
        <w:rPr>
          <w:rFonts w:cs="Calibri"/>
          <w:i/>
          <w:u w:val="single"/>
          <w:lang w:val="sq-AL"/>
        </w:rPr>
        <w:t xml:space="preserve">Për disa ndryshime në Ligjin </w:t>
      </w:r>
      <w:r w:rsidR="000151AD" w:rsidRPr="00A77924">
        <w:rPr>
          <w:rFonts w:cs="Calibri"/>
          <w:i/>
          <w:spacing w:val="-1"/>
          <w:u w:val="single"/>
          <w:lang w:val="sq-AL"/>
        </w:rPr>
        <w:t>nr.115/2021 “Për buxhetin e vitit 2022</w:t>
      </w:r>
      <w:r w:rsidR="000151AD" w:rsidRPr="00A77924">
        <w:rPr>
          <w:rFonts w:cs="Calibri"/>
          <w:i/>
          <w:u w:val="single"/>
          <w:lang w:val="sq-AL"/>
        </w:rPr>
        <w:t>, i ndryshuar</w:t>
      </w:r>
      <w:r w:rsidR="000151AD" w:rsidRPr="00A77924">
        <w:rPr>
          <w:rFonts w:cs="Calibri"/>
          <w:u w:val="single"/>
          <w:lang w:val="sq-AL"/>
        </w:rPr>
        <w:t>”</w:t>
      </w:r>
      <w:r w:rsidRPr="00EF7C8D">
        <w:rPr>
          <w:rFonts w:cs="Calibri"/>
          <w:u w:val="single"/>
          <w:lang w:val="sq-AL"/>
        </w:rPr>
        <w:t>:</w:t>
      </w:r>
    </w:p>
    <w:p w:rsidR="00B863AA" w:rsidRPr="00476D2E" w:rsidRDefault="00B863AA" w:rsidP="00153CD6">
      <w:pPr>
        <w:spacing w:line="240" w:lineRule="auto"/>
        <w:rPr>
          <w:rFonts w:asciiTheme="majorHAnsi" w:hAnsiTheme="majorHAnsi"/>
          <w:color w:val="000000"/>
          <w:szCs w:val="22"/>
          <w:lang w:val="sq-AL"/>
        </w:rPr>
      </w:pPr>
      <w:r w:rsidRPr="00476D2E">
        <w:rPr>
          <w:rFonts w:asciiTheme="majorHAnsi" w:hAnsiTheme="majorHAnsi"/>
          <w:noProof/>
          <w:szCs w:val="22"/>
          <w:lang w:val="sq-AL"/>
        </w:rPr>
        <w:t xml:space="preserve">Mbështetur në </w:t>
      </w:r>
      <w:r w:rsidR="000151AD" w:rsidRPr="000151AD">
        <w:rPr>
          <w:rFonts w:asciiTheme="majorHAnsi" w:hAnsiTheme="majorHAnsi"/>
          <w:color w:val="000000"/>
          <w:szCs w:val="22"/>
          <w:lang w:val="sq-AL"/>
        </w:rPr>
        <w:t>vlerësimi</w:t>
      </w:r>
      <w:r w:rsidR="000151AD">
        <w:rPr>
          <w:rFonts w:asciiTheme="majorHAnsi" w:hAnsiTheme="majorHAnsi"/>
          <w:color w:val="000000"/>
          <w:szCs w:val="22"/>
          <w:lang w:val="sq-AL"/>
        </w:rPr>
        <w:t>n</w:t>
      </w:r>
      <w:r w:rsidR="000151AD" w:rsidRPr="000151AD">
        <w:rPr>
          <w:rFonts w:asciiTheme="majorHAnsi" w:hAnsiTheme="majorHAnsi"/>
          <w:color w:val="000000"/>
          <w:szCs w:val="22"/>
          <w:lang w:val="sq-AL"/>
        </w:rPr>
        <w:t xml:space="preserve"> vjetor të treguesve fiskalë, </w:t>
      </w:r>
      <w:r w:rsidR="000151AD">
        <w:rPr>
          <w:rFonts w:asciiTheme="majorHAnsi" w:hAnsiTheme="majorHAnsi"/>
          <w:color w:val="000000"/>
          <w:szCs w:val="22"/>
          <w:lang w:val="sq-AL"/>
        </w:rPr>
        <w:t xml:space="preserve">Qeveria </w:t>
      </w:r>
      <w:r w:rsidR="000151AD" w:rsidRPr="000151AD">
        <w:rPr>
          <w:rFonts w:asciiTheme="majorHAnsi" w:hAnsiTheme="majorHAnsi"/>
          <w:color w:val="000000"/>
          <w:szCs w:val="22"/>
          <w:lang w:val="sq-AL"/>
        </w:rPr>
        <w:t>ndërm</w:t>
      </w:r>
      <w:r w:rsidR="000151AD">
        <w:rPr>
          <w:rFonts w:asciiTheme="majorHAnsi" w:hAnsiTheme="majorHAnsi"/>
          <w:color w:val="000000"/>
          <w:szCs w:val="22"/>
          <w:lang w:val="sq-AL"/>
        </w:rPr>
        <w:t>ori</w:t>
      </w:r>
      <w:r w:rsidR="000151AD" w:rsidRPr="000151AD">
        <w:rPr>
          <w:rFonts w:asciiTheme="majorHAnsi" w:hAnsiTheme="majorHAnsi"/>
          <w:color w:val="000000"/>
          <w:szCs w:val="22"/>
          <w:lang w:val="sq-AL"/>
        </w:rPr>
        <w:t xml:space="preserve"> procesin e rishikimit të fundit të buxhetit 2022, i cili </w:t>
      </w:r>
      <w:r w:rsidR="000151AD">
        <w:rPr>
          <w:rFonts w:asciiTheme="majorHAnsi" w:hAnsiTheme="majorHAnsi"/>
          <w:color w:val="000000"/>
          <w:szCs w:val="22"/>
          <w:lang w:val="sq-AL"/>
        </w:rPr>
        <w:t>pati</w:t>
      </w:r>
      <w:r w:rsidR="000151AD" w:rsidRPr="000151AD">
        <w:rPr>
          <w:rFonts w:asciiTheme="majorHAnsi" w:hAnsiTheme="majorHAnsi"/>
          <w:color w:val="000000"/>
          <w:szCs w:val="22"/>
          <w:lang w:val="sq-AL"/>
        </w:rPr>
        <w:t xml:space="preserve"> për qëllim shpërndarjen e pakëtës së re të fundvitit për qytetarët, në formën e pagesave të menjëhershme për një sërë kategorish të shtresave sociale</w:t>
      </w:r>
      <w:r w:rsidRPr="00476D2E">
        <w:rPr>
          <w:rFonts w:asciiTheme="majorHAnsi" w:hAnsiTheme="majorHAnsi"/>
          <w:color w:val="000000"/>
          <w:szCs w:val="22"/>
          <w:lang w:val="sq-AL"/>
        </w:rPr>
        <w:t>. Aspekti i nevojës dhe emergjencës s</w:t>
      </w:r>
      <w:r w:rsidR="000279F1" w:rsidRPr="00476D2E">
        <w:rPr>
          <w:rFonts w:asciiTheme="majorHAnsi" w:hAnsiTheme="majorHAnsi"/>
          <w:color w:val="000000"/>
          <w:szCs w:val="22"/>
          <w:lang w:val="sq-AL"/>
        </w:rPr>
        <w:t>ë</w:t>
      </w:r>
      <w:r w:rsidRPr="00476D2E">
        <w:rPr>
          <w:rFonts w:asciiTheme="majorHAnsi" w:hAnsiTheme="majorHAnsi"/>
          <w:color w:val="000000"/>
          <w:szCs w:val="22"/>
          <w:lang w:val="sq-AL"/>
        </w:rPr>
        <w:t xml:space="preserve"> k</w:t>
      </w:r>
      <w:r w:rsidR="000279F1" w:rsidRPr="00476D2E">
        <w:rPr>
          <w:rFonts w:asciiTheme="majorHAnsi" w:hAnsiTheme="majorHAnsi"/>
          <w:color w:val="000000"/>
          <w:szCs w:val="22"/>
          <w:lang w:val="sq-AL"/>
        </w:rPr>
        <w:t>ë</w:t>
      </w:r>
      <w:r w:rsidRPr="00476D2E">
        <w:rPr>
          <w:rFonts w:asciiTheme="majorHAnsi" w:hAnsiTheme="majorHAnsi"/>
          <w:color w:val="000000"/>
          <w:szCs w:val="22"/>
          <w:lang w:val="sq-AL"/>
        </w:rPr>
        <w:t>tij AN, lidhej me:</w:t>
      </w:r>
    </w:p>
    <w:p w:rsidR="000151AD" w:rsidRDefault="000151AD" w:rsidP="00C71069">
      <w:pPr>
        <w:numPr>
          <w:ilvl w:val="0"/>
          <w:numId w:val="40"/>
        </w:numPr>
        <w:spacing w:before="0" w:line="240" w:lineRule="auto"/>
        <w:contextualSpacing/>
        <w:rPr>
          <w:rFonts w:asciiTheme="majorHAnsi" w:hAnsiTheme="majorHAnsi"/>
          <w:i/>
          <w:lang w:val="sq-AL"/>
        </w:rPr>
      </w:pPr>
      <w:r w:rsidRPr="000151AD">
        <w:rPr>
          <w:rFonts w:asciiTheme="majorHAnsi" w:hAnsiTheme="majorHAnsi"/>
          <w:i/>
          <w:lang w:val="sq-AL"/>
        </w:rPr>
        <w:t>Alokimin e një shtese fondi prej rreth 7.8 miliardë lekë në zërin ‘Fondi Rezervë’, me qëllim mbeshtetje</w:t>
      </w:r>
      <w:r>
        <w:rPr>
          <w:rFonts w:asciiTheme="majorHAnsi" w:hAnsiTheme="majorHAnsi"/>
          <w:i/>
          <w:lang w:val="sq-AL"/>
        </w:rPr>
        <w:t>n</w:t>
      </w:r>
      <w:r w:rsidRPr="000151AD">
        <w:rPr>
          <w:rFonts w:asciiTheme="majorHAnsi" w:hAnsiTheme="majorHAnsi"/>
          <w:i/>
          <w:lang w:val="sq-AL"/>
        </w:rPr>
        <w:t xml:space="preserve"> financiare te menjehershme per perballimin e inflacionit te luftes, për disa kategori</w:t>
      </w:r>
      <w:r>
        <w:rPr>
          <w:rFonts w:asciiTheme="majorHAnsi" w:hAnsiTheme="majorHAnsi"/>
          <w:i/>
          <w:lang w:val="sq-AL"/>
        </w:rPr>
        <w:t xml:space="preserve"> dhe konkretisht:</w:t>
      </w:r>
    </w:p>
    <w:p w:rsidR="000151AD" w:rsidRPr="000151AD" w:rsidRDefault="000151AD" w:rsidP="00C71069">
      <w:pPr>
        <w:numPr>
          <w:ilvl w:val="0"/>
          <w:numId w:val="47"/>
        </w:numPr>
        <w:spacing w:before="0" w:line="240" w:lineRule="auto"/>
        <w:ind w:left="1170"/>
        <w:contextualSpacing/>
        <w:rPr>
          <w:rFonts w:asciiTheme="majorHAnsi" w:hAnsiTheme="majorHAnsi"/>
          <w:i/>
          <w:lang w:val="sq-AL"/>
        </w:rPr>
      </w:pPr>
      <w:r w:rsidRPr="000151AD">
        <w:rPr>
          <w:rFonts w:asciiTheme="majorHAnsi" w:hAnsiTheme="majorHAnsi"/>
          <w:i/>
          <w:lang w:val="sq-AL"/>
        </w:rPr>
        <w:t>në masën 8.000 lekë përcdo pensionist.</w:t>
      </w:r>
    </w:p>
    <w:p w:rsidR="000151AD" w:rsidRPr="000151AD" w:rsidRDefault="000151AD" w:rsidP="00C71069">
      <w:pPr>
        <w:numPr>
          <w:ilvl w:val="0"/>
          <w:numId w:val="47"/>
        </w:numPr>
        <w:spacing w:before="0" w:line="240" w:lineRule="auto"/>
        <w:ind w:left="1170"/>
        <w:contextualSpacing/>
        <w:rPr>
          <w:rFonts w:asciiTheme="majorHAnsi" w:hAnsiTheme="majorHAnsi"/>
          <w:i/>
          <w:lang w:val="sq-AL"/>
        </w:rPr>
      </w:pPr>
      <w:r w:rsidRPr="000151AD">
        <w:rPr>
          <w:rFonts w:asciiTheme="majorHAnsi" w:hAnsiTheme="majorHAnsi"/>
          <w:i/>
          <w:lang w:val="sq-AL"/>
        </w:rPr>
        <w:t>në masën 8.000 lekë, përcdo përfitues të skemave të Ndihmës Ekonomike dhe Aftësisë së Kufizuar.</w:t>
      </w:r>
    </w:p>
    <w:p w:rsidR="000151AD" w:rsidRPr="000151AD" w:rsidRDefault="000151AD" w:rsidP="00C71069">
      <w:pPr>
        <w:numPr>
          <w:ilvl w:val="0"/>
          <w:numId w:val="47"/>
        </w:numPr>
        <w:spacing w:before="0" w:line="240" w:lineRule="auto"/>
        <w:ind w:left="1170"/>
        <w:contextualSpacing/>
        <w:rPr>
          <w:rFonts w:asciiTheme="majorHAnsi" w:hAnsiTheme="majorHAnsi"/>
          <w:i/>
          <w:lang w:val="sq-AL"/>
        </w:rPr>
      </w:pPr>
      <w:r w:rsidRPr="000151AD">
        <w:rPr>
          <w:rFonts w:asciiTheme="majorHAnsi" w:hAnsiTheme="majorHAnsi"/>
          <w:i/>
          <w:lang w:val="sq-AL"/>
        </w:rPr>
        <w:t>Si edhe në masë të diferencuar për të gjithë punonjësit buxhetorë, përfshirë mjekë/infermierë/arsimtarë/policë/zjarrfikës, etj.</w:t>
      </w:r>
    </w:p>
    <w:p w:rsidR="000151AD" w:rsidRPr="000151AD" w:rsidRDefault="000151AD" w:rsidP="00C71069">
      <w:pPr>
        <w:numPr>
          <w:ilvl w:val="0"/>
          <w:numId w:val="40"/>
        </w:numPr>
        <w:spacing w:before="0" w:line="240" w:lineRule="auto"/>
        <w:contextualSpacing/>
        <w:rPr>
          <w:rFonts w:asciiTheme="majorHAnsi" w:hAnsiTheme="majorHAnsi"/>
          <w:i/>
          <w:lang w:val="sq-AL"/>
        </w:rPr>
      </w:pPr>
      <w:r w:rsidRPr="000151AD">
        <w:rPr>
          <w:rFonts w:asciiTheme="majorHAnsi" w:hAnsiTheme="majorHAnsi"/>
          <w:i/>
          <w:lang w:val="sq-AL"/>
        </w:rPr>
        <w:t xml:space="preserve">Reflektimin në kahun e të ardhurave të një rritje në masën rreth 1.5mld lekë, si rezultat i performancës së kënaqshme të derdhjes së kontributeve të sigurimeve shoqërore. </w:t>
      </w:r>
    </w:p>
    <w:p w:rsidR="000151AD" w:rsidRPr="000151AD" w:rsidRDefault="000151AD" w:rsidP="00C71069">
      <w:pPr>
        <w:numPr>
          <w:ilvl w:val="0"/>
          <w:numId w:val="40"/>
        </w:numPr>
        <w:spacing w:before="0" w:line="240" w:lineRule="auto"/>
        <w:contextualSpacing/>
        <w:rPr>
          <w:rFonts w:asciiTheme="majorHAnsi" w:hAnsiTheme="majorHAnsi"/>
          <w:i/>
          <w:lang w:val="sq-AL"/>
        </w:rPr>
      </w:pPr>
      <w:r w:rsidRPr="000151AD">
        <w:rPr>
          <w:rFonts w:asciiTheme="majorHAnsi" w:hAnsiTheme="majorHAnsi"/>
          <w:i/>
          <w:lang w:val="sq-AL"/>
        </w:rPr>
        <w:t>Ruajtjen të pandryshuar te deficiti buxhetor dhe borxhit publik.</w:t>
      </w:r>
    </w:p>
    <w:p w:rsidR="000151AD" w:rsidRPr="000151AD" w:rsidRDefault="000151AD" w:rsidP="00153CD6">
      <w:pPr>
        <w:spacing w:before="0" w:line="240" w:lineRule="auto"/>
        <w:rPr>
          <w:rFonts w:asciiTheme="majorHAnsi" w:hAnsiTheme="majorHAnsi"/>
          <w:noProof/>
          <w:sz w:val="8"/>
          <w:szCs w:val="22"/>
          <w:lang w:val="sq-AL"/>
        </w:rPr>
      </w:pPr>
    </w:p>
    <w:p w:rsidR="009B5CB0" w:rsidRDefault="000151AD" w:rsidP="00153CD6">
      <w:pPr>
        <w:tabs>
          <w:tab w:val="left" w:pos="709"/>
        </w:tabs>
        <w:spacing w:line="240" w:lineRule="auto"/>
        <w:rPr>
          <w:rFonts w:cs="Calibri"/>
          <w:lang w:val="sq-AL"/>
        </w:rPr>
      </w:pPr>
      <w:r w:rsidRPr="000151AD">
        <w:rPr>
          <w:rFonts w:asciiTheme="majorHAnsi" w:hAnsiTheme="majorHAnsi"/>
          <w:noProof/>
          <w:szCs w:val="22"/>
          <w:lang w:val="sq-AL"/>
        </w:rPr>
        <w:t xml:space="preserve">Në këndvështrimin e parametrave makroekonomikë, ky akt normativ </w:t>
      </w:r>
      <w:r>
        <w:rPr>
          <w:rFonts w:asciiTheme="majorHAnsi" w:hAnsiTheme="majorHAnsi"/>
          <w:noProof/>
          <w:szCs w:val="22"/>
          <w:lang w:val="sq-AL"/>
        </w:rPr>
        <w:t>r</w:t>
      </w:r>
      <w:r w:rsidRPr="000151AD">
        <w:rPr>
          <w:rFonts w:asciiTheme="majorHAnsi" w:hAnsiTheme="majorHAnsi"/>
          <w:noProof/>
          <w:szCs w:val="22"/>
          <w:lang w:val="sq-AL"/>
        </w:rPr>
        <w:t>uajt</w:t>
      </w:r>
      <w:r>
        <w:rPr>
          <w:rFonts w:asciiTheme="majorHAnsi" w:hAnsiTheme="majorHAnsi"/>
          <w:noProof/>
          <w:szCs w:val="22"/>
          <w:lang w:val="sq-AL"/>
        </w:rPr>
        <w:t>i</w:t>
      </w:r>
      <w:r w:rsidRPr="000151AD">
        <w:rPr>
          <w:rFonts w:asciiTheme="majorHAnsi" w:hAnsiTheme="majorHAnsi"/>
          <w:noProof/>
          <w:szCs w:val="22"/>
          <w:lang w:val="sq-AL"/>
        </w:rPr>
        <w:t xml:space="preserve"> të pandryshuar </w:t>
      </w:r>
      <w:r>
        <w:rPr>
          <w:rFonts w:asciiTheme="majorHAnsi" w:hAnsiTheme="majorHAnsi"/>
          <w:noProof/>
          <w:szCs w:val="22"/>
          <w:lang w:val="sq-AL"/>
        </w:rPr>
        <w:t xml:space="preserve">nivelin e </w:t>
      </w:r>
      <w:r w:rsidRPr="000151AD">
        <w:rPr>
          <w:rFonts w:asciiTheme="majorHAnsi" w:hAnsiTheme="majorHAnsi"/>
          <w:noProof/>
          <w:szCs w:val="22"/>
          <w:lang w:val="sq-AL"/>
        </w:rPr>
        <w:t>borxhit publik</w:t>
      </w:r>
      <w:r>
        <w:rPr>
          <w:rFonts w:asciiTheme="majorHAnsi" w:hAnsiTheme="majorHAnsi"/>
          <w:noProof/>
          <w:szCs w:val="22"/>
          <w:lang w:val="sq-AL"/>
        </w:rPr>
        <w:t>, si edhe at</w:t>
      </w:r>
      <w:r w:rsidR="00D65C9E">
        <w:rPr>
          <w:rFonts w:asciiTheme="majorHAnsi" w:hAnsiTheme="majorHAnsi"/>
          <w:noProof/>
          <w:szCs w:val="22"/>
          <w:lang w:val="sq-AL"/>
        </w:rPr>
        <w:t>ë</w:t>
      </w:r>
      <w:r>
        <w:rPr>
          <w:rFonts w:asciiTheme="majorHAnsi" w:hAnsiTheme="majorHAnsi"/>
          <w:noProof/>
          <w:szCs w:val="22"/>
          <w:lang w:val="sq-AL"/>
        </w:rPr>
        <w:t xml:space="preserve"> </w:t>
      </w:r>
      <w:r w:rsidRPr="000151AD">
        <w:rPr>
          <w:rFonts w:asciiTheme="majorHAnsi" w:hAnsiTheme="majorHAnsi"/>
          <w:noProof/>
          <w:szCs w:val="22"/>
          <w:lang w:val="sq-AL"/>
        </w:rPr>
        <w:t>të defiçitit buxhetor në nivelin 83 863 milion lekë.</w:t>
      </w:r>
    </w:p>
    <w:p w:rsidR="00554F56" w:rsidRDefault="00554F56" w:rsidP="00FC729E">
      <w:pPr>
        <w:tabs>
          <w:tab w:val="left" w:pos="709"/>
        </w:tabs>
        <w:rPr>
          <w:rFonts w:cs="Calibri"/>
          <w:lang w:val="sq-AL"/>
        </w:rPr>
      </w:pPr>
    </w:p>
    <w:p w:rsidR="00C244E2" w:rsidRDefault="00C244E2" w:rsidP="00FC729E">
      <w:pPr>
        <w:tabs>
          <w:tab w:val="left" w:pos="709"/>
        </w:tabs>
        <w:rPr>
          <w:rFonts w:cs="Calibri"/>
          <w:lang w:val="sq-AL"/>
        </w:rPr>
      </w:pPr>
    </w:p>
    <w:p w:rsidR="00C244E2" w:rsidRPr="00476D2E" w:rsidRDefault="00C244E2" w:rsidP="00FC729E">
      <w:pPr>
        <w:tabs>
          <w:tab w:val="left" w:pos="709"/>
        </w:tabs>
        <w:rPr>
          <w:rFonts w:cs="Calibri"/>
          <w:lang w:val="sq-AL"/>
        </w:rPr>
      </w:pPr>
    </w:p>
    <w:p w:rsidR="008134E0" w:rsidRPr="00F74CA9" w:rsidRDefault="008134E0" w:rsidP="00FC729E">
      <w:pPr>
        <w:pStyle w:val="Fiskale2"/>
        <w:rPr>
          <w:rFonts w:ascii="Calibri" w:hAnsi="Calibri" w:cs="Calibri"/>
        </w:rPr>
      </w:pPr>
      <w:bookmarkStart w:id="157" w:name="_Toc104980336"/>
      <w:bookmarkEnd w:id="152"/>
      <w:bookmarkEnd w:id="153"/>
      <w:bookmarkEnd w:id="154"/>
      <w:bookmarkEnd w:id="155"/>
      <w:bookmarkEnd w:id="156"/>
      <w:r w:rsidRPr="00F74CA9">
        <w:rPr>
          <w:rFonts w:ascii="Calibri" w:hAnsi="Calibri" w:cs="Calibri"/>
        </w:rPr>
        <w:lastRenderedPageBreak/>
        <w:t>Fondi Rezervë dhe Kontigjenca</w:t>
      </w:r>
      <w:bookmarkEnd w:id="157"/>
    </w:p>
    <w:p w:rsidR="009D6C55" w:rsidRPr="007A00FF" w:rsidRDefault="009D6C55" w:rsidP="009D6C55">
      <w:pPr>
        <w:spacing w:before="240"/>
        <w:rPr>
          <w:rFonts w:eastAsia="SimSun"/>
          <w:lang w:val="sq-AL"/>
        </w:rPr>
      </w:pPr>
      <w:r w:rsidRPr="007A00FF">
        <w:rPr>
          <w:rFonts w:eastAsia="SimSun"/>
          <w:i/>
          <w:u w:val="single"/>
          <w:lang w:val="sq-AL"/>
        </w:rPr>
        <w:t>Fondi Rezervë i buxhetit të shtetit 202</w:t>
      </w:r>
      <w:r w:rsidRPr="0046727F">
        <w:rPr>
          <w:rFonts w:eastAsia="SimSun"/>
          <w:i/>
          <w:u w:val="single"/>
          <w:lang w:val="sq-AL"/>
        </w:rPr>
        <w:t>2</w:t>
      </w:r>
      <w:r w:rsidRPr="007A00FF">
        <w:rPr>
          <w:rFonts w:eastAsia="SimSun"/>
          <w:lang w:val="sq-AL"/>
        </w:rPr>
        <w:t xml:space="preserve"> i planifikuar për </w:t>
      </w:r>
      <w:r w:rsidRPr="0046727F">
        <w:rPr>
          <w:rFonts w:eastAsia="SimSun"/>
          <w:lang w:val="sq-AL"/>
        </w:rPr>
        <w:t>2.9</w:t>
      </w:r>
      <w:r w:rsidRPr="007A00FF">
        <w:rPr>
          <w:rFonts w:eastAsia="SimSun"/>
          <w:lang w:val="sq-AL"/>
        </w:rPr>
        <w:t xml:space="preserve"> miliardë lekë në buxhetin fillestar u rishikua 4 herë gjatë vitit 202</w:t>
      </w:r>
      <w:r w:rsidRPr="0046727F">
        <w:rPr>
          <w:rFonts w:eastAsia="SimSun"/>
          <w:lang w:val="sq-AL"/>
        </w:rPr>
        <w:t>2</w:t>
      </w:r>
      <w:r w:rsidRPr="007A00FF">
        <w:rPr>
          <w:rFonts w:eastAsia="SimSun"/>
          <w:lang w:val="sq-AL"/>
        </w:rPr>
        <w:t xml:space="preserve">, </w:t>
      </w:r>
      <w:r w:rsidRPr="0046727F">
        <w:rPr>
          <w:rFonts w:eastAsia="SimSun"/>
          <w:lang w:val="sq-AL"/>
        </w:rPr>
        <w:t>p</w:t>
      </w:r>
      <w:r w:rsidRPr="007A00FF">
        <w:rPr>
          <w:rFonts w:eastAsia="SimSun"/>
          <w:lang w:val="sq-AL"/>
        </w:rPr>
        <w:t>ërkatësisht:</w:t>
      </w:r>
    </w:p>
    <w:p w:rsidR="009D6C55" w:rsidRPr="007A00FF" w:rsidRDefault="009D6C55" w:rsidP="00C71069">
      <w:pPr>
        <w:numPr>
          <w:ilvl w:val="0"/>
          <w:numId w:val="38"/>
        </w:numPr>
        <w:spacing w:line="240" w:lineRule="auto"/>
        <w:ind w:left="360"/>
        <w:contextualSpacing/>
        <w:rPr>
          <w:rFonts w:eastAsia="SimSun"/>
          <w:i/>
          <w:iCs/>
          <w:lang w:val="sq-AL"/>
        </w:rPr>
      </w:pPr>
      <w:r w:rsidRPr="007A00FF">
        <w:rPr>
          <w:rFonts w:eastAsia="SimSun"/>
          <w:i/>
          <w:lang w:val="sq-AL"/>
        </w:rPr>
        <w:t>Akti Normativ nr</w:t>
      </w:r>
      <w:r w:rsidRPr="007A00FF">
        <w:rPr>
          <w:rFonts w:eastAsia="MS Mincho"/>
          <w:b/>
          <w:lang w:val="sq-AL"/>
        </w:rPr>
        <w:t>.</w:t>
      </w:r>
      <w:r w:rsidRPr="000D5F2D">
        <w:rPr>
          <w:rFonts w:eastAsia="MS Mincho"/>
          <w:lang w:val="sq-AL"/>
        </w:rPr>
        <w:t>3 datë 12.03.2022</w:t>
      </w:r>
      <w:r>
        <w:rPr>
          <w:rFonts w:eastAsia="MS Mincho"/>
          <w:lang w:val="sq-AL"/>
        </w:rPr>
        <w:t xml:space="preserve"> </w:t>
      </w:r>
      <w:r w:rsidRPr="000D5F2D">
        <w:rPr>
          <w:rFonts w:eastAsia="MS Mincho"/>
          <w:i/>
          <w:iCs/>
          <w:lang w:val="sq-AL"/>
        </w:rPr>
        <w:t>ndryshoi</w:t>
      </w:r>
      <w:r w:rsidRPr="0046727F">
        <w:rPr>
          <w:rFonts w:eastAsia="MS Mincho"/>
          <w:i/>
          <w:iCs/>
          <w:lang w:val="sq-AL"/>
        </w:rPr>
        <w:t xml:space="preserve"> masën e përdorimit të tij sipas strukturës së parashikuar si dhe e uli shumën në</w:t>
      </w:r>
      <w:r w:rsidR="00C31EBF">
        <w:rPr>
          <w:rFonts w:eastAsia="MS Mincho"/>
          <w:i/>
          <w:iCs/>
          <w:lang w:val="sq-AL"/>
        </w:rPr>
        <w:t xml:space="preserve"> </w:t>
      </w:r>
      <w:r w:rsidRPr="0046727F">
        <w:rPr>
          <w:rFonts w:eastAsia="SimSun"/>
          <w:i/>
          <w:iCs/>
          <w:lang w:val="sq-AL"/>
        </w:rPr>
        <w:t>2.65</w:t>
      </w:r>
      <w:r w:rsidRPr="007A00FF">
        <w:rPr>
          <w:rFonts w:eastAsia="SimSun"/>
          <w:i/>
          <w:iCs/>
          <w:lang w:val="sq-AL"/>
        </w:rPr>
        <w:t xml:space="preserve"> miliardë lekë,  </w:t>
      </w:r>
    </w:p>
    <w:p w:rsidR="009D6C55" w:rsidRPr="0046727F" w:rsidRDefault="009D6C55" w:rsidP="00C71069">
      <w:pPr>
        <w:numPr>
          <w:ilvl w:val="0"/>
          <w:numId w:val="38"/>
        </w:numPr>
        <w:spacing w:before="240" w:line="240" w:lineRule="auto"/>
        <w:ind w:left="360"/>
        <w:contextualSpacing/>
        <w:rPr>
          <w:rFonts w:eastAsia="SimSun"/>
          <w:i/>
          <w:lang w:val="sq-AL"/>
        </w:rPr>
      </w:pPr>
      <w:r w:rsidRPr="007A00FF">
        <w:rPr>
          <w:rFonts w:eastAsia="SimSun"/>
          <w:i/>
          <w:lang w:val="sq-AL"/>
        </w:rPr>
        <w:t>Akti Normativ nr.</w:t>
      </w:r>
      <w:r w:rsidRPr="0046727F">
        <w:rPr>
          <w:rFonts w:eastAsia="SimSun"/>
          <w:i/>
          <w:lang w:val="sq-AL"/>
        </w:rPr>
        <w:t>12</w:t>
      </w:r>
      <w:r w:rsidRPr="007A00FF">
        <w:rPr>
          <w:rFonts w:eastAsia="SimSun"/>
          <w:i/>
          <w:lang w:val="sq-AL"/>
        </w:rPr>
        <w:t xml:space="preserve"> datë </w:t>
      </w:r>
      <w:r w:rsidRPr="0046727F">
        <w:rPr>
          <w:rFonts w:eastAsia="SimSun"/>
          <w:i/>
          <w:lang w:val="sq-AL"/>
        </w:rPr>
        <w:t>29.07.2022</w:t>
      </w:r>
      <w:r w:rsidRPr="007A00FF">
        <w:rPr>
          <w:rFonts w:eastAsia="SimSun"/>
          <w:i/>
          <w:lang w:val="sq-AL"/>
        </w:rPr>
        <w:t xml:space="preserve"> e rriti fondin rezervë në </w:t>
      </w:r>
      <w:r w:rsidRPr="0046727F">
        <w:rPr>
          <w:rFonts w:eastAsia="SimSun"/>
          <w:i/>
          <w:lang w:val="sq-AL"/>
        </w:rPr>
        <w:t>3.35 miliardë lekë.</w:t>
      </w:r>
    </w:p>
    <w:p w:rsidR="009D6C55" w:rsidRPr="007A00FF" w:rsidRDefault="009D6C55" w:rsidP="00C71069">
      <w:pPr>
        <w:numPr>
          <w:ilvl w:val="0"/>
          <w:numId w:val="38"/>
        </w:numPr>
        <w:spacing w:before="240" w:line="240" w:lineRule="auto"/>
        <w:ind w:left="360"/>
        <w:contextualSpacing/>
        <w:rPr>
          <w:rFonts w:eastAsia="SimSun"/>
          <w:i/>
          <w:lang w:val="sq-AL"/>
        </w:rPr>
      </w:pPr>
      <w:r w:rsidRPr="007A00FF">
        <w:rPr>
          <w:rFonts w:eastAsia="SimSun"/>
          <w:i/>
          <w:lang w:val="sq-AL"/>
        </w:rPr>
        <w:t>Akti Normativ nr.1</w:t>
      </w:r>
      <w:r w:rsidRPr="0046727F">
        <w:rPr>
          <w:rFonts w:eastAsia="SimSun"/>
          <w:i/>
          <w:lang w:val="sq-AL"/>
        </w:rPr>
        <w:t>7</w:t>
      </w:r>
      <w:r w:rsidRPr="007A00FF">
        <w:rPr>
          <w:rFonts w:eastAsia="SimSun"/>
          <w:i/>
          <w:lang w:val="sq-AL"/>
        </w:rPr>
        <w:t xml:space="preserve"> datë </w:t>
      </w:r>
      <w:r w:rsidR="00C31EBF">
        <w:rPr>
          <w:rFonts w:eastAsia="SimSun"/>
          <w:i/>
          <w:lang w:val="sq-AL"/>
        </w:rPr>
        <w:t>0</w:t>
      </w:r>
      <w:r w:rsidRPr="0046727F">
        <w:rPr>
          <w:rFonts w:eastAsia="SimSun"/>
          <w:i/>
          <w:lang w:val="sq-AL"/>
        </w:rPr>
        <w:t>1.12.2022</w:t>
      </w:r>
      <w:r w:rsidRPr="007A00FF">
        <w:rPr>
          <w:rFonts w:eastAsia="SimSun"/>
          <w:i/>
          <w:lang w:val="sq-AL"/>
        </w:rPr>
        <w:t xml:space="preserve"> e rriti fondin rezervë në </w:t>
      </w:r>
      <w:r w:rsidRPr="0046727F">
        <w:rPr>
          <w:rFonts w:eastAsia="SimSun"/>
          <w:i/>
          <w:lang w:val="sq-AL"/>
        </w:rPr>
        <w:t>3.5</w:t>
      </w:r>
      <w:r w:rsidRPr="007A00FF">
        <w:rPr>
          <w:rFonts w:eastAsia="SimSun"/>
          <w:i/>
          <w:lang w:val="sq-AL"/>
        </w:rPr>
        <w:t xml:space="preserve"> miliardë lekë, </w:t>
      </w:r>
      <w:r w:rsidR="00C31EBF">
        <w:rPr>
          <w:rFonts w:eastAsia="SimSun"/>
          <w:i/>
          <w:lang w:val="sq-AL"/>
        </w:rPr>
        <w:t xml:space="preserve">       </w:t>
      </w:r>
      <w:r w:rsidRPr="007A00FF">
        <w:rPr>
          <w:rFonts w:eastAsia="SimSun"/>
          <w:i/>
          <w:lang w:val="sq-AL"/>
        </w:rPr>
        <w:t xml:space="preserve">dhe </w:t>
      </w:r>
    </w:p>
    <w:p w:rsidR="009D6C55" w:rsidRPr="0046727F" w:rsidRDefault="009D6C55" w:rsidP="00C71069">
      <w:pPr>
        <w:pStyle w:val="ListParagraph"/>
        <w:numPr>
          <w:ilvl w:val="0"/>
          <w:numId w:val="38"/>
        </w:numPr>
        <w:spacing w:before="0" w:after="160" w:line="240" w:lineRule="auto"/>
        <w:ind w:left="360"/>
        <w:rPr>
          <w:rFonts w:eastAsia="SimSun"/>
          <w:i/>
          <w:lang w:val="sq-AL"/>
        </w:rPr>
      </w:pPr>
      <w:r w:rsidRPr="0046727F">
        <w:rPr>
          <w:rFonts w:eastAsia="SimSun"/>
          <w:i/>
          <w:lang w:val="sq-AL"/>
        </w:rPr>
        <w:t>Akti Normativ nr</w:t>
      </w:r>
      <w:r w:rsidR="00C31EBF">
        <w:rPr>
          <w:rFonts w:eastAsia="SimSun"/>
          <w:i/>
          <w:lang w:val="sq-AL"/>
        </w:rPr>
        <w:t>.</w:t>
      </w:r>
      <w:r w:rsidRPr="0046727F">
        <w:rPr>
          <w:rFonts w:eastAsia="SimSun"/>
          <w:i/>
          <w:lang w:val="sq-AL"/>
        </w:rPr>
        <w:t>19 datë 29.12.2022 e rriti fondin rezervë në 10.62 miliardë lekë, si edhe ndryshoi strukturën e përdorimit të tij përkatësisht 2.82 miliard</w:t>
      </w:r>
      <w:r w:rsidR="00F35311">
        <w:rPr>
          <w:rFonts w:eastAsia="SimSun"/>
          <w:i/>
          <w:lang w:val="sq-AL"/>
        </w:rPr>
        <w:t>ë</w:t>
      </w:r>
      <w:r w:rsidRPr="0046727F">
        <w:rPr>
          <w:rFonts w:eastAsia="SimSun"/>
          <w:i/>
          <w:lang w:val="sq-AL"/>
        </w:rPr>
        <w:t xml:space="preserve"> lekë për raste të papaprashikuara të njësive të qeverisjes së përgjithshme dhe 7.8 miliardë lekë për mbështetje të</w:t>
      </w:r>
      <w:r w:rsidR="00C31EBF">
        <w:rPr>
          <w:rFonts w:eastAsia="SimSun"/>
          <w:i/>
          <w:lang w:val="sq-AL"/>
        </w:rPr>
        <w:t xml:space="preserve"> </w:t>
      </w:r>
      <w:r w:rsidRPr="0046727F">
        <w:rPr>
          <w:rFonts w:eastAsia="SimSun"/>
          <w:i/>
          <w:lang w:val="sq-AL"/>
        </w:rPr>
        <w:t>menjehershme p</w:t>
      </w:r>
      <w:r w:rsidR="00C31EBF">
        <w:rPr>
          <w:rFonts w:eastAsia="SimSun"/>
          <w:i/>
          <w:lang w:val="sq-AL"/>
        </w:rPr>
        <w:t>ë</w:t>
      </w:r>
      <w:r w:rsidRPr="0046727F">
        <w:rPr>
          <w:rFonts w:eastAsia="SimSun"/>
          <w:i/>
          <w:lang w:val="sq-AL"/>
        </w:rPr>
        <w:t xml:space="preserve">r zbutjen </w:t>
      </w:r>
      <w:bookmarkStart w:id="158" w:name="_Hlk135227828"/>
      <w:r w:rsidRPr="0046727F">
        <w:rPr>
          <w:rFonts w:eastAsia="SimSun"/>
          <w:i/>
          <w:lang w:val="sq-AL"/>
        </w:rPr>
        <w:t xml:space="preserve">maksimale të impaktit të inflacionit të luftës </w:t>
      </w:r>
      <w:bookmarkEnd w:id="158"/>
      <w:r w:rsidRPr="0046727F">
        <w:rPr>
          <w:rFonts w:eastAsia="SimSun"/>
          <w:i/>
          <w:lang w:val="sq-AL"/>
        </w:rPr>
        <w:t>në një dimër të vështirë ekonomik për mbarë Evropën.</w:t>
      </w:r>
    </w:p>
    <w:p w:rsidR="009D6C55" w:rsidRPr="007A00FF" w:rsidRDefault="009D6C55" w:rsidP="009D6C55">
      <w:pPr>
        <w:rPr>
          <w:rFonts w:eastAsia="SimSun"/>
          <w:lang w:val="sq-AL"/>
        </w:rPr>
      </w:pPr>
      <w:r w:rsidRPr="007A00FF">
        <w:rPr>
          <w:rFonts w:eastAsia="SimSun"/>
          <w:lang w:val="sq-AL"/>
        </w:rPr>
        <w:t>Gjatë vitit 202</w:t>
      </w:r>
      <w:r w:rsidRPr="0046727F">
        <w:rPr>
          <w:rFonts w:eastAsia="SimSun"/>
          <w:lang w:val="sq-AL"/>
        </w:rPr>
        <w:t>2</w:t>
      </w:r>
      <w:r w:rsidRPr="007A00FF">
        <w:rPr>
          <w:rFonts w:eastAsia="SimSun"/>
          <w:lang w:val="sq-AL"/>
        </w:rPr>
        <w:t xml:space="preserve"> fondi rezervë u përdor si më poshtë:</w:t>
      </w:r>
    </w:p>
    <w:p w:rsidR="009D6C55" w:rsidRPr="0046727F" w:rsidRDefault="009D6C55" w:rsidP="00C71069">
      <w:pPr>
        <w:numPr>
          <w:ilvl w:val="0"/>
          <w:numId w:val="38"/>
        </w:numPr>
        <w:spacing w:line="240" w:lineRule="auto"/>
        <w:ind w:left="360"/>
        <w:contextualSpacing/>
        <w:rPr>
          <w:rFonts w:eastAsia="SimSun"/>
          <w:lang w:val="sq-AL"/>
        </w:rPr>
      </w:pPr>
      <w:r w:rsidRPr="007A00FF">
        <w:rPr>
          <w:rFonts w:eastAsia="SimSun"/>
          <w:i/>
          <w:lang w:val="sq-AL"/>
        </w:rPr>
        <w:t xml:space="preserve">Fondi Rezervë për raste të paparashikuara të njësive të qeverisjes së </w:t>
      </w:r>
      <w:r w:rsidRPr="00C31EBF">
        <w:rPr>
          <w:rFonts w:eastAsia="SimSun"/>
          <w:i/>
          <w:lang w:val="sq-AL"/>
        </w:rPr>
        <w:t>përgjithshme prej 2.82 miliardë lekë</w:t>
      </w:r>
      <w:r w:rsidRPr="007A00FF">
        <w:rPr>
          <w:rFonts w:eastAsia="SimSun"/>
          <w:lang w:val="sq-AL"/>
        </w:rPr>
        <w:t xml:space="preserve">, është përdorur </w:t>
      </w:r>
      <w:r w:rsidRPr="0046727F">
        <w:rPr>
          <w:rFonts w:eastAsia="SimSun"/>
          <w:lang w:val="sq-AL"/>
        </w:rPr>
        <w:t>rreth 53.1 milion lekë</w:t>
      </w:r>
      <w:r>
        <w:rPr>
          <w:rFonts w:eastAsia="SimSun"/>
          <w:lang w:val="sq-AL"/>
        </w:rPr>
        <w:t xml:space="preserve"> </w:t>
      </w:r>
      <w:r w:rsidRPr="007A00FF">
        <w:rPr>
          <w:rFonts w:eastAsia="SimSun"/>
          <w:lang w:val="sq-AL"/>
        </w:rPr>
        <w:t>për shpenzime</w:t>
      </w:r>
      <w:r w:rsidRPr="0046727F">
        <w:rPr>
          <w:rFonts w:eastAsia="SimSun"/>
          <w:lang w:val="sq-AL"/>
        </w:rPr>
        <w:t xml:space="preserve"> personeli dhe rreth 2</w:t>
      </w:r>
      <w:r>
        <w:rPr>
          <w:rFonts w:eastAsia="SimSun"/>
          <w:lang w:val="sq-AL"/>
        </w:rPr>
        <w:t xml:space="preserve"> </w:t>
      </w:r>
      <w:r w:rsidRPr="0046727F">
        <w:rPr>
          <w:rFonts w:eastAsia="SimSun"/>
          <w:lang w:val="sq-AL"/>
        </w:rPr>
        <w:t xml:space="preserve">755 </w:t>
      </w:r>
      <w:r>
        <w:rPr>
          <w:rFonts w:eastAsia="SimSun"/>
          <w:lang w:val="sq-AL"/>
        </w:rPr>
        <w:t>milionë</w:t>
      </w:r>
      <w:r w:rsidRPr="0046727F">
        <w:rPr>
          <w:rFonts w:eastAsia="SimSun"/>
          <w:lang w:val="sq-AL"/>
        </w:rPr>
        <w:t xml:space="preserve"> lek</w:t>
      </w:r>
      <w:r>
        <w:rPr>
          <w:rFonts w:eastAsia="SimSun"/>
          <w:lang w:val="sq-AL"/>
        </w:rPr>
        <w:t>ë</w:t>
      </w:r>
      <w:r w:rsidRPr="0046727F">
        <w:rPr>
          <w:rFonts w:eastAsia="SimSun"/>
          <w:lang w:val="sq-AL"/>
        </w:rPr>
        <w:t xml:space="preserve"> p</w:t>
      </w:r>
      <w:r w:rsidRPr="007A00FF">
        <w:rPr>
          <w:rFonts w:eastAsia="SimSun"/>
          <w:lang w:val="sq-AL"/>
        </w:rPr>
        <w:t>ë</w:t>
      </w:r>
      <w:r w:rsidRPr="0046727F">
        <w:rPr>
          <w:rFonts w:eastAsia="SimSun"/>
          <w:lang w:val="sq-AL"/>
        </w:rPr>
        <w:t>r</w:t>
      </w:r>
      <w:r>
        <w:rPr>
          <w:rFonts w:eastAsia="SimSun"/>
          <w:lang w:val="sq-AL"/>
        </w:rPr>
        <w:t xml:space="preserve"> </w:t>
      </w:r>
      <w:r w:rsidRPr="0046727F">
        <w:rPr>
          <w:rFonts w:eastAsia="SimSun"/>
          <w:lang w:val="sq-AL"/>
        </w:rPr>
        <w:t xml:space="preserve">shpenzime të tjera </w:t>
      </w:r>
      <w:r w:rsidRPr="007A00FF">
        <w:rPr>
          <w:rFonts w:eastAsia="SimSun"/>
          <w:lang w:val="sq-AL"/>
        </w:rPr>
        <w:t>korrente (shpenzime operative dhe transferta</w:t>
      </w:r>
      <w:r w:rsidRPr="0046727F">
        <w:rPr>
          <w:rFonts w:eastAsia="SimSun"/>
          <w:lang w:val="sq-AL"/>
        </w:rPr>
        <w:t>).</w:t>
      </w:r>
    </w:p>
    <w:p w:rsidR="009D6C55" w:rsidRPr="0046727F" w:rsidRDefault="009D6C55" w:rsidP="00C71069">
      <w:pPr>
        <w:numPr>
          <w:ilvl w:val="0"/>
          <w:numId w:val="38"/>
        </w:numPr>
        <w:spacing w:line="240" w:lineRule="auto"/>
        <w:ind w:left="360"/>
        <w:contextualSpacing/>
        <w:rPr>
          <w:rFonts w:eastAsia="SimSun"/>
          <w:lang w:val="sq-AL"/>
        </w:rPr>
      </w:pPr>
      <w:r w:rsidRPr="0046727F">
        <w:rPr>
          <w:rFonts w:eastAsia="SimSun"/>
          <w:i/>
          <w:lang w:val="sq-AL"/>
        </w:rPr>
        <w:t xml:space="preserve">Mbështetja Financiare prej 7.8 miliardë lekësh </w:t>
      </w:r>
      <w:r w:rsidRPr="00C31EBF">
        <w:rPr>
          <w:rFonts w:eastAsia="SimSun"/>
          <w:lang w:val="sq-AL"/>
        </w:rPr>
        <w:t>është akorduar për zbutjen maksimale të impaktit të inflacionit të luftës në masën 7.74 miliardë lekë dhe konkretisht</w:t>
      </w:r>
      <w:r w:rsidRPr="0046727F">
        <w:rPr>
          <w:rFonts w:eastAsia="SimSun"/>
          <w:i/>
          <w:lang w:val="sq-AL"/>
        </w:rPr>
        <w:t>:</w:t>
      </w:r>
    </w:p>
    <w:p w:rsidR="009D6C55" w:rsidRPr="00C31EBF" w:rsidRDefault="009D6C55" w:rsidP="00C71069">
      <w:pPr>
        <w:numPr>
          <w:ilvl w:val="0"/>
          <w:numId w:val="40"/>
        </w:numPr>
        <w:spacing w:before="0" w:line="240" w:lineRule="auto"/>
        <w:ind w:left="810" w:hanging="270"/>
        <w:contextualSpacing/>
        <w:rPr>
          <w:i/>
          <w:lang w:val="sq-AL"/>
        </w:rPr>
      </w:pPr>
      <w:r w:rsidRPr="00C31EBF">
        <w:rPr>
          <w:i/>
          <w:lang w:val="sq-AL"/>
        </w:rPr>
        <w:t xml:space="preserve">5.6 miliardë lekë për mbështetjen financiare të pensionistëve. </w:t>
      </w:r>
    </w:p>
    <w:p w:rsidR="009D6C55" w:rsidRPr="00C31EBF" w:rsidRDefault="009D6C55" w:rsidP="00C71069">
      <w:pPr>
        <w:numPr>
          <w:ilvl w:val="0"/>
          <w:numId w:val="40"/>
        </w:numPr>
        <w:spacing w:before="0" w:line="240" w:lineRule="auto"/>
        <w:ind w:left="810" w:hanging="270"/>
        <w:contextualSpacing/>
        <w:rPr>
          <w:i/>
          <w:lang w:val="sq-AL"/>
        </w:rPr>
      </w:pPr>
      <w:r w:rsidRPr="00C31EBF">
        <w:rPr>
          <w:i/>
          <w:lang w:val="sq-AL"/>
        </w:rPr>
        <w:t>1.2 miliardë lekë për mbështetjen e disa kategorive të veçanta për pagesën e  Ndihmës Ekonomike dhe Pagesën e Aftësisë së Kufizuar.</w:t>
      </w:r>
    </w:p>
    <w:p w:rsidR="009D6C55" w:rsidRPr="00C31EBF" w:rsidRDefault="009D6C55" w:rsidP="00C71069">
      <w:pPr>
        <w:numPr>
          <w:ilvl w:val="0"/>
          <w:numId w:val="40"/>
        </w:numPr>
        <w:spacing w:before="0" w:line="240" w:lineRule="auto"/>
        <w:ind w:left="810" w:hanging="270"/>
        <w:contextualSpacing/>
        <w:rPr>
          <w:i/>
          <w:lang w:val="sq-AL"/>
        </w:rPr>
      </w:pPr>
      <w:r w:rsidRPr="00C31EBF">
        <w:rPr>
          <w:i/>
          <w:lang w:val="sq-AL"/>
        </w:rPr>
        <w:t>970 milion lekë për mbështetjen financiare për punonjësit në Njësitë e Qeverisjes së Përgjithshme dhe Institucionet e Arsimit të Lartë.</w:t>
      </w:r>
    </w:p>
    <w:p w:rsidR="009D6C55" w:rsidRPr="007A00FF" w:rsidRDefault="009D6C55" w:rsidP="00095B84">
      <w:pPr>
        <w:spacing w:line="240" w:lineRule="auto"/>
        <w:contextualSpacing/>
        <w:rPr>
          <w:rFonts w:eastAsia="SimSun"/>
          <w:lang w:val="sq-AL"/>
        </w:rPr>
      </w:pPr>
      <w:r w:rsidRPr="007A00FF">
        <w:rPr>
          <w:rFonts w:eastAsia="SimSun"/>
          <w:lang w:val="sq-AL"/>
        </w:rPr>
        <w:t xml:space="preserve">Në mënyrë të detajuar fondet e akorduara sipas VKM-ve paraqiten në </w:t>
      </w:r>
      <w:r w:rsidRPr="007A00FF">
        <w:rPr>
          <w:rFonts w:eastAsia="SimSun"/>
          <w:b/>
          <w:lang w:val="sq-AL"/>
        </w:rPr>
        <w:t>Aneksin ç</w:t>
      </w:r>
      <w:r w:rsidR="00C31EBF">
        <w:rPr>
          <w:rFonts w:eastAsia="SimSun"/>
          <w:b/>
          <w:lang w:val="sq-AL"/>
        </w:rPr>
        <w:t>)</w:t>
      </w:r>
      <w:r w:rsidRPr="007A00FF">
        <w:rPr>
          <w:rFonts w:eastAsia="SimSun"/>
          <w:b/>
          <w:lang w:val="sq-AL"/>
        </w:rPr>
        <w:t xml:space="preserve"> “</w:t>
      </w:r>
      <w:r w:rsidRPr="00C31EBF">
        <w:rPr>
          <w:rFonts w:eastAsia="SimSun"/>
          <w:b/>
          <w:i/>
          <w:lang w:val="sq-AL"/>
        </w:rPr>
        <w:t>Tabela analitike e përdorimit të Fondit Rezervë 2022</w:t>
      </w:r>
      <w:r w:rsidRPr="007A00FF">
        <w:rPr>
          <w:rFonts w:eastAsia="SimSun"/>
          <w:b/>
          <w:lang w:val="sq-AL"/>
        </w:rPr>
        <w:t>”</w:t>
      </w:r>
      <w:r w:rsidRPr="007A00FF">
        <w:rPr>
          <w:rFonts w:eastAsia="SimSun"/>
          <w:lang w:val="sq-AL"/>
        </w:rPr>
        <w:t>.</w:t>
      </w:r>
    </w:p>
    <w:p w:rsidR="009D6C55" w:rsidRPr="00BC3108" w:rsidRDefault="009D6C55" w:rsidP="009D6C55">
      <w:pPr>
        <w:rPr>
          <w:sz w:val="6"/>
          <w:szCs w:val="6"/>
        </w:rPr>
      </w:pPr>
    </w:p>
    <w:p w:rsidR="009D6C55" w:rsidRPr="0046727F" w:rsidRDefault="009D6C55" w:rsidP="009D6C55">
      <w:pPr>
        <w:rPr>
          <w:lang w:val="sq-AL"/>
        </w:rPr>
      </w:pPr>
      <w:r w:rsidRPr="0046727F">
        <w:rPr>
          <w:i/>
          <w:iCs/>
          <w:u w:val="single"/>
          <w:lang w:val="sq-AL"/>
        </w:rPr>
        <w:t>Fondi i kontigjencës për Paketën e Rezistencës Sociale ndaj Pasojave të Krizës</w:t>
      </w:r>
      <w:r w:rsidR="00C31EBF" w:rsidRPr="00C31EBF">
        <w:rPr>
          <w:i/>
          <w:iCs/>
          <w:lang w:val="sq-AL"/>
        </w:rPr>
        <w:t xml:space="preserve"> </w:t>
      </w:r>
      <w:r w:rsidRPr="0046727F">
        <w:rPr>
          <w:lang w:val="sq-AL"/>
        </w:rPr>
        <w:t>u miratua me Aktin Normativ Nr.3 datë 12.03.2022 në masën 6 miliardë lekë për mbështetjen e shtresave në nevojë, për mbështetjen e sektorit të transportit dhe për mbështetjen e sektorit të bujqësisë. Ky fond u ndryshua me dy Aktet Normative të miratuara gjatë vitit 2022, përkatësisht:</w:t>
      </w:r>
    </w:p>
    <w:p w:rsidR="009D6C55" w:rsidRPr="007A00FF" w:rsidRDefault="009D6C55" w:rsidP="00C71069">
      <w:pPr>
        <w:numPr>
          <w:ilvl w:val="0"/>
          <w:numId w:val="38"/>
        </w:numPr>
        <w:spacing w:before="240" w:line="240" w:lineRule="auto"/>
        <w:ind w:left="360"/>
        <w:contextualSpacing/>
        <w:rPr>
          <w:rFonts w:eastAsia="SimSun"/>
          <w:i/>
          <w:lang w:val="sq-AL"/>
        </w:rPr>
      </w:pPr>
      <w:r w:rsidRPr="0046727F">
        <w:rPr>
          <w:lang w:val="sq-AL"/>
        </w:rPr>
        <w:t>Akti Normativ nr.</w:t>
      </w:r>
      <w:r w:rsidRPr="007A00FF">
        <w:rPr>
          <w:rFonts w:eastAsia="SimSun"/>
          <w:i/>
          <w:lang w:val="sq-AL"/>
        </w:rPr>
        <w:t>1</w:t>
      </w:r>
      <w:r w:rsidRPr="0046727F">
        <w:rPr>
          <w:rFonts w:eastAsia="SimSun"/>
          <w:i/>
          <w:lang w:val="sq-AL"/>
        </w:rPr>
        <w:t>7</w:t>
      </w:r>
      <w:r w:rsidRPr="007A00FF">
        <w:rPr>
          <w:rFonts w:eastAsia="SimSun"/>
          <w:i/>
          <w:lang w:val="sq-AL"/>
        </w:rPr>
        <w:t xml:space="preserve"> datë </w:t>
      </w:r>
      <w:r w:rsidR="00C31EBF">
        <w:rPr>
          <w:rFonts w:eastAsia="SimSun"/>
          <w:i/>
          <w:lang w:val="sq-AL"/>
        </w:rPr>
        <w:t>0</w:t>
      </w:r>
      <w:r w:rsidRPr="0046727F">
        <w:rPr>
          <w:rFonts w:eastAsia="SimSun"/>
          <w:i/>
          <w:lang w:val="sq-AL"/>
        </w:rPr>
        <w:t>1.12.2022</w:t>
      </w:r>
      <w:r w:rsidRPr="007A00FF">
        <w:rPr>
          <w:rFonts w:eastAsia="SimSun"/>
          <w:i/>
          <w:lang w:val="sq-AL"/>
        </w:rPr>
        <w:t xml:space="preserve"> e rriti</w:t>
      </w:r>
      <w:r w:rsidRPr="0046727F">
        <w:rPr>
          <w:rFonts w:eastAsia="SimSun"/>
          <w:i/>
          <w:lang w:val="sq-AL"/>
        </w:rPr>
        <w:t xml:space="preserve"> këtë fond</w:t>
      </w:r>
      <w:r w:rsidRPr="007A00FF">
        <w:rPr>
          <w:rFonts w:eastAsia="SimSun"/>
          <w:i/>
          <w:lang w:val="sq-AL"/>
        </w:rPr>
        <w:t xml:space="preserve"> në </w:t>
      </w:r>
      <w:r w:rsidRPr="0046727F">
        <w:rPr>
          <w:rFonts w:eastAsia="SimSun"/>
          <w:i/>
          <w:lang w:val="sq-AL"/>
        </w:rPr>
        <w:t>12.1</w:t>
      </w:r>
      <w:r w:rsidRPr="007A00FF">
        <w:rPr>
          <w:rFonts w:eastAsia="SimSun"/>
          <w:i/>
          <w:lang w:val="sq-AL"/>
        </w:rPr>
        <w:t xml:space="preserve"> miliardë lekë, </w:t>
      </w:r>
      <w:r w:rsidR="00C31EBF">
        <w:rPr>
          <w:rFonts w:eastAsia="SimSun"/>
          <w:i/>
          <w:lang w:val="sq-AL"/>
        </w:rPr>
        <w:t xml:space="preserve">             </w:t>
      </w:r>
      <w:r w:rsidRPr="007A00FF">
        <w:rPr>
          <w:rFonts w:eastAsia="SimSun"/>
          <w:i/>
          <w:lang w:val="sq-AL"/>
        </w:rPr>
        <w:t xml:space="preserve">dhe </w:t>
      </w:r>
    </w:p>
    <w:p w:rsidR="009D6C55" w:rsidRPr="0046727F" w:rsidRDefault="009D6C55" w:rsidP="00C71069">
      <w:pPr>
        <w:pStyle w:val="ListParagraph"/>
        <w:numPr>
          <w:ilvl w:val="0"/>
          <w:numId w:val="38"/>
        </w:numPr>
        <w:spacing w:before="0" w:after="160" w:line="240" w:lineRule="auto"/>
        <w:ind w:left="360"/>
        <w:rPr>
          <w:lang w:val="sq-AL"/>
        </w:rPr>
      </w:pPr>
      <w:r w:rsidRPr="0046727F">
        <w:rPr>
          <w:rFonts w:eastAsia="SimSun"/>
          <w:i/>
          <w:lang w:val="sq-AL"/>
        </w:rPr>
        <w:t>Akti Normativ nr</w:t>
      </w:r>
      <w:r w:rsidR="00C31EBF">
        <w:rPr>
          <w:rFonts w:eastAsia="SimSun"/>
          <w:i/>
          <w:lang w:val="sq-AL"/>
        </w:rPr>
        <w:t>.</w:t>
      </w:r>
      <w:r w:rsidRPr="0046727F">
        <w:rPr>
          <w:rFonts w:eastAsia="SimSun"/>
          <w:i/>
          <w:lang w:val="sq-AL"/>
        </w:rPr>
        <w:t>19 datë 29.12.2022 e uli këtë fond në 10.22 miliardë lekë.</w:t>
      </w:r>
    </w:p>
    <w:p w:rsidR="009D6C55" w:rsidRPr="0046727F" w:rsidRDefault="009D6C55" w:rsidP="009D6C55">
      <w:pPr>
        <w:rPr>
          <w:lang w:val="sq-AL"/>
        </w:rPr>
      </w:pPr>
      <w:r w:rsidRPr="0046727F">
        <w:rPr>
          <w:lang w:val="sq-AL"/>
        </w:rPr>
        <w:t>Gjatë vitit 2022 ky fond është përdorur në masën 10.1 miliardë lekë dhe konkretisht:</w:t>
      </w:r>
    </w:p>
    <w:p w:rsidR="00C31EBF" w:rsidRPr="00C31EBF" w:rsidRDefault="00C31EBF" w:rsidP="00C71069">
      <w:pPr>
        <w:numPr>
          <w:ilvl w:val="0"/>
          <w:numId w:val="40"/>
        </w:numPr>
        <w:spacing w:before="0" w:line="240" w:lineRule="auto"/>
        <w:ind w:left="810" w:hanging="270"/>
        <w:contextualSpacing/>
        <w:rPr>
          <w:i/>
          <w:lang w:val="sq-AL"/>
        </w:rPr>
      </w:pPr>
      <w:r w:rsidRPr="00C31EBF">
        <w:rPr>
          <w:i/>
          <w:lang w:val="sq-AL"/>
        </w:rPr>
        <w:t>6.5 miliardë lekë për mbështetjen financiare të pensionistëve dhe indeksimin e pensioneve.</w:t>
      </w:r>
    </w:p>
    <w:p w:rsidR="00C31EBF" w:rsidRPr="00C31EBF" w:rsidRDefault="00C31EBF" w:rsidP="00C71069">
      <w:pPr>
        <w:numPr>
          <w:ilvl w:val="0"/>
          <w:numId w:val="40"/>
        </w:numPr>
        <w:spacing w:before="0" w:line="240" w:lineRule="auto"/>
        <w:ind w:left="810" w:hanging="270"/>
        <w:contextualSpacing/>
        <w:rPr>
          <w:i/>
          <w:lang w:val="sq-AL"/>
        </w:rPr>
      </w:pPr>
      <w:r w:rsidRPr="00C31EBF">
        <w:rPr>
          <w:i/>
          <w:lang w:val="sq-AL"/>
        </w:rPr>
        <w:t>1.7 miliard</w:t>
      </w:r>
      <w:r>
        <w:rPr>
          <w:i/>
          <w:lang w:val="sq-AL"/>
        </w:rPr>
        <w:t>ë</w:t>
      </w:r>
      <w:r w:rsidRPr="00C31EBF">
        <w:rPr>
          <w:i/>
          <w:lang w:val="sq-AL"/>
        </w:rPr>
        <w:t xml:space="preserve"> lekë për mbështetjen e sektorit të bujqësisë</w:t>
      </w:r>
      <w:r>
        <w:rPr>
          <w:i/>
          <w:lang w:val="sq-AL"/>
        </w:rPr>
        <w:t>, p</w:t>
      </w:r>
      <w:r w:rsidR="00D65C9E">
        <w:rPr>
          <w:i/>
          <w:lang w:val="sq-AL"/>
        </w:rPr>
        <w:t>ë</w:t>
      </w:r>
      <w:r>
        <w:rPr>
          <w:i/>
          <w:lang w:val="sq-AL"/>
        </w:rPr>
        <w:t>rkat</w:t>
      </w:r>
      <w:r w:rsidR="00D65C9E">
        <w:rPr>
          <w:i/>
          <w:lang w:val="sq-AL"/>
        </w:rPr>
        <w:t>ë</w:t>
      </w:r>
      <w:r>
        <w:rPr>
          <w:i/>
          <w:lang w:val="sq-AL"/>
        </w:rPr>
        <w:t xml:space="preserve">sisht </w:t>
      </w:r>
      <w:r w:rsidRPr="00C31EBF">
        <w:rPr>
          <w:i/>
          <w:lang w:val="sq-AL"/>
        </w:rPr>
        <w:t>për mbështetjen e fermerëve për subvencionimin e skemës së naftës</w:t>
      </w:r>
      <w:r>
        <w:rPr>
          <w:i/>
          <w:lang w:val="sq-AL"/>
        </w:rPr>
        <w:t xml:space="preserve"> </w:t>
      </w:r>
      <w:r w:rsidRPr="00C31EBF">
        <w:rPr>
          <w:i/>
          <w:lang w:val="sq-AL"/>
        </w:rPr>
        <w:t>(500 milion</w:t>
      </w:r>
      <w:r>
        <w:rPr>
          <w:i/>
          <w:lang w:val="sq-AL"/>
        </w:rPr>
        <w:t>ë</w:t>
      </w:r>
      <w:r w:rsidRPr="00C31EBF">
        <w:rPr>
          <w:i/>
          <w:lang w:val="sq-AL"/>
        </w:rPr>
        <w:t xml:space="preserve"> lek</w:t>
      </w:r>
      <w:r>
        <w:rPr>
          <w:i/>
          <w:lang w:val="sq-AL"/>
        </w:rPr>
        <w:t>ë</w:t>
      </w:r>
      <w:r w:rsidRPr="00C31EBF">
        <w:rPr>
          <w:i/>
          <w:lang w:val="sq-AL"/>
        </w:rPr>
        <w:t xml:space="preserve">), për subvencionimin e naftës </w:t>
      </w:r>
      <w:r>
        <w:rPr>
          <w:i/>
          <w:lang w:val="sq-AL"/>
        </w:rPr>
        <w:t>n</w:t>
      </w:r>
      <w:r w:rsidR="00D65C9E">
        <w:rPr>
          <w:i/>
          <w:lang w:val="sq-AL"/>
        </w:rPr>
        <w:t>ë</w:t>
      </w:r>
      <w:r w:rsidRPr="00C31EBF">
        <w:rPr>
          <w:i/>
          <w:lang w:val="sq-AL"/>
        </w:rPr>
        <w:t xml:space="preserve"> sektori</w:t>
      </w:r>
      <w:r>
        <w:rPr>
          <w:i/>
          <w:lang w:val="sq-AL"/>
        </w:rPr>
        <w:t>n</w:t>
      </w:r>
      <w:r w:rsidRPr="00C31EBF">
        <w:rPr>
          <w:i/>
          <w:lang w:val="sq-AL"/>
        </w:rPr>
        <w:t xml:space="preserve"> </w:t>
      </w:r>
      <w:r>
        <w:rPr>
          <w:i/>
          <w:lang w:val="sq-AL"/>
        </w:rPr>
        <w:t>e</w:t>
      </w:r>
      <w:r w:rsidRPr="00C31EBF">
        <w:rPr>
          <w:i/>
          <w:lang w:val="sq-AL"/>
        </w:rPr>
        <w:t xml:space="preserve"> peshkimit </w:t>
      </w:r>
      <w:r>
        <w:rPr>
          <w:i/>
          <w:lang w:val="sq-AL"/>
        </w:rPr>
        <w:t>(</w:t>
      </w:r>
      <w:r w:rsidRPr="00C31EBF">
        <w:rPr>
          <w:i/>
          <w:lang w:val="sq-AL"/>
        </w:rPr>
        <w:t>700 milion</w:t>
      </w:r>
      <w:r w:rsidR="00D65C9E">
        <w:rPr>
          <w:i/>
          <w:lang w:val="sq-AL"/>
        </w:rPr>
        <w:t>ë</w:t>
      </w:r>
      <w:r w:rsidRPr="00C31EBF">
        <w:rPr>
          <w:i/>
          <w:lang w:val="sq-AL"/>
        </w:rPr>
        <w:t xml:space="preserve"> leke), dhe per mbështetjen e fermerëve për mbjelljen e grurit (500 milion</w:t>
      </w:r>
      <w:r w:rsidR="00D65C9E">
        <w:rPr>
          <w:i/>
          <w:lang w:val="sq-AL"/>
        </w:rPr>
        <w:t>ë</w:t>
      </w:r>
      <w:r w:rsidRPr="00C31EBF">
        <w:rPr>
          <w:i/>
          <w:lang w:val="sq-AL"/>
        </w:rPr>
        <w:t xml:space="preserve"> lekë).</w:t>
      </w:r>
    </w:p>
    <w:p w:rsidR="009D6C55" w:rsidRPr="00C31EBF" w:rsidRDefault="009D6C55" w:rsidP="00C71069">
      <w:pPr>
        <w:numPr>
          <w:ilvl w:val="0"/>
          <w:numId w:val="40"/>
        </w:numPr>
        <w:spacing w:before="0" w:line="240" w:lineRule="auto"/>
        <w:ind w:left="810" w:hanging="270"/>
        <w:contextualSpacing/>
        <w:rPr>
          <w:i/>
          <w:lang w:val="sq-AL"/>
        </w:rPr>
      </w:pPr>
      <w:r w:rsidRPr="00C31EBF">
        <w:rPr>
          <w:i/>
          <w:lang w:val="sq-AL"/>
        </w:rPr>
        <w:t>1.38 miliardë lekë për mbështetjen financiare të disa kategorive të veçanta</w:t>
      </w:r>
      <w:r w:rsidR="00C31EBF">
        <w:rPr>
          <w:i/>
          <w:lang w:val="sq-AL"/>
        </w:rPr>
        <w:t xml:space="preserve">, ku </w:t>
      </w:r>
      <w:r w:rsidRPr="00C31EBF">
        <w:rPr>
          <w:i/>
          <w:lang w:val="sq-AL"/>
        </w:rPr>
        <w:t>812 milion</w:t>
      </w:r>
      <w:r w:rsidR="00C31EBF">
        <w:rPr>
          <w:i/>
          <w:lang w:val="sq-AL"/>
        </w:rPr>
        <w:t>ë</w:t>
      </w:r>
      <w:r w:rsidRPr="00C31EBF">
        <w:rPr>
          <w:i/>
          <w:lang w:val="sq-AL"/>
        </w:rPr>
        <w:t xml:space="preserve"> lekë </w:t>
      </w:r>
      <w:r w:rsidR="00C31EBF">
        <w:rPr>
          <w:i/>
          <w:lang w:val="sq-AL"/>
        </w:rPr>
        <w:t xml:space="preserve">shkuan </w:t>
      </w:r>
      <w:r w:rsidRPr="00C31EBF">
        <w:rPr>
          <w:i/>
          <w:lang w:val="sq-AL"/>
        </w:rPr>
        <w:t>për për Ndihmë</w:t>
      </w:r>
      <w:r w:rsidR="00C31EBF">
        <w:rPr>
          <w:i/>
          <w:lang w:val="sq-AL"/>
        </w:rPr>
        <w:t>n</w:t>
      </w:r>
      <w:r w:rsidRPr="00C31EBF">
        <w:rPr>
          <w:i/>
          <w:lang w:val="sq-AL"/>
        </w:rPr>
        <w:t xml:space="preserve"> Ekonomike dhe 573 milion</w:t>
      </w:r>
      <w:r w:rsidR="00C31EBF">
        <w:rPr>
          <w:i/>
          <w:lang w:val="sq-AL"/>
        </w:rPr>
        <w:t>ë</w:t>
      </w:r>
      <w:r w:rsidRPr="00C31EBF">
        <w:rPr>
          <w:i/>
          <w:lang w:val="sq-AL"/>
        </w:rPr>
        <w:t xml:space="preserve"> lekë për rritjen e Pagesës së Aftësisë së Kufizuar.</w:t>
      </w:r>
    </w:p>
    <w:p w:rsidR="009D6C55" w:rsidRPr="00C31EBF" w:rsidRDefault="009D6C55" w:rsidP="00C71069">
      <w:pPr>
        <w:numPr>
          <w:ilvl w:val="0"/>
          <w:numId w:val="40"/>
        </w:numPr>
        <w:spacing w:before="0" w:line="240" w:lineRule="auto"/>
        <w:ind w:left="810" w:hanging="270"/>
        <w:contextualSpacing/>
        <w:rPr>
          <w:i/>
          <w:lang w:val="sq-AL"/>
        </w:rPr>
      </w:pPr>
      <w:r w:rsidRPr="00C31EBF">
        <w:rPr>
          <w:i/>
          <w:lang w:val="sq-AL"/>
        </w:rPr>
        <w:t>550 milionë lekë</w:t>
      </w:r>
      <w:r w:rsidR="00C31EBF">
        <w:rPr>
          <w:i/>
          <w:lang w:val="sq-AL"/>
        </w:rPr>
        <w:t xml:space="preserve"> </w:t>
      </w:r>
      <w:r w:rsidRPr="00C31EBF">
        <w:rPr>
          <w:i/>
          <w:lang w:val="sq-AL"/>
        </w:rPr>
        <w:t xml:space="preserve">për mbështetjen e shoqërive të linjave të transportit </w:t>
      </w:r>
      <w:r w:rsidR="00C31EBF">
        <w:rPr>
          <w:i/>
          <w:lang w:val="sq-AL"/>
        </w:rPr>
        <w:t xml:space="preserve">urban </w:t>
      </w:r>
      <w:r w:rsidRPr="00C31EBF">
        <w:rPr>
          <w:i/>
          <w:lang w:val="sq-AL"/>
        </w:rPr>
        <w:t>qytetëse dhe ndërqytetëse.</w:t>
      </w:r>
    </w:p>
    <w:p w:rsidR="00C31EBF" w:rsidRDefault="00C31EBF" w:rsidP="009D6C55">
      <w:pPr>
        <w:rPr>
          <w:i/>
          <w:iCs/>
          <w:u w:val="single"/>
          <w:lang w:val="sq-AL"/>
        </w:rPr>
      </w:pPr>
    </w:p>
    <w:p w:rsidR="009D6C55" w:rsidRPr="0046727F" w:rsidRDefault="009D6C55" w:rsidP="009D6C55">
      <w:pPr>
        <w:rPr>
          <w:lang w:val="sq-AL"/>
        </w:rPr>
      </w:pPr>
      <w:r w:rsidRPr="0046727F">
        <w:rPr>
          <w:i/>
          <w:iCs/>
          <w:u w:val="single"/>
          <w:lang w:val="sq-AL"/>
        </w:rPr>
        <w:t>Fondi i Kontigjencës për risqet e borxhit</w:t>
      </w:r>
      <w:r w:rsidRPr="0046727F">
        <w:rPr>
          <w:lang w:val="sq-AL"/>
        </w:rPr>
        <w:t xml:space="preserve"> në masën 4.8 miliard lekë, deri me datë 31.12.2022</w:t>
      </w:r>
      <w:r w:rsidR="00C31EBF">
        <w:rPr>
          <w:lang w:val="sq-AL"/>
        </w:rPr>
        <w:t xml:space="preserve"> rezultoi i</w:t>
      </w:r>
      <w:r w:rsidRPr="0046727F">
        <w:rPr>
          <w:lang w:val="sq-AL"/>
        </w:rPr>
        <w:t xml:space="preserve"> </w:t>
      </w:r>
      <w:r w:rsidR="00C31EBF">
        <w:rPr>
          <w:lang w:val="sq-AL"/>
        </w:rPr>
        <w:t>pa</w:t>
      </w:r>
      <w:r w:rsidRPr="0046727F">
        <w:rPr>
          <w:lang w:val="sq-AL"/>
        </w:rPr>
        <w:t>përdorur.</w:t>
      </w:r>
    </w:p>
    <w:p w:rsidR="00AA0674" w:rsidRDefault="00AA0674" w:rsidP="00FC729E">
      <w:pPr>
        <w:rPr>
          <w:rFonts w:eastAsia="SimSun" w:cs="Calibri"/>
          <w:lang w:val="sq-AL"/>
        </w:rPr>
      </w:pPr>
    </w:p>
    <w:p w:rsidR="00554F56" w:rsidRPr="00476D2E" w:rsidRDefault="00554F56" w:rsidP="00FC729E">
      <w:pPr>
        <w:rPr>
          <w:rFonts w:eastAsia="SimSun" w:cs="Calibri"/>
          <w:lang w:val="sq-AL"/>
        </w:rPr>
      </w:pPr>
    </w:p>
    <w:p w:rsidR="004E027F" w:rsidRPr="00095B84" w:rsidRDefault="004E027F" w:rsidP="00FC729E">
      <w:pPr>
        <w:pStyle w:val="Fiskale2"/>
        <w:rPr>
          <w:rFonts w:ascii="Calibri" w:eastAsia="SimSun" w:hAnsi="Calibri" w:cs="Calibri"/>
        </w:rPr>
      </w:pPr>
      <w:bookmarkStart w:id="159" w:name="_Toc104980337"/>
      <w:r w:rsidRPr="00095B84">
        <w:rPr>
          <w:rFonts w:ascii="Calibri" w:eastAsia="SimSun" w:hAnsi="Calibri" w:cs="Calibri"/>
        </w:rPr>
        <w:lastRenderedPageBreak/>
        <w:t xml:space="preserve">Programi i </w:t>
      </w:r>
      <w:r w:rsidR="007D6E17" w:rsidRPr="00095B84">
        <w:rPr>
          <w:rFonts w:ascii="Calibri" w:eastAsia="SimSun" w:hAnsi="Calibri" w:cs="Calibri"/>
        </w:rPr>
        <w:t>R</w:t>
      </w:r>
      <w:r w:rsidRPr="00095B84">
        <w:rPr>
          <w:rFonts w:ascii="Calibri" w:eastAsia="SimSun" w:hAnsi="Calibri" w:cs="Calibri"/>
        </w:rPr>
        <w:t>ind</w:t>
      </w:r>
      <w:r w:rsidR="00086626" w:rsidRPr="00095B84">
        <w:rPr>
          <w:rFonts w:ascii="Calibri" w:eastAsia="SimSun" w:hAnsi="Calibri" w:cs="Calibri"/>
        </w:rPr>
        <w:t>ë</w:t>
      </w:r>
      <w:r w:rsidRPr="00095B84">
        <w:rPr>
          <w:rFonts w:ascii="Calibri" w:eastAsia="SimSun" w:hAnsi="Calibri" w:cs="Calibri"/>
        </w:rPr>
        <w:t>rtimit</w:t>
      </w:r>
      <w:bookmarkEnd w:id="159"/>
    </w:p>
    <w:p w:rsidR="00FF68C7" w:rsidRPr="00207749" w:rsidRDefault="00FF68C7" w:rsidP="00AD1A25">
      <w:pPr>
        <w:spacing w:line="240" w:lineRule="auto"/>
      </w:pPr>
      <w:r w:rsidRPr="00207749">
        <w:t>Nj</w:t>
      </w:r>
      <w:r w:rsidR="00086626" w:rsidRPr="00207749">
        <w:t>ë</w:t>
      </w:r>
      <w:r w:rsidRPr="00207749">
        <w:t xml:space="preserve"> paket</w:t>
      </w:r>
      <w:r w:rsidR="00086626" w:rsidRPr="00207749">
        <w:t>ë</w:t>
      </w:r>
      <w:r w:rsidRPr="00207749">
        <w:t xml:space="preserve"> e veçant</w:t>
      </w:r>
      <w:r w:rsidR="00086626" w:rsidRPr="00207749">
        <w:t>ë</w:t>
      </w:r>
      <w:r w:rsidRPr="00207749">
        <w:t xml:space="preserve"> ligjore q</w:t>
      </w:r>
      <w:r w:rsidR="00086626" w:rsidRPr="00207749">
        <w:t>ë</w:t>
      </w:r>
      <w:r w:rsidRPr="00207749">
        <w:t xml:space="preserve"> vijoi t</w:t>
      </w:r>
      <w:r w:rsidR="00086626" w:rsidRPr="00207749">
        <w:t>ë</w:t>
      </w:r>
      <w:r w:rsidRPr="00207749">
        <w:t>rmetin shkat</w:t>
      </w:r>
      <w:r w:rsidR="00086626" w:rsidRPr="00207749">
        <w:t>ë</w:t>
      </w:r>
      <w:r w:rsidRPr="00207749">
        <w:t>rrues t</w:t>
      </w:r>
      <w:r w:rsidR="00086626" w:rsidRPr="00207749">
        <w:t>ë</w:t>
      </w:r>
      <w:r w:rsidRPr="00207749">
        <w:t xml:space="preserve"> n</w:t>
      </w:r>
      <w:r w:rsidR="00086626" w:rsidRPr="00207749">
        <w:t>ë</w:t>
      </w:r>
      <w:r w:rsidRPr="00207749">
        <w:t>ntorit 2019 p</w:t>
      </w:r>
      <w:r w:rsidR="00086626" w:rsidRPr="00207749">
        <w:t>ë</w:t>
      </w:r>
      <w:r w:rsidRPr="00207749">
        <w:t>rcaktoi rolet dhe p</w:t>
      </w:r>
      <w:r w:rsidR="00086626" w:rsidRPr="00207749">
        <w:t>ë</w:t>
      </w:r>
      <w:r w:rsidRPr="00207749">
        <w:t>rgjegj</w:t>
      </w:r>
      <w:r w:rsidR="00086626" w:rsidRPr="00207749">
        <w:t>ë</w:t>
      </w:r>
      <w:r w:rsidRPr="00207749">
        <w:t>sit</w:t>
      </w:r>
      <w:r w:rsidR="00086626" w:rsidRPr="00207749">
        <w:t>ë</w:t>
      </w:r>
      <w:r w:rsidRPr="00207749">
        <w:t xml:space="preserve"> e institucioneve p</w:t>
      </w:r>
      <w:r w:rsidR="00086626" w:rsidRPr="00207749">
        <w:t>ë</w:t>
      </w:r>
      <w:r w:rsidRPr="00207749">
        <w:t>r menaxhimin e rind</w:t>
      </w:r>
      <w:r w:rsidR="00086626" w:rsidRPr="00207749">
        <w:t>ë</w:t>
      </w:r>
      <w:r w:rsidRPr="00207749">
        <w:t>rtimit, si dhe m</w:t>
      </w:r>
      <w:r w:rsidR="00086626" w:rsidRPr="00207749">
        <w:t>ë</w:t>
      </w:r>
      <w:r w:rsidRPr="00207749">
        <w:t>nyr</w:t>
      </w:r>
      <w:r w:rsidR="00086626" w:rsidRPr="00207749">
        <w:t>ë</w:t>
      </w:r>
      <w:r w:rsidRPr="00207749">
        <w:t>n e financimit dhe procedurat p</w:t>
      </w:r>
      <w:r w:rsidR="00086626" w:rsidRPr="00207749">
        <w:t>ë</w:t>
      </w:r>
      <w:r w:rsidRPr="00207749">
        <w:t>rkat</w:t>
      </w:r>
      <w:r w:rsidR="00086626" w:rsidRPr="00207749">
        <w:t>ë</w:t>
      </w:r>
      <w:r w:rsidRPr="00207749">
        <w:t>se. Ministri i Shtetit p</w:t>
      </w:r>
      <w:r w:rsidR="00086626" w:rsidRPr="00207749">
        <w:t>ë</w:t>
      </w:r>
      <w:r w:rsidRPr="00207749">
        <w:t>r Rind</w:t>
      </w:r>
      <w:r w:rsidR="00086626" w:rsidRPr="00207749">
        <w:t>ë</w:t>
      </w:r>
      <w:r w:rsidRPr="00207749">
        <w:t>rtim n</w:t>
      </w:r>
      <w:r w:rsidR="00086626" w:rsidRPr="00207749">
        <w:t>ë</w:t>
      </w:r>
      <w:r w:rsidRPr="00207749">
        <w:t xml:space="preserve"> bashk</w:t>
      </w:r>
      <w:r w:rsidR="00086626" w:rsidRPr="00207749">
        <w:t>ë</w:t>
      </w:r>
      <w:r w:rsidRPr="00207749">
        <w:t>punim t</w:t>
      </w:r>
      <w:r w:rsidR="00086626" w:rsidRPr="00207749">
        <w:t>ë</w:t>
      </w:r>
      <w:r w:rsidRPr="00207749">
        <w:t xml:space="preserve"> ngusht</w:t>
      </w:r>
      <w:r w:rsidR="00086626" w:rsidRPr="00207749">
        <w:t>ë</w:t>
      </w:r>
      <w:r w:rsidRPr="00207749">
        <w:t xml:space="preserve"> m</w:t>
      </w:r>
      <w:r w:rsidR="00086626" w:rsidRPr="00207749">
        <w:t>ë</w:t>
      </w:r>
      <w:r w:rsidRPr="00207749">
        <w:t xml:space="preserve"> Komisionin Sht</w:t>
      </w:r>
      <w:r w:rsidR="00086626" w:rsidRPr="00207749">
        <w:t>ë</w:t>
      </w:r>
      <w:r w:rsidRPr="00207749">
        <w:t>t</w:t>
      </w:r>
      <w:r w:rsidR="00086626" w:rsidRPr="00207749">
        <w:t>ë</w:t>
      </w:r>
      <w:r w:rsidRPr="00207749">
        <w:t>ror t</w:t>
      </w:r>
      <w:r w:rsidR="00086626" w:rsidRPr="00207749">
        <w:t>ë</w:t>
      </w:r>
      <w:r w:rsidRPr="00207749">
        <w:t xml:space="preserve"> Rind</w:t>
      </w:r>
      <w:r w:rsidR="00086626" w:rsidRPr="00207749">
        <w:t>ë</w:t>
      </w:r>
      <w:r w:rsidRPr="00207749">
        <w:t>rtimit, u caktuan si autoriteti p</w:t>
      </w:r>
      <w:r w:rsidR="00086626" w:rsidRPr="00207749">
        <w:t>ë</w:t>
      </w:r>
      <w:r w:rsidRPr="00207749">
        <w:t>rgjegj</w:t>
      </w:r>
      <w:r w:rsidR="00086626" w:rsidRPr="00207749">
        <w:t>ë</w:t>
      </w:r>
      <w:r w:rsidRPr="00207749">
        <w:t>s p</w:t>
      </w:r>
      <w:r w:rsidR="00086626" w:rsidRPr="00207749">
        <w:t>ë</w:t>
      </w:r>
      <w:r w:rsidRPr="00207749">
        <w:t>r propozimin dhe bashk</w:t>
      </w:r>
      <w:r w:rsidR="00086626" w:rsidRPr="00207749">
        <w:t>ë</w:t>
      </w:r>
      <w:r w:rsidRPr="00207749">
        <w:t>rendimin e programit. Me Aktin Normativ 9 (dat</w:t>
      </w:r>
      <w:r w:rsidR="00086626" w:rsidRPr="00207749">
        <w:t>ë</w:t>
      </w:r>
      <w:r w:rsidRPr="00207749">
        <w:t xml:space="preserve"> 16.12.2019), u krijua dhe Fondi i Rind</w:t>
      </w:r>
      <w:r w:rsidR="00086626" w:rsidRPr="00207749">
        <w:t>ë</w:t>
      </w:r>
      <w:r w:rsidRPr="00207749">
        <w:t>rtimit, i cili konsiston n</w:t>
      </w:r>
      <w:r w:rsidR="00086626" w:rsidRPr="00207749">
        <w:t>ë</w:t>
      </w:r>
      <w:r w:rsidRPr="00207749">
        <w:t>:</w:t>
      </w:r>
    </w:p>
    <w:p w:rsidR="00FF68C7" w:rsidRPr="00207749" w:rsidRDefault="00FF68C7" w:rsidP="00AD1A25">
      <w:pPr>
        <w:pStyle w:val="ListParagraph"/>
        <w:numPr>
          <w:ilvl w:val="0"/>
          <w:numId w:val="12"/>
        </w:numPr>
        <w:spacing w:before="0" w:line="240" w:lineRule="auto"/>
        <w:rPr>
          <w:rFonts w:cs="Calibri"/>
          <w:bCs/>
          <w:i/>
          <w:color w:val="000000"/>
        </w:rPr>
      </w:pPr>
      <w:r w:rsidRPr="00207749">
        <w:rPr>
          <w:rFonts w:cs="Calibri"/>
          <w:bCs/>
          <w:i/>
          <w:color w:val="000000"/>
        </w:rPr>
        <w:t>Nj</w:t>
      </w:r>
      <w:r w:rsidR="00086626" w:rsidRPr="00207749">
        <w:rPr>
          <w:rFonts w:cs="Calibri"/>
          <w:bCs/>
          <w:i/>
          <w:color w:val="000000"/>
        </w:rPr>
        <w:t>ë</w:t>
      </w:r>
      <w:r w:rsidRPr="00207749">
        <w:rPr>
          <w:rFonts w:cs="Calibri"/>
          <w:bCs/>
          <w:i/>
          <w:color w:val="000000"/>
        </w:rPr>
        <w:t xml:space="preserve"> program t</w:t>
      </w:r>
      <w:r w:rsidR="00086626" w:rsidRPr="00207749">
        <w:rPr>
          <w:rFonts w:cs="Calibri"/>
          <w:bCs/>
          <w:i/>
          <w:color w:val="000000"/>
        </w:rPr>
        <w:t>ë</w:t>
      </w:r>
      <w:r w:rsidRPr="00207749">
        <w:rPr>
          <w:rFonts w:cs="Calibri"/>
          <w:bCs/>
          <w:i/>
          <w:color w:val="000000"/>
        </w:rPr>
        <w:t xml:space="preserve"> veçant</w:t>
      </w:r>
      <w:r w:rsidR="00086626" w:rsidRPr="00207749">
        <w:rPr>
          <w:rFonts w:cs="Calibri"/>
          <w:bCs/>
          <w:i/>
          <w:color w:val="000000"/>
        </w:rPr>
        <w:t>ë</w:t>
      </w:r>
      <w:r w:rsidRPr="00207749">
        <w:rPr>
          <w:rFonts w:cs="Calibri"/>
          <w:bCs/>
          <w:i/>
          <w:color w:val="000000"/>
        </w:rPr>
        <w:t xml:space="preserve"> t</w:t>
      </w:r>
      <w:r w:rsidR="00086626" w:rsidRPr="00207749">
        <w:rPr>
          <w:rFonts w:cs="Calibri"/>
          <w:bCs/>
          <w:i/>
          <w:color w:val="000000"/>
        </w:rPr>
        <w:t>ë</w:t>
      </w:r>
      <w:r w:rsidRPr="00207749">
        <w:rPr>
          <w:rFonts w:cs="Calibri"/>
          <w:bCs/>
          <w:i/>
          <w:color w:val="000000"/>
        </w:rPr>
        <w:t xml:space="preserve"> buxhetit t</w:t>
      </w:r>
      <w:r w:rsidR="00086626" w:rsidRPr="00207749">
        <w:rPr>
          <w:rFonts w:cs="Calibri"/>
          <w:bCs/>
          <w:i/>
          <w:color w:val="000000"/>
        </w:rPr>
        <w:t>ë</w:t>
      </w:r>
      <w:r w:rsidRPr="00207749">
        <w:rPr>
          <w:rFonts w:cs="Calibri"/>
          <w:bCs/>
          <w:i/>
          <w:color w:val="000000"/>
        </w:rPr>
        <w:t xml:space="preserve"> shtetit, me t</w:t>
      </w:r>
      <w:r w:rsidR="00086626" w:rsidRPr="00207749">
        <w:rPr>
          <w:rFonts w:cs="Calibri"/>
          <w:bCs/>
          <w:i/>
          <w:color w:val="000000"/>
        </w:rPr>
        <w:t>ë</w:t>
      </w:r>
      <w:r w:rsidRPr="00207749">
        <w:rPr>
          <w:rFonts w:cs="Calibri"/>
          <w:bCs/>
          <w:i/>
          <w:color w:val="000000"/>
        </w:rPr>
        <w:t xml:space="preserve"> ardhura nga buxheti i shtetit dhe donator</w:t>
      </w:r>
      <w:r w:rsidR="00086626" w:rsidRPr="00207749">
        <w:rPr>
          <w:rFonts w:cs="Calibri"/>
          <w:bCs/>
          <w:i/>
          <w:color w:val="000000"/>
        </w:rPr>
        <w:t>ë</w:t>
      </w:r>
      <w:r w:rsidRPr="00207749">
        <w:rPr>
          <w:rFonts w:cs="Calibri"/>
          <w:bCs/>
          <w:i/>
          <w:color w:val="000000"/>
        </w:rPr>
        <w:t xml:space="preserve"> dhe</w:t>
      </w:r>
    </w:p>
    <w:p w:rsidR="00FF68C7" w:rsidRPr="00207749" w:rsidRDefault="00FF68C7" w:rsidP="00AD1A25">
      <w:pPr>
        <w:pStyle w:val="ListParagraph"/>
        <w:numPr>
          <w:ilvl w:val="0"/>
          <w:numId w:val="12"/>
        </w:numPr>
        <w:spacing w:before="0" w:line="240" w:lineRule="auto"/>
        <w:rPr>
          <w:rFonts w:cs="Calibri"/>
          <w:bCs/>
          <w:i/>
          <w:color w:val="000000"/>
        </w:rPr>
      </w:pPr>
      <w:r w:rsidRPr="00207749">
        <w:rPr>
          <w:rFonts w:cs="Calibri"/>
          <w:bCs/>
          <w:i/>
          <w:color w:val="000000"/>
        </w:rPr>
        <w:t>Kontribute n</w:t>
      </w:r>
      <w:r w:rsidR="00086626" w:rsidRPr="00207749">
        <w:rPr>
          <w:rFonts w:cs="Calibri"/>
          <w:bCs/>
          <w:i/>
          <w:color w:val="000000"/>
        </w:rPr>
        <w:t>ë</w:t>
      </w:r>
      <w:r w:rsidRPr="00207749">
        <w:rPr>
          <w:rFonts w:cs="Calibri"/>
          <w:bCs/>
          <w:i/>
          <w:color w:val="000000"/>
        </w:rPr>
        <w:t xml:space="preserve"> natyr</w:t>
      </w:r>
      <w:r w:rsidR="00086626" w:rsidRPr="00207749">
        <w:rPr>
          <w:rFonts w:cs="Calibri"/>
          <w:bCs/>
          <w:i/>
          <w:color w:val="000000"/>
        </w:rPr>
        <w:t>ë</w:t>
      </w:r>
      <w:r w:rsidRPr="00207749">
        <w:rPr>
          <w:rFonts w:cs="Calibri"/>
          <w:bCs/>
          <w:i/>
          <w:color w:val="000000"/>
        </w:rPr>
        <w:t xml:space="preserve"> nga donator</w:t>
      </w:r>
      <w:r w:rsidR="00086626" w:rsidRPr="00207749">
        <w:rPr>
          <w:rFonts w:cs="Calibri"/>
          <w:bCs/>
          <w:i/>
          <w:color w:val="000000"/>
        </w:rPr>
        <w:t>ë</w:t>
      </w:r>
    </w:p>
    <w:p w:rsidR="003E010E" w:rsidRPr="00AD1A25" w:rsidRDefault="00207749" w:rsidP="00AD1A25">
      <w:pPr>
        <w:spacing w:line="240" w:lineRule="auto"/>
      </w:pPr>
      <w:r w:rsidRPr="00207749">
        <w:t xml:space="preserve">Fondi i Rindërtimit shton kufijtë e shpenzimeve për çdo ministri dhe institucion në nivel programi, si dhe kufijtë e transfertës së pakushtëzuar për njësitë e qeverisjes vendore në përputhje me vendimet përkatëse. Detajimi i tij u krye në përputhje me ecurinë e procedurave të ndërlikuara të identifikimit dhe vlerësimit të dëmeve; verifikimit të kërkesave për dëmshpërblime dhe projektimit e zbatimit të investimeve publike. </w:t>
      </w:r>
      <w:r w:rsidR="00554F56">
        <w:rPr>
          <w:rFonts w:asciiTheme="majorHAnsi" w:eastAsia="Calibri" w:hAnsiTheme="majorHAnsi"/>
          <w:szCs w:val="22"/>
        </w:rPr>
        <w:t>Në</w:t>
      </w:r>
      <w:r w:rsidR="003E010E" w:rsidRPr="00AA0674">
        <w:rPr>
          <w:rFonts w:asciiTheme="majorHAnsi" w:eastAsia="Calibri" w:hAnsiTheme="majorHAnsi"/>
          <w:szCs w:val="22"/>
        </w:rPr>
        <w:t xml:space="preserve"> ligjin e buxhetit </w:t>
      </w:r>
      <w:r w:rsidR="00AD1A25">
        <w:rPr>
          <w:rFonts w:asciiTheme="majorHAnsi" w:eastAsia="Calibri" w:hAnsiTheme="majorHAnsi"/>
          <w:szCs w:val="22"/>
        </w:rPr>
        <w:t>nr.</w:t>
      </w:r>
      <w:r w:rsidR="00AD1A25" w:rsidRPr="00AD1A25">
        <w:rPr>
          <w:rFonts w:asciiTheme="majorHAnsi" w:eastAsia="Calibri" w:hAnsiTheme="majorHAnsi"/>
          <w:szCs w:val="22"/>
        </w:rPr>
        <w:t>115/2021“Për buxhetin e vitit 2022”, të ndryshuar</w:t>
      </w:r>
      <w:r w:rsidR="00AD1A25">
        <w:rPr>
          <w:rFonts w:asciiTheme="majorHAnsi" w:eastAsia="Calibri" w:hAnsiTheme="majorHAnsi"/>
          <w:szCs w:val="22"/>
        </w:rPr>
        <w:t>”</w:t>
      </w:r>
      <w:r w:rsidR="003E010E" w:rsidRPr="00AA0674">
        <w:rPr>
          <w:rFonts w:asciiTheme="majorHAnsi" w:eastAsia="Calibri" w:hAnsiTheme="majorHAnsi"/>
          <w:szCs w:val="22"/>
        </w:rPr>
        <w:t>, në nenin 7 të tij, është përcaktuar:</w:t>
      </w:r>
    </w:p>
    <w:p w:rsidR="00AD1A25" w:rsidRPr="00AD1A25" w:rsidRDefault="003E010E" w:rsidP="00AD1A25">
      <w:pPr>
        <w:spacing w:before="0" w:line="240" w:lineRule="auto"/>
        <w:ind w:firstLine="340"/>
        <w:jc w:val="center"/>
        <w:rPr>
          <w:rFonts w:asciiTheme="majorHAnsi" w:eastAsia="Calibri" w:hAnsiTheme="majorHAnsi"/>
          <w:bCs/>
          <w:i/>
          <w:sz w:val="21"/>
          <w:szCs w:val="21"/>
        </w:rPr>
      </w:pPr>
      <w:r w:rsidRPr="00BB4AF5">
        <w:rPr>
          <w:rFonts w:asciiTheme="majorHAnsi" w:eastAsia="Calibri" w:hAnsiTheme="majorHAnsi"/>
          <w:bCs/>
          <w:i/>
        </w:rPr>
        <w:t>“</w:t>
      </w:r>
      <w:r w:rsidR="00AD1A25" w:rsidRPr="00AD1A25">
        <w:rPr>
          <w:rFonts w:asciiTheme="majorHAnsi" w:eastAsia="Calibri" w:hAnsiTheme="majorHAnsi"/>
          <w:bCs/>
          <w:i/>
          <w:sz w:val="21"/>
          <w:szCs w:val="21"/>
        </w:rPr>
        <w:t>Fondi i rindërtimit për përballimin e pasojave të tërmetit të vitit 2019 prej 32 400 milionë lekësh përdoret për të përballuar kostot për projektet e miratuara dhe të pafinancuara të viteve të mëparshme dhe pjesa e mbetur për projekte të reja. Ky fond shton kufijtë e shpenzimeve për çdo ministri dhe institucion në nivel programi dhe kufijtë e transfertës së pakushtëzuar, të miratuar në tabelat 1 dhe 3, të përmendura në nenet 11 e 15 të këtij ligji.</w:t>
      </w:r>
    </w:p>
    <w:p w:rsidR="00AD1A25" w:rsidRPr="00AD1A25" w:rsidRDefault="00AD1A25" w:rsidP="00AD1A25">
      <w:pPr>
        <w:spacing w:before="0" w:line="240" w:lineRule="auto"/>
        <w:ind w:firstLine="340"/>
        <w:jc w:val="center"/>
        <w:rPr>
          <w:rFonts w:asciiTheme="majorHAnsi" w:eastAsia="Calibri" w:hAnsiTheme="majorHAnsi"/>
          <w:bCs/>
          <w:i/>
          <w:sz w:val="21"/>
          <w:szCs w:val="21"/>
        </w:rPr>
      </w:pPr>
      <w:r w:rsidRPr="00AD1A25">
        <w:rPr>
          <w:rFonts w:asciiTheme="majorHAnsi" w:eastAsia="Calibri" w:hAnsiTheme="majorHAnsi"/>
          <w:bCs/>
          <w:i/>
          <w:sz w:val="21"/>
          <w:szCs w:val="21"/>
        </w:rPr>
        <w:t xml:space="preserve">Çdo e ardhur në formë granti, me destinacion përballimin e pasojave të tërmetit,  rrit në të njëjtën masë të ardhurat dhe shpenzimet e fondit të rindërtimit, duke shtuar kufijtë e përcaktuar në nenet 1, 2, 3 e 11, </w:t>
      </w:r>
    </w:p>
    <w:p w:rsidR="00AD1A25" w:rsidRPr="00AD1A25" w:rsidRDefault="00AD1A25" w:rsidP="00AD1A25">
      <w:pPr>
        <w:spacing w:before="0" w:line="240" w:lineRule="auto"/>
        <w:ind w:firstLine="340"/>
        <w:jc w:val="center"/>
        <w:rPr>
          <w:rFonts w:asciiTheme="majorHAnsi" w:eastAsia="Calibri" w:hAnsiTheme="majorHAnsi"/>
          <w:bCs/>
          <w:i/>
          <w:sz w:val="21"/>
          <w:szCs w:val="21"/>
        </w:rPr>
      </w:pPr>
      <w:r w:rsidRPr="00AD1A25">
        <w:rPr>
          <w:rFonts w:asciiTheme="majorHAnsi" w:eastAsia="Calibri" w:hAnsiTheme="majorHAnsi"/>
          <w:bCs/>
          <w:i/>
          <w:sz w:val="21"/>
          <w:szCs w:val="21"/>
        </w:rPr>
        <w:t>si dhe kufijtë e miratuar në tabelat  1, 3 dhe 4, të përmendura në nenet 11 e 15 të këtij ligji.</w:t>
      </w:r>
    </w:p>
    <w:p w:rsidR="00AD1A25" w:rsidRPr="00AD1A25" w:rsidRDefault="00AD1A25" w:rsidP="00AD1A25">
      <w:pPr>
        <w:spacing w:before="0" w:line="240" w:lineRule="auto"/>
        <w:ind w:firstLine="340"/>
        <w:jc w:val="center"/>
        <w:rPr>
          <w:rFonts w:asciiTheme="majorHAnsi" w:eastAsia="Calibri" w:hAnsiTheme="majorHAnsi"/>
          <w:bCs/>
          <w:i/>
          <w:sz w:val="21"/>
          <w:szCs w:val="21"/>
        </w:rPr>
      </w:pPr>
      <w:r w:rsidRPr="00AD1A25">
        <w:rPr>
          <w:rFonts w:asciiTheme="majorHAnsi" w:eastAsia="Calibri" w:hAnsiTheme="majorHAnsi"/>
          <w:bCs/>
          <w:i/>
          <w:sz w:val="21"/>
          <w:szCs w:val="21"/>
        </w:rPr>
        <w:t xml:space="preserve">      Në varësi te ecurisë së  projekteve të  rindërtimit, ministri pergjegjes për financat </w:t>
      </w:r>
    </w:p>
    <w:p w:rsidR="00AD1A25" w:rsidRPr="00AD1A25" w:rsidRDefault="00AD1A25" w:rsidP="00AD1A25">
      <w:pPr>
        <w:spacing w:before="0" w:line="240" w:lineRule="auto"/>
        <w:ind w:firstLine="340"/>
        <w:jc w:val="center"/>
        <w:rPr>
          <w:rFonts w:asciiTheme="majorHAnsi" w:eastAsia="Calibri" w:hAnsiTheme="majorHAnsi"/>
          <w:bCs/>
          <w:i/>
          <w:sz w:val="21"/>
          <w:szCs w:val="21"/>
        </w:rPr>
      </w:pPr>
      <w:r w:rsidRPr="00AD1A25">
        <w:rPr>
          <w:rFonts w:asciiTheme="majorHAnsi" w:eastAsia="Calibri" w:hAnsiTheme="majorHAnsi"/>
          <w:bCs/>
          <w:i/>
          <w:sz w:val="21"/>
          <w:szCs w:val="21"/>
        </w:rPr>
        <w:t xml:space="preserve">rialokon fondet, te cilat janë ngurtësuar nëpërmjet vendimeve </w:t>
      </w:r>
    </w:p>
    <w:p w:rsidR="003E010E" w:rsidRPr="00BB4AF5" w:rsidRDefault="00AD1A25" w:rsidP="00AD1A25">
      <w:pPr>
        <w:spacing w:before="0" w:line="240" w:lineRule="auto"/>
        <w:ind w:firstLine="340"/>
        <w:jc w:val="center"/>
        <w:rPr>
          <w:rFonts w:asciiTheme="majorHAnsi" w:eastAsia="Calibri" w:hAnsiTheme="majorHAnsi"/>
          <w:bCs/>
          <w:i/>
        </w:rPr>
      </w:pPr>
      <w:r w:rsidRPr="00AD1A25">
        <w:rPr>
          <w:rFonts w:asciiTheme="majorHAnsi" w:eastAsia="Calibri" w:hAnsiTheme="majorHAnsi"/>
          <w:bCs/>
          <w:i/>
          <w:sz w:val="21"/>
          <w:szCs w:val="21"/>
        </w:rPr>
        <w:t>të Këshillit të Ministrave</w:t>
      </w:r>
      <w:r w:rsidR="003E010E" w:rsidRPr="00BB4AF5">
        <w:rPr>
          <w:rFonts w:asciiTheme="majorHAnsi" w:eastAsia="Calibri" w:hAnsiTheme="majorHAnsi"/>
          <w:bCs/>
          <w:i/>
        </w:rPr>
        <w:t>.”</w:t>
      </w:r>
    </w:p>
    <w:p w:rsidR="00207749" w:rsidRPr="00AA0674" w:rsidRDefault="00AD1A25" w:rsidP="00AD1A25">
      <w:pPr>
        <w:spacing w:before="0" w:line="240" w:lineRule="auto"/>
        <w:jc w:val="left"/>
        <w:rPr>
          <w:rFonts w:asciiTheme="majorHAnsi" w:eastAsia="Calibri" w:hAnsiTheme="majorHAnsi"/>
          <w:szCs w:val="22"/>
        </w:rPr>
      </w:pPr>
      <w:r w:rsidRPr="00AD1A25">
        <w:rPr>
          <w:rFonts w:asciiTheme="majorHAnsi" w:eastAsia="Calibri" w:hAnsiTheme="majorHAnsi"/>
          <w:szCs w:val="22"/>
        </w:rPr>
        <w:t>Gjatë vitit 2022 fondet e planifikuara për rindërtimin u përdorën me Vendime të Këshillit të Ministrave, si mëposhtë</w:t>
      </w:r>
      <w:r w:rsidR="00207749" w:rsidRPr="00AA0674">
        <w:rPr>
          <w:rFonts w:asciiTheme="majorHAnsi" w:eastAsia="Calibri" w:hAnsiTheme="majorHAnsi"/>
          <w:szCs w:val="22"/>
        </w:rPr>
        <w:t>:</w:t>
      </w:r>
    </w:p>
    <w:p w:rsidR="00207749" w:rsidRPr="00F74CA9" w:rsidRDefault="00207749" w:rsidP="00C71069">
      <w:pPr>
        <w:pStyle w:val="ListParagraph"/>
        <w:numPr>
          <w:ilvl w:val="0"/>
          <w:numId w:val="39"/>
        </w:numPr>
        <w:spacing w:before="0" w:line="240" w:lineRule="auto"/>
        <w:rPr>
          <w:rFonts w:eastAsia="SimSun"/>
          <w:lang w:val="sq-AL"/>
        </w:rPr>
      </w:pPr>
      <w:r w:rsidRPr="00F74CA9">
        <w:rPr>
          <w:rFonts w:eastAsia="SimSun"/>
          <w:lang w:val="sq-AL"/>
        </w:rPr>
        <w:t xml:space="preserve">Fondet e pashpenzuara </w:t>
      </w:r>
      <w:r w:rsidR="00556872">
        <w:rPr>
          <w:rFonts w:eastAsia="SimSun"/>
          <w:lang w:val="sq-AL"/>
        </w:rPr>
        <w:t>nga viti 202</w:t>
      </w:r>
      <w:r w:rsidR="00AD1A25">
        <w:rPr>
          <w:rFonts w:eastAsia="SimSun"/>
          <w:lang w:val="sq-AL"/>
        </w:rPr>
        <w:t>1</w:t>
      </w:r>
      <w:r w:rsidR="00556872">
        <w:rPr>
          <w:rFonts w:eastAsia="SimSun"/>
          <w:lang w:val="sq-AL"/>
        </w:rPr>
        <w:t xml:space="preserve"> dhe t</w:t>
      </w:r>
      <w:r w:rsidRPr="00F74CA9">
        <w:rPr>
          <w:rFonts w:eastAsia="SimSun"/>
          <w:lang w:val="sq-AL"/>
        </w:rPr>
        <w:t>ë mbartura</w:t>
      </w:r>
      <w:r w:rsidR="00556872">
        <w:rPr>
          <w:rFonts w:eastAsia="SimSun"/>
          <w:lang w:val="sq-AL"/>
        </w:rPr>
        <w:t xml:space="preserve"> n</w:t>
      </w:r>
      <w:r w:rsidR="00694021">
        <w:rPr>
          <w:rFonts w:eastAsia="SimSun"/>
          <w:lang w:val="sq-AL"/>
        </w:rPr>
        <w:t>ë</w:t>
      </w:r>
      <w:r w:rsidR="00556872">
        <w:rPr>
          <w:rFonts w:eastAsia="SimSun"/>
          <w:lang w:val="sq-AL"/>
        </w:rPr>
        <w:t xml:space="preserve"> 202</w:t>
      </w:r>
      <w:r w:rsidR="00AD1A25">
        <w:rPr>
          <w:rFonts w:eastAsia="SimSun"/>
          <w:lang w:val="sq-AL"/>
        </w:rPr>
        <w:t>2</w:t>
      </w:r>
      <w:r w:rsidR="00556872">
        <w:rPr>
          <w:rFonts w:eastAsia="SimSun"/>
          <w:lang w:val="sq-AL"/>
        </w:rPr>
        <w:t xml:space="preserve"> jan</w:t>
      </w:r>
      <w:r w:rsidR="00694021">
        <w:rPr>
          <w:rFonts w:eastAsia="SimSun"/>
          <w:lang w:val="sq-AL"/>
        </w:rPr>
        <w:t>ë</w:t>
      </w:r>
      <w:r w:rsidRPr="00F74CA9">
        <w:rPr>
          <w:rFonts w:eastAsia="SimSun"/>
          <w:lang w:val="sq-AL"/>
        </w:rPr>
        <w:t xml:space="preserve"> 9</w:t>
      </w:r>
      <w:r w:rsidR="00AD1A25">
        <w:rPr>
          <w:rFonts w:eastAsia="SimSun"/>
          <w:lang w:val="sq-AL"/>
        </w:rPr>
        <w:t>.</w:t>
      </w:r>
      <w:r w:rsidR="00266A2D">
        <w:rPr>
          <w:rFonts w:eastAsia="SimSun"/>
          <w:lang w:val="sq-AL"/>
        </w:rPr>
        <w:t>76</w:t>
      </w:r>
      <w:r w:rsidR="00AD1A25">
        <w:rPr>
          <w:rFonts w:eastAsia="SimSun"/>
          <w:lang w:val="sq-AL"/>
        </w:rPr>
        <w:t xml:space="preserve"> miliardë</w:t>
      </w:r>
      <w:r w:rsidRPr="00F74CA9">
        <w:rPr>
          <w:rFonts w:eastAsia="SimSun"/>
          <w:lang w:val="sq-AL"/>
        </w:rPr>
        <w:t xml:space="preserve"> lekë, nga të cilat:</w:t>
      </w:r>
    </w:p>
    <w:p w:rsidR="00207749" w:rsidRPr="00266A2D" w:rsidRDefault="00266A2D" w:rsidP="00AD1A25">
      <w:pPr>
        <w:pStyle w:val="ListParagraph"/>
        <w:numPr>
          <w:ilvl w:val="1"/>
          <w:numId w:val="14"/>
        </w:numPr>
        <w:spacing w:before="0" w:line="240" w:lineRule="auto"/>
        <w:rPr>
          <w:rFonts w:eastAsia="SimSun"/>
          <w:i/>
          <w:lang w:val="sq-AL"/>
        </w:rPr>
      </w:pPr>
      <w:r w:rsidRPr="00266A2D">
        <w:rPr>
          <w:rFonts w:eastAsia="SimSun"/>
          <w:i/>
          <w:lang w:val="sq-AL"/>
        </w:rPr>
        <w:t>263</w:t>
      </w:r>
      <w:r w:rsidR="00AD1A25" w:rsidRPr="00266A2D">
        <w:rPr>
          <w:rFonts w:eastAsia="SimSun"/>
          <w:i/>
          <w:lang w:val="sq-AL"/>
        </w:rPr>
        <w:t xml:space="preserve"> milionë</w:t>
      </w:r>
      <w:r w:rsidR="00556872" w:rsidRPr="00266A2D">
        <w:rPr>
          <w:rFonts w:eastAsia="SimSun"/>
          <w:i/>
          <w:lang w:val="sq-AL"/>
        </w:rPr>
        <w:t xml:space="preserve"> lekë </w:t>
      </w:r>
      <w:r w:rsidR="00207749" w:rsidRPr="00266A2D">
        <w:rPr>
          <w:rFonts w:eastAsia="SimSun"/>
          <w:i/>
          <w:lang w:val="sq-AL"/>
        </w:rPr>
        <w:t>për Njësitë e Qeverisjes Qendrore</w:t>
      </w:r>
      <w:r w:rsidR="00556872" w:rsidRPr="00266A2D">
        <w:rPr>
          <w:rFonts w:eastAsia="SimSun"/>
          <w:i/>
          <w:lang w:val="sq-AL"/>
        </w:rPr>
        <w:t xml:space="preserve"> (NJQQ)</w:t>
      </w:r>
    </w:p>
    <w:p w:rsidR="00207749" w:rsidRPr="00E1111C" w:rsidRDefault="00AD1A25" w:rsidP="00AD1A25">
      <w:pPr>
        <w:pStyle w:val="ListParagraph"/>
        <w:numPr>
          <w:ilvl w:val="1"/>
          <w:numId w:val="14"/>
        </w:numPr>
        <w:spacing w:before="0" w:line="240" w:lineRule="auto"/>
        <w:rPr>
          <w:rFonts w:eastAsia="SimSun"/>
          <w:i/>
          <w:lang w:val="sq-AL"/>
        </w:rPr>
      </w:pPr>
      <w:r>
        <w:rPr>
          <w:rFonts w:eastAsia="SimSun"/>
          <w:i/>
          <w:lang w:val="sq-AL"/>
        </w:rPr>
        <w:t>9.5 miliardë</w:t>
      </w:r>
      <w:r w:rsidR="00207749" w:rsidRPr="00E1111C">
        <w:rPr>
          <w:rFonts w:eastAsia="SimSun"/>
          <w:i/>
          <w:lang w:val="sq-AL"/>
        </w:rPr>
        <w:t xml:space="preserve"> lekë për Njësitë e </w:t>
      </w:r>
      <w:r w:rsidR="00556872" w:rsidRPr="00E1111C">
        <w:rPr>
          <w:rFonts w:eastAsia="SimSun"/>
          <w:i/>
          <w:lang w:val="sq-AL"/>
        </w:rPr>
        <w:t>Vet</w:t>
      </w:r>
      <w:r w:rsidR="00694021">
        <w:rPr>
          <w:rFonts w:eastAsia="SimSun"/>
          <w:i/>
          <w:lang w:val="sq-AL"/>
        </w:rPr>
        <w:t>ë</w:t>
      </w:r>
      <w:r w:rsidR="00556872" w:rsidRPr="00E1111C">
        <w:rPr>
          <w:rFonts w:eastAsia="SimSun"/>
          <w:i/>
          <w:lang w:val="sq-AL"/>
        </w:rPr>
        <w:t>q</w:t>
      </w:r>
      <w:r w:rsidR="00207749" w:rsidRPr="00E1111C">
        <w:rPr>
          <w:rFonts w:eastAsia="SimSun"/>
          <w:i/>
          <w:lang w:val="sq-AL"/>
        </w:rPr>
        <w:t>everisjes Vendore</w:t>
      </w:r>
      <w:r w:rsidR="00556872" w:rsidRPr="00E1111C">
        <w:rPr>
          <w:rFonts w:eastAsia="SimSun"/>
          <w:i/>
          <w:lang w:val="sq-AL"/>
        </w:rPr>
        <w:t xml:space="preserve"> (NJVQV)</w:t>
      </w:r>
    </w:p>
    <w:p w:rsidR="00207749" w:rsidRPr="00207749" w:rsidRDefault="00207749" w:rsidP="00AD1A25">
      <w:pPr>
        <w:pStyle w:val="ListParagraph"/>
        <w:spacing w:before="0" w:line="240" w:lineRule="auto"/>
        <w:rPr>
          <w:rFonts w:eastAsia="SimSun"/>
          <w:sz w:val="8"/>
          <w:szCs w:val="8"/>
          <w:lang w:val="sq-AL"/>
        </w:rPr>
      </w:pPr>
    </w:p>
    <w:p w:rsidR="00232A9B" w:rsidRPr="00232A9B" w:rsidRDefault="00232A9B" w:rsidP="00C71069">
      <w:pPr>
        <w:pStyle w:val="ListParagraph"/>
        <w:numPr>
          <w:ilvl w:val="0"/>
          <w:numId w:val="39"/>
        </w:numPr>
        <w:spacing w:before="0" w:line="240" w:lineRule="auto"/>
        <w:rPr>
          <w:rFonts w:eastAsia="SimSun"/>
          <w:lang w:val="sq-AL"/>
        </w:rPr>
      </w:pPr>
      <w:r w:rsidRPr="00232A9B">
        <w:rPr>
          <w:rFonts w:eastAsia="SimSun"/>
          <w:lang w:val="sq-AL"/>
        </w:rPr>
        <w:t>Fondet e akorduara gjatë vitit 2022 janë 25 348 724 mijë lekë, nga të cilat:</w:t>
      </w:r>
    </w:p>
    <w:p w:rsidR="00232A9B" w:rsidRPr="00232A9B" w:rsidRDefault="00232A9B" w:rsidP="00C71069">
      <w:pPr>
        <w:pStyle w:val="ListParagraph"/>
        <w:numPr>
          <w:ilvl w:val="1"/>
          <w:numId w:val="39"/>
        </w:numPr>
        <w:spacing w:before="0" w:line="240" w:lineRule="auto"/>
        <w:rPr>
          <w:rFonts w:eastAsia="SimSun"/>
          <w:i/>
          <w:lang w:val="sq-AL"/>
        </w:rPr>
      </w:pPr>
      <w:r w:rsidRPr="00232A9B">
        <w:rPr>
          <w:rFonts w:eastAsia="SimSun"/>
          <w:i/>
          <w:lang w:val="sq-AL"/>
        </w:rPr>
        <w:t>8 165 992 mijë lekë, shpenzime për Njësitë e Qeverisjes Qendrore (NJQQ)</w:t>
      </w:r>
    </w:p>
    <w:p w:rsidR="00232A9B" w:rsidRPr="00232A9B" w:rsidRDefault="00232A9B" w:rsidP="00C71069">
      <w:pPr>
        <w:pStyle w:val="ListParagraph"/>
        <w:numPr>
          <w:ilvl w:val="1"/>
          <w:numId w:val="39"/>
        </w:numPr>
        <w:spacing w:before="0" w:line="240" w:lineRule="auto"/>
        <w:rPr>
          <w:rFonts w:eastAsia="SimSun"/>
          <w:i/>
          <w:lang w:val="sq-AL"/>
        </w:rPr>
      </w:pPr>
      <w:r w:rsidRPr="00232A9B">
        <w:rPr>
          <w:rFonts w:eastAsia="SimSun"/>
          <w:i/>
          <w:lang w:val="sq-AL"/>
        </w:rPr>
        <w:t xml:space="preserve">17 182 732 mijë lekë për Njësitë e Vetëqeverisjes Vendore (NJVQV) </w:t>
      </w:r>
    </w:p>
    <w:p w:rsidR="001C5BC6" w:rsidRPr="001C5BC6" w:rsidRDefault="003E010E" w:rsidP="00AD1A25">
      <w:pPr>
        <w:spacing w:line="240" w:lineRule="auto"/>
        <w:rPr>
          <w:rFonts w:cs="Calibri"/>
          <w:b/>
        </w:rPr>
      </w:pPr>
      <w:r w:rsidRPr="001C5BC6">
        <w:rPr>
          <w:rFonts w:cs="Calibri"/>
          <w:b/>
        </w:rPr>
        <w:t xml:space="preserve">Nga Fondi i Rindërtimit për njësitë e qeverisjes qendrore </w:t>
      </w:r>
      <w:r w:rsidR="00BB4AF5" w:rsidRPr="001C5BC6">
        <w:rPr>
          <w:rFonts w:cs="Calibri"/>
          <w:b/>
        </w:rPr>
        <w:t xml:space="preserve">(NJQQ) </w:t>
      </w:r>
      <w:r w:rsidR="001C5BC6" w:rsidRPr="001C5BC6">
        <w:rPr>
          <w:rFonts w:cs="Calibri"/>
          <w:lang w:val="sq-AL"/>
        </w:rPr>
        <w:t xml:space="preserve">deri në 31 dhjetor 2022, u akorduan fonde në projekte specifike në masën 8.17 miliardë lekë dhe </w:t>
      </w:r>
      <w:r w:rsidR="001C5BC6" w:rsidRPr="00266A2D">
        <w:rPr>
          <w:rFonts w:cs="Calibri"/>
          <w:lang w:val="sq-AL"/>
        </w:rPr>
        <w:t>263 milion</w:t>
      </w:r>
      <w:r w:rsidR="00AD1A25" w:rsidRPr="00266A2D">
        <w:rPr>
          <w:rFonts w:cs="Calibri"/>
          <w:lang w:val="sq-AL"/>
        </w:rPr>
        <w:t>ë</w:t>
      </w:r>
      <w:r w:rsidR="001C5BC6" w:rsidRPr="00266A2D">
        <w:rPr>
          <w:rFonts w:cs="Calibri"/>
          <w:lang w:val="sq-AL"/>
        </w:rPr>
        <w:t xml:space="preserve"> lekë janë trashëguar në buxhetin e vitit 2022, si</w:t>
      </w:r>
      <w:r w:rsidR="001C5BC6" w:rsidRPr="001C5BC6">
        <w:rPr>
          <w:rFonts w:cs="Calibri"/>
          <w:lang w:val="sq-AL"/>
        </w:rPr>
        <w:t xml:space="preserve"> fonde të papërdorura nga viti 2021. </w:t>
      </w:r>
      <w:r w:rsidR="001C5BC6" w:rsidRPr="001C5BC6">
        <w:rPr>
          <w:rFonts w:cs="Calibri"/>
        </w:rPr>
        <w:t>Konkretisht:</w:t>
      </w:r>
    </w:p>
    <w:p w:rsidR="001C5BC6" w:rsidRPr="00AD1A25" w:rsidRDefault="001C5BC6" w:rsidP="00C71069">
      <w:pPr>
        <w:pStyle w:val="ListParagraph"/>
        <w:numPr>
          <w:ilvl w:val="0"/>
          <w:numId w:val="37"/>
        </w:numPr>
        <w:spacing w:before="0" w:line="240" w:lineRule="auto"/>
        <w:ind w:left="450"/>
        <w:rPr>
          <w:rFonts w:cs="Calibri"/>
          <w:i/>
        </w:rPr>
      </w:pPr>
      <w:r w:rsidRPr="00AD1A25">
        <w:rPr>
          <w:rFonts w:cs="Calibri"/>
          <w:i/>
        </w:rPr>
        <w:t>Fondi Shqiptar i Zhvillimit</w:t>
      </w:r>
      <w:r w:rsidR="00AD1A25">
        <w:rPr>
          <w:rFonts w:cs="Calibri"/>
          <w:i/>
        </w:rPr>
        <w:t xml:space="preserve"> </w:t>
      </w:r>
      <w:r w:rsidRPr="00AD1A25">
        <w:rPr>
          <w:rFonts w:cs="Calibri"/>
          <w:i/>
        </w:rPr>
        <w:t xml:space="preserve">shpenzoi 8.06 miliardë lekë (nga 8.07 miliardë lekë të akorduara, pra në masën 99.8%). </w:t>
      </w:r>
    </w:p>
    <w:p w:rsidR="001C5BC6" w:rsidRPr="00AD1A25" w:rsidRDefault="001C5BC6" w:rsidP="00C71069">
      <w:pPr>
        <w:pStyle w:val="ListParagraph"/>
        <w:numPr>
          <w:ilvl w:val="0"/>
          <w:numId w:val="37"/>
        </w:numPr>
        <w:spacing w:line="240" w:lineRule="auto"/>
        <w:ind w:left="450"/>
        <w:rPr>
          <w:rFonts w:cs="Calibri"/>
          <w:i/>
        </w:rPr>
      </w:pPr>
      <w:r w:rsidRPr="00AD1A25">
        <w:rPr>
          <w:rFonts w:cs="Calibri"/>
          <w:i/>
        </w:rPr>
        <w:t>Agjenci të tjera qendrore shpenzuan 145</w:t>
      </w:r>
      <w:r w:rsidR="008E73FF">
        <w:rPr>
          <w:rFonts w:cs="Calibri"/>
          <w:i/>
        </w:rPr>
        <w:t>mln</w:t>
      </w:r>
      <w:r w:rsidRPr="00AD1A25">
        <w:rPr>
          <w:rFonts w:cs="Calibri"/>
          <w:i/>
        </w:rPr>
        <w:t xml:space="preserve"> lekë (nga 355</w:t>
      </w:r>
      <w:r w:rsidR="008E73FF">
        <w:rPr>
          <w:rFonts w:cs="Calibri"/>
          <w:i/>
        </w:rPr>
        <w:t>mln</w:t>
      </w:r>
      <w:r w:rsidRPr="00AD1A25">
        <w:rPr>
          <w:rFonts w:cs="Calibri"/>
          <w:i/>
        </w:rPr>
        <w:t xml:space="preserve"> të akorduar, 40.8%)</w:t>
      </w:r>
      <w:r w:rsidR="008E73FF">
        <w:rPr>
          <w:rFonts w:cs="Calibri"/>
          <w:i/>
        </w:rPr>
        <w:t>:</w:t>
      </w:r>
      <w:r w:rsidRPr="00AD1A25">
        <w:rPr>
          <w:rFonts w:cs="Calibri"/>
          <w:i/>
        </w:rPr>
        <w:t xml:space="preserve"> për rindërtimin e Godinës së Institutit të Ndërtimit  (MIE</w:t>
      </w:r>
      <w:r w:rsidR="008E73FF">
        <w:rPr>
          <w:rFonts w:cs="Calibri"/>
          <w:i/>
        </w:rPr>
        <w:t xml:space="preserve"> </w:t>
      </w:r>
      <w:r w:rsidRPr="00AD1A25">
        <w:rPr>
          <w:rFonts w:cs="Calibri"/>
          <w:i/>
        </w:rPr>
        <w:t>63.6</w:t>
      </w:r>
      <w:r w:rsidR="008E73FF">
        <w:rPr>
          <w:rFonts w:cs="Calibri"/>
          <w:i/>
        </w:rPr>
        <w:t>mln</w:t>
      </w:r>
      <w:r w:rsidRPr="00AD1A25">
        <w:rPr>
          <w:rFonts w:cs="Calibri"/>
          <w:i/>
        </w:rPr>
        <w:t xml:space="preserve"> lekë)</w:t>
      </w:r>
      <w:r w:rsidR="008E73FF">
        <w:rPr>
          <w:rFonts w:cs="Calibri"/>
          <w:i/>
        </w:rPr>
        <w:t>;</w:t>
      </w:r>
      <w:r w:rsidRPr="00AD1A25">
        <w:rPr>
          <w:rFonts w:cs="Calibri"/>
          <w:i/>
        </w:rPr>
        <w:t xml:space="preserve"> </w:t>
      </w:r>
      <w:r w:rsidR="008E73FF">
        <w:rPr>
          <w:rFonts w:cs="Calibri"/>
          <w:i/>
        </w:rPr>
        <w:t>r</w:t>
      </w:r>
      <w:r w:rsidRPr="00AD1A25">
        <w:rPr>
          <w:rFonts w:cs="Calibri"/>
          <w:i/>
        </w:rPr>
        <w:t>ikonstruksion i objekteve të ish Repartit RENEA (MB</w:t>
      </w:r>
      <w:r w:rsidR="008E73FF">
        <w:rPr>
          <w:rFonts w:cs="Calibri"/>
          <w:i/>
        </w:rPr>
        <w:t xml:space="preserve"> </w:t>
      </w:r>
      <w:r w:rsidRPr="00AD1A25">
        <w:rPr>
          <w:rFonts w:cs="Calibri"/>
          <w:i/>
        </w:rPr>
        <w:t>76</w:t>
      </w:r>
      <w:r w:rsidR="008E73FF">
        <w:rPr>
          <w:rFonts w:cs="Calibri"/>
          <w:i/>
        </w:rPr>
        <w:t>mln</w:t>
      </w:r>
      <w:r w:rsidRPr="00AD1A25">
        <w:rPr>
          <w:rFonts w:cs="Calibri"/>
          <w:i/>
        </w:rPr>
        <w:t xml:space="preserve"> lekë); </w:t>
      </w:r>
      <w:r w:rsidR="008E73FF">
        <w:rPr>
          <w:rFonts w:cs="Calibri"/>
          <w:i/>
        </w:rPr>
        <w:t>r</w:t>
      </w:r>
      <w:r w:rsidRPr="00AD1A25">
        <w:rPr>
          <w:rFonts w:cs="Calibri"/>
          <w:i/>
        </w:rPr>
        <w:t>ikonstruksione dhe ndertime për institucionet e SHISH (2</w:t>
      </w:r>
      <w:r w:rsidR="008E73FF">
        <w:rPr>
          <w:rFonts w:cs="Calibri"/>
          <w:i/>
        </w:rPr>
        <w:t>mln</w:t>
      </w:r>
      <w:r w:rsidRPr="00AD1A25">
        <w:rPr>
          <w:rFonts w:cs="Calibri"/>
          <w:i/>
        </w:rPr>
        <w:t xml:space="preserve"> lekë); </w:t>
      </w:r>
      <w:r w:rsidR="008E73FF">
        <w:rPr>
          <w:rFonts w:cs="Calibri"/>
          <w:i/>
        </w:rPr>
        <w:t>h</w:t>
      </w:r>
      <w:r w:rsidRPr="00AD1A25">
        <w:rPr>
          <w:rFonts w:cs="Calibri"/>
          <w:i/>
        </w:rPr>
        <w:t>artimi i Planeve te detyruara vendore per 9 bashki: (AKPT 3.4</w:t>
      </w:r>
      <w:r w:rsidR="008E73FF">
        <w:rPr>
          <w:rFonts w:cs="Calibri"/>
          <w:i/>
        </w:rPr>
        <w:t>mln</w:t>
      </w:r>
      <w:r w:rsidRPr="00AD1A25">
        <w:rPr>
          <w:rFonts w:cs="Calibri"/>
          <w:i/>
        </w:rPr>
        <w:t xml:space="preserve"> lekë).</w:t>
      </w:r>
    </w:p>
    <w:p w:rsidR="00095B84" w:rsidRPr="00266A2D" w:rsidRDefault="004C1EB3" w:rsidP="00C71069">
      <w:pPr>
        <w:pStyle w:val="ListParagraph"/>
        <w:numPr>
          <w:ilvl w:val="0"/>
          <w:numId w:val="37"/>
        </w:numPr>
        <w:spacing w:line="240" w:lineRule="auto"/>
        <w:ind w:left="450"/>
        <w:rPr>
          <w:rFonts w:cs="Calibri"/>
          <w:i/>
        </w:rPr>
      </w:pPr>
      <w:bookmarkStart w:id="160" w:name="_Hlk135901430"/>
      <w:bookmarkStart w:id="161" w:name="_Hlk135908971"/>
      <w:r w:rsidRPr="00AD1A25">
        <w:rPr>
          <w:rFonts w:cs="Calibri"/>
          <w:i/>
        </w:rPr>
        <w:t>Në kuad</w:t>
      </w:r>
      <w:r w:rsidR="00F14D33" w:rsidRPr="00AD1A25">
        <w:rPr>
          <w:rFonts w:cs="Calibri"/>
          <w:i/>
        </w:rPr>
        <w:t>ë</w:t>
      </w:r>
      <w:r w:rsidRPr="00AD1A25">
        <w:rPr>
          <w:rFonts w:cs="Calibri"/>
          <w:i/>
        </w:rPr>
        <w:t>r t</w:t>
      </w:r>
      <w:r w:rsidR="00F14D33" w:rsidRPr="00AD1A25">
        <w:rPr>
          <w:rFonts w:cs="Calibri"/>
          <w:i/>
        </w:rPr>
        <w:t>ë</w:t>
      </w:r>
      <w:r w:rsidRPr="00AD1A25">
        <w:rPr>
          <w:rFonts w:cs="Calibri"/>
          <w:i/>
        </w:rPr>
        <w:t xml:space="preserve"> Strehimit, </w:t>
      </w:r>
      <w:bookmarkEnd w:id="160"/>
      <w:r w:rsidR="00B60D22" w:rsidRPr="00AD1A25">
        <w:rPr>
          <w:rFonts w:cs="Calibri"/>
          <w:i/>
        </w:rPr>
        <w:t>në fund të dhjetorit 2022, rreth 11</w:t>
      </w:r>
      <w:r w:rsidR="008E73FF">
        <w:rPr>
          <w:rFonts w:cs="Calibri"/>
          <w:i/>
        </w:rPr>
        <w:t xml:space="preserve"> </w:t>
      </w:r>
      <w:r w:rsidR="00B60D22" w:rsidRPr="00AD1A25">
        <w:rPr>
          <w:rFonts w:cs="Calibri"/>
          <w:i/>
        </w:rPr>
        <w:t>300 familje të prekura nga tërmeti i datës 26 N</w:t>
      </w:r>
      <w:r w:rsidR="00AD1A25">
        <w:rPr>
          <w:rFonts w:cs="Calibri"/>
          <w:i/>
        </w:rPr>
        <w:t>ë</w:t>
      </w:r>
      <w:r w:rsidR="00B60D22" w:rsidRPr="00AD1A25">
        <w:rPr>
          <w:rFonts w:cs="Calibri"/>
          <w:i/>
        </w:rPr>
        <w:t xml:space="preserve">ntor 2019 ishin të akomoduara në apartamente me qira të subvencionuar nga shteti, me </w:t>
      </w:r>
      <w:r w:rsidR="00B60D22" w:rsidRPr="00266A2D">
        <w:rPr>
          <w:rFonts w:cs="Calibri"/>
          <w:i/>
        </w:rPr>
        <w:t xml:space="preserve">një kosto </w:t>
      </w:r>
      <w:r w:rsidR="00AF5C5D" w:rsidRPr="00266A2D">
        <w:rPr>
          <w:rFonts w:cs="Calibri"/>
          <w:i/>
        </w:rPr>
        <w:t xml:space="preserve">faktike </w:t>
      </w:r>
      <w:r w:rsidR="00B60D22" w:rsidRPr="00266A2D">
        <w:rPr>
          <w:rFonts w:cs="Calibri"/>
          <w:i/>
        </w:rPr>
        <w:t>totale 2.</w:t>
      </w:r>
      <w:r w:rsidR="008E73FF" w:rsidRPr="00266A2D">
        <w:rPr>
          <w:rFonts w:cs="Calibri"/>
          <w:i/>
        </w:rPr>
        <w:t>2</w:t>
      </w:r>
      <w:r w:rsidR="00266A2D" w:rsidRPr="00266A2D">
        <w:rPr>
          <w:rFonts w:cs="Calibri"/>
          <w:i/>
        </w:rPr>
        <w:t>mld</w:t>
      </w:r>
      <w:r w:rsidR="00B60D22" w:rsidRPr="00266A2D">
        <w:rPr>
          <w:rFonts w:cs="Calibri"/>
          <w:i/>
        </w:rPr>
        <w:t xml:space="preserve"> lekë ose 96% e planit t</w:t>
      </w:r>
      <w:r w:rsidR="00AD1A25" w:rsidRPr="00266A2D">
        <w:rPr>
          <w:rFonts w:cs="Calibri"/>
          <w:i/>
        </w:rPr>
        <w:t>ë</w:t>
      </w:r>
      <w:r w:rsidR="00B60D22" w:rsidRPr="00266A2D">
        <w:rPr>
          <w:rFonts w:cs="Calibri"/>
          <w:i/>
        </w:rPr>
        <w:t xml:space="preserve"> rishikuar 2022. Fillimisht u parashikua vlera 1</w:t>
      </w:r>
      <w:r w:rsidR="00266A2D" w:rsidRPr="00266A2D">
        <w:rPr>
          <w:rFonts w:cs="Calibri"/>
          <w:i/>
        </w:rPr>
        <w:t xml:space="preserve">mld </w:t>
      </w:r>
      <w:r w:rsidR="00B60D22" w:rsidRPr="00266A2D">
        <w:rPr>
          <w:rFonts w:cs="Calibri"/>
          <w:i/>
        </w:rPr>
        <w:t>lekë, nisur nga</w:t>
      </w:r>
      <w:r w:rsidR="00B60D22" w:rsidRPr="00AD1A25">
        <w:rPr>
          <w:rFonts w:cs="Calibri"/>
          <w:i/>
        </w:rPr>
        <w:t xml:space="preserve"> supozimi se një pjesë e familjeve do të strehoheshin në objektet e filluara gjatë viteve 2020</w:t>
      </w:r>
      <w:r w:rsidR="008E73FF">
        <w:rPr>
          <w:rFonts w:cs="Calibri"/>
          <w:i/>
        </w:rPr>
        <w:t>-</w:t>
      </w:r>
      <w:r w:rsidR="00B60D22" w:rsidRPr="00AD1A25">
        <w:rPr>
          <w:rFonts w:cs="Calibri"/>
          <w:i/>
        </w:rPr>
        <w:t xml:space="preserve">2021. </w:t>
      </w:r>
      <w:r w:rsidR="008E73FF">
        <w:rPr>
          <w:rFonts w:cs="Calibri"/>
          <w:i/>
        </w:rPr>
        <w:t>B</w:t>
      </w:r>
      <w:r w:rsidR="00B60D22" w:rsidRPr="00AD1A25">
        <w:rPr>
          <w:rFonts w:cs="Calibri"/>
          <w:i/>
        </w:rPr>
        <w:t xml:space="preserve">ashkitë </w:t>
      </w:r>
      <w:r w:rsidR="008E73FF">
        <w:rPr>
          <w:rFonts w:cs="Calibri"/>
          <w:i/>
        </w:rPr>
        <w:t>i</w:t>
      </w:r>
      <w:r w:rsidR="00B60D22" w:rsidRPr="00AD1A25">
        <w:rPr>
          <w:rFonts w:cs="Calibri"/>
          <w:i/>
        </w:rPr>
        <w:t>nformua</w:t>
      </w:r>
      <w:r w:rsidR="008E73FF">
        <w:rPr>
          <w:rFonts w:cs="Calibri"/>
          <w:i/>
        </w:rPr>
        <w:t>n</w:t>
      </w:r>
      <w:r w:rsidR="00B60D22" w:rsidRPr="00AD1A25">
        <w:rPr>
          <w:rFonts w:cs="Calibri"/>
          <w:i/>
        </w:rPr>
        <w:t xml:space="preserve"> se numri i familjeve që përfitojnë subvencionim qiraje gjatë vitit 2022 ishte </w:t>
      </w:r>
      <w:r w:rsidR="008E73FF">
        <w:rPr>
          <w:rFonts w:cs="Calibri"/>
          <w:i/>
        </w:rPr>
        <w:t>ende</w:t>
      </w:r>
      <w:r w:rsidR="00B60D22" w:rsidRPr="00AD1A25">
        <w:rPr>
          <w:rFonts w:cs="Calibri"/>
          <w:i/>
        </w:rPr>
        <w:t xml:space="preserve"> i lartë, pavarësisht numrit të familjeve </w:t>
      </w:r>
      <w:r w:rsidR="008E73FF">
        <w:rPr>
          <w:rFonts w:cs="Calibri"/>
          <w:i/>
        </w:rPr>
        <w:t>të</w:t>
      </w:r>
      <w:r w:rsidR="00B60D22" w:rsidRPr="00AD1A25">
        <w:rPr>
          <w:rFonts w:cs="Calibri"/>
          <w:i/>
        </w:rPr>
        <w:t xml:space="preserve"> dal</w:t>
      </w:r>
      <w:r w:rsidR="008E73FF">
        <w:rPr>
          <w:rFonts w:cs="Calibri"/>
          <w:i/>
        </w:rPr>
        <w:t>a</w:t>
      </w:r>
      <w:r w:rsidR="00B60D22" w:rsidRPr="00AD1A25">
        <w:rPr>
          <w:rFonts w:cs="Calibri"/>
          <w:i/>
        </w:rPr>
        <w:t xml:space="preserve"> nga skema pas përfit</w:t>
      </w:r>
      <w:r w:rsidR="008E73FF">
        <w:rPr>
          <w:rFonts w:cs="Calibri"/>
          <w:i/>
        </w:rPr>
        <w:t>imit</w:t>
      </w:r>
      <w:r w:rsidR="00B60D22" w:rsidRPr="00AD1A25">
        <w:rPr>
          <w:rFonts w:cs="Calibri"/>
          <w:i/>
        </w:rPr>
        <w:t xml:space="preserve"> </w:t>
      </w:r>
      <w:r w:rsidR="008E73FF">
        <w:rPr>
          <w:rFonts w:cs="Calibri"/>
          <w:i/>
        </w:rPr>
        <w:t xml:space="preserve">të </w:t>
      </w:r>
      <w:r w:rsidR="00B60D22" w:rsidRPr="00AD1A25">
        <w:rPr>
          <w:rFonts w:cs="Calibri"/>
          <w:i/>
        </w:rPr>
        <w:t>granti</w:t>
      </w:r>
      <w:r w:rsidR="008E73FF">
        <w:rPr>
          <w:rFonts w:cs="Calibri"/>
          <w:i/>
        </w:rPr>
        <w:t>t</w:t>
      </w:r>
      <w:r w:rsidR="00B60D22" w:rsidRPr="00AD1A25">
        <w:rPr>
          <w:rFonts w:cs="Calibri"/>
          <w:i/>
        </w:rPr>
        <w:t xml:space="preserve"> </w:t>
      </w:r>
      <w:r w:rsidR="008E73FF">
        <w:rPr>
          <w:rFonts w:cs="Calibri"/>
          <w:i/>
        </w:rPr>
        <w:t>të</w:t>
      </w:r>
      <w:r w:rsidR="00B60D22" w:rsidRPr="00AD1A25">
        <w:rPr>
          <w:rFonts w:cs="Calibri"/>
          <w:i/>
        </w:rPr>
        <w:t xml:space="preserve"> rikonstruksionit</w:t>
      </w:r>
      <w:r w:rsidR="008E73FF">
        <w:rPr>
          <w:rFonts w:cs="Calibri"/>
          <w:i/>
        </w:rPr>
        <w:t>/</w:t>
      </w:r>
      <w:r w:rsidR="00B60D22" w:rsidRPr="00AD1A25">
        <w:rPr>
          <w:rFonts w:cs="Calibri"/>
          <w:i/>
        </w:rPr>
        <w:t>rindërtimin e banesave t</w:t>
      </w:r>
      <w:r w:rsidR="00AD1A25">
        <w:rPr>
          <w:rFonts w:cs="Calibri"/>
          <w:i/>
        </w:rPr>
        <w:t>ë</w:t>
      </w:r>
      <w:r w:rsidR="00B60D22" w:rsidRPr="00AD1A25">
        <w:rPr>
          <w:rFonts w:cs="Calibri"/>
          <w:i/>
        </w:rPr>
        <w:t xml:space="preserve"> tyre. Kjo solli nevojën për rishikim të buxhetit 2022, </w:t>
      </w:r>
      <w:r w:rsidR="008E73FF">
        <w:rPr>
          <w:rFonts w:cs="Calibri"/>
          <w:i/>
        </w:rPr>
        <w:t>prej</w:t>
      </w:r>
      <w:r w:rsidR="00B60D22" w:rsidRPr="00AD1A25">
        <w:rPr>
          <w:rFonts w:cs="Calibri"/>
          <w:i/>
        </w:rPr>
        <w:t xml:space="preserve"> 1.7</w:t>
      </w:r>
      <w:r w:rsidR="00266A2D">
        <w:rPr>
          <w:rFonts w:cs="Calibri"/>
          <w:i/>
        </w:rPr>
        <w:t>mld</w:t>
      </w:r>
      <w:r w:rsidR="00B60D22" w:rsidRPr="00AD1A25">
        <w:rPr>
          <w:rFonts w:cs="Calibri"/>
          <w:i/>
        </w:rPr>
        <w:t xml:space="preserve"> lekë shtesë. Në muajin Dhjetor 2022 buxheti u rishikua n</w:t>
      </w:r>
      <w:r w:rsidR="00AD1A25">
        <w:rPr>
          <w:rFonts w:cs="Calibri"/>
          <w:i/>
        </w:rPr>
        <w:t>ë</w:t>
      </w:r>
      <w:r w:rsidR="00B60D22" w:rsidRPr="00AD1A25">
        <w:rPr>
          <w:rFonts w:cs="Calibri"/>
          <w:i/>
        </w:rPr>
        <w:t xml:space="preserve"> zbritje </w:t>
      </w:r>
      <w:r w:rsidR="008E73FF">
        <w:rPr>
          <w:rFonts w:cs="Calibri"/>
          <w:i/>
        </w:rPr>
        <w:t xml:space="preserve">për </w:t>
      </w:r>
      <w:r w:rsidR="00B60D22" w:rsidRPr="00AD1A25">
        <w:rPr>
          <w:rFonts w:cs="Calibri"/>
          <w:i/>
        </w:rPr>
        <w:t>350</w:t>
      </w:r>
      <w:r w:rsidR="008E73FF">
        <w:rPr>
          <w:rFonts w:cs="Calibri"/>
          <w:i/>
        </w:rPr>
        <w:t>mln</w:t>
      </w:r>
      <w:r w:rsidR="00B60D22" w:rsidRPr="00AD1A25">
        <w:rPr>
          <w:rFonts w:cs="Calibri"/>
          <w:i/>
        </w:rPr>
        <w:t xml:space="preserve"> lek</w:t>
      </w:r>
      <w:r w:rsidR="00AD1A25">
        <w:rPr>
          <w:rFonts w:cs="Calibri"/>
          <w:i/>
        </w:rPr>
        <w:t>ë</w:t>
      </w:r>
      <w:r w:rsidR="00B60D22" w:rsidRPr="00AD1A25">
        <w:rPr>
          <w:rFonts w:cs="Calibri"/>
          <w:i/>
        </w:rPr>
        <w:t>, për shkak të një ulje të lehtë të familjeve që përfitonin subvencionim qirajë, si edhe nga fakti q</w:t>
      </w:r>
      <w:r w:rsidR="00AD1A25">
        <w:rPr>
          <w:rFonts w:cs="Calibri"/>
          <w:i/>
        </w:rPr>
        <w:t>ë</w:t>
      </w:r>
      <w:r w:rsidR="00B60D22" w:rsidRPr="00AD1A25">
        <w:rPr>
          <w:rFonts w:cs="Calibri"/>
          <w:i/>
        </w:rPr>
        <w:t xml:space="preserve"> Bashkia Tiranë mbuloi me fondet e veta pagesat p</w:t>
      </w:r>
      <w:r w:rsidR="00AD1A25">
        <w:rPr>
          <w:rFonts w:cs="Calibri"/>
          <w:i/>
        </w:rPr>
        <w:t>ë</w:t>
      </w:r>
      <w:r w:rsidR="00B60D22" w:rsidRPr="00AD1A25">
        <w:rPr>
          <w:rFonts w:cs="Calibri"/>
          <w:i/>
        </w:rPr>
        <w:t xml:space="preserve">r 2 muaj, duke e cuar </w:t>
      </w:r>
      <w:r w:rsidR="00266A2D" w:rsidRPr="00266A2D">
        <w:rPr>
          <w:rFonts w:cs="Calibri"/>
          <w:i/>
        </w:rPr>
        <w:t xml:space="preserve">planin 2022 në </w:t>
      </w:r>
      <w:r w:rsidR="00B60D22" w:rsidRPr="00266A2D">
        <w:rPr>
          <w:rFonts w:cs="Calibri"/>
          <w:i/>
        </w:rPr>
        <w:t>2.3</w:t>
      </w:r>
      <w:r w:rsidR="008E73FF" w:rsidRPr="00266A2D">
        <w:rPr>
          <w:rFonts w:cs="Calibri"/>
          <w:i/>
        </w:rPr>
        <w:t xml:space="preserve"> miliardë</w:t>
      </w:r>
      <w:r w:rsidR="00B60D22" w:rsidRPr="00266A2D">
        <w:rPr>
          <w:rFonts w:cs="Calibri"/>
          <w:i/>
        </w:rPr>
        <w:t xml:space="preserve"> lekë. </w:t>
      </w:r>
    </w:p>
    <w:p w:rsidR="00095B84" w:rsidRDefault="00095B84" w:rsidP="00095B84">
      <w:pPr>
        <w:pStyle w:val="ListParagraph"/>
        <w:spacing w:line="240" w:lineRule="auto"/>
        <w:ind w:left="450"/>
        <w:rPr>
          <w:rFonts w:cs="Calibri"/>
          <w:i/>
        </w:rPr>
      </w:pPr>
    </w:p>
    <w:p w:rsidR="00554F56" w:rsidRPr="00095B84" w:rsidRDefault="00B60D22" w:rsidP="00095B84">
      <w:pPr>
        <w:spacing w:line="240" w:lineRule="auto"/>
        <w:rPr>
          <w:rFonts w:cs="Calibri"/>
        </w:rPr>
      </w:pPr>
      <w:r w:rsidRPr="00095B84">
        <w:rPr>
          <w:rFonts w:cs="Calibri"/>
        </w:rPr>
        <w:lastRenderedPageBreak/>
        <w:t>Më poshtë jepet informacioni i detajuar analitik i dërguar nga 11 bashkitë e prekura nga tërmeti për vitin 2022:</w:t>
      </w:r>
    </w:p>
    <w:tbl>
      <w:tblPr>
        <w:tblpPr w:leftFromText="180" w:rightFromText="180" w:vertAnchor="text" w:tblpXSpec="center" w:tblpY="3"/>
        <w:tblW w:w="10601" w:type="dxa"/>
        <w:tblCellMar>
          <w:left w:w="0" w:type="dxa"/>
          <w:right w:w="0" w:type="dxa"/>
        </w:tblCellMar>
        <w:tblLook w:val="04A0" w:firstRow="1" w:lastRow="0" w:firstColumn="1" w:lastColumn="0" w:noHBand="0" w:noVBand="1"/>
      </w:tblPr>
      <w:tblGrid>
        <w:gridCol w:w="952"/>
        <w:gridCol w:w="1662"/>
        <w:gridCol w:w="1481"/>
        <w:gridCol w:w="2044"/>
        <w:gridCol w:w="2831"/>
        <w:gridCol w:w="1631"/>
      </w:tblGrid>
      <w:tr w:rsidR="00AD1A25" w:rsidRPr="00AD1A25" w:rsidTr="00AD1A25">
        <w:trPr>
          <w:trHeight w:val="500"/>
        </w:trPr>
        <w:tc>
          <w:tcPr>
            <w:tcW w:w="0" w:type="auto"/>
            <w:tcBorders>
              <w:top w:val="single" w:sz="8" w:space="0" w:color="auto"/>
              <w:left w:val="single" w:sz="8" w:space="0" w:color="auto"/>
              <w:bottom w:val="single" w:sz="8" w:space="0" w:color="auto"/>
              <w:right w:val="single" w:sz="8" w:space="0" w:color="auto"/>
            </w:tcBorders>
            <w:shd w:val="clear" w:color="auto" w:fill="B3DDF2" w:themeFill="background2" w:themeFillShade="E6"/>
            <w:tcMar>
              <w:top w:w="0" w:type="dxa"/>
              <w:left w:w="108" w:type="dxa"/>
              <w:bottom w:w="0" w:type="dxa"/>
              <w:right w:w="108" w:type="dxa"/>
            </w:tcMar>
            <w:vAlign w:val="center"/>
            <w:hideMark/>
          </w:tcPr>
          <w:p w:rsidR="00AD1A25" w:rsidRPr="00AD1A25" w:rsidRDefault="00AD1A25" w:rsidP="00AD1A25">
            <w:pPr>
              <w:spacing w:before="0" w:line="240" w:lineRule="auto"/>
              <w:ind w:left="-30"/>
              <w:jc w:val="center"/>
              <w:rPr>
                <w:rFonts w:asciiTheme="majorHAnsi" w:hAnsiTheme="majorHAnsi"/>
                <w:sz w:val="16"/>
                <w:szCs w:val="16"/>
              </w:rPr>
            </w:pPr>
            <w:r w:rsidRPr="00AD1A25">
              <w:rPr>
                <w:rFonts w:asciiTheme="majorHAnsi" w:hAnsiTheme="majorHAnsi"/>
                <w:b/>
                <w:bCs/>
                <w:color w:val="000000"/>
                <w:sz w:val="16"/>
                <w:szCs w:val="16"/>
                <w:lang w:val="sq-AL"/>
              </w:rPr>
              <w:t>Bashkia</w:t>
            </w:r>
          </w:p>
        </w:tc>
        <w:tc>
          <w:tcPr>
            <w:tcW w:w="0" w:type="auto"/>
            <w:tcBorders>
              <w:top w:val="single" w:sz="8" w:space="0" w:color="auto"/>
              <w:left w:val="nil"/>
              <w:bottom w:val="single" w:sz="8" w:space="0" w:color="auto"/>
              <w:right w:val="single" w:sz="8" w:space="0" w:color="auto"/>
            </w:tcBorders>
            <w:shd w:val="clear" w:color="auto" w:fill="B3DDF2" w:themeFill="background2" w:themeFillShade="E6"/>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b/>
                <w:bCs/>
                <w:color w:val="000000"/>
                <w:sz w:val="16"/>
                <w:szCs w:val="16"/>
                <w:lang w:val="sq-AL"/>
              </w:rPr>
              <w:t>Nr i familjeve qe perfituan deri ne dhjetor  2022</w:t>
            </w:r>
          </w:p>
        </w:tc>
        <w:tc>
          <w:tcPr>
            <w:tcW w:w="1481" w:type="dxa"/>
            <w:tcBorders>
              <w:top w:val="single" w:sz="8" w:space="0" w:color="auto"/>
              <w:left w:val="nil"/>
              <w:bottom w:val="single" w:sz="8" w:space="0" w:color="auto"/>
              <w:right w:val="single" w:sz="8" w:space="0" w:color="auto"/>
            </w:tcBorders>
            <w:shd w:val="clear" w:color="auto" w:fill="B3DDF2" w:themeFill="background2" w:themeFillShade="E6"/>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b/>
                <w:bCs/>
                <w:color w:val="000000"/>
                <w:sz w:val="16"/>
                <w:szCs w:val="16"/>
                <w:lang w:val="sq-AL"/>
              </w:rPr>
              <w:t>Fondi i perdorur</w:t>
            </w:r>
          </w:p>
        </w:tc>
        <w:tc>
          <w:tcPr>
            <w:tcW w:w="2044" w:type="dxa"/>
            <w:tcBorders>
              <w:top w:val="single" w:sz="8" w:space="0" w:color="auto"/>
              <w:left w:val="nil"/>
              <w:bottom w:val="single" w:sz="8" w:space="0" w:color="auto"/>
              <w:right w:val="single" w:sz="8" w:space="0" w:color="auto"/>
            </w:tcBorders>
            <w:shd w:val="clear" w:color="auto" w:fill="B3DDF2" w:themeFill="background2" w:themeFillShade="E6"/>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b/>
                <w:bCs/>
                <w:color w:val="000000"/>
                <w:sz w:val="16"/>
                <w:szCs w:val="16"/>
                <w:lang w:val="sq-AL"/>
              </w:rPr>
              <w:t>Numri i banesave individuale dhe apartamenteve në banesa kolektive që janë në proces ndërtimi</w:t>
            </w:r>
          </w:p>
        </w:tc>
        <w:tc>
          <w:tcPr>
            <w:tcW w:w="0" w:type="auto"/>
            <w:tcBorders>
              <w:top w:val="single" w:sz="8" w:space="0" w:color="auto"/>
              <w:left w:val="nil"/>
              <w:bottom w:val="single" w:sz="8" w:space="0" w:color="auto"/>
              <w:right w:val="single" w:sz="8" w:space="0" w:color="auto"/>
            </w:tcBorders>
            <w:shd w:val="clear" w:color="auto" w:fill="B3DDF2" w:themeFill="background2" w:themeFillShade="E6"/>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b/>
                <w:bCs/>
                <w:color w:val="000000"/>
                <w:sz w:val="16"/>
                <w:szCs w:val="16"/>
                <w:lang w:val="sq-AL"/>
              </w:rPr>
              <w:t>Numri i banesave individuale dhe apartamenteve në banesa kolektive që janë ndërtuar nga programi i rindërtimit</w:t>
            </w:r>
          </w:p>
        </w:tc>
        <w:tc>
          <w:tcPr>
            <w:tcW w:w="0" w:type="auto"/>
            <w:tcBorders>
              <w:top w:val="single" w:sz="8" w:space="0" w:color="auto"/>
              <w:left w:val="nil"/>
              <w:bottom w:val="single" w:sz="8" w:space="0" w:color="auto"/>
              <w:right w:val="single" w:sz="8" w:space="0" w:color="auto"/>
            </w:tcBorders>
            <w:shd w:val="clear" w:color="auto" w:fill="B3DDF2" w:themeFill="background2" w:themeFillShade="E6"/>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color w:val="000000"/>
                <w:sz w:val="16"/>
                <w:szCs w:val="16"/>
                <w:lang w:val="sq-AL"/>
              </w:rPr>
              <w:t>N</w:t>
            </w:r>
            <w:r w:rsidRPr="00AD1A25">
              <w:rPr>
                <w:rFonts w:asciiTheme="majorHAnsi" w:hAnsiTheme="majorHAnsi"/>
                <w:b/>
                <w:bCs/>
                <w:color w:val="000000"/>
                <w:sz w:val="16"/>
                <w:szCs w:val="16"/>
                <w:lang w:val="sq-AL"/>
              </w:rPr>
              <w:t>umri i familjeve qe kane dale nga skema e subv. te qirase</w:t>
            </w:r>
          </w:p>
        </w:tc>
      </w:tr>
      <w:tr w:rsidR="00AD1A25" w:rsidRPr="00AD1A25" w:rsidTr="00AD1A25">
        <w:trPr>
          <w:trHeight w:val="24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Tirane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2,533</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375,716,000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Nuk k</w:t>
            </w:r>
            <w:r>
              <w:rPr>
                <w:rFonts w:asciiTheme="majorHAnsi" w:hAnsiTheme="majorHAnsi"/>
                <w:color w:val="000000"/>
                <w:sz w:val="16"/>
                <w:szCs w:val="16"/>
              </w:rPr>
              <w:t>a</w:t>
            </w:r>
            <w:r w:rsidRPr="00AD1A25">
              <w:rPr>
                <w:rFonts w:asciiTheme="majorHAnsi" w:hAnsiTheme="majorHAnsi"/>
                <w:color w:val="000000"/>
                <w:sz w:val="16"/>
                <w:szCs w:val="16"/>
              </w:rPr>
              <w:t xml:space="preserve"> info</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132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1,116</w:t>
            </w:r>
          </w:p>
        </w:tc>
      </w:tr>
      <w:tr w:rsidR="00AD1A25" w:rsidRPr="00AD1A25" w:rsidTr="00AD1A25">
        <w:trPr>
          <w:trHeight w:val="174"/>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Durres</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3,700</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876,262,500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1,553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545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3,521</w:t>
            </w:r>
          </w:p>
        </w:tc>
      </w:tr>
      <w:tr w:rsidR="00AD1A25" w:rsidRPr="00AD1A25" w:rsidTr="00AD1A25">
        <w:trPr>
          <w:trHeight w:val="178"/>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Shijak</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572</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100,577,700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1,412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875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1,362</w:t>
            </w:r>
          </w:p>
        </w:tc>
      </w:tr>
      <w:tr w:rsidR="00AD1A25" w:rsidRPr="00AD1A25" w:rsidTr="00AD1A25">
        <w:trPr>
          <w:trHeight w:val="116"/>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Kavaje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220</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29,165,000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341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250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247</w:t>
            </w:r>
          </w:p>
        </w:tc>
      </w:tr>
      <w:tr w:rsidR="00AD1A25" w:rsidRPr="00AD1A25" w:rsidTr="00AD1A25">
        <w:trPr>
          <w:trHeight w:val="178"/>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Rrogozhine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261</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39,582,000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266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102</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102</w:t>
            </w:r>
          </w:p>
        </w:tc>
      </w:tr>
      <w:tr w:rsidR="00AD1A25" w:rsidRPr="00AD1A25" w:rsidTr="00AD1A25">
        <w:trPr>
          <w:trHeight w:val="174"/>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Kruje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1,000</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218,845,000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490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696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1,106</w:t>
            </w:r>
          </w:p>
        </w:tc>
      </w:tr>
      <w:tr w:rsidR="00AD1A25" w:rsidRPr="00AD1A25" w:rsidTr="00AD1A25">
        <w:trPr>
          <w:trHeight w:val="178"/>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Kurbin</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1,135</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212,735,600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1,195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625</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787</w:t>
            </w:r>
          </w:p>
        </w:tc>
      </w:tr>
      <w:tr w:rsidR="00AD1A25" w:rsidRPr="00AD1A25" w:rsidTr="00AD1A25">
        <w:trPr>
          <w:trHeight w:val="178"/>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Lezhe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349</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62,131,200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360</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104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147</w:t>
            </w:r>
          </w:p>
        </w:tc>
      </w:tr>
      <w:tr w:rsidR="00AD1A25" w:rsidRPr="00AD1A25" w:rsidTr="00AD1A25">
        <w:trPr>
          <w:trHeight w:val="174"/>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Mirdita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110</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32,211,200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163</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71</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19</w:t>
            </w:r>
          </w:p>
        </w:tc>
      </w:tr>
      <w:tr w:rsidR="00AD1A25" w:rsidRPr="00AD1A25" w:rsidTr="00AD1A25">
        <w:trPr>
          <w:trHeight w:val="178"/>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Vore</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888</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172,250,000</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784</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36</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36</w:t>
            </w:r>
          </w:p>
        </w:tc>
      </w:tr>
      <w:tr w:rsidR="00AD1A25" w:rsidRPr="00AD1A25" w:rsidTr="00AD1A25">
        <w:trPr>
          <w:trHeight w:val="174"/>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lang w:val="sq-AL"/>
              </w:rPr>
              <w:t>Kamza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476</w:t>
            </w:r>
          </w:p>
        </w:tc>
        <w:tc>
          <w:tcPr>
            <w:tcW w:w="1481"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73,814,717</w:t>
            </w:r>
          </w:p>
        </w:tc>
        <w:tc>
          <w:tcPr>
            <w:tcW w:w="204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0796A" w:rsidRDefault="00AD1A25" w:rsidP="00AD1A25">
            <w:pPr>
              <w:spacing w:before="0" w:line="240" w:lineRule="auto"/>
              <w:jc w:val="center"/>
              <w:rPr>
                <w:rFonts w:asciiTheme="majorHAnsi" w:hAnsiTheme="majorHAnsi"/>
                <w:color w:val="000000"/>
                <w:sz w:val="16"/>
                <w:szCs w:val="16"/>
              </w:rPr>
            </w:pPr>
            <w:r w:rsidRPr="00A0796A">
              <w:rPr>
                <w:rFonts w:asciiTheme="majorHAnsi" w:hAnsiTheme="majorHAnsi"/>
                <w:sz w:val="16"/>
                <w:szCs w:val="16"/>
              </w:rPr>
              <w:t xml:space="preserve">149 </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6"/>
                <w:szCs w:val="16"/>
              </w:rPr>
            </w:pPr>
            <w:r w:rsidRPr="00AD1A25">
              <w:rPr>
                <w:rFonts w:asciiTheme="majorHAnsi" w:hAnsiTheme="majorHAnsi"/>
                <w:sz w:val="16"/>
                <w:szCs w:val="16"/>
              </w:rPr>
              <w:t>568</w:t>
            </w:r>
          </w:p>
        </w:tc>
        <w:tc>
          <w:tcPr>
            <w:tcW w:w="0" w:type="auto"/>
            <w:tcBorders>
              <w:top w:val="nil"/>
              <w:left w:val="nil"/>
              <w:bottom w:val="single" w:sz="8" w:space="0" w:color="auto"/>
              <w:right w:val="single" w:sz="8" w:space="0" w:color="auto"/>
            </w:tcBorders>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color w:val="000000"/>
                <w:sz w:val="16"/>
                <w:szCs w:val="16"/>
              </w:rPr>
            </w:pPr>
            <w:r w:rsidRPr="00AD1A25">
              <w:rPr>
                <w:rFonts w:asciiTheme="majorHAnsi" w:hAnsiTheme="majorHAnsi"/>
                <w:color w:val="000000"/>
                <w:sz w:val="16"/>
                <w:szCs w:val="16"/>
              </w:rPr>
              <w:t>443</w:t>
            </w:r>
          </w:p>
        </w:tc>
      </w:tr>
      <w:tr w:rsidR="00AD1A25" w:rsidRPr="00AD1A25" w:rsidTr="00AD1A25">
        <w:trPr>
          <w:trHeight w:val="411"/>
        </w:trPr>
        <w:tc>
          <w:tcPr>
            <w:tcW w:w="0" w:type="auto"/>
            <w:tcBorders>
              <w:top w:val="nil"/>
              <w:left w:val="single" w:sz="8" w:space="0" w:color="auto"/>
              <w:bottom w:val="single" w:sz="8" w:space="0" w:color="auto"/>
              <w:right w:val="single" w:sz="8" w:space="0" w:color="auto"/>
            </w:tcBorders>
            <w:shd w:val="clear" w:color="auto" w:fill="B3DDF2" w:themeFill="background2" w:themeFillShade="E6"/>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sz w:val="18"/>
                <w:szCs w:val="16"/>
              </w:rPr>
            </w:pPr>
            <w:r w:rsidRPr="00AD1A25">
              <w:rPr>
                <w:rFonts w:asciiTheme="majorHAnsi" w:hAnsiTheme="majorHAnsi"/>
                <w:b/>
                <w:bCs/>
                <w:color w:val="000000"/>
                <w:sz w:val="18"/>
                <w:szCs w:val="16"/>
                <w:lang w:val="sq-AL"/>
              </w:rPr>
              <w:t>Totali</w:t>
            </w:r>
          </w:p>
        </w:tc>
        <w:tc>
          <w:tcPr>
            <w:tcW w:w="0" w:type="auto"/>
            <w:tcBorders>
              <w:top w:val="nil"/>
              <w:left w:val="nil"/>
              <w:bottom w:val="single" w:sz="8" w:space="0" w:color="auto"/>
              <w:right w:val="single" w:sz="8" w:space="0" w:color="auto"/>
            </w:tcBorders>
            <w:shd w:val="clear" w:color="auto" w:fill="B3DDF2" w:themeFill="background2" w:themeFillShade="E6"/>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b/>
                <w:bCs/>
                <w:color w:val="000000"/>
                <w:sz w:val="18"/>
                <w:szCs w:val="16"/>
              </w:rPr>
            </w:pPr>
            <w:r w:rsidRPr="00AD1A25">
              <w:rPr>
                <w:rFonts w:asciiTheme="majorHAnsi" w:hAnsiTheme="majorHAnsi"/>
                <w:b/>
                <w:bCs/>
                <w:color w:val="000000"/>
                <w:sz w:val="18"/>
                <w:szCs w:val="16"/>
              </w:rPr>
              <w:t>11,244</w:t>
            </w:r>
          </w:p>
        </w:tc>
        <w:tc>
          <w:tcPr>
            <w:tcW w:w="1481" w:type="dxa"/>
            <w:tcBorders>
              <w:top w:val="nil"/>
              <w:left w:val="nil"/>
              <w:bottom w:val="single" w:sz="8" w:space="0" w:color="auto"/>
              <w:right w:val="single" w:sz="8" w:space="0" w:color="auto"/>
            </w:tcBorders>
            <w:shd w:val="clear" w:color="auto" w:fill="B3DDF2" w:themeFill="background2" w:themeFillShade="E6"/>
            <w:noWrap/>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b/>
                <w:sz w:val="18"/>
                <w:szCs w:val="16"/>
              </w:rPr>
            </w:pPr>
            <w:r w:rsidRPr="00A0796A">
              <w:rPr>
                <w:rFonts w:asciiTheme="majorHAnsi" w:hAnsiTheme="majorHAnsi"/>
                <w:b/>
                <w:sz w:val="18"/>
                <w:szCs w:val="16"/>
              </w:rPr>
              <w:t>2,193,290,917</w:t>
            </w:r>
          </w:p>
        </w:tc>
        <w:tc>
          <w:tcPr>
            <w:tcW w:w="2044" w:type="dxa"/>
            <w:tcBorders>
              <w:top w:val="nil"/>
              <w:left w:val="nil"/>
              <w:bottom w:val="single" w:sz="8" w:space="0" w:color="auto"/>
              <w:right w:val="single" w:sz="8" w:space="0" w:color="auto"/>
            </w:tcBorders>
            <w:shd w:val="clear" w:color="auto" w:fill="B3DDF2" w:themeFill="background2" w:themeFillShade="E6"/>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b/>
                <w:sz w:val="18"/>
                <w:szCs w:val="16"/>
              </w:rPr>
            </w:pPr>
            <w:r w:rsidRPr="00AD1A25">
              <w:rPr>
                <w:rFonts w:asciiTheme="majorHAnsi" w:hAnsiTheme="majorHAnsi"/>
                <w:b/>
                <w:sz w:val="18"/>
                <w:szCs w:val="16"/>
              </w:rPr>
              <w:t>6,713</w:t>
            </w:r>
          </w:p>
        </w:tc>
        <w:tc>
          <w:tcPr>
            <w:tcW w:w="0" w:type="auto"/>
            <w:tcBorders>
              <w:top w:val="nil"/>
              <w:left w:val="nil"/>
              <w:bottom w:val="single" w:sz="8" w:space="0" w:color="auto"/>
              <w:right w:val="single" w:sz="8" w:space="0" w:color="auto"/>
            </w:tcBorders>
            <w:shd w:val="clear" w:color="auto" w:fill="B3DDF2" w:themeFill="background2" w:themeFillShade="E6"/>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b/>
                <w:sz w:val="18"/>
                <w:szCs w:val="16"/>
              </w:rPr>
            </w:pPr>
            <w:r w:rsidRPr="00AD1A25">
              <w:rPr>
                <w:rFonts w:asciiTheme="majorHAnsi" w:hAnsiTheme="majorHAnsi"/>
                <w:b/>
                <w:sz w:val="18"/>
                <w:szCs w:val="16"/>
              </w:rPr>
              <w:t>4,004</w:t>
            </w:r>
          </w:p>
        </w:tc>
        <w:tc>
          <w:tcPr>
            <w:tcW w:w="0" w:type="auto"/>
            <w:tcBorders>
              <w:top w:val="nil"/>
              <w:left w:val="nil"/>
              <w:bottom w:val="single" w:sz="8" w:space="0" w:color="auto"/>
              <w:right w:val="single" w:sz="8" w:space="0" w:color="auto"/>
            </w:tcBorders>
            <w:shd w:val="clear" w:color="auto" w:fill="B3DDF2" w:themeFill="background2" w:themeFillShade="E6"/>
            <w:tcMar>
              <w:top w:w="0" w:type="dxa"/>
              <w:left w:w="108" w:type="dxa"/>
              <w:bottom w:w="0" w:type="dxa"/>
              <w:right w:w="108" w:type="dxa"/>
            </w:tcMar>
            <w:vAlign w:val="center"/>
            <w:hideMark/>
          </w:tcPr>
          <w:p w:rsidR="00AD1A25" w:rsidRPr="00AD1A25" w:rsidRDefault="00AD1A25" w:rsidP="00AD1A25">
            <w:pPr>
              <w:spacing w:before="0" w:line="240" w:lineRule="auto"/>
              <w:jc w:val="center"/>
              <w:rPr>
                <w:rFonts w:asciiTheme="majorHAnsi" w:hAnsiTheme="majorHAnsi"/>
                <w:b/>
                <w:sz w:val="18"/>
                <w:szCs w:val="16"/>
              </w:rPr>
            </w:pPr>
            <w:r w:rsidRPr="00AD1A25">
              <w:rPr>
                <w:rFonts w:asciiTheme="majorHAnsi" w:hAnsiTheme="majorHAnsi"/>
                <w:b/>
                <w:sz w:val="18"/>
                <w:szCs w:val="16"/>
              </w:rPr>
              <w:t>8,886</w:t>
            </w:r>
          </w:p>
        </w:tc>
      </w:tr>
    </w:tbl>
    <w:p w:rsidR="00095B84" w:rsidRDefault="00095B84" w:rsidP="001C5BC6">
      <w:pPr>
        <w:spacing w:line="240" w:lineRule="auto"/>
        <w:rPr>
          <w:rFonts w:cs="Calibri"/>
          <w:b/>
        </w:rPr>
      </w:pPr>
      <w:bookmarkStart w:id="162" w:name="_Toc10033281"/>
      <w:bookmarkStart w:id="163" w:name="_Toc10721418"/>
      <w:bookmarkEnd w:id="161"/>
    </w:p>
    <w:p w:rsidR="001C5BC6" w:rsidRPr="001C5BC6" w:rsidRDefault="00BB4AF5" w:rsidP="001C5BC6">
      <w:pPr>
        <w:spacing w:line="240" w:lineRule="auto"/>
        <w:rPr>
          <w:rFonts w:cs="Calibri"/>
        </w:rPr>
      </w:pPr>
      <w:r w:rsidRPr="001C5BC6">
        <w:rPr>
          <w:rFonts w:cs="Calibri"/>
          <w:b/>
        </w:rPr>
        <w:t>Nga Fondi i Rindërtimit për njësitë e vetëqeverisjes vendore (NJVQV)</w:t>
      </w:r>
      <w:r w:rsidRPr="001C5BC6">
        <w:rPr>
          <w:rFonts w:cs="Calibri"/>
        </w:rPr>
        <w:t xml:space="preserve"> </w:t>
      </w:r>
      <w:r w:rsidR="001C5BC6" w:rsidRPr="001C5BC6">
        <w:rPr>
          <w:rFonts w:cs="Calibri"/>
        </w:rPr>
        <w:t xml:space="preserve">deri në 31 dhjetor 2022, u akorduan fonde në projekte specifike në masën 17.1 miliardë lekë dhe 9.5 miliard lekë janë trashëguar në buxhetin e vitit 2022, si fonde të papërdorura nga viti 2021. Nga këto, u shpenzuan nga njësitë zbatuese 20.9 miliardë lekë ose 78.5% e fondeve të akorduara; ndërsa pjesa tjetër është mbartur në buxhetin e vitit 2023 në formën e transfertës së pakushtëzuar për NJVQV, në përputhje me parashikimet e veçanta ligjore. Shpërndarja e fondit të rindërtimit për vitin 2022, për fondet e akorduara sipas VKM-ve bashkë me pjesën e trashëgimit sipas NJVQV, rezulton si mëposhtë: </w:t>
      </w:r>
    </w:p>
    <w:p w:rsidR="001C5BC6" w:rsidRPr="001C5BC6" w:rsidRDefault="001C5BC6" w:rsidP="00C71069">
      <w:pPr>
        <w:pStyle w:val="ListParagraph"/>
        <w:numPr>
          <w:ilvl w:val="0"/>
          <w:numId w:val="37"/>
        </w:numPr>
        <w:spacing w:before="0" w:line="240" w:lineRule="auto"/>
        <w:ind w:left="450"/>
        <w:rPr>
          <w:rFonts w:cs="Calibri"/>
          <w:i/>
          <w:sz w:val="20"/>
        </w:rPr>
      </w:pPr>
      <w:r w:rsidRPr="001C5BC6">
        <w:rPr>
          <w:rFonts w:cs="Calibri"/>
          <w:i/>
          <w:sz w:val="20"/>
        </w:rPr>
        <w:t xml:space="preserve">Bashkia Tiranë e ka patur planin e rindërtimit në masën 11.2 miliard lekë, nga të cilat ka realizuar 9.3 miliard lekë, ose në masën 83 përqind, </w:t>
      </w:r>
    </w:p>
    <w:p w:rsidR="001C5BC6" w:rsidRPr="001C5BC6" w:rsidRDefault="001C5BC6" w:rsidP="00C71069">
      <w:pPr>
        <w:pStyle w:val="ListParagraph"/>
        <w:numPr>
          <w:ilvl w:val="0"/>
          <w:numId w:val="37"/>
        </w:numPr>
        <w:spacing w:line="240" w:lineRule="auto"/>
        <w:ind w:left="450"/>
        <w:rPr>
          <w:rFonts w:cs="Calibri"/>
          <w:i/>
          <w:sz w:val="20"/>
        </w:rPr>
      </w:pPr>
      <w:r w:rsidRPr="001C5BC6">
        <w:rPr>
          <w:rFonts w:cs="Calibri"/>
          <w:i/>
          <w:sz w:val="20"/>
        </w:rPr>
        <w:t xml:space="preserve">Bashkia Durrës e ka patur planin e rindërtimit në masën 4.3  miliard lekë, nga të cilat ka realizuar 3.5 miliard lekë, ose në masën 81.3 përqind, </w:t>
      </w:r>
    </w:p>
    <w:p w:rsidR="001C5BC6" w:rsidRPr="001C5BC6" w:rsidRDefault="001C5BC6" w:rsidP="00C71069">
      <w:pPr>
        <w:pStyle w:val="ListParagraph"/>
        <w:numPr>
          <w:ilvl w:val="0"/>
          <w:numId w:val="37"/>
        </w:numPr>
        <w:spacing w:line="240" w:lineRule="auto"/>
        <w:ind w:left="450"/>
        <w:rPr>
          <w:rFonts w:cs="Calibri"/>
          <w:i/>
          <w:sz w:val="20"/>
        </w:rPr>
      </w:pPr>
      <w:r w:rsidRPr="001C5BC6">
        <w:rPr>
          <w:rFonts w:cs="Calibri"/>
          <w:i/>
          <w:sz w:val="20"/>
        </w:rPr>
        <w:t xml:space="preserve">Bashkia Kamëz e ka patur planin e rindërtimit në masën 1.8 miliard lekë, nga të cilat ka realizuar 1.6 miliard lekë, ose në masën 88.8 përqind, </w:t>
      </w:r>
    </w:p>
    <w:p w:rsidR="001C5BC6" w:rsidRPr="001C5BC6" w:rsidRDefault="001C5BC6" w:rsidP="00C71069">
      <w:pPr>
        <w:pStyle w:val="ListParagraph"/>
        <w:numPr>
          <w:ilvl w:val="0"/>
          <w:numId w:val="37"/>
        </w:numPr>
        <w:spacing w:line="240" w:lineRule="auto"/>
        <w:ind w:left="450"/>
        <w:rPr>
          <w:rFonts w:cs="Calibri"/>
          <w:i/>
          <w:sz w:val="20"/>
        </w:rPr>
      </w:pPr>
      <w:r w:rsidRPr="001C5BC6">
        <w:rPr>
          <w:rFonts w:cs="Calibri"/>
          <w:i/>
          <w:sz w:val="20"/>
        </w:rPr>
        <w:t xml:space="preserve">Bashkia Kavajë e ka patur planin e rindërtimit në masën 927.5 miliard lekë, nga të cilat ka realizuar 550.9  milion lekë, ose në masën 59.3 përqind, </w:t>
      </w:r>
    </w:p>
    <w:p w:rsidR="001C5BC6" w:rsidRPr="001C5BC6" w:rsidRDefault="001C5BC6" w:rsidP="00C71069">
      <w:pPr>
        <w:pStyle w:val="ListParagraph"/>
        <w:numPr>
          <w:ilvl w:val="0"/>
          <w:numId w:val="37"/>
        </w:numPr>
        <w:spacing w:line="240" w:lineRule="auto"/>
        <w:ind w:left="450"/>
        <w:rPr>
          <w:rFonts w:cs="Calibri"/>
          <w:i/>
          <w:sz w:val="20"/>
        </w:rPr>
      </w:pPr>
      <w:r w:rsidRPr="001C5BC6">
        <w:rPr>
          <w:rFonts w:cs="Calibri"/>
          <w:i/>
          <w:sz w:val="20"/>
        </w:rPr>
        <w:t xml:space="preserve">Bashkia Krujë e ka patur planin e rindërtimit në masën 1.7 miliard lekë, nga të cilat ka realizuar 797 milion lekë, ose në masën 46.8 përqind, </w:t>
      </w:r>
    </w:p>
    <w:p w:rsidR="001C5BC6" w:rsidRPr="001C5BC6" w:rsidRDefault="001C5BC6" w:rsidP="00C71069">
      <w:pPr>
        <w:pStyle w:val="ListParagraph"/>
        <w:numPr>
          <w:ilvl w:val="0"/>
          <w:numId w:val="37"/>
        </w:numPr>
        <w:spacing w:line="240" w:lineRule="auto"/>
        <w:ind w:left="450"/>
        <w:rPr>
          <w:rFonts w:cs="Calibri"/>
          <w:i/>
          <w:sz w:val="20"/>
        </w:rPr>
      </w:pPr>
      <w:r w:rsidRPr="001C5BC6">
        <w:rPr>
          <w:rFonts w:cs="Calibri"/>
          <w:i/>
          <w:sz w:val="20"/>
        </w:rPr>
        <w:t xml:space="preserve">Bashkia Kurbin e ka patur planin e rindërtimit në masën 2 miliard lekë, nga të cilat ka realizuar 1.3 milion lekë, ose në masën 65 përqind, </w:t>
      </w:r>
    </w:p>
    <w:p w:rsidR="001C5BC6" w:rsidRPr="001C5BC6" w:rsidRDefault="001C5BC6" w:rsidP="00C71069">
      <w:pPr>
        <w:pStyle w:val="ListParagraph"/>
        <w:numPr>
          <w:ilvl w:val="0"/>
          <w:numId w:val="37"/>
        </w:numPr>
        <w:spacing w:line="240" w:lineRule="auto"/>
        <w:ind w:left="450"/>
        <w:rPr>
          <w:rFonts w:cs="Calibri"/>
          <w:i/>
          <w:sz w:val="20"/>
        </w:rPr>
      </w:pPr>
      <w:r w:rsidRPr="001C5BC6">
        <w:rPr>
          <w:rFonts w:cs="Calibri"/>
          <w:i/>
          <w:sz w:val="20"/>
        </w:rPr>
        <w:t xml:space="preserve">Bashkia Lezhë  e ka patur planin e rindërtimit në masën 1.1 miliard lekë, nga të cilat ka realizuar 984.6 milion lekë, ose në masën 89.5 përqind, </w:t>
      </w:r>
    </w:p>
    <w:p w:rsidR="001C5BC6" w:rsidRPr="001C5BC6" w:rsidRDefault="001C5BC6" w:rsidP="00C71069">
      <w:pPr>
        <w:pStyle w:val="ListParagraph"/>
        <w:numPr>
          <w:ilvl w:val="0"/>
          <w:numId w:val="37"/>
        </w:numPr>
        <w:spacing w:line="240" w:lineRule="auto"/>
        <w:ind w:left="450"/>
        <w:rPr>
          <w:rFonts w:cs="Calibri"/>
          <w:i/>
          <w:sz w:val="20"/>
        </w:rPr>
      </w:pPr>
      <w:r w:rsidRPr="001C5BC6">
        <w:rPr>
          <w:rFonts w:cs="Calibri"/>
          <w:i/>
          <w:sz w:val="20"/>
        </w:rPr>
        <w:t xml:space="preserve">Bashkia Rrogozhinë e ka patur planin e rindërtimit në masën 661.7 milion lekë, nga të cilat ka realizuar 315.7 milion lekë, ose në masën 47.7ërqind,  </w:t>
      </w:r>
    </w:p>
    <w:p w:rsidR="001C5BC6" w:rsidRPr="001C5BC6" w:rsidRDefault="001C5BC6" w:rsidP="00C71069">
      <w:pPr>
        <w:pStyle w:val="ListParagraph"/>
        <w:numPr>
          <w:ilvl w:val="0"/>
          <w:numId w:val="37"/>
        </w:numPr>
        <w:spacing w:line="240" w:lineRule="auto"/>
        <w:ind w:left="450"/>
        <w:rPr>
          <w:rFonts w:cs="Calibri"/>
          <w:i/>
          <w:sz w:val="20"/>
        </w:rPr>
      </w:pPr>
      <w:r w:rsidRPr="001C5BC6">
        <w:rPr>
          <w:rFonts w:cs="Calibri"/>
          <w:i/>
          <w:sz w:val="20"/>
        </w:rPr>
        <w:t xml:space="preserve">Bashkia Mirditë e ka patur planin e rindërtimit në masën 1.2 miliard lekë, nga të cilat ka realizuar 1.1  miliard lekë, ose në masën 91.6 përqind, </w:t>
      </w:r>
    </w:p>
    <w:p w:rsidR="001C5BC6" w:rsidRPr="001C5BC6" w:rsidRDefault="001C5BC6" w:rsidP="00C71069">
      <w:pPr>
        <w:pStyle w:val="ListParagraph"/>
        <w:numPr>
          <w:ilvl w:val="0"/>
          <w:numId w:val="37"/>
        </w:numPr>
        <w:spacing w:line="240" w:lineRule="auto"/>
        <w:ind w:left="450"/>
        <w:rPr>
          <w:rFonts w:cs="Calibri"/>
          <w:i/>
          <w:sz w:val="20"/>
        </w:rPr>
      </w:pPr>
      <w:r w:rsidRPr="001C5BC6">
        <w:rPr>
          <w:rFonts w:cs="Calibri"/>
          <w:i/>
          <w:sz w:val="20"/>
        </w:rPr>
        <w:t xml:space="preserve">Bashkia Shijak e ka patur planin e rindërtimit në masën 627.8 milion lekë, nga të cilat ka realizuar 429.6 milion lekë, ose në masën 68.4 përqind, </w:t>
      </w:r>
    </w:p>
    <w:p w:rsidR="001C5BC6" w:rsidRPr="001C5BC6" w:rsidRDefault="001C5BC6" w:rsidP="00C71069">
      <w:pPr>
        <w:pStyle w:val="ListParagraph"/>
        <w:numPr>
          <w:ilvl w:val="0"/>
          <w:numId w:val="37"/>
        </w:numPr>
        <w:spacing w:line="240" w:lineRule="auto"/>
        <w:ind w:left="450"/>
        <w:rPr>
          <w:rFonts w:cs="Calibri"/>
          <w:i/>
          <w:sz w:val="20"/>
        </w:rPr>
      </w:pPr>
      <w:r w:rsidRPr="001C5BC6">
        <w:rPr>
          <w:rFonts w:cs="Calibri"/>
          <w:i/>
          <w:sz w:val="20"/>
        </w:rPr>
        <w:t>Bashkia Vorë e ka patur planin e rindërtimit në masën 902.2 milion lekë, nga të cilat ka realizuar 685.9 milion lekë, ose në masën 76 përqind.</w:t>
      </w:r>
    </w:p>
    <w:p w:rsidR="009D76ED" w:rsidRPr="009D76ED" w:rsidRDefault="009D76ED" w:rsidP="001C5BC6">
      <w:pPr>
        <w:spacing w:line="240" w:lineRule="auto"/>
        <w:rPr>
          <w:rFonts w:cs="Calibri"/>
          <w:sz w:val="8"/>
          <w:lang w:val="sq-AL"/>
        </w:rPr>
      </w:pPr>
    </w:p>
    <w:p w:rsidR="00BB4AF5" w:rsidRDefault="00BB4AF5" w:rsidP="00153CD6">
      <w:pPr>
        <w:spacing w:before="0" w:line="240" w:lineRule="auto"/>
        <w:rPr>
          <w:rFonts w:cs="Calibri"/>
          <w:lang w:val="sq-AL"/>
        </w:rPr>
      </w:pPr>
      <w:r w:rsidRPr="00476D2E">
        <w:rPr>
          <w:rFonts w:cs="Calibri"/>
          <w:lang w:val="sq-AL"/>
        </w:rPr>
        <w:t xml:space="preserve">Në mënyrë të detajuar fondet e akorduara sipas VKM-ve, paraqiten në </w:t>
      </w:r>
      <w:r w:rsidRPr="00F74CA9">
        <w:rPr>
          <w:rFonts w:cs="Calibri"/>
          <w:b/>
          <w:lang w:val="sq-AL"/>
        </w:rPr>
        <w:t>Aneksin ç/1 “Tabela analitike e përdorimit të Fondit të Rindërtimit 202</w:t>
      </w:r>
      <w:r w:rsidR="00B97847">
        <w:rPr>
          <w:rFonts w:cs="Calibri"/>
          <w:b/>
          <w:lang w:val="sq-AL"/>
        </w:rPr>
        <w:t>2</w:t>
      </w:r>
      <w:r w:rsidRPr="00F74CA9">
        <w:rPr>
          <w:rFonts w:cs="Calibri"/>
          <w:b/>
          <w:lang w:val="sq-AL"/>
        </w:rPr>
        <w:t>”</w:t>
      </w:r>
      <w:r w:rsidRPr="00476D2E">
        <w:rPr>
          <w:rFonts w:cs="Calibri"/>
          <w:lang w:val="sq-AL"/>
        </w:rPr>
        <w:t>.</w:t>
      </w:r>
    </w:p>
    <w:p w:rsidR="00A94670" w:rsidRPr="00B97847" w:rsidRDefault="005F1700" w:rsidP="00FC729E">
      <w:pPr>
        <w:pStyle w:val="Fiskale1"/>
        <w:rPr>
          <w:rFonts w:ascii="Calibri" w:hAnsi="Calibri" w:cs="Calibri"/>
        </w:rPr>
      </w:pPr>
      <w:bookmarkStart w:id="164" w:name="_Toc104980338"/>
      <w:r w:rsidRPr="00B97847">
        <w:rPr>
          <w:rFonts w:ascii="Calibri" w:hAnsi="Calibri" w:cs="Calibri"/>
        </w:rPr>
        <w:lastRenderedPageBreak/>
        <w:t>BUXHETI VENDOR</w:t>
      </w:r>
      <w:bookmarkEnd w:id="162"/>
      <w:bookmarkEnd w:id="163"/>
      <w:bookmarkEnd w:id="164"/>
    </w:p>
    <w:p w:rsidR="00B97847" w:rsidRPr="000D1363" w:rsidRDefault="00B97847" w:rsidP="00153CD6">
      <w:pPr>
        <w:tabs>
          <w:tab w:val="left" w:pos="5940"/>
        </w:tabs>
        <w:spacing w:line="240" w:lineRule="auto"/>
        <w:rPr>
          <w:rFonts w:eastAsia="MS Mincho" w:cs="Calibri"/>
          <w:lang w:val="sq-AL"/>
        </w:rPr>
      </w:pPr>
      <w:r w:rsidRPr="000D1363">
        <w:rPr>
          <w:rFonts w:eastAsia="MS Mincho" w:cs="Calibri"/>
          <w:lang w:val="sq-AL"/>
        </w:rPr>
        <w:t xml:space="preserve">Ministria e Financave dhe Ekonomisë në vitet e fundit ka hartuar një paketë të gjërë politikash që synojnë mirëmenaxhimin financiar në nivel vendor dhe rritjen e cilësisë së shërbimeve në nivel vendor. Implementimi i këtyre reformave i ka siguruar pushtetit vendor një paketë të gjerë të mbështetjes financiare për mbulimin e funksioneve të transferuara në nivel vendor që u reflektua edhe në realizimin e treguesve fiskalë të financave vendore të vitit 2022. Rritja e potencialit fiskal të pushtetit vendor, jo vetëm në drejtim të kapacitetit për mbledhjen e të ardhurave të veta vendore por gjithashtu edhe në menaxhimin e shpenzimeve mbi bazën e performancës, ka impakt të drejtpërdrejtë në jetën e qytetarëve. Konsolidimi i buxhetit vendor në afërsisht 3% të PBB-së apo mbi 9% të buxhetin e shtetit, tregojnë qartazi potencialin në rritje të pushtetit vendor për ofrimin e shërbimeve. Rritja e transfertave të pakushtëzuara të përgjithshme dhe sektoriale, shpërndaja e taksave të ndara për bashkitë dhe hartimi i politikave fiskale që ndihmojnë kapacitetin fiskal të pushtetit vendor, janë disa prej masave konkrete të ndërmarra nga Ministria e Financave dhe Ekonomisë gjatë vitit 2022. Treguesit fiskalë të pushtetit vendor, ashtu siç paraqiten në këtë raport, kanë një përmirësim të dukshëm si në drejtim të kapacitetit fiskal ashtu edhe të planifikimit të shpenzimeve krahasuar jo vetëm me një vit më parë, por edhe me parashikimin vjetor të treguesve në përgjithësi. Përmirësimi ardhurave të veta vendore mbi planin e parashikuar, implementimi i metodologjisë e buxhetimit mbi bazën e produkteve dhe gjithashtu rritja e transparencës së përdorimit me disiplinë të fondeve buxhetore në raport me qytetarët, janë tregues të rëndësishëm lidhur me kapacitetin e njësive te vetëqeverisjes vendore për të ofruar shërbime publike cilësore. </w:t>
      </w:r>
    </w:p>
    <w:p w:rsidR="00B97847" w:rsidRPr="000D1363" w:rsidRDefault="00B97847" w:rsidP="00153CD6">
      <w:pPr>
        <w:tabs>
          <w:tab w:val="left" w:pos="5940"/>
        </w:tabs>
        <w:spacing w:line="240" w:lineRule="auto"/>
        <w:rPr>
          <w:rFonts w:eastAsia="MS Mincho" w:cs="Calibri"/>
          <w:lang w:val="sq-AL"/>
        </w:rPr>
      </w:pPr>
      <w:r w:rsidRPr="000D1363">
        <w:rPr>
          <w:rFonts w:eastAsia="MS Mincho" w:cs="Calibri"/>
          <w:lang w:val="sq-AL"/>
        </w:rPr>
        <w:t>Disa prej treguesve më të rëndësishëm gjatë vitit 2022, që mbështetën përmirësimin në proceset e menaxhimit të financave vendore, paraqiten si më poshtë:</w:t>
      </w:r>
    </w:p>
    <w:p w:rsidR="00B97847" w:rsidRPr="000D1363" w:rsidRDefault="00B97847" w:rsidP="00C71069">
      <w:pPr>
        <w:numPr>
          <w:ilvl w:val="0"/>
          <w:numId w:val="48"/>
        </w:numPr>
        <w:spacing w:before="0" w:line="240" w:lineRule="auto"/>
        <w:ind w:left="450"/>
        <w:contextualSpacing/>
        <w:rPr>
          <w:rFonts w:eastAsia="MS Mincho" w:cs="Calibri"/>
          <w:i/>
          <w:szCs w:val="22"/>
          <w:lang w:val="sq-AL"/>
        </w:rPr>
      </w:pPr>
      <w:r w:rsidRPr="000D1363">
        <w:rPr>
          <w:rFonts w:eastAsia="MS Mincho" w:cs="Calibri"/>
          <w:i/>
          <w:szCs w:val="22"/>
          <w:lang w:val="sq-AL"/>
        </w:rPr>
        <w:t xml:space="preserve">Rritja e mbështetjes së dhënë nga buxheti qëndror për pushtetin vendor në formën e transfertave (transferta e pakushtëzuar dhe sektoriale) nga 27.7 miliard lekë në vitin 2021, në 29,3 miliard lekë në vitin 2022 që do të thotë rreth 5.3% më shumë financim nga pushteti qendror. </w:t>
      </w:r>
    </w:p>
    <w:p w:rsidR="00B97847" w:rsidRPr="000D1363" w:rsidRDefault="00B97847" w:rsidP="00C71069">
      <w:pPr>
        <w:pStyle w:val="ListParagraph"/>
        <w:numPr>
          <w:ilvl w:val="0"/>
          <w:numId w:val="48"/>
        </w:numPr>
        <w:spacing w:before="0" w:line="240" w:lineRule="auto"/>
        <w:ind w:left="450"/>
        <w:rPr>
          <w:rFonts w:eastAsia="MS Mincho" w:cs="Calibri"/>
          <w:i/>
          <w:szCs w:val="22"/>
          <w:lang w:val="sq-AL"/>
        </w:rPr>
      </w:pPr>
      <w:r w:rsidRPr="000D1363">
        <w:rPr>
          <w:rFonts w:eastAsia="MS Mincho" w:cs="Calibri"/>
          <w:i/>
          <w:szCs w:val="22"/>
          <w:lang w:val="sq-AL"/>
        </w:rPr>
        <w:t>Përmirësimi i menaxhimit të financave vendore nëpërmjet rritjes së peshës së taksave lokale në të ardhurat vendore. Ndërkohë të ardhurat tatimore të pushtetit vendor në tërësi  në vitin 2022 kanë pësuar një rritje me afërsisht 1 miliard lekë ose rreth 4% më shumë se në vitin 2021;</w:t>
      </w:r>
    </w:p>
    <w:p w:rsidR="00B97847" w:rsidRPr="000D1363" w:rsidRDefault="00B97847" w:rsidP="00C71069">
      <w:pPr>
        <w:numPr>
          <w:ilvl w:val="0"/>
          <w:numId w:val="48"/>
        </w:numPr>
        <w:autoSpaceDE w:val="0"/>
        <w:autoSpaceDN w:val="0"/>
        <w:spacing w:before="0" w:line="240" w:lineRule="auto"/>
        <w:ind w:left="450" w:right="-43"/>
        <w:contextualSpacing/>
        <w:rPr>
          <w:rFonts w:eastAsia="MS Mincho" w:cs="Calibri"/>
          <w:i/>
          <w:szCs w:val="22"/>
          <w:lang w:val="sq-AL"/>
        </w:rPr>
      </w:pPr>
      <w:r w:rsidRPr="000D1363">
        <w:rPr>
          <w:rFonts w:eastAsia="MS Mincho" w:cs="Calibri"/>
          <w:i/>
          <w:szCs w:val="22"/>
          <w:lang w:val="sq-AL"/>
        </w:rPr>
        <w:t>Shpërndarja e Tatimit mbi të Ardhurat Personale për bashkitë në vlerën 900 milion lekë;</w:t>
      </w:r>
    </w:p>
    <w:p w:rsidR="00B97847" w:rsidRPr="000D1363" w:rsidRDefault="00B97847" w:rsidP="00C71069">
      <w:pPr>
        <w:numPr>
          <w:ilvl w:val="0"/>
          <w:numId w:val="48"/>
        </w:numPr>
        <w:spacing w:before="0" w:line="240" w:lineRule="auto"/>
        <w:ind w:left="450"/>
        <w:contextualSpacing/>
        <w:rPr>
          <w:rFonts w:eastAsia="MS Mincho" w:cs="Calibri"/>
          <w:i/>
          <w:szCs w:val="22"/>
          <w:lang w:val="sq-AL"/>
        </w:rPr>
      </w:pPr>
      <w:r w:rsidRPr="000D1363">
        <w:rPr>
          <w:rFonts w:eastAsia="MS Mincho" w:cs="Calibri"/>
          <w:i/>
          <w:szCs w:val="22"/>
          <w:lang w:val="sq-AL"/>
        </w:rPr>
        <w:t>Akordimi në buxhetin e vitit 2022 për njësitë e vetëqeverisjes vendore e transfertës sektoriale për shlyerje detyrimesh në masën 1 miliard lekë dhe e transfertës për investime në sport në masën 165 milion lekë;</w:t>
      </w:r>
    </w:p>
    <w:p w:rsidR="00B97847" w:rsidRPr="000D1363" w:rsidRDefault="00B97847" w:rsidP="00C71069">
      <w:pPr>
        <w:numPr>
          <w:ilvl w:val="0"/>
          <w:numId w:val="48"/>
        </w:numPr>
        <w:spacing w:before="0" w:line="240" w:lineRule="auto"/>
        <w:ind w:left="450"/>
        <w:contextualSpacing/>
        <w:rPr>
          <w:rFonts w:eastAsia="MS Mincho" w:cs="Calibri"/>
          <w:i/>
          <w:szCs w:val="22"/>
          <w:lang w:val="sq-AL"/>
        </w:rPr>
      </w:pPr>
      <w:r w:rsidRPr="000D1363">
        <w:rPr>
          <w:rFonts w:eastAsia="MS Mincho" w:cs="Calibri"/>
          <w:i/>
          <w:szCs w:val="22"/>
          <w:lang w:val="sq-AL"/>
        </w:rPr>
        <w:t>Është mbështetur financiarisht rritja pagave të arsimit parashkollor (edukatorë + punonjës në Qendrat Kulturore të Fëmijëve) me një fond prej 100 milion lekë.</w:t>
      </w:r>
    </w:p>
    <w:p w:rsidR="00B97847" w:rsidRPr="000D1363" w:rsidRDefault="00B97847" w:rsidP="00C71069">
      <w:pPr>
        <w:numPr>
          <w:ilvl w:val="0"/>
          <w:numId w:val="48"/>
        </w:numPr>
        <w:spacing w:before="0" w:line="240" w:lineRule="auto"/>
        <w:ind w:left="450"/>
        <w:contextualSpacing/>
        <w:rPr>
          <w:rFonts w:eastAsia="MS Mincho" w:cs="Calibri"/>
          <w:i/>
          <w:szCs w:val="22"/>
          <w:lang w:val="sq-AL"/>
        </w:rPr>
      </w:pPr>
      <w:r w:rsidRPr="000D1363">
        <w:rPr>
          <w:rFonts w:eastAsia="MS Mincho" w:cs="Calibri"/>
          <w:i/>
          <w:szCs w:val="22"/>
          <w:lang w:val="sq-AL"/>
        </w:rPr>
        <w:t>Mb</w:t>
      </w:r>
      <w:r w:rsidR="00D65C9E">
        <w:rPr>
          <w:rFonts w:eastAsia="MS Mincho" w:cs="Calibri"/>
          <w:i/>
          <w:szCs w:val="22"/>
          <w:lang w:val="sq-AL"/>
        </w:rPr>
        <w:t>ë</w:t>
      </w:r>
      <w:r w:rsidRPr="000D1363">
        <w:rPr>
          <w:rFonts w:eastAsia="MS Mincho" w:cs="Calibri"/>
          <w:i/>
          <w:szCs w:val="22"/>
          <w:lang w:val="sq-AL"/>
        </w:rPr>
        <w:t>shtetja financiare e punonjësve të njësive të qeverisjes së vendore për zbutjen e impaktit të krizës, për funksionin e arsimit parashkollor (punonjësit arsimorë/edukatorë) dhe funksionin e shërbimit të mbrojtjes nga zjarri dhe shpëtimi me nj</w:t>
      </w:r>
      <w:r w:rsidR="00D65C9E">
        <w:rPr>
          <w:rFonts w:eastAsia="MS Mincho" w:cs="Calibri"/>
          <w:i/>
          <w:szCs w:val="22"/>
          <w:lang w:val="sq-AL"/>
        </w:rPr>
        <w:t>ë</w:t>
      </w:r>
      <w:r w:rsidRPr="000D1363">
        <w:rPr>
          <w:rFonts w:eastAsia="MS Mincho" w:cs="Calibri"/>
          <w:i/>
          <w:szCs w:val="22"/>
          <w:lang w:val="sq-AL"/>
        </w:rPr>
        <w:t xml:space="preserve"> fond prej 120.2 milion lek</w:t>
      </w:r>
      <w:r w:rsidR="00D65C9E">
        <w:rPr>
          <w:rFonts w:eastAsia="MS Mincho" w:cs="Calibri"/>
          <w:i/>
          <w:szCs w:val="22"/>
          <w:lang w:val="sq-AL"/>
        </w:rPr>
        <w:t>ë</w:t>
      </w:r>
      <w:r w:rsidRPr="000D1363">
        <w:rPr>
          <w:rFonts w:eastAsia="MS Mincho" w:cs="Calibri"/>
          <w:i/>
          <w:szCs w:val="22"/>
          <w:lang w:val="sq-AL"/>
        </w:rPr>
        <w:t>.</w:t>
      </w:r>
    </w:p>
    <w:p w:rsidR="00B97847" w:rsidRPr="000D1363" w:rsidRDefault="00B97847" w:rsidP="00C71069">
      <w:pPr>
        <w:numPr>
          <w:ilvl w:val="0"/>
          <w:numId w:val="48"/>
        </w:numPr>
        <w:spacing w:before="0" w:line="240" w:lineRule="auto"/>
        <w:ind w:left="450"/>
        <w:contextualSpacing/>
        <w:rPr>
          <w:rFonts w:eastAsia="MS Mincho" w:cs="Calibri"/>
          <w:i/>
          <w:szCs w:val="22"/>
          <w:lang w:val="sq-AL"/>
        </w:rPr>
      </w:pPr>
      <w:r w:rsidRPr="000D1363">
        <w:rPr>
          <w:rFonts w:eastAsia="MS Mincho" w:cs="Calibri"/>
          <w:i/>
          <w:szCs w:val="22"/>
          <w:lang w:val="sq-AL"/>
        </w:rPr>
        <w:t>Ka vazhduar reforma e iniciuar nga Qeveria në taksën e pasurisë, reflektuar në rritjen e të ardhurave të pushtetit vendor nga kjo taksë, e cila vazhdon e stabilizuar tendencën rritëse edhe në vitin 2022.</w:t>
      </w:r>
    </w:p>
    <w:p w:rsidR="00B97847" w:rsidRPr="000D1363" w:rsidRDefault="00B97847" w:rsidP="00B97847">
      <w:pPr>
        <w:rPr>
          <w:rFonts w:cs="Calibri"/>
          <w:szCs w:val="22"/>
          <w:lang w:val="sq-AL"/>
        </w:rPr>
      </w:pPr>
      <w:r w:rsidRPr="000D1363">
        <w:rPr>
          <w:rFonts w:cs="Calibri"/>
          <w:szCs w:val="22"/>
          <w:lang w:val="sq-AL"/>
        </w:rPr>
        <w:t xml:space="preserve">Nga analiza e treguesve financiaë të pushtetit vendor gjatë vitit 2022, janë evidentuar disa </w:t>
      </w:r>
      <w:r w:rsidRPr="000D1363">
        <w:rPr>
          <w:rFonts w:cs="Calibri"/>
          <w:iCs/>
          <w:szCs w:val="22"/>
          <w:lang w:val="sq-AL"/>
        </w:rPr>
        <w:t>nga arritjet</w:t>
      </w:r>
      <w:r w:rsidRPr="000D1363">
        <w:rPr>
          <w:rFonts w:cs="Calibri"/>
          <w:szCs w:val="22"/>
          <w:lang w:val="sq-AL"/>
        </w:rPr>
        <w:t xml:space="preserve"> dhe </w:t>
      </w:r>
      <w:r w:rsidRPr="000D1363">
        <w:rPr>
          <w:rFonts w:cs="Calibri"/>
          <w:iCs/>
          <w:szCs w:val="22"/>
          <w:lang w:val="sq-AL"/>
        </w:rPr>
        <w:t xml:space="preserve">problematikat </w:t>
      </w:r>
      <w:r w:rsidRPr="000D1363">
        <w:rPr>
          <w:rFonts w:cs="Calibri"/>
          <w:szCs w:val="22"/>
          <w:lang w:val="sq-AL"/>
        </w:rPr>
        <w:t>kryesore si më poshtë:</w:t>
      </w:r>
    </w:p>
    <w:p w:rsidR="00B97847" w:rsidRPr="00B97847" w:rsidRDefault="00B97847" w:rsidP="00C71069">
      <w:pPr>
        <w:numPr>
          <w:ilvl w:val="0"/>
          <w:numId w:val="48"/>
        </w:numPr>
        <w:spacing w:before="0" w:line="240" w:lineRule="auto"/>
        <w:ind w:left="450"/>
        <w:contextualSpacing/>
        <w:rPr>
          <w:rFonts w:eastAsia="MS Mincho" w:cs="Calibri"/>
          <w:i/>
          <w:szCs w:val="22"/>
          <w:lang w:val="sq-AL"/>
        </w:rPr>
      </w:pPr>
      <w:r w:rsidRPr="00B97847">
        <w:rPr>
          <w:rFonts w:eastAsia="MS Mincho" w:cs="Calibri"/>
          <w:i/>
          <w:szCs w:val="22"/>
          <w:lang w:val="sq-AL"/>
        </w:rPr>
        <w:t xml:space="preserve">Konsolidimi i procedurave dhe sistemi i menaxhimit të financave vendore në të gjithë etapat, që nga hartimi i programit buxhetor afatmesëm tek zbatimi dhe monitorimi i tij; harmonizimi dhe unifikimi i procedurave për hartimin, zbatimin, raportimin, monitorimin e buxheteve të njësive të vetëqeverisjes vendore, në përputhje me standardet ndërkombëtare; </w:t>
      </w:r>
    </w:p>
    <w:p w:rsidR="00B97847" w:rsidRPr="00B97847" w:rsidRDefault="00B97847" w:rsidP="00C71069">
      <w:pPr>
        <w:numPr>
          <w:ilvl w:val="0"/>
          <w:numId w:val="48"/>
        </w:numPr>
        <w:spacing w:before="0" w:line="240" w:lineRule="auto"/>
        <w:ind w:left="450"/>
        <w:contextualSpacing/>
        <w:rPr>
          <w:rFonts w:eastAsia="MS Mincho" w:cs="Calibri"/>
          <w:i/>
          <w:szCs w:val="22"/>
          <w:lang w:val="sq-AL"/>
        </w:rPr>
      </w:pPr>
      <w:r w:rsidRPr="00B97847">
        <w:rPr>
          <w:rFonts w:eastAsia="MS Mincho" w:cs="Calibri"/>
          <w:i/>
          <w:szCs w:val="22"/>
          <w:lang w:val="sq-AL"/>
        </w:rPr>
        <w:t>Zbatimi i metodologjisë për hartimin e programit buxhetor afatmesëm në nivel produkti buxhetor, përmes formateve të reja; Ulja e numrit të programeve buxhetore (nga 36 programe në 20 programe buxhetore) dhe fillimi i një faze të re pilotimi për hartimin e Programit Buxhetor Afatmesëm në tre bashki.</w:t>
      </w:r>
    </w:p>
    <w:p w:rsidR="00B97847" w:rsidRPr="00B97847" w:rsidRDefault="00B97847" w:rsidP="00C71069">
      <w:pPr>
        <w:numPr>
          <w:ilvl w:val="0"/>
          <w:numId w:val="48"/>
        </w:numPr>
        <w:spacing w:before="0" w:line="240" w:lineRule="auto"/>
        <w:ind w:left="450"/>
        <w:contextualSpacing/>
        <w:rPr>
          <w:rFonts w:eastAsia="MS Mincho" w:cs="Calibri"/>
          <w:i/>
          <w:szCs w:val="22"/>
          <w:lang w:val="sq-AL"/>
        </w:rPr>
      </w:pPr>
      <w:r w:rsidRPr="00B97847">
        <w:rPr>
          <w:rFonts w:eastAsia="MS Mincho" w:cs="Calibri"/>
          <w:i/>
          <w:szCs w:val="22"/>
          <w:lang w:val="sq-AL"/>
        </w:rPr>
        <w:t>Prezantimi dhe përdorimi i treguesve të performancës në PBA dhe ndikimi pozitiv në rritjen e cilësisë së monitorimit të zbatimit të buxhetit vendor;</w:t>
      </w:r>
    </w:p>
    <w:p w:rsidR="00B97847" w:rsidRPr="00B97847" w:rsidRDefault="00B97847" w:rsidP="00C71069">
      <w:pPr>
        <w:numPr>
          <w:ilvl w:val="0"/>
          <w:numId w:val="48"/>
        </w:numPr>
        <w:spacing w:before="0" w:line="240" w:lineRule="auto"/>
        <w:ind w:left="450"/>
        <w:contextualSpacing/>
        <w:rPr>
          <w:rFonts w:eastAsia="MS Mincho" w:cs="Calibri"/>
          <w:i/>
          <w:szCs w:val="22"/>
          <w:lang w:val="sq-AL"/>
        </w:rPr>
      </w:pPr>
      <w:r w:rsidRPr="00B97847">
        <w:rPr>
          <w:rFonts w:eastAsia="MS Mincho" w:cs="Calibri"/>
          <w:i/>
          <w:szCs w:val="22"/>
          <w:lang w:val="sq-AL"/>
        </w:rPr>
        <w:lastRenderedPageBreak/>
        <w:t>Monitorimi i vazhdueshëm i treguesve fiskalë të zbatimit të buxhetit, në funksion të zbatimit të politikave buxhetore që do të rrisin efikasitetin dhe efektshmërinë e përdorimit të fondeve publike në nivel vendor;</w:t>
      </w:r>
    </w:p>
    <w:p w:rsidR="00B97847" w:rsidRPr="00B97847" w:rsidRDefault="00B97847" w:rsidP="00C71069">
      <w:pPr>
        <w:numPr>
          <w:ilvl w:val="0"/>
          <w:numId w:val="48"/>
        </w:numPr>
        <w:spacing w:before="0" w:line="240" w:lineRule="auto"/>
        <w:ind w:left="450"/>
        <w:contextualSpacing/>
        <w:rPr>
          <w:rFonts w:eastAsia="MS Mincho" w:cs="Calibri"/>
          <w:i/>
          <w:szCs w:val="22"/>
          <w:lang w:val="sq-AL"/>
        </w:rPr>
      </w:pPr>
      <w:r w:rsidRPr="00B97847">
        <w:rPr>
          <w:rFonts w:eastAsia="MS Mincho" w:cs="Calibri"/>
          <w:i/>
          <w:szCs w:val="22"/>
          <w:lang w:val="sq-AL"/>
        </w:rPr>
        <w:t>Hartimi i raporteve periodike të menaxhimit të vështirësive financiare, si një detyrim ligjor për të monitoruar situatën financiare të njësive të vetëqeverisjes vendore; publikimi  i raportit vjetor: “Mbi statusin e vështirësive financiare të njësive të vetëqeverisjes vendore”;</w:t>
      </w:r>
    </w:p>
    <w:p w:rsidR="00B97847" w:rsidRPr="00B97847" w:rsidRDefault="00B97847" w:rsidP="00C71069">
      <w:pPr>
        <w:numPr>
          <w:ilvl w:val="0"/>
          <w:numId w:val="48"/>
        </w:numPr>
        <w:spacing w:before="0" w:line="240" w:lineRule="auto"/>
        <w:ind w:left="450"/>
        <w:contextualSpacing/>
        <w:rPr>
          <w:rFonts w:eastAsia="MS Mincho" w:cs="Calibri"/>
          <w:i/>
          <w:szCs w:val="22"/>
          <w:lang w:val="sq-AL"/>
        </w:rPr>
      </w:pPr>
      <w:r w:rsidRPr="00B97847">
        <w:rPr>
          <w:rFonts w:eastAsia="MS Mincho" w:cs="Calibri"/>
          <w:i/>
          <w:szCs w:val="22"/>
          <w:lang w:val="sq-AL"/>
        </w:rPr>
        <w:t>Realizimi i trajnimeve, takimeve dhe konsultimeve të vazhdueshme me njësitë e vetëqeverisjes vendore në kuadër të masave të marra nga Ministria e Financave dhe Ekonomisë për menaxhimin financiar në nivel vendor, si një hap parapërgatitor për zbatimin e sistemit AFMIS në nivel vendor në një periudhë afatmesme.</w:t>
      </w:r>
    </w:p>
    <w:p w:rsidR="00B97847" w:rsidRPr="00B97847" w:rsidRDefault="00B97847" w:rsidP="00C71069">
      <w:pPr>
        <w:numPr>
          <w:ilvl w:val="0"/>
          <w:numId w:val="48"/>
        </w:numPr>
        <w:spacing w:before="0" w:line="240" w:lineRule="auto"/>
        <w:ind w:left="450"/>
        <w:contextualSpacing/>
        <w:rPr>
          <w:rFonts w:eastAsia="MS Mincho" w:cs="Calibri"/>
          <w:i/>
          <w:szCs w:val="22"/>
          <w:lang w:val="sq-AL"/>
        </w:rPr>
      </w:pPr>
      <w:r w:rsidRPr="00B97847">
        <w:rPr>
          <w:rFonts w:eastAsia="MS Mincho" w:cs="Calibri"/>
          <w:i/>
          <w:szCs w:val="22"/>
          <w:lang w:val="sq-AL"/>
        </w:rPr>
        <w:t>Detyrimet e prapambetura vazhdojnë të jenë problem edhe për vitin 2022. Gjatë vitit 2022, janë realizuar vlerësime dhe raportime periodike mbi ecurinë financiare të detyrimeve të prapambetura të njësive të vetëqeverisjes vendore. Ministria e Financave dhe Ekonomisë ka përgatitur dhe publikuar raportin e gjendjes financiare për të 61 bashkitë, ku ka rezultuar se dhjetë bashki janë me probleme financiare dhe shtatë bashki me vështirësi financiare. Për këto bashki është hartuar një plan rehabilitimi për daljen nga situata e problemeve/vështirësisë financiare i cili do të vijojë të zbatohet edhe në buxhetin e vitit 2023. Mbështetur mbi treguesit fiskal janë dhënë gjithashtu rekomandime ndaj njësive të cilat kanë një ecuri jo pozitive në drejtim të rritjes së stokut të detyrimeve ndaj të tretëve. Ky proces monitorimi do të vazhdojë periodikisht edhe në vitin 2023, duke zbatuar me përpikmëri detyrimet ligjore dhe nënligjore mbi statusin e vështirësive financiare të njësive të vetëqeverisjes vendore.</w:t>
      </w:r>
    </w:p>
    <w:p w:rsidR="002C4FAF" w:rsidRPr="00476D2E" w:rsidRDefault="002C4FAF" w:rsidP="00FC729E">
      <w:pPr>
        <w:rPr>
          <w:sz w:val="12"/>
        </w:rPr>
      </w:pPr>
    </w:p>
    <w:p w:rsidR="007E0F26" w:rsidRPr="00476D2E" w:rsidRDefault="007E0F26" w:rsidP="00FC729E">
      <w:pPr>
        <w:pStyle w:val="Fiskale2"/>
        <w:rPr>
          <w:rFonts w:ascii="Calibri" w:hAnsi="Calibri" w:cs="Calibri"/>
        </w:rPr>
      </w:pPr>
      <w:bookmarkStart w:id="165" w:name="_Toc74843785"/>
      <w:bookmarkStart w:id="166" w:name="_Toc104980339"/>
      <w:r w:rsidRPr="00476D2E">
        <w:rPr>
          <w:rFonts w:ascii="Calibri" w:hAnsi="Calibri" w:cs="Calibri"/>
        </w:rPr>
        <w:t xml:space="preserve">Të ardhurat e </w:t>
      </w:r>
      <w:bookmarkEnd w:id="165"/>
      <w:r w:rsidR="0052551F" w:rsidRPr="00476D2E">
        <w:rPr>
          <w:rFonts w:ascii="Calibri" w:hAnsi="Calibri" w:cs="Calibri"/>
        </w:rPr>
        <w:t>n</w:t>
      </w:r>
      <w:r w:rsidRPr="00476D2E">
        <w:rPr>
          <w:rFonts w:ascii="Calibri" w:hAnsi="Calibri" w:cs="Calibri"/>
        </w:rPr>
        <w:t xml:space="preserve">jësive të </w:t>
      </w:r>
      <w:r w:rsidR="0052551F" w:rsidRPr="00476D2E">
        <w:rPr>
          <w:rFonts w:ascii="Calibri" w:hAnsi="Calibri" w:cs="Calibri"/>
        </w:rPr>
        <w:t>v</w:t>
      </w:r>
      <w:r w:rsidRPr="00476D2E">
        <w:rPr>
          <w:rFonts w:ascii="Calibri" w:hAnsi="Calibri" w:cs="Calibri"/>
        </w:rPr>
        <w:t xml:space="preserve">etëqeverisjes </w:t>
      </w:r>
      <w:r w:rsidR="0052551F" w:rsidRPr="00476D2E">
        <w:rPr>
          <w:rFonts w:ascii="Calibri" w:hAnsi="Calibri" w:cs="Calibri"/>
        </w:rPr>
        <w:t>v</w:t>
      </w:r>
      <w:r w:rsidRPr="00476D2E">
        <w:rPr>
          <w:rFonts w:ascii="Calibri" w:hAnsi="Calibri" w:cs="Calibri"/>
        </w:rPr>
        <w:t>endore</w:t>
      </w:r>
      <w:bookmarkEnd w:id="166"/>
      <w:r w:rsidRPr="00476D2E">
        <w:rPr>
          <w:rFonts w:ascii="Calibri" w:hAnsi="Calibri" w:cs="Calibri"/>
        </w:rPr>
        <w:t xml:space="preserve"> </w:t>
      </w:r>
    </w:p>
    <w:p w:rsidR="00D80BC1" w:rsidRDefault="00B97847" w:rsidP="00B97847">
      <w:pPr>
        <w:spacing w:before="0" w:line="240" w:lineRule="auto"/>
        <w:rPr>
          <w:rFonts w:eastAsia="SimSun" w:cs="Calibri"/>
          <w:i/>
          <w:sz w:val="18"/>
          <w:szCs w:val="18"/>
          <w:lang w:val="sq-AL"/>
        </w:rPr>
      </w:pPr>
      <w:r w:rsidRPr="000D1363">
        <w:rPr>
          <w:rFonts w:eastAsia="MS Mincho" w:cs="Calibri"/>
          <w:lang w:val="sq-AL"/>
        </w:rPr>
        <w:t>Rritja e të ardhurave nga burimet e veta të njësive të vetëqeverisjes është synim i menaxhimit financiar publik në nivel vendor dhe një nga shtyllat më të rëndësishme të decentralizimit fiskal. E megjithatë Njësitë e vetëqeverisjes vendore përveç të ardhurave nga burimet e veta, gjithashtu përfitojnë të ardhura në formën e transfertave nga qeveria qendrore, ku rolin më të rëndësishëm e zë transferta e pakushtëzuar. Transferta e pakushtëzuar e përgjithshme është një burim konstant dhe i qëndrueshëm për pushtetin vendor në vite, ku të dhënat në vlera dhe trendi i ecurisë së saj, paraqiten në grafikun e mëposhtëm</w:t>
      </w:r>
      <w:r w:rsidR="00D80BC1" w:rsidRPr="00476D2E">
        <w:rPr>
          <w:rFonts w:eastAsia="MS Mincho" w:cs="Calibri"/>
          <w:lang w:val="sq-AL"/>
        </w:rPr>
        <w:t>:</w:t>
      </w:r>
      <w:r w:rsidR="00D80BC1" w:rsidRPr="001D7ECF">
        <w:rPr>
          <w:rFonts w:eastAsia="SimSun" w:cs="Calibri"/>
          <w:i/>
          <w:sz w:val="18"/>
          <w:szCs w:val="18"/>
          <w:lang w:val="sq-AL"/>
        </w:rPr>
        <w:t xml:space="preserve"> </w:t>
      </w:r>
    </w:p>
    <w:p w:rsidR="000C27BF" w:rsidRPr="000C27BF" w:rsidRDefault="000C27BF" w:rsidP="00FC729E">
      <w:pPr>
        <w:spacing w:before="0"/>
        <w:rPr>
          <w:rFonts w:eastAsia="SimSun" w:cs="Calibri"/>
          <w:i/>
          <w:sz w:val="8"/>
          <w:szCs w:val="18"/>
          <w:lang w:val="sq-AL"/>
        </w:rPr>
      </w:pPr>
    </w:p>
    <w:p w:rsidR="00D80BC1" w:rsidRPr="00095B84" w:rsidRDefault="00C4258E" w:rsidP="00FC729E">
      <w:pPr>
        <w:pStyle w:val="Caption"/>
        <w:spacing w:after="0"/>
      </w:pPr>
      <w:bookmarkStart w:id="167" w:name="_Toc136526483"/>
      <w:r w:rsidRPr="00095B84">
        <w:t xml:space="preserve">Grafiku </w:t>
      </w:r>
      <w:fldSimple w:instr=" SEQ Grafiku \* ARABIC ">
        <w:r w:rsidR="008C3E07">
          <w:rPr>
            <w:noProof/>
          </w:rPr>
          <w:t>38</w:t>
        </w:r>
      </w:fldSimple>
      <w:r w:rsidRPr="00095B84">
        <w:t xml:space="preserve"> </w:t>
      </w:r>
      <w:r w:rsidR="00D80BC1" w:rsidRPr="00095B84">
        <w:t>Transferta e pakushtëzuar dhe ritmi i ndryshimit në vite</w:t>
      </w:r>
      <w:r w:rsidR="00D80BC1" w:rsidRPr="00095B84">
        <w:rPr>
          <w:rFonts w:cs="Calibri"/>
          <w:iCs w:val="0"/>
          <w:lang w:val="sq-AL"/>
        </w:rPr>
        <w:t>.</w:t>
      </w:r>
      <w:bookmarkEnd w:id="167"/>
    </w:p>
    <w:p w:rsidR="00D80BC1" w:rsidRPr="00476D2E" w:rsidRDefault="00B97847" w:rsidP="00B97847">
      <w:pPr>
        <w:spacing w:before="0" w:line="240" w:lineRule="auto"/>
        <w:jc w:val="center"/>
        <w:rPr>
          <w:rFonts w:eastAsia="MS Mincho" w:cs="Calibri"/>
          <w:sz w:val="8"/>
          <w:lang w:val="sq-AL"/>
        </w:rPr>
      </w:pPr>
      <w:r>
        <w:rPr>
          <w:noProof/>
        </w:rPr>
        <w:drawing>
          <wp:inline distT="0" distB="0" distL="0" distR="0" wp14:anchorId="4C101B36" wp14:editId="20F0BE06">
            <wp:extent cx="6334125" cy="1422400"/>
            <wp:effectExtent l="0" t="0" r="0" b="6350"/>
            <wp:docPr id="50" name="Chart 50">
              <a:extLst xmlns:a="http://schemas.openxmlformats.org/drawingml/2006/main">
                <a:ext uri="{FF2B5EF4-FFF2-40B4-BE49-F238E27FC236}">
                  <a16:creationId xmlns:a16="http://schemas.microsoft.com/office/drawing/2014/main" id="{00000000-0008-0000-05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D80BC1" w:rsidRPr="001D7ECF" w:rsidRDefault="00153CD6" w:rsidP="00153CD6">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554F56" w:rsidRPr="00B97847" w:rsidRDefault="00554F56" w:rsidP="00FC729E">
      <w:pPr>
        <w:tabs>
          <w:tab w:val="left" w:pos="5940"/>
        </w:tabs>
        <w:spacing w:before="0"/>
        <w:rPr>
          <w:rFonts w:eastAsia="MS Mincho" w:cs="Calibri"/>
          <w:sz w:val="8"/>
          <w:lang w:val="sq-AL"/>
        </w:rPr>
      </w:pPr>
    </w:p>
    <w:p w:rsidR="00D80BC1" w:rsidRDefault="00B97847" w:rsidP="00B97847">
      <w:pPr>
        <w:tabs>
          <w:tab w:val="left" w:pos="5940"/>
        </w:tabs>
        <w:spacing w:before="0" w:line="240" w:lineRule="auto"/>
        <w:rPr>
          <w:rFonts w:eastAsia="MS Mincho" w:cs="Calibri"/>
          <w:lang w:val="sq-AL"/>
        </w:rPr>
      </w:pPr>
      <w:r w:rsidRPr="000D1363">
        <w:rPr>
          <w:rFonts w:eastAsia="MS Mincho" w:cs="Calibri"/>
          <w:lang w:val="sq-AL"/>
        </w:rPr>
        <w:t>Sa i përket të ardhurave e veta vendore të klasifikuara sipas natyrës së burimit të tyre (tatimore dhe jotatimore), për vitin 2022, këto burime kanë vazhduar trendin rritës kundrejt viteve të mëparshme dhe kanë pësuar rritje krahasuar edhe me vitin 2021. Për vitin 2022, njësitë e vetëqeverisjes vendore në shkallë kombëtare kanë mbledhur të ardhura tatimore në masën 27,638 milion lekë, shifër kjo që është rreth 972 milion lekë më shumë ose rreth 4 përqind më e lartë se vlera e të ardhurave të mbledhura gjatë vitit 2021 e cila ka qenë 26,666 milion lekë.</w:t>
      </w:r>
      <w:r w:rsidRPr="000D1363">
        <w:rPr>
          <w:lang w:val="sq-AL"/>
        </w:rPr>
        <w:t xml:space="preserve"> </w:t>
      </w:r>
      <w:r w:rsidRPr="000D1363">
        <w:rPr>
          <w:rFonts w:eastAsia="MS Mincho" w:cs="Calibri"/>
          <w:lang w:val="sq-AL"/>
        </w:rPr>
        <w:t xml:space="preserve">Ndërkohë, referuar të dhënave mbi të ardhurat jotatimore, për vitin 2022 janë mbledhur rreth 3,331 milion  lekë nga ky burim, që rezulton rreth 479 milion lekë më shumë ose rreth 17 përqind më e lartë se vlera e të ardhurave të mbledhura një vit më parë. Këto efekte pozitive në të ardhurat vendore për vitin 2022 tregojnë se buxheti vendor në tërësi vazhdon rritjen dhe rimëkëmbjen pas ngjarjeve të jashtëzakonshme të vitit 2019 dhe 2020, të cilat reflektuan ndikimin e tyre edhe në këto zëra. Në grafikun e mëposhtëm paraqiten të dhënat </w:t>
      </w:r>
      <w:r>
        <w:rPr>
          <w:rFonts w:eastAsia="MS Mincho" w:cs="Calibri"/>
          <w:lang w:val="sq-AL"/>
        </w:rPr>
        <w:t xml:space="preserve">e </w:t>
      </w:r>
      <w:r w:rsidRPr="000D1363">
        <w:rPr>
          <w:rFonts w:eastAsia="MS Mincho" w:cs="Calibri"/>
          <w:lang w:val="sq-AL"/>
        </w:rPr>
        <w:t>realizmit të këtyre burimeve gjatë viteve 2019-2022</w:t>
      </w:r>
      <w:r>
        <w:rPr>
          <w:rFonts w:eastAsia="MS Mincho" w:cs="Calibri"/>
          <w:lang w:val="sq-AL"/>
        </w:rPr>
        <w:t>:</w:t>
      </w:r>
    </w:p>
    <w:p w:rsidR="00D80BC1" w:rsidRPr="00095B84" w:rsidRDefault="00D80BC1" w:rsidP="00FC729E">
      <w:pPr>
        <w:pStyle w:val="Caption"/>
        <w:keepNext/>
        <w:spacing w:before="0" w:after="0"/>
      </w:pPr>
      <w:bookmarkStart w:id="168" w:name="_Toc136526484"/>
      <w:r w:rsidRPr="00095B84">
        <w:lastRenderedPageBreak/>
        <w:t xml:space="preserve">Grafiku </w:t>
      </w:r>
      <w:r w:rsidRPr="00095B84">
        <w:rPr>
          <w:noProof/>
        </w:rPr>
        <w:fldChar w:fldCharType="begin"/>
      </w:r>
      <w:r w:rsidRPr="00095B84">
        <w:rPr>
          <w:noProof/>
        </w:rPr>
        <w:instrText xml:space="preserve"> SEQ Grafiku \* ARABIC </w:instrText>
      </w:r>
      <w:r w:rsidRPr="00095B84">
        <w:rPr>
          <w:noProof/>
        </w:rPr>
        <w:fldChar w:fldCharType="separate"/>
      </w:r>
      <w:r w:rsidR="008C3E07">
        <w:rPr>
          <w:noProof/>
        </w:rPr>
        <w:t>39</w:t>
      </w:r>
      <w:r w:rsidRPr="00095B84">
        <w:rPr>
          <w:noProof/>
        </w:rPr>
        <w:fldChar w:fldCharType="end"/>
      </w:r>
      <w:r w:rsidRPr="00095B84">
        <w:t xml:space="preserve"> R</w:t>
      </w:r>
      <w:r w:rsidRPr="00095B84">
        <w:rPr>
          <w:rFonts w:cs="Calibri"/>
          <w:iCs w:val="0"/>
          <w:lang w:val="sq-AL"/>
        </w:rPr>
        <w:t xml:space="preserve">ealizimi i të ardhurave tatimore dhe jotatimore </w:t>
      </w:r>
      <w:r w:rsidR="00B97847" w:rsidRPr="00095B84">
        <w:rPr>
          <w:rFonts w:cs="Calibri"/>
          <w:iCs w:val="0"/>
          <w:lang w:val="sq-AL"/>
        </w:rPr>
        <w:t>(</w:t>
      </w:r>
      <w:r w:rsidR="00B97847" w:rsidRPr="00095B84">
        <w:rPr>
          <w:rFonts w:eastAsia="MS Mincho" w:cs="Calibri"/>
          <w:lang w:val="sq-AL"/>
        </w:rPr>
        <w:t>në milion lekë)</w:t>
      </w:r>
      <w:r w:rsidRPr="00095B84">
        <w:rPr>
          <w:rFonts w:cs="Calibri"/>
          <w:iCs w:val="0"/>
          <w:lang w:val="sq-AL"/>
        </w:rPr>
        <w:t>.</w:t>
      </w:r>
      <w:bookmarkEnd w:id="168"/>
    </w:p>
    <w:p w:rsidR="00D80BC1" w:rsidRDefault="00B97847" w:rsidP="00B97847">
      <w:pPr>
        <w:spacing w:before="0" w:line="240" w:lineRule="auto"/>
        <w:jc w:val="center"/>
        <w:rPr>
          <w:rFonts w:eastAsia="MS Mincho" w:cs="Calibri"/>
          <w:lang w:val="sq-AL"/>
        </w:rPr>
      </w:pPr>
      <w:r>
        <w:rPr>
          <w:noProof/>
        </w:rPr>
        <w:drawing>
          <wp:inline distT="0" distB="0" distL="0" distR="0" wp14:anchorId="4EB6AE6A" wp14:editId="514E083A">
            <wp:extent cx="6267450" cy="1290320"/>
            <wp:effectExtent l="0" t="0" r="0" b="5080"/>
            <wp:docPr id="51" name="Chart 1">
              <a:extLst xmlns:a="http://schemas.openxmlformats.org/drawingml/2006/main">
                <a:ext uri="{FF2B5EF4-FFF2-40B4-BE49-F238E27FC236}">
                  <a16:creationId xmlns:a16="http://schemas.microsoft.com/office/drawing/2014/main" id="{4D7802B6-FF1D-E9FC-CB1D-CECC517BFF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D80BC1" w:rsidRPr="00476D2E" w:rsidRDefault="00153CD6" w:rsidP="00153CD6">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D80BC1" w:rsidRDefault="00B97847" w:rsidP="00B97847">
      <w:pPr>
        <w:spacing w:line="240" w:lineRule="auto"/>
        <w:rPr>
          <w:rFonts w:eastAsia="MS Mincho" w:cs="Calibri"/>
          <w:lang w:val="sq-AL"/>
        </w:rPr>
      </w:pPr>
      <w:r w:rsidRPr="000D1363">
        <w:rPr>
          <w:rFonts w:eastAsia="MS Mincho" w:cs="Calibri"/>
          <w:lang w:val="sq-AL"/>
        </w:rPr>
        <w:t>Të ardhurat e pushtetit vendor në vite kanë ruajtur një trend rritjeje të ndjeshëm, duke përcaktuar në këtë mënyrë ecurinë pozitive të aftësisë së pushtetit vendor për të siguruar të ardhura si dhe duke paraqitur një konfirmim të efekteve pozitive të decentralizimit, pavarësisht sfidave të viteve të fundit me të cilat është përballur vendi në tërsi dhe pushteti vendor në veçanti. Ky trend nga viti 2015 e në vazhdim (me përjashtim të vitit 2020) ka ruajtur tendencën pozitive të ecurisë, duke bërë në këtë mënyrë që të rritet ndjeshëm roli i pushtetit vendor në potencialin fiskal për të ofruar shërbime. Duke ju referuar të dhënave të treguesve fiskalë në vite mbi të ardhurat tatimore totale të pushtetit vendor, do të kemi rezultatet si në grafikun më poshtë</w:t>
      </w:r>
      <w:r w:rsidR="00D80BC1">
        <w:rPr>
          <w:rFonts w:eastAsia="MS Mincho" w:cs="Calibri"/>
          <w:lang w:val="sq-AL"/>
        </w:rPr>
        <w:t>:</w:t>
      </w:r>
    </w:p>
    <w:p w:rsidR="00D80BC1" w:rsidRPr="00476D2E" w:rsidRDefault="00D80BC1" w:rsidP="00FC729E">
      <w:pPr>
        <w:pStyle w:val="Caption"/>
        <w:keepNext/>
        <w:spacing w:after="0"/>
      </w:pPr>
      <w:bookmarkStart w:id="169" w:name="_Toc136526485"/>
      <w:r w:rsidRPr="00476D2E">
        <w:t xml:space="preserve">Grafiku </w:t>
      </w:r>
      <w:r w:rsidRPr="00476D2E">
        <w:rPr>
          <w:noProof/>
        </w:rPr>
        <w:fldChar w:fldCharType="begin"/>
      </w:r>
      <w:r w:rsidRPr="00476D2E">
        <w:rPr>
          <w:noProof/>
        </w:rPr>
        <w:instrText xml:space="preserve"> SEQ Grafiku \* ARABIC </w:instrText>
      </w:r>
      <w:r w:rsidRPr="00476D2E">
        <w:rPr>
          <w:noProof/>
        </w:rPr>
        <w:fldChar w:fldCharType="separate"/>
      </w:r>
      <w:r w:rsidR="008C3E07">
        <w:rPr>
          <w:noProof/>
        </w:rPr>
        <w:t>40</w:t>
      </w:r>
      <w:r w:rsidRPr="00476D2E">
        <w:rPr>
          <w:noProof/>
        </w:rPr>
        <w:fldChar w:fldCharType="end"/>
      </w:r>
      <w:r w:rsidRPr="00476D2E">
        <w:t xml:space="preserve"> </w:t>
      </w:r>
      <w:r w:rsidRPr="00476D2E">
        <w:rPr>
          <w:rFonts w:eastAsiaTheme="minorEastAsia" w:cs="Calibri"/>
          <w:i w:val="0"/>
          <w:iCs w:val="0"/>
        </w:rPr>
        <w:t>Të ardhurat e pushtetit vendor në vite dhe ritmi i ndryshimit</w:t>
      </w:r>
      <w:r w:rsidRPr="00476D2E">
        <w:rPr>
          <w:rFonts w:cs="Calibri"/>
          <w:sz w:val="20"/>
          <w:szCs w:val="20"/>
        </w:rPr>
        <w:t>.</w:t>
      </w:r>
      <w:bookmarkEnd w:id="169"/>
    </w:p>
    <w:p w:rsidR="00D80BC1" w:rsidRPr="00476D2E" w:rsidRDefault="00B97847" w:rsidP="00B97847">
      <w:pPr>
        <w:spacing w:before="0" w:line="240" w:lineRule="auto"/>
        <w:jc w:val="center"/>
        <w:rPr>
          <w:rFonts w:eastAsia="MS Mincho" w:cs="Calibri"/>
          <w:sz w:val="16"/>
          <w:lang w:val="sq-AL"/>
        </w:rPr>
      </w:pPr>
      <w:r>
        <w:rPr>
          <w:noProof/>
        </w:rPr>
        <w:drawing>
          <wp:inline distT="0" distB="0" distL="0" distR="0" wp14:anchorId="399E6C3E" wp14:editId="0DAB51D4">
            <wp:extent cx="6267450" cy="1442720"/>
            <wp:effectExtent l="0" t="0" r="0" b="5080"/>
            <wp:docPr id="3" name="Chart 1">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D80BC1" w:rsidRPr="001D3D8F" w:rsidRDefault="00153CD6" w:rsidP="00153CD6">
      <w:pPr>
        <w:spacing w:before="0" w:line="360" w:lineRule="auto"/>
        <w:ind w:firstLine="720"/>
        <w:rPr>
          <w:rFonts w:eastAsia="SimSun" w:cs="Calibri"/>
          <w:i/>
          <w:sz w:val="18"/>
          <w:lang w:val="sq-AL"/>
        </w:rPr>
      </w:pPr>
      <w:r>
        <w:rPr>
          <w:rFonts w:eastAsia="SimSun" w:cs="Calibri"/>
          <w:i/>
          <w:sz w:val="18"/>
          <w:lang w:val="sq-AL"/>
        </w:rPr>
        <w:t>Burimi: Ministria e Financave dhe Ekonomisë (2023)</w:t>
      </w:r>
    </w:p>
    <w:p w:rsidR="00D80BC1" w:rsidRDefault="00466B20" w:rsidP="00153CD6">
      <w:pPr>
        <w:spacing w:before="0" w:line="240" w:lineRule="auto"/>
        <w:rPr>
          <w:rFonts w:eastAsia="MS Mincho" w:cs="Calibri"/>
          <w:lang w:val="sq-AL"/>
        </w:rPr>
      </w:pPr>
      <w:r w:rsidRPr="000D1363">
        <w:rPr>
          <w:rFonts w:eastAsia="MS Mincho" w:cs="Calibri"/>
          <w:lang w:val="sq-AL"/>
        </w:rPr>
        <w:t xml:space="preserve">Në të njëjtën kohë, rritja e rolit të pushtetit vendor në drejtim të shërbimeve publike dhe funksioneve që ushtron, ka bërë që raporti i të ardhurave nga burimet e veta kundrejt totalit të të ardhurave publike dhe produktit të brendshëm bruto të ndryshojë dhe të jetë në rritje në vitet e fundit.  Megjithatë gjatë vitit 2022, të ardhurat e pushtetit vendor, në raport me të ardhurat publike janë 4.83 % në vitin 2022 nga 5.22 % që ishin në vitin 2021, duke qenë se të ardhurat totale publike janë rritur në raport më të lartë se një vit më parë, me rreth 12%. Gjithashtu pushteti vendor ka rritur rolin e tij në vite përmes kontributit në ekonomi e në Produktin e Brendshëm Bruto duke ndryshuar raportin nga 0.82% e PBB në vitin 2015, në 1.34 % në vitin 2022.  Megjithatë gjatë vitit 2022, të ardhurat e pushtetit vendor, në raport me Produktin e Brendshëm Bruto janë 1.34 % nga 1.41 % që ishin në vitin 2021, duke qenë se PBB është rritur në raport më të lartë se një vit më parë, me rreth </w:t>
      </w:r>
      <w:r>
        <w:rPr>
          <w:rFonts w:eastAsia="MS Mincho" w:cs="Calibri"/>
          <w:lang w:val="sq-AL"/>
        </w:rPr>
        <w:t>8.9%</w:t>
      </w:r>
      <w:r w:rsidR="00D80BC1" w:rsidRPr="00A059B8">
        <w:rPr>
          <w:rFonts w:eastAsia="MS Mincho" w:cs="Calibri"/>
          <w:lang w:val="sq-AL"/>
        </w:rPr>
        <w:t>.</w:t>
      </w:r>
    </w:p>
    <w:p w:rsidR="00466B20" w:rsidRPr="00153CD6" w:rsidRDefault="00466B20" w:rsidP="00153CD6">
      <w:pPr>
        <w:spacing w:before="0" w:line="240" w:lineRule="auto"/>
        <w:rPr>
          <w:rFonts w:eastAsia="MS Mincho" w:cs="Calibri"/>
          <w:sz w:val="8"/>
          <w:lang w:val="sq-AL"/>
        </w:rPr>
      </w:pPr>
    </w:p>
    <w:p w:rsidR="00D80BC1" w:rsidRPr="00476D2E" w:rsidRDefault="00FE66EC" w:rsidP="00FC729E">
      <w:pPr>
        <w:pStyle w:val="Caption"/>
        <w:spacing w:before="0" w:after="0"/>
      </w:pPr>
      <w:bookmarkStart w:id="170" w:name="_Toc136526486"/>
      <w:r>
        <w:t xml:space="preserve">Grafiku </w:t>
      </w:r>
      <w:fldSimple w:instr=" SEQ Grafiku \* ARABIC ">
        <w:r w:rsidR="008C3E07">
          <w:rPr>
            <w:noProof/>
          </w:rPr>
          <w:t>41</w:t>
        </w:r>
      </w:fldSimple>
      <w:r w:rsidR="00B70BE3">
        <w:t xml:space="preserve"> </w:t>
      </w:r>
      <w:r w:rsidR="00D80BC1" w:rsidRPr="00476D2E">
        <w:rPr>
          <w:rFonts w:cs="Calibri"/>
          <w:i w:val="0"/>
          <w:iCs w:val="0"/>
          <w:lang w:val="sq-AL"/>
        </w:rPr>
        <w:t>Të ardhurat vendore në raport me totalin e të ardhurave publike dhe PBB.</w:t>
      </w:r>
      <w:bookmarkEnd w:id="170"/>
    </w:p>
    <w:p w:rsidR="00D80BC1" w:rsidRPr="00476D2E" w:rsidRDefault="00DB0038" w:rsidP="00FC729E">
      <w:pPr>
        <w:spacing w:before="0"/>
        <w:jc w:val="center"/>
        <w:rPr>
          <w:rFonts w:eastAsia="MS Mincho" w:cs="Calibri"/>
          <w:lang w:val="sq-AL"/>
        </w:rPr>
      </w:pPr>
      <w:r>
        <w:rPr>
          <w:noProof/>
        </w:rPr>
        <w:drawing>
          <wp:inline distT="0" distB="0" distL="0" distR="0" wp14:anchorId="006EFA8D" wp14:editId="3C8EA01B">
            <wp:extent cx="6374765" cy="1447800"/>
            <wp:effectExtent l="0" t="0" r="6985" b="0"/>
            <wp:docPr id="52" name="Chart 1">
              <a:extLst xmlns:a="http://schemas.openxmlformats.org/drawingml/2006/main">
                <a:ext uri="{FF2B5EF4-FFF2-40B4-BE49-F238E27FC236}">
                  <a16:creationId xmlns:a16="http://schemas.microsoft.com/office/drawing/2014/main" id="{B432A234-0B6F-4A3E-B5D1-73CD1E62CF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80BC1" w:rsidRPr="00476D2E" w:rsidRDefault="00153CD6" w:rsidP="00153CD6">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D80BC1" w:rsidRPr="00692262" w:rsidRDefault="00D80BC1" w:rsidP="00FC729E">
      <w:pPr>
        <w:spacing w:before="0"/>
        <w:ind w:firstLine="720"/>
        <w:rPr>
          <w:rFonts w:eastAsia="SimSun" w:cs="Calibri"/>
          <w:i/>
          <w:sz w:val="8"/>
          <w:szCs w:val="18"/>
          <w:lang w:val="sq-AL"/>
        </w:rPr>
      </w:pPr>
    </w:p>
    <w:p w:rsidR="00D80BC1" w:rsidRDefault="00DB0038" w:rsidP="00DB0038">
      <w:pPr>
        <w:spacing w:before="0" w:line="240" w:lineRule="auto"/>
        <w:rPr>
          <w:rFonts w:eastAsia="SimSun" w:cs="Calibri"/>
          <w:szCs w:val="18"/>
          <w:lang w:val="sq-AL"/>
        </w:rPr>
      </w:pPr>
      <w:r w:rsidRPr="000D1363">
        <w:rPr>
          <w:rFonts w:eastAsia="SimSun" w:cs="Calibri"/>
          <w:szCs w:val="18"/>
          <w:lang w:val="sq-AL"/>
        </w:rPr>
        <w:lastRenderedPageBreak/>
        <w:t>Në lidhje me evidentimin e ecurisë së të ardhurave vendore sipas llojit të burimit të tyre, u vu re se pas ngadalësimit ekonomik gjatë vitit 2020, në vitin 2021 u rikthye trendi rritës i realizimit të këtyre burimeve për njësitë e vetëqeverisjes vendore dhe në vitin 2022 vazhdoi rritja e të ardhurave vendore në të gjithë  llojet e tyre sipas burimit. Kjo reflektohet edhe në grafikun e mëposhtëm, ku konstatohet një rritje me rreth 1.45 miliard lekë i të ardhurave të NJVQV-ve në total, ku “Taksa mbi pasurinë e paluajtshme” ka një rritje me rreth 0.4%, “Tarifat e shërbimeve vendore” kanë një rritje me rreth 13%, “Taksa e ndikimit në infrastrukturë” ka një rritje me rreth 7%, “Të ardhura të tjera vendore” gjithashtu rritje me rreth 1.5%. Një ecuri pozitive e të ardhurave fiskale vendore ka ndikim të drejtëpërdrejtë në përmirësimin e eficiencës së shërbimeve vendore</w:t>
      </w:r>
      <w:r w:rsidR="00D80BC1">
        <w:rPr>
          <w:rFonts w:eastAsia="SimSun" w:cs="Calibri"/>
          <w:szCs w:val="18"/>
          <w:lang w:val="sq-AL"/>
        </w:rPr>
        <w:t>.</w:t>
      </w:r>
    </w:p>
    <w:p w:rsidR="00D80BC1" w:rsidRPr="00476D2E" w:rsidRDefault="00FE66EC" w:rsidP="00DB0038">
      <w:pPr>
        <w:pStyle w:val="Caption"/>
        <w:spacing w:after="0"/>
      </w:pPr>
      <w:bookmarkStart w:id="171" w:name="_Toc136526487"/>
      <w:r>
        <w:t xml:space="preserve">Grafiku </w:t>
      </w:r>
      <w:fldSimple w:instr=" SEQ Grafiku \* ARABIC ">
        <w:r w:rsidR="008C3E07">
          <w:rPr>
            <w:noProof/>
          </w:rPr>
          <w:t>42</w:t>
        </w:r>
      </w:fldSimple>
      <w:r>
        <w:t xml:space="preserve"> </w:t>
      </w:r>
      <w:r w:rsidR="00D80BC1" w:rsidRPr="00476D2E">
        <w:rPr>
          <w:rFonts w:cs="Calibri"/>
          <w:i w:val="0"/>
          <w:iCs w:val="0"/>
          <w:lang w:val="sq-AL"/>
        </w:rPr>
        <w:t>Të ardhurat e veta të pushtetit vendor sipas burimit në vite</w:t>
      </w:r>
      <w:bookmarkEnd w:id="171"/>
    </w:p>
    <w:p w:rsidR="00D80BC1" w:rsidRPr="00692262" w:rsidRDefault="00DB0038" w:rsidP="00DB0038">
      <w:pPr>
        <w:spacing w:before="0" w:line="240" w:lineRule="auto"/>
        <w:jc w:val="center"/>
        <w:rPr>
          <w:rFonts w:eastAsia="SimSun" w:cs="Calibri"/>
          <w:szCs w:val="18"/>
          <w:lang w:val="sq-AL"/>
        </w:rPr>
      </w:pPr>
      <w:r>
        <w:rPr>
          <w:noProof/>
        </w:rPr>
        <w:drawing>
          <wp:inline distT="0" distB="0" distL="0" distR="0" wp14:anchorId="46A0FE15" wp14:editId="29403B81">
            <wp:extent cx="6515100" cy="2790092"/>
            <wp:effectExtent l="0" t="0" r="0" b="0"/>
            <wp:docPr id="54" name="Chart 1">
              <a:extLst xmlns:a="http://schemas.openxmlformats.org/drawingml/2006/main">
                <a:ext uri="{FF2B5EF4-FFF2-40B4-BE49-F238E27FC236}">
                  <a16:creationId xmlns:a16="http://schemas.microsoft.com/office/drawing/2014/main" id="{B9FBBA97-D725-4C8C-A8C7-BAB1EC46E05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D80BC1" w:rsidRPr="00476D2E" w:rsidRDefault="00153CD6" w:rsidP="00153CD6">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392522" w:rsidRDefault="00392522" w:rsidP="00095B84">
      <w:pPr>
        <w:spacing w:before="0" w:line="240" w:lineRule="auto"/>
        <w:rPr>
          <w:rFonts w:eastAsia="MS Mincho" w:cs="Calibri"/>
          <w:lang w:val="sq-AL"/>
        </w:rPr>
      </w:pPr>
    </w:p>
    <w:p w:rsidR="00D80BC1" w:rsidRDefault="0086688C" w:rsidP="00095B84">
      <w:pPr>
        <w:spacing w:before="0" w:line="240" w:lineRule="auto"/>
        <w:rPr>
          <w:rFonts w:eastAsia="MS Mincho" w:cs="Calibri"/>
          <w:lang w:val="sq-AL"/>
        </w:rPr>
      </w:pPr>
      <w:r w:rsidRPr="000D1363">
        <w:rPr>
          <w:rFonts w:eastAsia="MS Mincho" w:cs="Calibri"/>
          <w:lang w:val="sq-AL"/>
        </w:rPr>
        <w:t>Ndër vite të ardhurat e pushtetit vendor kanë pësuar ndryshime si në vlerë ashtu edhe në strukturën e burimit të këtyre të ardhurave</w:t>
      </w:r>
      <w:r w:rsidR="00D80BC1" w:rsidRPr="00033436">
        <w:rPr>
          <w:rFonts w:eastAsia="MS Mincho" w:cs="Calibri"/>
          <w:lang w:val="sq-AL"/>
        </w:rPr>
        <w:t xml:space="preserve">. </w:t>
      </w:r>
    </w:p>
    <w:p w:rsidR="00392522" w:rsidRPr="00033436" w:rsidRDefault="00392522" w:rsidP="00095B84">
      <w:pPr>
        <w:spacing w:before="0" w:line="240" w:lineRule="auto"/>
        <w:rPr>
          <w:rFonts w:eastAsia="MS Mincho" w:cs="Calibri"/>
          <w:lang w:val="sq-AL"/>
        </w:rPr>
      </w:pPr>
    </w:p>
    <w:p w:rsidR="00D80BC1" w:rsidRPr="00E0365D" w:rsidRDefault="00D80BC1" w:rsidP="00FC729E">
      <w:pPr>
        <w:rPr>
          <w:rFonts w:eastAsia="MS Mincho" w:cs="Calibri"/>
          <w:i/>
          <w:u w:val="single"/>
          <w:lang w:val="sq-AL"/>
        </w:rPr>
      </w:pPr>
      <w:r w:rsidRPr="00E0365D">
        <w:rPr>
          <w:rFonts w:eastAsia="MS Mincho" w:cs="Calibri"/>
          <w:i/>
          <w:u w:val="single"/>
          <w:lang w:val="sq-AL"/>
        </w:rPr>
        <w:t xml:space="preserve">Taksa mbi pasurinë </w:t>
      </w:r>
    </w:p>
    <w:p w:rsidR="00D80BC1" w:rsidRDefault="00D80BC1" w:rsidP="0086688C">
      <w:pPr>
        <w:spacing w:line="240" w:lineRule="auto"/>
        <w:rPr>
          <w:rFonts w:eastAsia="MS Mincho" w:cs="Calibri"/>
          <w:lang w:val="sq-AL"/>
        </w:rPr>
      </w:pPr>
      <w:r w:rsidRPr="00E0365D">
        <w:rPr>
          <w:rFonts w:eastAsia="MS Mincho" w:cs="Calibri"/>
          <w:lang w:val="sq-AL"/>
        </w:rPr>
        <w:t xml:space="preserve">Taksa mbi pasurinë, </w:t>
      </w:r>
      <w:r w:rsidR="0086688C" w:rsidRPr="000D1363">
        <w:rPr>
          <w:rFonts w:eastAsia="MS Mincho" w:cs="Calibri"/>
          <w:lang w:val="sq-AL"/>
        </w:rPr>
        <w:t>është një burim mjaft i rëndësishëm vendor përmes së cilës njësitë e vetëqeverisjes vendore mund të zhvillojnë politika vendore nën diskrecionin e plotë të përdorimit. Vitet e fundit në politikat qeveritare, hartimi i metodologjisë së vendosjes së kësaj takse në bazë vlere, por dhe ndërtimi i një kadastre të detajuar mbi pronën, përbëjnë thelbin e reformës, për këtë burim financimi të njësive të vetëqeverisjes vendore. Duke ju referuar të dhënave të treguesve fiskalë në vite, duke filluar nga viti 2014 e në vazhdim kjo taksë ka patur trend rritës, duke zënë rreth 22.2% të peshës së të ardhurave tatimore në vitin 2022, ndërkohë që në raport me një vit më parë janë mbledhur 22 milion lekë më shumë</w:t>
      </w:r>
      <w:r w:rsidRPr="00E0365D">
        <w:rPr>
          <w:rFonts w:eastAsia="MS Mincho" w:cs="Calibri"/>
          <w:lang w:val="sq-AL"/>
        </w:rPr>
        <w:t>.</w:t>
      </w:r>
    </w:p>
    <w:p w:rsidR="00D80BC1" w:rsidRPr="00E0365D" w:rsidRDefault="00D80BC1" w:rsidP="00FC729E">
      <w:pPr>
        <w:rPr>
          <w:rFonts w:eastAsia="MS Mincho" w:cs="Calibri"/>
          <w:i/>
          <w:u w:val="single"/>
          <w:lang w:val="sq-AL"/>
        </w:rPr>
      </w:pPr>
      <w:r w:rsidRPr="00E0365D">
        <w:rPr>
          <w:rFonts w:eastAsia="MS Mincho" w:cs="Calibri"/>
          <w:i/>
          <w:u w:val="single"/>
          <w:lang w:val="sq-AL"/>
        </w:rPr>
        <w:t>Taksa e Biznesit të vogël</w:t>
      </w:r>
    </w:p>
    <w:p w:rsidR="00D80BC1" w:rsidRDefault="00D80BC1" w:rsidP="0086688C">
      <w:pPr>
        <w:spacing w:line="240" w:lineRule="auto"/>
        <w:rPr>
          <w:rFonts w:eastAsia="MS Mincho" w:cs="Calibri"/>
          <w:lang w:val="sq-AL"/>
        </w:rPr>
      </w:pPr>
      <w:r w:rsidRPr="00E0365D">
        <w:rPr>
          <w:rFonts w:eastAsia="MS Mincho" w:cs="Calibri"/>
          <w:lang w:val="sq-AL"/>
        </w:rPr>
        <w:t xml:space="preserve">Tatimi mbi biznesin e vogël </w:t>
      </w:r>
      <w:r w:rsidR="0086688C" w:rsidRPr="000D1363">
        <w:rPr>
          <w:rFonts w:eastAsia="MS Mincho" w:cs="Calibri"/>
          <w:lang w:val="sq-AL"/>
        </w:rPr>
        <w:t>në vite si pasojë e ndryshimeve fiskale, ka patur një rënie në peshën që zë në buxhetin vendor. Taksa mbi biznesin e vogël pas ndryshimeve fiskale ligjore më të fundit, është bërë zero (</w:t>
      </w:r>
      <w:r w:rsidR="0086688C" w:rsidRPr="000D1363">
        <w:rPr>
          <w:rFonts w:eastAsia="MS Mincho" w:cs="Calibri"/>
          <w:sz w:val="20"/>
          <w:szCs w:val="22"/>
          <w:lang w:val="sq-AL"/>
        </w:rPr>
        <w:t>ligji nr.112/2020 “Për disa ndryshime në ligjin nr. 9632, datë 30.10.2006, “Për sistemin e taksave vendore”, të ndryshuar”</w:t>
      </w:r>
      <w:r w:rsidR="0086688C" w:rsidRPr="000D1363">
        <w:rPr>
          <w:rFonts w:eastAsia="MS Mincho" w:cs="Calibri"/>
          <w:lang w:val="sq-AL"/>
        </w:rPr>
        <w:t>). Nga realizimi faktik gjatë vitit 2022, rezulton se nga ky zë janë mbledhur rreth 72 milion lekë, që përbëjnë vetëm 0.26% të totalit të burimeve tatimore të pushtetit vendor, të cilat përfaqësojnë detyrime të paguara me vonesë</w:t>
      </w:r>
      <w:r w:rsidRPr="00E0365D">
        <w:rPr>
          <w:rFonts w:eastAsia="MS Mincho" w:cs="Calibri"/>
          <w:lang w:val="sq-AL"/>
        </w:rPr>
        <w:t>.</w:t>
      </w:r>
    </w:p>
    <w:p w:rsidR="001F3D1A" w:rsidRDefault="001F3D1A" w:rsidP="0086688C">
      <w:pPr>
        <w:spacing w:line="240" w:lineRule="auto"/>
        <w:rPr>
          <w:rFonts w:eastAsia="MS Mincho" w:cs="Calibri"/>
          <w:lang w:val="sq-AL"/>
        </w:rPr>
      </w:pPr>
    </w:p>
    <w:p w:rsidR="00D80BC1" w:rsidRPr="002F029D" w:rsidRDefault="00D80BC1" w:rsidP="00FC729E">
      <w:pPr>
        <w:rPr>
          <w:rFonts w:eastAsia="MS Mincho" w:cs="Calibri"/>
          <w:i/>
          <w:u w:val="single"/>
          <w:lang w:val="sq-AL"/>
        </w:rPr>
      </w:pPr>
      <w:r w:rsidRPr="002F029D">
        <w:rPr>
          <w:rFonts w:eastAsia="MS Mincho" w:cs="Calibri"/>
          <w:i/>
          <w:u w:val="single"/>
          <w:lang w:val="sq-AL"/>
        </w:rPr>
        <w:lastRenderedPageBreak/>
        <w:t>Taksat Lokale</w:t>
      </w:r>
    </w:p>
    <w:p w:rsidR="00D80BC1" w:rsidRDefault="0086688C" w:rsidP="0086688C">
      <w:pPr>
        <w:spacing w:line="240" w:lineRule="auto"/>
        <w:rPr>
          <w:rFonts w:eastAsia="MS Mincho" w:cs="Calibri"/>
          <w:lang w:val="sq-AL"/>
        </w:rPr>
      </w:pPr>
      <w:r>
        <w:rPr>
          <w:rFonts w:eastAsia="MS Mincho" w:cs="Calibri"/>
          <w:lang w:val="sq-AL"/>
        </w:rPr>
        <w:t xml:space="preserve">Ato </w:t>
      </w:r>
      <w:r w:rsidRPr="000D1363">
        <w:rPr>
          <w:rFonts w:eastAsia="MS Mincho" w:cs="Calibri"/>
          <w:lang w:val="sq-AL"/>
        </w:rPr>
        <w:t xml:space="preserve">janë një ndër burimet më të rëndësishme të financimit të njësive të vetëqeverisjes vendore. Rritja e të ardhurave nga taksa lokale gjithmonë e më shumë po dëshmon konsolidimin në këndvështimin financiar të njësive të vetëqeverisjes vendore. Në total për vitin 2022, të ardhurat nga taksat lokale zënë rreth 77.5% të të ardhurave të veta vendore, të cilat  gjatë këtij viti kanë arritur në masën rreth 21.4 miliard lekë, ose rreth 1,262 milion lekë më shumë se një vit më parë. Kjo rritje me rreth 6.3% kundrejt vitit paraardhës, tregon njëkohësisht vazhdimin e rimëkëmbjes së e situatës ekonomike pas vështirësive të krijuara dhe gjithashtu rolin e rëndësishëm që kanë patur njësitë e vetëqeverisjes vendore në përballimin me sukses të situatës. Burimi që zë peshën më të madhe në të ardhurat nga taksat lokale është </w:t>
      </w:r>
      <w:r w:rsidRPr="000D1363">
        <w:rPr>
          <w:rFonts w:eastAsia="MS Mincho" w:cs="Calibri"/>
          <w:i/>
          <w:lang w:val="sq-AL"/>
        </w:rPr>
        <w:t>taksa e ndikimit në infrastrukturë nga ndërtimet e reja</w:t>
      </w:r>
      <w:r w:rsidRPr="000D1363">
        <w:rPr>
          <w:rFonts w:eastAsia="MS Mincho" w:cs="Calibri"/>
          <w:lang w:val="sq-AL"/>
        </w:rPr>
        <w:t>, me rreth 47.3% të totalit të taksave lokale ose me rreth 36.7% të totalit të të ardhurave</w:t>
      </w:r>
      <w:r w:rsidR="00D80BC1" w:rsidRPr="00E0365D">
        <w:rPr>
          <w:rFonts w:eastAsia="MS Mincho" w:cs="Calibri"/>
          <w:lang w:val="sq-AL"/>
        </w:rPr>
        <w:t>.</w:t>
      </w:r>
    </w:p>
    <w:p w:rsidR="007E0F26" w:rsidRDefault="0086688C" w:rsidP="0086688C">
      <w:pPr>
        <w:spacing w:line="240" w:lineRule="auto"/>
        <w:rPr>
          <w:rFonts w:eastAsia="MS Mincho" w:cs="Calibri"/>
          <w:lang w:val="sq-AL"/>
        </w:rPr>
      </w:pPr>
      <w:r w:rsidRPr="000D1363">
        <w:rPr>
          <w:rFonts w:eastAsia="MS Mincho" w:cs="Calibri"/>
          <w:lang w:val="sq-AL"/>
        </w:rPr>
        <w:t>Të tjera taksa që zënë peshë të madhe në të ardhurat</w:t>
      </w:r>
      <w:r w:rsidRPr="000D1363">
        <w:rPr>
          <w:rFonts w:eastAsia="MS Mincho" w:cs="Calibri"/>
          <w:i/>
          <w:lang w:val="sq-AL"/>
        </w:rPr>
        <w:t xml:space="preserve"> </w:t>
      </w:r>
      <w:r w:rsidRPr="000D1363">
        <w:rPr>
          <w:rFonts w:eastAsia="MS Mincho" w:cs="Calibri"/>
          <w:iCs/>
          <w:lang w:val="sq-AL"/>
        </w:rPr>
        <w:t>tatimore vendore janë</w:t>
      </w:r>
      <w:r w:rsidRPr="000D1363">
        <w:rPr>
          <w:rFonts w:eastAsia="MS Mincho" w:cs="Calibri"/>
          <w:i/>
          <w:lang w:val="sq-AL"/>
        </w:rPr>
        <w:t xml:space="preserve"> taksa e ndërtesës</w:t>
      </w:r>
      <w:r w:rsidRPr="000D1363">
        <w:rPr>
          <w:rFonts w:eastAsia="MS Mincho" w:cs="Calibri"/>
          <w:lang w:val="sq-AL"/>
        </w:rPr>
        <w:t xml:space="preserve"> dhe </w:t>
      </w:r>
      <w:r w:rsidRPr="000D1363">
        <w:rPr>
          <w:rFonts w:eastAsia="MS Mincho" w:cs="Calibri"/>
          <w:i/>
          <w:lang w:val="sq-AL"/>
        </w:rPr>
        <w:t>tarifat e pastrimit</w:t>
      </w:r>
      <w:r w:rsidRPr="000D1363">
        <w:rPr>
          <w:rFonts w:eastAsia="MS Mincho" w:cs="Calibri"/>
          <w:lang w:val="sq-AL"/>
        </w:rPr>
        <w:t>, me përkatësisht 16.3% dhe 16.7% të totalit të të ardhurave të pushtetit vendor</w:t>
      </w:r>
      <w:r w:rsidR="00E0365D">
        <w:rPr>
          <w:rFonts w:eastAsia="MS Mincho" w:cs="Calibri"/>
          <w:lang w:val="sq-AL"/>
        </w:rPr>
        <w:t>.</w:t>
      </w:r>
    </w:p>
    <w:p w:rsidR="00316AE2" w:rsidRDefault="00316AE2" w:rsidP="00FC729E"/>
    <w:p w:rsidR="001F3D1A" w:rsidRDefault="001F3D1A" w:rsidP="00FC729E"/>
    <w:p w:rsidR="002C4FAF" w:rsidRPr="00476D2E" w:rsidRDefault="002C4FAF" w:rsidP="00FC729E">
      <w:pPr>
        <w:pStyle w:val="Fiskale2"/>
        <w:rPr>
          <w:rFonts w:ascii="Calibri" w:hAnsi="Calibri" w:cs="Calibri"/>
        </w:rPr>
      </w:pPr>
      <w:bookmarkStart w:id="172" w:name="_Toc104980340"/>
      <w:r w:rsidRPr="00476D2E">
        <w:rPr>
          <w:rFonts w:ascii="Calibri" w:hAnsi="Calibri" w:cs="Calibri"/>
        </w:rPr>
        <w:t xml:space="preserve">Shpenzimet e </w:t>
      </w:r>
      <w:r w:rsidR="0052551F" w:rsidRPr="00476D2E">
        <w:rPr>
          <w:rFonts w:ascii="Calibri" w:hAnsi="Calibri" w:cs="Calibri"/>
        </w:rPr>
        <w:t>n</w:t>
      </w:r>
      <w:r w:rsidRPr="00476D2E">
        <w:rPr>
          <w:rFonts w:ascii="Calibri" w:hAnsi="Calibri" w:cs="Calibri"/>
        </w:rPr>
        <w:t xml:space="preserve">jësive të </w:t>
      </w:r>
      <w:r w:rsidR="0052551F" w:rsidRPr="00476D2E">
        <w:rPr>
          <w:rFonts w:ascii="Calibri" w:hAnsi="Calibri" w:cs="Calibri"/>
        </w:rPr>
        <w:t>v</w:t>
      </w:r>
      <w:r w:rsidRPr="00476D2E">
        <w:rPr>
          <w:rFonts w:ascii="Calibri" w:hAnsi="Calibri" w:cs="Calibri"/>
        </w:rPr>
        <w:t xml:space="preserve">etëqeverisjes </w:t>
      </w:r>
      <w:r w:rsidR="0052551F" w:rsidRPr="00476D2E">
        <w:rPr>
          <w:rFonts w:ascii="Calibri" w:hAnsi="Calibri" w:cs="Calibri"/>
        </w:rPr>
        <w:t>v</w:t>
      </w:r>
      <w:r w:rsidRPr="00476D2E">
        <w:rPr>
          <w:rFonts w:ascii="Calibri" w:hAnsi="Calibri" w:cs="Calibri"/>
        </w:rPr>
        <w:t>endore</w:t>
      </w:r>
      <w:bookmarkEnd w:id="172"/>
      <w:r w:rsidRPr="00476D2E">
        <w:rPr>
          <w:rFonts w:ascii="Calibri" w:hAnsi="Calibri" w:cs="Calibri"/>
        </w:rPr>
        <w:t xml:space="preserve"> </w:t>
      </w:r>
    </w:p>
    <w:p w:rsidR="000C27BF" w:rsidRDefault="0086688C" w:rsidP="0086688C">
      <w:pPr>
        <w:spacing w:before="0" w:line="240" w:lineRule="auto"/>
        <w:rPr>
          <w:rFonts w:eastAsia="SimSun" w:cs="Calibri"/>
          <w:lang w:val="sq-AL"/>
        </w:rPr>
      </w:pPr>
      <w:r w:rsidRPr="000D1363">
        <w:rPr>
          <w:rFonts w:eastAsia="SimSun" w:cs="Calibri"/>
          <w:lang w:val="sq-AL"/>
        </w:rPr>
        <w:t xml:space="preserve">Niveli i shpenzimeve për pushtetin vendor për vitin 2022, arriti në masën rreth 58.7 miliard lekë, nga 52.6 miliard lekë një vit më parë. Kjo do të thotë një rritje prej rreth 12 përqind në krahasim me shpenzimet vendore të vitit 2021, dhe në raport me PBB-në një rritje të lehtë prej 0.07%. Gjatë vitit 2022 mund të themi se luhatjet e ardhura nga efektet e pandemisë COVID-19 dhe pasojat e tërmetit të ndjekura nga procesi i rindërtimit, tashmë janë stabilizuar në shpenzimet e pushtetit vendor. Proceset e menaxhimit financiar publik në nivel vendor, vazhduan në trendin pozitiv, gjë që dëshmohet edhe nga rritja 12% nga viti i mëparshëm. </w:t>
      </w:r>
      <w:r w:rsidRPr="000D1363">
        <w:rPr>
          <w:rFonts w:eastAsia="MS Mincho" w:cs="Calibri"/>
          <w:lang w:val="sq-AL"/>
        </w:rPr>
        <w:t>Në raport me Produktin e Brendshëm Bruto dhe me shpenzimet e përgjithshme publike, paraqiten në grafikun e mëposhtëm. Gjatë vitit 2022, shpenzimet e pushtetit vendor, në raport me Produktin e Brendshëm Bruto janë 2.85 % nga 2.78 % që ishin në vitin 2021, dhe në raport me shpenzimet e përgjithshme publike janë 9.02 % nga 8.82 % që ishin në vitin 2021</w:t>
      </w:r>
      <w:r w:rsidR="000C27BF">
        <w:rPr>
          <w:rFonts w:eastAsia="SimSun" w:cs="Calibri"/>
          <w:lang w:val="sq-AL"/>
        </w:rPr>
        <w:t>:</w:t>
      </w:r>
    </w:p>
    <w:p w:rsidR="000C27BF" w:rsidRPr="00FE66EC" w:rsidRDefault="00FE66EC" w:rsidP="0086688C">
      <w:pPr>
        <w:pStyle w:val="Caption"/>
        <w:spacing w:after="0"/>
      </w:pPr>
      <w:bookmarkStart w:id="173" w:name="_Toc136526488"/>
      <w:r w:rsidRPr="00DC30B2">
        <w:t xml:space="preserve">Grafiku </w:t>
      </w:r>
      <w:fldSimple w:instr=" SEQ Grafiku \* ARABIC ">
        <w:r w:rsidR="008C3E07">
          <w:rPr>
            <w:noProof/>
          </w:rPr>
          <w:t>43</w:t>
        </w:r>
      </w:fldSimple>
      <w:r w:rsidRPr="00DC30B2">
        <w:t xml:space="preserve"> </w:t>
      </w:r>
      <w:r w:rsidR="000C27BF" w:rsidRPr="00DC30B2">
        <w:rPr>
          <w:rFonts w:cs="Calibri"/>
          <w:lang w:val="sq-AL"/>
        </w:rPr>
        <w:t xml:space="preserve">Shpenzimet e buxhetit vendor </w:t>
      </w:r>
      <w:r w:rsidR="00DC30B2" w:rsidRPr="00DC30B2">
        <w:rPr>
          <w:rFonts w:cs="Calibri"/>
          <w:lang w:val="sq-AL"/>
        </w:rPr>
        <w:t>ndaj PBB,</w:t>
      </w:r>
      <w:r w:rsidR="000C27BF" w:rsidRPr="00DC30B2">
        <w:rPr>
          <w:rFonts w:cs="Calibri"/>
          <w:lang w:val="sq-AL"/>
        </w:rPr>
        <w:t xml:space="preserve"> në vite</w:t>
      </w:r>
      <w:bookmarkEnd w:id="173"/>
    </w:p>
    <w:p w:rsidR="000C27BF" w:rsidRPr="00A059B8" w:rsidRDefault="0012563B" w:rsidP="00FC729E">
      <w:pPr>
        <w:spacing w:before="0"/>
        <w:jc w:val="center"/>
        <w:rPr>
          <w:rFonts w:eastAsia="MS Mincho" w:cs="Calibri"/>
          <w:color w:val="FF0000"/>
          <w:lang w:val="sq-AL"/>
        </w:rPr>
      </w:pPr>
      <w:r>
        <w:rPr>
          <w:noProof/>
        </w:rPr>
        <w:drawing>
          <wp:inline distT="0" distB="0" distL="0" distR="0" wp14:anchorId="20378F78" wp14:editId="0E87ACA3">
            <wp:extent cx="6367145" cy="2543908"/>
            <wp:effectExtent l="0" t="0" r="0" b="8890"/>
            <wp:docPr id="67" name="Chart 1">
              <a:extLst xmlns:a="http://schemas.openxmlformats.org/drawingml/2006/main">
                <a:ext uri="{FF2B5EF4-FFF2-40B4-BE49-F238E27FC236}">
                  <a16:creationId xmlns:a16="http://schemas.microsoft.com/office/drawing/2014/main" id="{EDC1576B-5B2F-4517-A297-C935474642B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C244E2" w:rsidRDefault="00153CD6" w:rsidP="00C244E2">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12563B" w:rsidRPr="00C244E2" w:rsidRDefault="0012563B" w:rsidP="00C244E2">
      <w:pPr>
        <w:spacing w:before="0" w:line="240" w:lineRule="auto"/>
        <w:rPr>
          <w:rFonts w:eastAsia="SimSun" w:cs="Calibri"/>
          <w:sz w:val="18"/>
          <w:szCs w:val="18"/>
          <w:lang w:val="sq-AL"/>
        </w:rPr>
      </w:pPr>
      <w:r w:rsidRPr="00C244E2">
        <w:rPr>
          <w:rFonts w:eastAsia="SimSun" w:cs="Calibri"/>
          <w:iCs/>
          <w:lang w:val="sq-AL"/>
        </w:rPr>
        <w:t>Në raport me vitin 2021, pushteti vendor gjatë vitit 2022, ka një rritje rreth 12% të shpenzimeve faktike, të cilat janë realizuar në vlerën 58.7 miliard lekë. Grafikisht ecuria e këtyre shpenzimeve në vite dhe raporti i ndryshimit të tyre kundrejt vitit paraardhës, paraqitet si më poshtë:</w:t>
      </w:r>
    </w:p>
    <w:p w:rsidR="000C27BF" w:rsidRPr="00476D2E" w:rsidRDefault="000C27BF" w:rsidP="00FC729E">
      <w:pPr>
        <w:pStyle w:val="Caption"/>
        <w:keepNext/>
        <w:spacing w:after="0"/>
        <w:rPr>
          <w:rFonts w:cs="Calibri"/>
          <w:lang w:val="sq-AL"/>
        </w:rPr>
      </w:pPr>
      <w:bookmarkStart w:id="174" w:name="_Toc136526489"/>
      <w:r w:rsidRPr="00476D2E">
        <w:rPr>
          <w:rFonts w:cs="Calibri"/>
          <w:lang w:val="sq-AL"/>
        </w:rPr>
        <w:lastRenderedPageBreak/>
        <w:t xml:space="preserve">Grafiku </w:t>
      </w:r>
      <w:r w:rsidRPr="00476D2E">
        <w:rPr>
          <w:rFonts w:cs="Calibri"/>
          <w:lang w:val="sq-AL"/>
        </w:rPr>
        <w:fldChar w:fldCharType="begin"/>
      </w:r>
      <w:r w:rsidRPr="00476D2E">
        <w:rPr>
          <w:rFonts w:cs="Calibri"/>
          <w:lang w:val="sq-AL"/>
        </w:rPr>
        <w:instrText xml:space="preserve"> SEQ Grafiku \* ARABIC </w:instrText>
      </w:r>
      <w:r w:rsidRPr="00476D2E">
        <w:rPr>
          <w:rFonts w:cs="Calibri"/>
          <w:lang w:val="sq-AL"/>
        </w:rPr>
        <w:fldChar w:fldCharType="separate"/>
      </w:r>
      <w:r w:rsidR="008C3E07">
        <w:rPr>
          <w:rFonts w:cs="Calibri"/>
          <w:noProof/>
          <w:lang w:val="sq-AL"/>
        </w:rPr>
        <w:t>44</w:t>
      </w:r>
      <w:r w:rsidRPr="00476D2E">
        <w:rPr>
          <w:rFonts w:cs="Calibri"/>
          <w:lang w:val="sq-AL"/>
        </w:rPr>
        <w:fldChar w:fldCharType="end"/>
      </w:r>
      <w:r w:rsidRPr="00476D2E">
        <w:rPr>
          <w:rFonts w:cs="Calibri"/>
          <w:lang w:val="sq-AL"/>
        </w:rPr>
        <w:t xml:space="preserve"> Shpenzimet e pushtetit vendor në </w:t>
      </w:r>
      <w:r w:rsidR="007D4685">
        <w:rPr>
          <w:rFonts w:cs="Calibri"/>
          <w:lang w:val="sq-AL"/>
        </w:rPr>
        <w:t>vite</w:t>
      </w:r>
      <w:r w:rsidRPr="00476D2E">
        <w:rPr>
          <w:rFonts w:cs="Calibri"/>
          <w:lang w:val="sq-AL"/>
        </w:rPr>
        <w:t xml:space="preserve"> dhe ritmi i rritjes së tyre (në miliardë lekë)</w:t>
      </w:r>
      <w:bookmarkEnd w:id="174"/>
    </w:p>
    <w:p w:rsidR="000C27BF" w:rsidRPr="00476D2E" w:rsidRDefault="0012563B" w:rsidP="00FC729E">
      <w:pPr>
        <w:spacing w:before="0"/>
        <w:jc w:val="center"/>
        <w:rPr>
          <w:rFonts w:eastAsia="SimSun" w:cs="Calibri"/>
          <w:lang w:val="sq-AL"/>
        </w:rPr>
      </w:pPr>
      <w:r>
        <w:rPr>
          <w:noProof/>
        </w:rPr>
        <w:drawing>
          <wp:inline distT="0" distB="0" distL="0" distR="0" wp14:anchorId="05F6ABFB" wp14:editId="63306997">
            <wp:extent cx="6348730" cy="2215515"/>
            <wp:effectExtent l="0" t="0" r="0" b="0"/>
            <wp:docPr id="69" name="Chart 1">
              <a:extLst xmlns:a="http://schemas.openxmlformats.org/drawingml/2006/main">
                <a:ext uri="{FF2B5EF4-FFF2-40B4-BE49-F238E27FC236}">
                  <a16:creationId xmlns:a16="http://schemas.microsoft.com/office/drawing/2014/main" id="{48AE6C4A-ADED-478D-A4F3-F74584F165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0C27BF" w:rsidRDefault="00153CD6" w:rsidP="00153CD6">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r w:rsidR="000C27BF" w:rsidRPr="00476D2E">
        <w:rPr>
          <w:rFonts w:eastAsia="SimSun" w:cs="Calibri"/>
          <w:i/>
          <w:sz w:val="18"/>
          <w:szCs w:val="18"/>
          <w:lang w:val="sq-AL"/>
        </w:rPr>
        <w:t xml:space="preserve"> </w:t>
      </w:r>
    </w:p>
    <w:p w:rsidR="000C27BF" w:rsidRPr="006C5937" w:rsidRDefault="0012563B" w:rsidP="0012563B">
      <w:pPr>
        <w:spacing w:line="240" w:lineRule="auto"/>
        <w:ind w:right="-43"/>
        <w:rPr>
          <w:rFonts w:eastAsia="MS Mincho" w:cs="Calibri"/>
          <w:lang w:val="sq-AL"/>
        </w:rPr>
      </w:pPr>
      <w:bookmarkStart w:id="175" w:name="_Toc515446557"/>
      <w:r w:rsidRPr="000D1363">
        <w:rPr>
          <w:rFonts w:eastAsia="MS Mincho" w:cs="Calibri"/>
          <w:lang w:val="sq-AL"/>
        </w:rPr>
        <w:t>Shpenzimet vendore gjatë vitit 2022 të detajuara sipas natyrës ekonomike, japin një panoramë të tillë: peshën më të madhe të shpenzimeve vendore e zënë shpenzimet e personelit me 43% të totalit. Në raport me një vit më parë konstatohet që të gjitha shpenzimet klasifikuar sipas natyrës ekonomike, kanë pësuar rritje. Shpenzimet për investime kanë një rritje me rreth 631 milion lekë, ndërkohë që shpenzimet e personelit dhe ato operative kanë rritje përkatësisht me 1,092 milion lekë dhe 3.048 milion lekë, krahasuar me shpenzimet e vitit 2021.  Sipas të dhënave në nivel llogarie ekonomike, struktura e shpenzimeve 2022 krahasuar me vitin 2021, rezulton si në grafikun mëposhtë</w:t>
      </w:r>
      <w:r>
        <w:rPr>
          <w:rFonts w:eastAsia="MS Mincho" w:cs="Calibri"/>
          <w:lang w:val="sq-AL"/>
        </w:rPr>
        <w:t>:</w:t>
      </w:r>
      <w:r w:rsidR="000C27BF" w:rsidRPr="006C5937">
        <w:rPr>
          <w:rFonts w:eastAsia="MS Mincho" w:cs="Calibri"/>
          <w:lang w:val="sq-AL"/>
        </w:rPr>
        <w:t xml:space="preserve"> </w:t>
      </w:r>
    </w:p>
    <w:p w:rsidR="000C27BF" w:rsidRPr="00476D2E" w:rsidRDefault="000C27BF" w:rsidP="00FC729E">
      <w:pPr>
        <w:keepNext/>
        <w:rPr>
          <w:rFonts w:eastAsia="MS Mincho" w:cs="Calibri"/>
          <w:iCs/>
          <w:color w:val="1F497D"/>
          <w:sz w:val="18"/>
          <w:szCs w:val="18"/>
          <w:lang w:val="sq-AL"/>
        </w:rPr>
      </w:pPr>
      <w:bookmarkStart w:id="176" w:name="_Toc136526490"/>
      <w:r w:rsidRPr="00476D2E">
        <w:rPr>
          <w:rFonts w:eastAsia="MS Mincho" w:cs="Calibri"/>
          <w:iCs/>
          <w:color w:val="1F497D"/>
          <w:sz w:val="18"/>
          <w:szCs w:val="18"/>
          <w:lang w:val="sq-AL"/>
        </w:rPr>
        <w:t xml:space="preserve">Grafiku </w:t>
      </w:r>
      <w:r w:rsidRPr="00476D2E">
        <w:rPr>
          <w:rFonts w:eastAsia="MS Mincho" w:cs="Calibri"/>
          <w:iCs/>
          <w:color w:val="1F497D"/>
          <w:sz w:val="18"/>
          <w:szCs w:val="18"/>
          <w:lang w:val="sq-AL"/>
        </w:rPr>
        <w:fldChar w:fldCharType="begin"/>
      </w:r>
      <w:r w:rsidRPr="00476D2E">
        <w:rPr>
          <w:rFonts w:eastAsia="MS Mincho" w:cs="Calibri"/>
          <w:iCs/>
          <w:color w:val="1F497D"/>
          <w:sz w:val="18"/>
          <w:szCs w:val="18"/>
          <w:lang w:val="sq-AL"/>
        </w:rPr>
        <w:instrText xml:space="preserve"> SEQ Grafiku \* ARABIC </w:instrText>
      </w:r>
      <w:r w:rsidRPr="00476D2E">
        <w:rPr>
          <w:rFonts w:eastAsia="MS Mincho" w:cs="Calibri"/>
          <w:iCs/>
          <w:color w:val="1F497D"/>
          <w:sz w:val="18"/>
          <w:szCs w:val="18"/>
          <w:lang w:val="sq-AL"/>
        </w:rPr>
        <w:fldChar w:fldCharType="separate"/>
      </w:r>
      <w:r w:rsidR="008C3E07">
        <w:rPr>
          <w:rFonts w:eastAsia="MS Mincho" w:cs="Calibri"/>
          <w:iCs/>
          <w:noProof/>
          <w:color w:val="1F497D"/>
          <w:sz w:val="18"/>
          <w:szCs w:val="18"/>
          <w:lang w:val="sq-AL"/>
        </w:rPr>
        <w:t>45</w:t>
      </w:r>
      <w:r w:rsidRPr="00476D2E">
        <w:rPr>
          <w:rFonts w:eastAsia="MS Mincho" w:cs="Calibri"/>
          <w:iCs/>
          <w:color w:val="1F497D"/>
          <w:sz w:val="18"/>
          <w:szCs w:val="18"/>
          <w:lang w:val="sq-AL"/>
        </w:rPr>
        <w:fldChar w:fldCharType="end"/>
      </w:r>
      <w:r w:rsidRPr="00476D2E">
        <w:rPr>
          <w:rFonts w:eastAsia="MS Mincho" w:cs="Calibri"/>
          <w:iCs/>
          <w:color w:val="1F497D"/>
          <w:sz w:val="18"/>
          <w:szCs w:val="18"/>
          <w:lang w:val="sq-AL"/>
        </w:rPr>
        <w:t xml:space="preserve"> Shpenzimet e pushtetit vendor sipas klasifikimit ekonomik (në milionë lekë)</w:t>
      </w:r>
      <w:bookmarkEnd w:id="176"/>
    </w:p>
    <w:p w:rsidR="000C27BF" w:rsidRPr="00476D2E" w:rsidRDefault="00FC1B2F" w:rsidP="00FC1B2F">
      <w:pPr>
        <w:spacing w:before="0"/>
        <w:jc w:val="center"/>
        <w:rPr>
          <w:rFonts w:eastAsia="MS Mincho" w:cs="Calibri"/>
          <w:lang w:val="sq-AL"/>
        </w:rPr>
      </w:pPr>
      <w:r>
        <w:rPr>
          <w:noProof/>
        </w:rPr>
        <w:drawing>
          <wp:inline distT="0" distB="0" distL="0" distR="0" wp14:anchorId="534FA28A" wp14:editId="311B7C6C">
            <wp:extent cx="6410960" cy="2268415"/>
            <wp:effectExtent l="0" t="0" r="8890" b="0"/>
            <wp:docPr id="8" name="Chart 1">
              <a:extLst xmlns:a="http://schemas.openxmlformats.org/drawingml/2006/main">
                <a:ext uri="{FF2B5EF4-FFF2-40B4-BE49-F238E27FC236}">
                  <a16:creationId xmlns:a16="http://schemas.microsoft.com/office/drawing/2014/main" id="{CF6C9E35-4E06-4FFE-9F83-FF98CCB5B5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0C27BF" w:rsidRDefault="00153CD6" w:rsidP="00153CD6">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0C27BF" w:rsidRDefault="00627D0F" w:rsidP="00627D0F">
      <w:pPr>
        <w:spacing w:line="240" w:lineRule="auto"/>
        <w:ind w:right="-43"/>
        <w:rPr>
          <w:rFonts w:eastAsia="SimSun" w:cs="Calibri"/>
          <w:szCs w:val="18"/>
          <w:lang w:val="sq-AL"/>
        </w:rPr>
      </w:pPr>
      <w:r w:rsidRPr="000D1363">
        <w:rPr>
          <w:rFonts w:eastAsia="SimSun" w:cs="Calibri"/>
          <w:szCs w:val="18"/>
          <w:lang w:val="sq-AL"/>
        </w:rPr>
        <w:t>Pas miratimit të reformës në vitin 2015 është analizuar vazhdimisht ecuria e shpenzimeve vendore sipa natyrës së tyre dhe në raport me shpenzimet para reformës. Në vitet e fundit, p</w:t>
      </w:r>
      <w:r w:rsidRPr="000D1363">
        <w:rPr>
          <w:rFonts w:eastAsia="MS Mincho" w:cs="Calibri"/>
          <w:lang w:val="sq-AL"/>
        </w:rPr>
        <w:t xml:space="preserve">avarësisht situatave të ndryshme, shpenzimet e pushtetit vendor në vite, sipas strukturës, nuk kanë pësuar ndryshime të mëdha, por vihet re një tendencë pozitive e qendrueshmërisë së shpenzimeve për investime dhe zgjerimi i shpenzimeve të mirëmbajtjes së aseteve që njësitë vendore zotërojnë, përmes shpenzimeve operative. </w:t>
      </w:r>
      <w:r w:rsidRPr="000D1363">
        <w:rPr>
          <w:rFonts w:eastAsia="SimSun" w:cs="Calibri"/>
          <w:szCs w:val="18"/>
          <w:lang w:val="sq-AL"/>
        </w:rPr>
        <w:t>Më poshtë janë paraqitur në mënyrë të përmbledhur tabela analitike e ndryshimeve të të ardhurave dhe shpenzimeve në financat publike vendore gjatë vitit 2022 dhe vitit 2021 dhe diferencat mes tyre në vlerë dhe në përqindje</w:t>
      </w:r>
      <w:r w:rsidR="000C27BF">
        <w:rPr>
          <w:rFonts w:eastAsia="SimSun" w:cs="Calibri"/>
          <w:szCs w:val="18"/>
          <w:lang w:val="sq-AL"/>
        </w:rPr>
        <w:t>.</w:t>
      </w:r>
    </w:p>
    <w:p w:rsidR="001F3D1A" w:rsidRDefault="001F3D1A" w:rsidP="00627D0F">
      <w:pPr>
        <w:spacing w:line="240" w:lineRule="auto"/>
        <w:ind w:right="-43"/>
        <w:rPr>
          <w:rFonts w:eastAsia="SimSun" w:cs="Calibri"/>
          <w:szCs w:val="18"/>
          <w:lang w:val="sq-AL"/>
        </w:rPr>
      </w:pPr>
    </w:p>
    <w:p w:rsidR="001F3D1A" w:rsidRDefault="001F3D1A" w:rsidP="00627D0F">
      <w:pPr>
        <w:spacing w:line="240" w:lineRule="auto"/>
        <w:ind w:right="-43"/>
        <w:rPr>
          <w:rFonts w:eastAsia="SimSun" w:cs="Calibri"/>
          <w:szCs w:val="18"/>
          <w:lang w:val="sq-AL"/>
        </w:rPr>
      </w:pPr>
    </w:p>
    <w:p w:rsidR="000C27BF" w:rsidRPr="00276062" w:rsidRDefault="000C27BF" w:rsidP="00FC729E">
      <w:pPr>
        <w:pStyle w:val="Caption"/>
        <w:keepNext/>
        <w:spacing w:after="0"/>
        <w:jc w:val="left"/>
      </w:pPr>
      <w:bookmarkStart w:id="177" w:name="_Toc136526337"/>
      <w:r w:rsidRPr="00276062">
        <w:lastRenderedPageBreak/>
        <w:t xml:space="preserve">Tabela </w:t>
      </w:r>
      <w:fldSimple w:instr=" SEQ Tabela \* ARABIC ">
        <w:r w:rsidR="008C3E07">
          <w:rPr>
            <w:noProof/>
          </w:rPr>
          <w:t>11</w:t>
        </w:r>
      </w:fldSimple>
      <w:r w:rsidRPr="00276062">
        <w:t xml:space="preserve"> Të ardhurat dhe shpenzimet e pushtetit vendor, sipas natyrës</w:t>
      </w:r>
      <w:bookmarkEnd w:id="175"/>
      <w:bookmarkEnd w:id="177"/>
      <w:r w:rsidRPr="00276062">
        <w:t xml:space="preserve"> </w:t>
      </w:r>
    </w:p>
    <w:tbl>
      <w:tblPr>
        <w:tblW w:w="8727" w:type="dxa"/>
        <w:jc w:val="center"/>
        <w:tblBorders>
          <w:top w:val="dotted" w:sz="4" w:space="0" w:color="0F6FC6" w:themeColor="accent1"/>
          <w:left w:val="dotted" w:sz="4" w:space="0" w:color="0F6FC6" w:themeColor="accent1"/>
          <w:bottom w:val="dotted" w:sz="4" w:space="0" w:color="0F6FC6" w:themeColor="accent1"/>
          <w:right w:val="dotted" w:sz="4" w:space="0" w:color="0F6FC6" w:themeColor="accent1"/>
          <w:insideH w:val="dotted" w:sz="4" w:space="0" w:color="0F6FC6" w:themeColor="accent1"/>
          <w:insideV w:val="dotted" w:sz="4" w:space="0" w:color="0F6FC6" w:themeColor="accent1"/>
        </w:tblBorders>
        <w:tblLook w:val="04A0" w:firstRow="1" w:lastRow="0" w:firstColumn="1" w:lastColumn="0" w:noHBand="0" w:noVBand="1"/>
      </w:tblPr>
      <w:tblGrid>
        <w:gridCol w:w="640"/>
        <w:gridCol w:w="3901"/>
        <w:gridCol w:w="1045"/>
        <w:gridCol w:w="1048"/>
        <w:gridCol w:w="1045"/>
        <w:gridCol w:w="1048"/>
      </w:tblGrid>
      <w:tr w:rsidR="0017428F" w:rsidRPr="0017428F" w:rsidTr="0017428F">
        <w:trPr>
          <w:trHeight w:val="385"/>
          <w:jc w:val="center"/>
        </w:trPr>
        <w:tc>
          <w:tcPr>
            <w:tcW w:w="640" w:type="dxa"/>
            <w:vMerge w:val="restart"/>
            <w:shd w:val="clear" w:color="000000" w:fill="C5D9F1"/>
            <w:noWrap/>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theme="minorHAnsi"/>
                <w:b/>
                <w:bCs/>
                <w:color w:val="002060"/>
                <w:sz w:val="16"/>
                <w:szCs w:val="16"/>
              </w:rPr>
              <w:t>Nr</w:t>
            </w:r>
          </w:p>
        </w:tc>
        <w:tc>
          <w:tcPr>
            <w:tcW w:w="3901" w:type="dxa"/>
            <w:vMerge w:val="restart"/>
            <w:shd w:val="clear" w:color="000000" w:fill="C5D9F1"/>
            <w:noWrap/>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theme="minorHAnsi"/>
                <w:b/>
                <w:bCs/>
                <w:color w:val="002060"/>
                <w:sz w:val="16"/>
                <w:szCs w:val="16"/>
              </w:rPr>
              <w:t>E  M  Ë  R  T  I  M  I</w:t>
            </w:r>
          </w:p>
        </w:tc>
        <w:tc>
          <w:tcPr>
            <w:tcW w:w="2093" w:type="dxa"/>
            <w:gridSpan w:val="2"/>
            <w:shd w:val="clear" w:color="000000" w:fill="C5D9F1"/>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theme="minorHAnsi"/>
                <w:b/>
                <w:bCs/>
                <w:color w:val="002060"/>
                <w:sz w:val="16"/>
                <w:szCs w:val="16"/>
              </w:rPr>
              <w:t>Fakt 12 mujori</w:t>
            </w:r>
          </w:p>
        </w:tc>
        <w:tc>
          <w:tcPr>
            <w:tcW w:w="2093" w:type="dxa"/>
            <w:gridSpan w:val="2"/>
            <w:shd w:val="clear" w:color="000000" w:fill="C5D9F1"/>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theme="minorHAnsi"/>
                <w:b/>
                <w:bCs/>
                <w:color w:val="002060"/>
                <w:sz w:val="16"/>
                <w:szCs w:val="16"/>
              </w:rPr>
              <w:t>Diferenca 2022-2021</w:t>
            </w:r>
          </w:p>
        </w:tc>
      </w:tr>
      <w:tr w:rsidR="0017428F" w:rsidRPr="0017428F" w:rsidTr="0017428F">
        <w:trPr>
          <w:trHeight w:val="369"/>
          <w:jc w:val="center"/>
        </w:trPr>
        <w:tc>
          <w:tcPr>
            <w:tcW w:w="640" w:type="dxa"/>
            <w:vMerge/>
            <w:vAlign w:val="center"/>
            <w:hideMark/>
          </w:tcPr>
          <w:p w:rsidR="0017428F" w:rsidRPr="0017428F" w:rsidRDefault="0017428F" w:rsidP="00153CD6">
            <w:pPr>
              <w:spacing w:before="0" w:line="240" w:lineRule="auto"/>
              <w:jc w:val="left"/>
              <w:rPr>
                <w:rFonts w:asciiTheme="majorHAnsi" w:hAnsiTheme="majorHAnsi" w:cstheme="minorHAnsi"/>
                <w:b/>
                <w:bCs/>
                <w:color w:val="002060"/>
                <w:sz w:val="16"/>
                <w:szCs w:val="16"/>
              </w:rPr>
            </w:pPr>
          </w:p>
        </w:tc>
        <w:tc>
          <w:tcPr>
            <w:tcW w:w="3901" w:type="dxa"/>
            <w:vMerge/>
            <w:vAlign w:val="center"/>
            <w:hideMark/>
          </w:tcPr>
          <w:p w:rsidR="0017428F" w:rsidRPr="0017428F" w:rsidRDefault="0017428F" w:rsidP="00153CD6">
            <w:pPr>
              <w:spacing w:before="0" w:line="240" w:lineRule="auto"/>
              <w:jc w:val="left"/>
              <w:rPr>
                <w:rFonts w:asciiTheme="majorHAnsi" w:hAnsiTheme="majorHAnsi" w:cstheme="minorHAnsi"/>
                <w:b/>
                <w:bCs/>
                <w:color w:val="002060"/>
                <w:sz w:val="16"/>
                <w:szCs w:val="16"/>
              </w:rPr>
            </w:pPr>
          </w:p>
        </w:tc>
        <w:tc>
          <w:tcPr>
            <w:tcW w:w="1045" w:type="dxa"/>
            <w:shd w:val="clear" w:color="000000" w:fill="C5D9F1"/>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2022</w:t>
            </w:r>
          </w:p>
        </w:tc>
        <w:tc>
          <w:tcPr>
            <w:tcW w:w="1047" w:type="dxa"/>
            <w:shd w:val="clear" w:color="000000" w:fill="C5D9F1"/>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2021</w:t>
            </w:r>
          </w:p>
        </w:tc>
        <w:tc>
          <w:tcPr>
            <w:tcW w:w="1045" w:type="dxa"/>
            <w:shd w:val="clear" w:color="000000" w:fill="C5D9F1"/>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në vlerë</w:t>
            </w:r>
          </w:p>
        </w:tc>
        <w:tc>
          <w:tcPr>
            <w:tcW w:w="1047" w:type="dxa"/>
            <w:shd w:val="clear" w:color="000000" w:fill="C5D9F1"/>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në %</w:t>
            </w:r>
          </w:p>
        </w:tc>
      </w:tr>
      <w:tr w:rsidR="0017428F" w:rsidRPr="0017428F" w:rsidTr="0017428F">
        <w:trPr>
          <w:trHeight w:val="240"/>
          <w:jc w:val="center"/>
        </w:trPr>
        <w:tc>
          <w:tcPr>
            <w:tcW w:w="640"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theme="minorHAnsi"/>
                <w:b/>
                <w:bCs/>
                <w:color w:val="002060"/>
                <w:sz w:val="16"/>
                <w:szCs w:val="16"/>
              </w:rPr>
              <w:t>I.</w:t>
            </w:r>
          </w:p>
        </w:tc>
        <w:tc>
          <w:tcPr>
            <w:tcW w:w="3901" w:type="dxa"/>
            <w:shd w:val="clear" w:color="auto" w:fill="auto"/>
            <w:noWrap/>
            <w:vAlign w:val="center"/>
            <w:hideMark/>
          </w:tcPr>
          <w:p w:rsidR="0017428F" w:rsidRPr="0017428F" w:rsidRDefault="0017428F" w:rsidP="00153CD6">
            <w:pPr>
              <w:spacing w:before="0" w:line="240" w:lineRule="auto"/>
              <w:jc w:val="left"/>
              <w:rPr>
                <w:rFonts w:asciiTheme="majorHAnsi" w:hAnsiTheme="majorHAnsi" w:cstheme="minorHAnsi"/>
                <w:b/>
                <w:bCs/>
                <w:color w:val="002060"/>
                <w:sz w:val="16"/>
                <w:szCs w:val="16"/>
              </w:rPr>
            </w:pPr>
            <w:r w:rsidRPr="0017428F">
              <w:rPr>
                <w:rFonts w:asciiTheme="majorHAnsi" w:hAnsiTheme="majorHAnsi" w:cstheme="minorHAnsi"/>
                <w:b/>
                <w:bCs/>
                <w:color w:val="002060"/>
                <w:sz w:val="16"/>
                <w:szCs w:val="16"/>
              </w:rPr>
              <w:t>Të ardhura nga Pushteti vendor</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27,638</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26,666</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971</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104%</w:t>
            </w:r>
          </w:p>
        </w:tc>
      </w:tr>
      <w:tr w:rsidR="0017428F" w:rsidRPr="0017428F" w:rsidTr="0017428F">
        <w:trPr>
          <w:trHeight w:val="188"/>
          <w:jc w:val="center"/>
        </w:trPr>
        <w:tc>
          <w:tcPr>
            <w:tcW w:w="640"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theme="minorHAnsi"/>
                <w:color w:val="002060"/>
                <w:sz w:val="16"/>
                <w:szCs w:val="16"/>
              </w:rPr>
              <w:t>I.1</w:t>
            </w:r>
          </w:p>
        </w:tc>
        <w:tc>
          <w:tcPr>
            <w:tcW w:w="3901" w:type="dxa"/>
            <w:shd w:val="clear" w:color="auto" w:fill="auto"/>
            <w:noWrap/>
            <w:vAlign w:val="center"/>
            <w:hideMark/>
          </w:tcPr>
          <w:p w:rsidR="0017428F" w:rsidRPr="0017428F" w:rsidRDefault="0017428F" w:rsidP="00153CD6">
            <w:pPr>
              <w:spacing w:before="0" w:line="240" w:lineRule="auto"/>
              <w:rPr>
                <w:rFonts w:asciiTheme="majorHAnsi" w:hAnsiTheme="majorHAnsi" w:cstheme="minorHAnsi"/>
                <w:i/>
                <w:iCs/>
                <w:color w:val="002060"/>
                <w:sz w:val="16"/>
                <w:szCs w:val="16"/>
              </w:rPr>
            </w:pPr>
            <w:r w:rsidRPr="0017428F">
              <w:rPr>
                <w:rFonts w:asciiTheme="majorHAnsi" w:hAnsiTheme="majorHAnsi" w:cstheme="minorHAnsi"/>
                <w:i/>
                <w:iCs/>
                <w:color w:val="002060"/>
                <w:sz w:val="16"/>
                <w:szCs w:val="16"/>
              </w:rPr>
              <w:t>Taksa mbi pasurinë</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Calibri"/>
                <w:color w:val="002060"/>
                <w:sz w:val="16"/>
                <w:szCs w:val="16"/>
              </w:rPr>
              <w:t>6,138</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Calibri"/>
                <w:color w:val="002060"/>
                <w:sz w:val="16"/>
                <w:szCs w:val="16"/>
              </w:rPr>
              <w:t>6,116</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22</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100%</w:t>
            </w:r>
          </w:p>
        </w:tc>
      </w:tr>
      <w:tr w:rsidR="0017428F" w:rsidRPr="0017428F" w:rsidTr="0017428F">
        <w:trPr>
          <w:trHeight w:val="218"/>
          <w:jc w:val="center"/>
        </w:trPr>
        <w:tc>
          <w:tcPr>
            <w:tcW w:w="640"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theme="minorHAnsi"/>
                <w:color w:val="002060"/>
                <w:sz w:val="16"/>
                <w:szCs w:val="16"/>
              </w:rPr>
              <w:t>I.2</w:t>
            </w:r>
          </w:p>
        </w:tc>
        <w:tc>
          <w:tcPr>
            <w:tcW w:w="3901" w:type="dxa"/>
            <w:shd w:val="clear" w:color="auto" w:fill="auto"/>
            <w:noWrap/>
            <w:vAlign w:val="center"/>
            <w:hideMark/>
          </w:tcPr>
          <w:p w:rsidR="0017428F" w:rsidRPr="0017428F" w:rsidRDefault="0017428F" w:rsidP="00153CD6">
            <w:pPr>
              <w:spacing w:before="0" w:line="240" w:lineRule="auto"/>
              <w:rPr>
                <w:rFonts w:asciiTheme="majorHAnsi" w:hAnsiTheme="majorHAnsi" w:cstheme="minorHAnsi"/>
                <w:i/>
                <w:iCs/>
                <w:color w:val="002060"/>
                <w:sz w:val="16"/>
                <w:szCs w:val="16"/>
                <w:lang w:val="de-DE"/>
              </w:rPr>
            </w:pPr>
            <w:r w:rsidRPr="0017428F">
              <w:rPr>
                <w:rFonts w:asciiTheme="majorHAnsi" w:hAnsiTheme="majorHAnsi" w:cstheme="minorHAnsi"/>
                <w:i/>
                <w:iCs/>
                <w:color w:val="002060"/>
                <w:sz w:val="16"/>
                <w:szCs w:val="16"/>
                <w:lang w:val="de-DE"/>
              </w:rPr>
              <w:t>Taksa e biznesit të vogël</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72</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385</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-313</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19%</w:t>
            </w:r>
          </w:p>
        </w:tc>
      </w:tr>
      <w:tr w:rsidR="0017428F" w:rsidRPr="0017428F" w:rsidTr="0017428F">
        <w:trPr>
          <w:trHeight w:val="269"/>
          <w:jc w:val="center"/>
        </w:trPr>
        <w:tc>
          <w:tcPr>
            <w:tcW w:w="640"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theme="minorHAnsi"/>
                <w:color w:val="002060"/>
                <w:sz w:val="16"/>
                <w:szCs w:val="16"/>
              </w:rPr>
              <w:t>I.3</w:t>
            </w:r>
          </w:p>
        </w:tc>
        <w:tc>
          <w:tcPr>
            <w:tcW w:w="3901" w:type="dxa"/>
            <w:shd w:val="clear" w:color="auto" w:fill="auto"/>
            <w:noWrap/>
            <w:vAlign w:val="center"/>
            <w:hideMark/>
          </w:tcPr>
          <w:p w:rsidR="0017428F" w:rsidRPr="0017428F" w:rsidRDefault="0017428F" w:rsidP="00153CD6">
            <w:pPr>
              <w:spacing w:before="0" w:line="240" w:lineRule="auto"/>
              <w:jc w:val="left"/>
              <w:rPr>
                <w:rFonts w:asciiTheme="majorHAnsi" w:hAnsiTheme="majorHAnsi" w:cstheme="minorHAnsi"/>
                <w:i/>
                <w:iCs/>
                <w:color w:val="002060"/>
                <w:sz w:val="16"/>
                <w:szCs w:val="16"/>
              </w:rPr>
            </w:pPr>
            <w:r w:rsidRPr="0017428F">
              <w:rPr>
                <w:rFonts w:asciiTheme="majorHAnsi" w:hAnsiTheme="majorHAnsi" w:cstheme="minorHAnsi"/>
                <w:i/>
                <w:iCs/>
                <w:color w:val="002060"/>
                <w:sz w:val="16"/>
                <w:szCs w:val="16"/>
              </w:rPr>
              <w:t>Taksa Lokale</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21,428</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20,166</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1,262</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106%</w:t>
            </w:r>
          </w:p>
        </w:tc>
      </w:tr>
      <w:tr w:rsidR="0017428F" w:rsidRPr="0017428F" w:rsidTr="0017428F">
        <w:trPr>
          <w:trHeight w:val="177"/>
          <w:jc w:val="center"/>
        </w:trPr>
        <w:tc>
          <w:tcPr>
            <w:tcW w:w="640"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theme="minorHAnsi"/>
                <w:b/>
                <w:bCs/>
                <w:color w:val="002060"/>
                <w:sz w:val="16"/>
                <w:szCs w:val="16"/>
              </w:rPr>
              <w:t>II.</w:t>
            </w:r>
          </w:p>
        </w:tc>
        <w:tc>
          <w:tcPr>
            <w:tcW w:w="3901" w:type="dxa"/>
            <w:shd w:val="clear" w:color="auto" w:fill="auto"/>
            <w:noWrap/>
            <w:vAlign w:val="center"/>
            <w:hideMark/>
          </w:tcPr>
          <w:p w:rsidR="0017428F" w:rsidRPr="0017428F" w:rsidRDefault="0017428F" w:rsidP="00153CD6">
            <w:pPr>
              <w:spacing w:before="0" w:line="240" w:lineRule="auto"/>
              <w:rPr>
                <w:rFonts w:asciiTheme="majorHAnsi" w:hAnsiTheme="majorHAnsi" w:cstheme="minorHAnsi"/>
                <w:b/>
                <w:bCs/>
                <w:color w:val="002060"/>
                <w:sz w:val="16"/>
                <w:szCs w:val="16"/>
              </w:rPr>
            </w:pPr>
            <w:r w:rsidRPr="0017428F">
              <w:rPr>
                <w:rFonts w:asciiTheme="majorHAnsi" w:hAnsiTheme="majorHAnsi" w:cstheme="minorHAnsi"/>
                <w:b/>
                <w:bCs/>
                <w:color w:val="002060"/>
                <w:sz w:val="16"/>
                <w:szCs w:val="16"/>
              </w:rPr>
              <w:t>Shpenzime nga Pushtetit Vendor</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58,696</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52,593</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6,103</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b/>
                <w:bCs/>
                <w:color w:val="002060"/>
                <w:sz w:val="16"/>
                <w:szCs w:val="16"/>
              </w:rPr>
            </w:pPr>
            <w:r w:rsidRPr="0017428F">
              <w:rPr>
                <w:rFonts w:asciiTheme="majorHAnsi" w:hAnsiTheme="majorHAnsi" w:cs="Calibri"/>
                <w:b/>
                <w:bCs/>
                <w:color w:val="002060"/>
                <w:sz w:val="16"/>
                <w:szCs w:val="16"/>
              </w:rPr>
              <w:t>112%</w:t>
            </w:r>
          </w:p>
        </w:tc>
      </w:tr>
      <w:tr w:rsidR="0017428F" w:rsidRPr="0017428F" w:rsidTr="0017428F">
        <w:trPr>
          <w:trHeight w:val="278"/>
          <w:jc w:val="center"/>
        </w:trPr>
        <w:tc>
          <w:tcPr>
            <w:tcW w:w="640"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theme="minorHAnsi"/>
                <w:color w:val="002060"/>
                <w:sz w:val="16"/>
                <w:szCs w:val="16"/>
              </w:rPr>
              <w:t>II.1</w:t>
            </w:r>
          </w:p>
        </w:tc>
        <w:tc>
          <w:tcPr>
            <w:tcW w:w="3901" w:type="dxa"/>
            <w:shd w:val="clear" w:color="auto" w:fill="auto"/>
            <w:noWrap/>
            <w:vAlign w:val="center"/>
            <w:hideMark/>
          </w:tcPr>
          <w:p w:rsidR="0017428F" w:rsidRPr="0017428F" w:rsidRDefault="0017428F" w:rsidP="00153CD6">
            <w:pPr>
              <w:spacing w:before="0" w:line="240" w:lineRule="auto"/>
              <w:rPr>
                <w:rFonts w:asciiTheme="majorHAnsi" w:hAnsiTheme="majorHAnsi" w:cstheme="minorHAnsi"/>
                <w:b/>
                <w:bCs/>
                <w:i/>
                <w:iCs/>
                <w:color w:val="002060"/>
                <w:sz w:val="16"/>
                <w:szCs w:val="16"/>
              </w:rPr>
            </w:pPr>
            <w:r w:rsidRPr="0017428F">
              <w:rPr>
                <w:rFonts w:asciiTheme="majorHAnsi" w:hAnsiTheme="majorHAnsi" w:cstheme="minorHAnsi"/>
                <w:b/>
                <w:bCs/>
                <w:i/>
                <w:iCs/>
                <w:color w:val="002060"/>
                <w:sz w:val="16"/>
                <w:szCs w:val="16"/>
              </w:rPr>
              <w:t>Shpenzime Korente</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Calibri"/>
                <w:color w:val="002060"/>
                <w:sz w:val="16"/>
                <w:szCs w:val="16"/>
              </w:rPr>
              <w:t>46,783</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Calibri"/>
                <w:color w:val="002060"/>
                <w:sz w:val="16"/>
                <w:szCs w:val="16"/>
              </w:rPr>
              <w:t>41,311</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5,472</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113%</w:t>
            </w:r>
          </w:p>
        </w:tc>
      </w:tr>
      <w:tr w:rsidR="0017428F" w:rsidRPr="0017428F" w:rsidTr="0017428F">
        <w:trPr>
          <w:trHeight w:val="188"/>
          <w:jc w:val="center"/>
        </w:trPr>
        <w:tc>
          <w:tcPr>
            <w:tcW w:w="640"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theme="minorHAnsi"/>
                <w:color w:val="002060"/>
                <w:sz w:val="16"/>
                <w:szCs w:val="16"/>
              </w:rPr>
              <w:t> </w:t>
            </w:r>
          </w:p>
        </w:tc>
        <w:tc>
          <w:tcPr>
            <w:tcW w:w="3901" w:type="dxa"/>
            <w:shd w:val="clear" w:color="auto" w:fill="auto"/>
            <w:noWrap/>
            <w:vAlign w:val="center"/>
            <w:hideMark/>
          </w:tcPr>
          <w:p w:rsidR="0017428F" w:rsidRPr="0017428F" w:rsidRDefault="0017428F" w:rsidP="00153CD6">
            <w:pPr>
              <w:spacing w:before="0" w:line="240" w:lineRule="auto"/>
              <w:rPr>
                <w:rFonts w:asciiTheme="majorHAnsi" w:hAnsiTheme="majorHAnsi" w:cstheme="minorHAnsi"/>
                <w:i/>
                <w:iCs/>
                <w:color w:val="002060"/>
                <w:sz w:val="16"/>
                <w:szCs w:val="16"/>
              </w:rPr>
            </w:pPr>
            <w:r w:rsidRPr="0017428F">
              <w:rPr>
                <w:rFonts w:asciiTheme="majorHAnsi" w:hAnsiTheme="majorHAnsi" w:cstheme="minorHAnsi"/>
                <w:i/>
                <w:iCs/>
                <w:color w:val="002060"/>
                <w:sz w:val="16"/>
                <w:szCs w:val="16"/>
              </w:rPr>
              <w:t xml:space="preserve">Personeli </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25,211</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24,118</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1,092</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105%</w:t>
            </w:r>
          </w:p>
        </w:tc>
      </w:tr>
      <w:tr w:rsidR="0017428F" w:rsidRPr="0017428F" w:rsidTr="0017428F">
        <w:trPr>
          <w:trHeight w:val="240"/>
          <w:jc w:val="center"/>
        </w:trPr>
        <w:tc>
          <w:tcPr>
            <w:tcW w:w="640"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theme="minorHAnsi"/>
                <w:color w:val="002060"/>
                <w:sz w:val="16"/>
                <w:szCs w:val="16"/>
              </w:rPr>
              <w:t> </w:t>
            </w:r>
          </w:p>
        </w:tc>
        <w:tc>
          <w:tcPr>
            <w:tcW w:w="3901" w:type="dxa"/>
            <w:shd w:val="clear" w:color="auto" w:fill="auto"/>
            <w:noWrap/>
            <w:vAlign w:val="center"/>
            <w:hideMark/>
          </w:tcPr>
          <w:p w:rsidR="0017428F" w:rsidRPr="0017428F" w:rsidRDefault="0017428F" w:rsidP="00153CD6">
            <w:pPr>
              <w:spacing w:before="0" w:line="240" w:lineRule="auto"/>
              <w:jc w:val="left"/>
              <w:rPr>
                <w:rFonts w:asciiTheme="majorHAnsi" w:hAnsiTheme="majorHAnsi" w:cstheme="minorHAnsi"/>
                <w:i/>
                <w:iCs/>
                <w:color w:val="002060"/>
                <w:sz w:val="16"/>
                <w:szCs w:val="16"/>
              </w:rPr>
            </w:pPr>
            <w:r w:rsidRPr="0017428F">
              <w:rPr>
                <w:rFonts w:asciiTheme="majorHAnsi" w:hAnsiTheme="majorHAnsi" w:cstheme="minorHAnsi"/>
                <w:i/>
                <w:iCs/>
                <w:color w:val="002060"/>
                <w:sz w:val="16"/>
                <w:szCs w:val="16"/>
              </w:rPr>
              <w:t>Shpenzime Operative dhe Mirëmbajtje</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18,749</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15,701</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3,048</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119%</w:t>
            </w:r>
          </w:p>
        </w:tc>
      </w:tr>
      <w:tr w:rsidR="0017428F" w:rsidRPr="0017428F" w:rsidTr="0017428F">
        <w:trPr>
          <w:trHeight w:val="188"/>
          <w:jc w:val="center"/>
        </w:trPr>
        <w:tc>
          <w:tcPr>
            <w:tcW w:w="640"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theme="minorHAnsi"/>
                <w:color w:val="002060"/>
                <w:sz w:val="16"/>
                <w:szCs w:val="16"/>
              </w:rPr>
              <w:t> </w:t>
            </w:r>
          </w:p>
        </w:tc>
        <w:tc>
          <w:tcPr>
            <w:tcW w:w="3901" w:type="dxa"/>
            <w:shd w:val="clear" w:color="auto" w:fill="auto"/>
            <w:noWrap/>
            <w:vAlign w:val="center"/>
            <w:hideMark/>
          </w:tcPr>
          <w:p w:rsidR="0017428F" w:rsidRPr="0017428F" w:rsidRDefault="0017428F" w:rsidP="00153CD6">
            <w:pPr>
              <w:spacing w:before="0" w:line="240" w:lineRule="auto"/>
              <w:jc w:val="left"/>
              <w:rPr>
                <w:rFonts w:asciiTheme="majorHAnsi" w:hAnsiTheme="majorHAnsi" w:cstheme="minorHAnsi"/>
                <w:i/>
                <w:iCs/>
                <w:color w:val="002060"/>
                <w:sz w:val="16"/>
                <w:szCs w:val="16"/>
              </w:rPr>
            </w:pPr>
            <w:r w:rsidRPr="0017428F">
              <w:rPr>
                <w:rFonts w:asciiTheme="majorHAnsi" w:hAnsiTheme="majorHAnsi" w:cstheme="minorHAnsi"/>
                <w:i/>
                <w:iCs/>
                <w:color w:val="002060"/>
                <w:sz w:val="16"/>
                <w:szCs w:val="16"/>
              </w:rPr>
              <w:t>Subvencione</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347</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145</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202</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239%</w:t>
            </w:r>
          </w:p>
        </w:tc>
      </w:tr>
      <w:tr w:rsidR="0017428F" w:rsidRPr="0017428F" w:rsidTr="0017428F">
        <w:trPr>
          <w:trHeight w:val="240"/>
          <w:jc w:val="center"/>
        </w:trPr>
        <w:tc>
          <w:tcPr>
            <w:tcW w:w="640"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theme="minorHAnsi"/>
                <w:color w:val="002060"/>
                <w:sz w:val="16"/>
                <w:szCs w:val="16"/>
              </w:rPr>
              <w:t> </w:t>
            </w:r>
          </w:p>
        </w:tc>
        <w:tc>
          <w:tcPr>
            <w:tcW w:w="3901" w:type="dxa"/>
            <w:shd w:val="clear" w:color="auto" w:fill="auto"/>
            <w:noWrap/>
            <w:vAlign w:val="center"/>
            <w:hideMark/>
          </w:tcPr>
          <w:p w:rsidR="0017428F" w:rsidRPr="0017428F" w:rsidRDefault="0017428F" w:rsidP="00153CD6">
            <w:pPr>
              <w:spacing w:before="0" w:line="240" w:lineRule="auto"/>
              <w:jc w:val="left"/>
              <w:rPr>
                <w:rFonts w:asciiTheme="majorHAnsi" w:hAnsiTheme="majorHAnsi" w:cstheme="minorHAnsi"/>
                <w:i/>
                <w:iCs/>
                <w:color w:val="002060"/>
                <w:sz w:val="16"/>
                <w:szCs w:val="16"/>
              </w:rPr>
            </w:pPr>
            <w:r w:rsidRPr="0017428F">
              <w:rPr>
                <w:rFonts w:asciiTheme="majorHAnsi" w:hAnsiTheme="majorHAnsi" w:cstheme="minorHAnsi"/>
                <w:i/>
                <w:iCs/>
                <w:color w:val="002060"/>
                <w:sz w:val="16"/>
                <w:szCs w:val="16"/>
              </w:rPr>
              <w:t>Te tjera</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2,476</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i/>
                <w:iCs/>
                <w:color w:val="002060"/>
                <w:sz w:val="16"/>
                <w:szCs w:val="16"/>
              </w:rPr>
            </w:pPr>
            <w:r w:rsidRPr="0017428F">
              <w:rPr>
                <w:rFonts w:asciiTheme="majorHAnsi" w:hAnsiTheme="majorHAnsi" w:cs="Calibri"/>
                <w:i/>
                <w:iCs/>
                <w:color w:val="002060"/>
                <w:sz w:val="16"/>
                <w:szCs w:val="16"/>
              </w:rPr>
              <w:t>1,347</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1,129</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184%</w:t>
            </w:r>
          </w:p>
        </w:tc>
      </w:tr>
      <w:tr w:rsidR="0017428F" w:rsidRPr="0017428F" w:rsidTr="0017428F">
        <w:trPr>
          <w:trHeight w:val="208"/>
          <w:jc w:val="center"/>
        </w:trPr>
        <w:tc>
          <w:tcPr>
            <w:tcW w:w="640"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theme="minorHAnsi"/>
                <w:color w:val="002060"/>
                <w:sz w:val="16"/>
                <w:szCs w:val="16"/>
              </w:rPr>
              <w:t>II.2</w:t>
            </w:r>
          </w:p>
        </w:tc>
        <w:tc>
          <w:tcPr>
            <w:tcW w:w="3901" w:type="dxa"/>
            <w:shd w:val="clear" w:color="auto" w:fill="auto"/>
            <w:noWrap/>
            <w:vAlign w:val="center"/>
            <w:hideMark/>
          </w:tcPr>
          <w:p w:rsidR="0017428F" w:rsidRPr="0017428F" w:rsidRDefault="0017428F" w:rsidP="00153CD6">
            <w:pPr>
              <w:spacing w:before="0" w:line="240" w:lineRule="auto"/>
              <w:rPr>
                <w:rFonts w:asciiTheme="majorHAnsi" w:hAnsiTheme="majorHAnsi" w:cstheme="minorHAnsi"/>
                <w:b/>
                <w:bCs/>
                <w:i/>
                <w:iCs/>
                <w:color w:val="002060"/>
                <w:sz w:val="16"/>
                <w:szCs w:val="16"/>
              </w:rPr>
            </w:pPr>
            <w:r w:rsidRPr="0017428F">
              <w:rPr>
                <w:rFonts w:asciiTheme="majorHAnsi" w:hAnsiTheme="majorHAnsi" w:cstheme="minorHAnsi"/>
                <w:b/>
                <w:bCs/>
                <w:i/>
                <w:iCs/>
                <w:color w:val="002060"/>
                <w:sz w:val="16"/>
                <w:szCs w:val="16"/>
              </w:rPr>
              <w:t>Shpenzime Kapitale</w:t>
            </w:r>
          </w:p>
        </w:tc>
        <w:tc>
          <w:tcPr>
            <w:tcW w:w="1045"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Calibri"/>
                <w:color w:val="002060"/>
                <w:sz w:val="16"/>
                <w:szCs w:val="16"/>
              </w:rPr>
              <w:t>11,913</w:t>
            </w:r>
          </w:p>
        </w:tc>
        <w:tc>
          <w:tcPr>
            <w:tcW w:w="1047" w:type="dxa"/>
            <w:shd w:val="clear" w:color="auto" w:fill="auto"/>
            <w:noWrap/>
            <w:vAlign w:val="center"/>
            <w:hideMark/>
          </w:tcPr>
          <w:p w:rsidR="0017428F" w:rsidRPr="0017428F" w:rsidRDefault="0017428F" w:rsidP="00153CD6">
            <w:pPr>
              <w:spacing w:before="0" w:line="240" w:lineRule="auto"/>
              <w:jc w:val="right"/>
              <w:rPr>
                <w:rFonts w:asciiTheme="majorHAnsi" w:hAnsiTheme="majorHAnsi" w:cstheme="minorHAnsi"/>
                <w:color w:val="002060"/>
                <w:sz w:val="16"/>
                <w:szCs w:val="16"/>
              </w:rPr>
            </w:pPr>
            <w:r w:rsidRPr="0017428F">
              <w:rPr>
                <w:rFonts w:asciiTheme="majorHAnsi" w:hAnsiTheme="majorHAnsi" w:cs="Calibri"/>
                <w:color w:val="002060"/>
                <w:sz w:val="16"/>
                <w:szCs w:val="16"/>
              </w:rPr>
              <w:t>11,282</w:t>
            </w:r>
          </w:p>
        </w:tc>
        <w:tc>
          <w:tcPr>
            <w:tcW w:w="1045"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631</w:t>
            </w:r>
          </w:p>
        </w:tc>
        <w:tc>
          <w:tcPr>
            <w:tcW w:w="1047" w:type="dxa"/>
            <w:shd w:val="clear" w:color="auto" w:fill="auto"/>
            <w:noWrap/>
            <w:vAlign w:val="center"/>
            <w:hideMark/>
          </w:tcPr>
          <w:p w:rsidR="0017428F" w:rsidRPr="0017428F" w:rsidRDefault="0017428F" w:rsidP="00153CD6">
            <w:pPr>
              <w:spacing w:before="0" w:line="240" w:lineRule="auto"/>
              <w:jc w:val="center"/>
              <w:rPr>
                <w:rFonts w:asciiTheme="majorHAnsi" w:hAnsiTheme="majorHAnsi" w:cstheme="minorHAnsi"/>
                <w:color w:val="002060"/>
                <w:sz w:val="16"/>
                <w:szCs w:val="16"/>
              </w:rPr>
            </w:pPr>
            <w:r w:rsidRPr="0017428F">
              <w:rPr>
                <w:rFonts w:asciiTheme="majorHAnsi" w:hAnsiTheme="majorHAnsi" w:cs="Calibri"/>
                <w:color w:val="002060"/>
                <w:sz w:val="16"/>
                <w:szCs w:val="16"/>
              </w:rPr>
              <w:t>106%</w:t>
            </w:r>
          </w:p>
        </w:tc>
      </w:tr>
    </w:tbl>
    <w:p w:rsidR="000C27BF" w:rsidRDefault="00153CD6" w:rsidP="00153CD6">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0C27BF" w:rsidRPr="00392522" w:rsidRDefault="000C27BF" w:rsidP="0017428F">
      <w:pPr>
        <w:spacing w:line="240" w:lineRule="auto"/>
        <w:rPr>
          <w:rFonts w:eastAsia="MS Mincho" w:cs="Calibri"/>
          <w:lang w:val="sq-AL"/>
        </w:rPr>
      </w:pPr>
      <w:r w:rsidRPr="00392522">
        <w:rPr>
          <w:rFonts w:eastAsia="MS Mincho" w:cs="Calibri"/>
          <w:i/>
          <w:lang w:val="sq-AL"/>
        </w:rPr>
        <w:t>Shpenzimet vendore të personelit</w:t>
      </w:r>
      <w:r w:rsidRPr="00392522">
        <w:rPr>
          <w:rFonts w:eastAsia="MS Mincho" w:cs="Calibri"/>
          <w:lang w:val="sq-AL"/>
        </w:rPr>
        <w:t xml:space="preserve"> </w:t>
      </w:r>
      <w:r w:rsidR="0017428F" w:rsidRPr="00392522">
        <w:rPr>
          <w:rFonts w:eastAsia="MS Mincho" w:cs="Calibri"/>
          <w:lang w:val="sq-AL"/>
        </w:rPr>
        <w:t>përbëjnë një pjesë të konsiderueshme të shpenzimeve totale të NJVQV. Për vitin 2022, këto shpenzime janë realizuar në masën 25.2 miliard lekë, që rezulton në rritje prej 5% ose rreth 1 miliard lekë më shumë se viti 2021. Rritja e shpenzimeve të personelit nga njësitë e vetëqeverisjes vendore nuk përbën ndryshim të ndjeshëm, por është një trend natyror i rritjes që njësitë vendore realizojnë me qëllim rritjen e cilësisë së shërbimeve. Këto shpenzime për vitin 2022 zënë rreth 43% të totalit të shpenzimeve të pushetit vendor, trend i cili ka qënë brenda një intervali thuajse të qëndrueshëm, krahasuar edhe me vitet paraardhëse. Me rritjen e kompetencave që pushteti vendor ka për të ushtruar në shërbim të qytetarëve, ka lindur nevoja për rritjen e personelit në funksion të mbulimit me shërbime cilësore ndaj qytetarëve</w:t>
      </w:r>
      <w:r w:rsidRPr="00392522">
        <w:rPr>
          <w:rFonts w:eastAsia="MS Mincho" w:cs="Calibri"/>
          <w:lang w:val="sq-AL"/>
        </w:rPr>
        <w:t>.</w:t>
      </w:r>
    </w:p>
    <w:p w:rsidR="000C27BF" w:rsidRPr="00392522" w:rsidRDefault="000C27BF" w:rsidP="0017428F">
      <w:pPr>
        <w:spacing w:line="240" w:lineRule="auto"/>
        <w:rPr>
          <w:rFonts w:eastAsia="MS Mincho" w:cs="Calibri"/>
          <w:lang w:val="sq-AL"/>
        </w:rPr>
      </w:pPr>
      <w:r w:rsidRPr="00392522">
        <w:rPr>
          <w:rFonts w:eastAsia="MS Mincho" w:cs="Calibri"/>
          <w:i/>
          <w:lang w:val="sq-AL"/>
        </w:rPr>
        <w:t>Shpenzimet vendore operative</w:t>
      </w:r>
      <w:r w:rsidRPr="00392522">
        <w:rPr>
          <w:rFonts w:eastAsia="MS Mincho" w:cs="Calibri"/>
          <w:lang w:val="sq-AL"/>
        </w:rPr>
        <w:t xml:space="preserve"> </w:t>
      </w:r>
      <w:r w:rsidR="0017428F" w:rsidRPr="00392522">
        <w:rPr>
          <w:rFonts w:eastAsia="MS Mincho" w:cs="Calibri"/>
          <w:lang w:val="sq-AL"/>
        </w:rPr>
        <w:t>janë shumë të rëndësishme për mbarëvajtjen dhe ushtrimin e funksioneve. Për vitin 2022, këto shpenzime janë realizuar në masën 18.7 miliard lekë dhe rezultojnë më një rritje të konsiderueshme prej 19% në raport me një vit më parë ose rreth 3 miliard lekë. Shpenzimet operative përbëjnë rreth 32% të shpenzimeve të pushtetit vendor për vitin 2022, trend i cili është i me rritje rreth 2% në përqindje ndaj shpenzimeve të përgjithshme vendore krahasuar me vitin 2021</w:t>
      </w:r>
      <w:r w:rsidRPr="00392522">
        <w:rPr>
          <w:rFonts w:eastAsia="MS Mincho" w:cs="Calibri"/>
          <w:lang w:val="sq-AL"/>
        </w:rPr>
        <w:t>.</w:t>
      </w:r>
    </w:p>
    <w:p w:rsidR="000C27BF" w:rsidRPr="00392522" w:rsidRDefault="000C27BF" w:rsidP="0017428F">
      <w:pPr>
        <w:spacing w:line="240" w:lineRule="auto"/>
        <w:rPr>
          <w:rFonts w:eastAsia="MS Mincho" w:cs="Calibri"/>
          <w:lang w:val="sq-AL"/>
        </w:rPr>
      </w:pPr>
      <w:r w:rsidRPr="00392522">
        <w:rPr>
          <w:rFonts w:eastAsia="MS Mincho" w:cs="Calibri"/>
          <w:i/>
          <w:lang w:val="sq-AL"/>
        </w:rPr>
        <w:t>Shpenzimet vendore për subvencione dhe të tjera</w:t>
      </w:r>
      <w:r w:rsidRPr="00392522">
        <w:rPr>
          <w:rFonts w:eastAsia="MS Mincho" w:cs="Calibri"/>
          <w:lang w:val="sq-AL"/>
        </w:rPr>
        <w:t xml:space="preserve"> </w:t>
      </w:r>
      <w:r w:rsidR="0017428F" w:rsidRPr="00392522">
        <w:rPr>
          <w:rFonts w:eastAsia="MS Mincho" w:cs="Calibri"/>
          <w:lang w:val="sq-AL"/>
        </w:rPr>
        <w:t>janë shpenzimet që zhvillojnë NJVQV për të subvencionuar dhe mbuluar funksione të tjera administrative, të cilat në vitin 2022 kanë pësuar një rritje të konsiderueshme me rreth 139% më shumë ose me rreth 202 milion lekë. Tashmë njësitë vendore duhet të planifikojnë në periudhë afatgjatë dhe mbështetur mbi strategji të qarta zhvillimi dhe ofrimi të shërbimit publik, që në mënyrë vazhdueshme të mbështesin me subvencione zhvillimin ekonomik të zonës nën juridiksionin e tyre. Po ashtu edhe shpenzimet e tjera korente rezultojnë të rritura gjatë vitit 2022 kundrejt vitit 2021 me 1.1 miliard lekë apo rreth 84%</w:t>
      </w:r>
      <w:r w:rsidRPr="00392522">
        <w:rPr>
          <w:rFonts w:eastAsia="MS Mincho" w:cs="Calibri"/>
          <w:lang w:val="sq-AL"/>
        </w:rPr>
        <w:t>.</w:t>
      </w:r>
    </w:p>
    <w:p w:rsidR="000C27BF" w:rsidRPr="00392522" w:rsidRDefault="000C27BF" w:rsidP="0017428F">
      <w:pPr>
        <w:spacing w:line="240" w:lineRule="auto"/>
        <w:rPr>
          <w:rFonts w:eastAsia="MS Mincho" w:cs="Calibri"/>
          <w:lang w:val="sq-AL"/>
        </w:rPr>
      </w:pPr>
      <w:r w:rsidRPr="00392522">
        <w:rPr>
          <w:rFonts w:eastAsia="MS Mincho" w:cs="Calibri"/>
          <w:i/>
          <w:lang w:val="sq-AL"/>
        </w:rPr>
        <w:t>Shpenzimet kapitale vendore</w:t>
      </w:r>
      <w:r w:rsidRPr="00392522">
        <w:rPr>
          <w:rFonts w:eastAsia="MS Mincho" w:cs="Calibri"/>
          <w:lang w:val="sq-AL"/>
        </w:rPr>
        <w:t xml:space="preserve"> </w:t>
      </w:r>
      <w:r w:rsidR="0017428F" w:rsidRPr="00392522">
        <w:rPr>
          <w:rFonts w:eastAsia="MS Mincho" w:cs="Calibri"/>
          <w:lang w:val="sq-AL"/>
        </w:rPr>
        <w:t>rezultojnë në një vlerë të konsiderueshme prej rreth 11.9 miliard lekë, ose 20.3% të totalit të shpenzimeve. Gjatë vitit 2022 vihet re rritje e tyre me rreth 631 milion lekë ose rreth 6% kundrejt vitit paraardhës, që reflekton gjithashtu një tregues pozitiv të stabilitetit ekonomik</w:t>
      </w:r>
      <w:r w:rsidRPr="00392522">
        <w:rPr>
          <w:rFonts w:eastAsia="MS Mincho" w:cs="Calibri"/>
          <w:lang w:val="sq-AL"/>
        </w:rPr>
        <w:t xml:space="preserve">. </w:t>
      </w:r>
    </w:p>
    <w:p w:rsidR="00C244E2" w:rsidRDefault="00C244E2" w:rsidP="00FC729E">
      <w:pPr>
        <w:rPr>
          <w:rFonts w:eastAsia="MS Mincho" w:cs="Calibri"/>
          <w:sz w:val="16"/>
          <w:lang w:val="sq-AL"/>
        </w:rPr>
      </w:pPr>
    </w:p>
    <w:p w:rsidR="001F3D1A" w:rsidRDefault="001F3D1A" w:rsidP="00FC729E">
      <w:pPr>
        <w:rPr>
          <w:rFonts w:eastAsia="MS Mincho" w:cs="Calibri"/>
          <w:sz w:val="16"/>
          <w:lang w:val="sq-AL"/>
        </w:rPr>
      </w:pPr>
    </w:p>
    <w:p w:rsidR="001F3D1A" w:rsidRDefault="001F3D1A" w:rsidP="00FC729E">
      <w:pPr>
        <w:rPr>
          <w:rFonts w:eastAsia="MS Mincho" w:cs="Calibri"/>
          <w:sz w:val="16"/>
          <w:lang w:val="sq-AL"/>
        </w:rPr>
      </w:pPr>
    </w:p>
    <w:p w:rsidR="001F3D1A" w:rsidRDefault="001F3D1A" w:rsidP="00FC729E">
      <w:pPr>
        <w:rPr>
          <w:rFonts w:eastAsia="MS Mincho" w:cs="Calibri"/>
          <w:sz w:val="16"/>
          <w:lang w:val="sq-AL"/>
        </w:rPr>
      </w:pPr>
    </w:p>
    <w:p w:rsidR="001F3D1A" w:rsidRDefault="001F3D1A" w:rsidP="00FC729E">
      <w:pPr>
        <w:rPr>
          <w:rFonts w:eastAsia="MS Mincho" w:cs="Calibri"/>
          <w:sz w:val="16"/>
          <w:lang w:val="sq-AL"/>
        </w:rPr>
      </w:pPr>
    </w:p>
    <w:p w:rsidR="001F3D1A" w:rsidRPr="00D06183" w:rsidRDefault="001F3D1A" w:rsidP="00FC729E">
      <w:pPr>
        <w:rPr>
          <w:rFonts w:eastAsia="MS Mincho" w:cs="Calibri"/>
          <w:sz w:val="16"/>
          <w:lang w:val="sq-AL"/>
        </w:rPr>
      </w:pPr>
    </w:p>
    <w:p w:rsidR="00EB1E75" w:rsidRDefault="00EB1E75" w:rsidP="00FC729E">
      <w:pPr>
        <w:spacing w:before="0"/>
        <w:rPr>
          <w:rFonts w:eastAsia="SimSun" w:cs="Calibri"/>
          <w:i/>
          <w:sz w:val="18"/>
          <w:lang w:val="sq-AL"/>
        </w:rPr>
      </w:pPr>
    </w:p>
    <w:p w:rsidR="00A94670" w:rsidRPr="00AA0674" w:rsidRDefault="005F1700" w:rsidP="00FC729E">
      <w:pPr>
        <w:pStyle w:val="Fiskale1"/>
        <w:rPr>
          <w:rFonts w:ascii="Calibri" w:hAnsi="Calibri" w:cs="Calibri"/>
        </w:rPr>
      </w:pPr>
      <w:bookmarkStart w:id="178" w:name="_Toc10033282"/>
      <w:bookmarkStart w:id="179" w:name="_Toc10721419"/>
      <w:bookmarkStart w:id="180" w:name="_Toc104980341"/>
      <w:r w:rsidRPr="00AA0674">
        <w:rPr>
          <w:rFonts w:ascii="Calibri" w:hAnsi="Calibri" w:cs="Calibri"/>
        </w:rPr>
        <w:lastRenderedPageBreak/>
        <w:t>MENAXHIMI I BORXHIT PUBLI</w:t>
      </w:r>
      <w:bookmarkEnd w:id="178"/>
      <w:bookmarkEnd w:id="179"/>
      <w:r w:rsidRPr="00AA0674">
        <w:rPr>
          <w:rFonts w:ascii="Calibri" w:hAnsi="Calibri" w:cs="Calibri"/>
        </w:rPr>
        <w:t>K</w:t>
      </w:r>
      <w:bookmarkEnd w:id="180"/>
    </w:p>
    <w:p w:rsidR="00AA6B07" w:rsidRPr="00AA6B07" w:rsidRDefault="00A5095F" w:rsidP="00C244E2">
      <w:pPr>
        <w:shd w:val="clear" w:color="auto" w:fill="FFFFFF"/>
        <w:tabs>
          <w:tab w:val="left" w:pos="8647"/>
          <w:tab w:val="left" w:pos="8789"/>
        </w:tabs>
        <w:spacing w:line="240" w:lineRule="auto"/>
        <w:ind w:right="-46"/>
        <w:rPr>
          <w:rFonts w:asciiTheme="majorHAnsi" w:hAnsiTheme="majorHAnsi" w:cs="Calibri"/>
          <w:szCs w:val="22"/>
          <w:lang w:val="sq-AL"/>
        </w:rPr>
      </w:pPr>
      <w:bookmarkStart w:id="181" w:name="_Toc10033283"/>
      <w:bookmarkStart w:id="182" w:name="_Toc10721420"/>
      <w:r w:rsidRPr="00FD1603">
        <w:rPr>
          <w:rFonts w:asciiTheme="majorHAnsi" w:hAnsiTheme="majorHAnsi" w:cs="Calibri"/>
          <w:i/>
          <w:szCs w:val="22"/>
          <w:lang w:val="sq-AL"/>
        </w:rPr>
        <w:t>Borxhi publik</w:t>
      </w:r>
      <w:r w:rsidRPr="00FD1603">
        <w:rPr>
          <w:rFonts w:asciiTheme="majorHAnsi" w:hAnsiTheme="majorHAnsi" w:cs="Calibri"/>
          <w:szCs w:val="22"/>
          <w:lang w:val="sq-AL"/>
        </w:rPr>
        <w:t xml:space="preserve"> </w:t>
      </w:r>
      <w:r w:rsidR="00AA6B07" w:rsidRPr="00AA6B07">
        <w:rPr>
          <w:rFonts w:asciiTheme="majorHAnsi" w:hAnsiTheme="majorHAnsi" w:cs="Calibri"/>
          <w:szCs w:val="22"/>
          <w:lang w:val="sq-AL"/>
        </w:rPr>
        <w:t>gjatë vitit 2022 përgjithësisht është menaxhuar në përputhje me objektivat strategjikë afatmesëm për ruajtjen e qëndrueshmërisë së raporteve ndërmjet kostos dhe risqeve.</w:t>
      </w:r>
    </w:p>
    <w:p w:rsidR="00C244E2" w:rsidRDefault="00AA6B07" w:rsidP="00C244E2">
      <w:pPr>
        <w:shd w:val="clear" w:color="auto" w:fill="FFFFFF"/>
        <w:tabs>
          <w:tab w:val="left" w:pos="8647"/>
          <w:tab w:val="left" w:pos="8789"/>
        </w:tabs>
        <w:spacing w:line="240" w:lineRule="auto"/>
        <w:ind w:right="-46"/>
        <w:rPr>
          <w:rFonts w:asciiTheme="majorHAnsi" w:hAnsiTheme="majorHAnsi" w:cs="Calibri"/>
          <w:szCs w:val="22"/>
          <w:lang w:val="sq-AL"/>
        </w:rPr>
      </w:pPr>
      <w:r w:rsidRPr="00AA6B07">
        <w:rPr>
          <w:rFonts w:asciiTheme="majorHAnsi" w:hAnsiTheme="majorHAnsi" w:cs="Calibri"/>
          <w:szCs w:val="22"/>
          <w:lang w:val="sq-AL"/>
        </w:rPr>
        <w:t xml:space="preserve">Për sa i përket huamarrjes, gjatë vitit 2022, ka pasur një kërkesë më të ulët për letrat me vlerë të borxhit të qeverisë në tregun e brendshëm, si rezultat i një niveli pasigurie të lartë në tregje dhe pritshmërive për rritje të normave të interesit, shkaktuar nga zhvillimet e konfliktit Rusi-Ukrainë. Huamarrja në terma bruto u realizua në vlerën 386.1 miliard Lekë, nga të cilat 92.7% u financuan nëpërmjet burimeve të brendshme dhe 7.3% nëpërmjet burimeve të huaja. Në tregun e brendshëm huamarrja bruto rezultoi në vlerën prej 357.9 miliard Lekë. </w:t>
      </w:r>
    </w:p>
    <w:p w:rsidR="00AA6B07" w:rsidRPr="00AA6B07" w:rsidRDefault="00AA6B07" w:rsidP="00C244E2">
      <w:pPr>
        <w:shd w:val="clear" w:color="auto" w:fill="FFFFFF"/>
        <w:tabs>
          <w:tab w:val="left" w:pos="8647"/>
          <w:tab w:val="left" w:pos="8789"/>
        </w:tabs>
        <w:spacing w:line="240" w:lineRule="auto"/>
        <w:ind w:right="-46"/>
        <w:rPr>
          <w:rFonts w:asciiTheme="majorHAnsi" w:hAnsiTheme="majorHAnsi" w:cs="Calibri"/>
          <w:szCs w:val="22"/>
          <w:lang w:val="sq-AL"/>
        </w:rPr>
      </w:pPr>
      <w:r w:rsidRPr="00AA6B07">
        <w:rPr>
          <w:rFonts w:asciiTheme="majorHAnsi" w:hAnsiTheme="majorHAnsi" w:cs="Calibri"/>
          <w:szCs w:val="22"/>
          <w:lang w:val="sq-AL"/>
        </w:rPr>
        <w:t>Gjatë 2022 u maturuan instrumente të borxhit të brendshëm në vlerën prej 331.5 miliard Lekë, duke rezultuar në një financim neto në vlerën 26.3 miliard Lekë. Financimi neto, krahasuar me vitin e kaluar është më i ulët. Megjithatë, realizimi i një huamarrje më të ulët nga ajo e pritshme për periudhën në fjalë, nuk ka ndikuar në financat publike duke qenë se kjo periudhë nga ana tjetër është karaktrizuar nga zhvillime pozitive në drejtim të të ardhurave buxhetore, dhe një niveli likuiditeti të mjaftueshëm gjatë gjithë periudhës. Huamarrja e huaj, në vlerën prej 28.3 miliard Lekë, krahasuar me vitin e kaluar, u ul me 107.8 miliardë lekë. Krahasuar me vitin 2021, huamarrja e huaj bruto është ulur për shkak se gjatë vitit 2022 nuk u emetua Eurobond, niveli i mbështetjes buxhetore ishte më e ulët se vitin e kaluar dhe gjithashtu vlera e kredive të disbursuara për financimin e projekteve është më e ulët se në vitin 2021.</w:t>
      </w:r>
    </w:p>
    <w:p w:rsidR="00AA6B07" w:rsidRPr="00AA6B07" w:rsidRDefault="00AA6B07" w:rsidP="00C244E2">
      <w:pPr>
        <w:shd w:val="clear" w:color="auto" w:fill="FFFFFF"/>
        <w:tabs>
          <w:tab w:val="left" w:pos="8647"/>
          <w:tab w:val="left" w:pos="8789"/>
        </w:tabs>
        <w:spacing w:line="240" w:lineRule="auto"/>
        <w:ind w:right="-46"/>
        <w:rPr>
          <w:rFonts w:asciiTheme="majorHAnsi" w:hAnsiTheme="majorHAnsi" w:cs="Calibri"/>
          <w:szCs w:val="22"/>
          <w:lang w:val="sq-AL"/>
        </w:rPr>
      </w:pPr>
      <w:r w:rsidRPr="00AA6B07">
        <w:rPr>
          <w:rFonts w:asciiTheme="majorHAnsi" w:hAnsiTheme="majorHAnsi" w:cs="Calibri"/>
          <w:szCs w:val="22"/>
          <w:lang w:val="sq-AL"/>
        </w:rPr>
        <w:t>Yield-et e letrave me vlerë të qeverisë kanë ndjekur një tendencë rritëse duke filluar nga muaji Mars 2022, rritje kjo e ndikuar nga pasiguria e lartë, rritja e normës bazë të interesit në tregun vendas si edhe nga pritshmëritë për rritje të mëtejshme të normave të interesit në përgjigje të inflacionit të rritur. Banka e Shqipërisë ka rritur 5 herë normën bazë të interesit gjatë vitit 2022 duke aritur në nivelin prej 2.75%, krahasuar me 0.5% që ishte në fillim të vitit.</w:t>
      </w:r>
    </w:p>
    <w:p w:rsidR="00AA6B07" w:rsidRPr="00AA6B07" w:rsidRDefault="00AA6B07" w:rsidP="00C244E2">
      <w:pPr>
        <w:shd w:val="clear" w:color="auto" w:fill="FFFFFF"/>
        <w:tabs>
          <w:tab w:val="left" w:pos="8647"/>
          <w:tab w:val="left" w:pos="8789"/>
        </w:tabs>
        <w:spacing w:line="240" w:lineRule="auto"/>
        <w:ind w:right="-46"/>
        <w:rPr>
          <w:rFonts w:asciiTheme="majorHAnsi" w:hAnsiTheme="majorHAnsi" w:cs="Calibri"/>
          <w:szCs w:val="22"/>
          <w:lang w:val="sq-AL"/>
        </w:rPr>
      </w:pPr>
      <w:r w:rsidRPr="00AA6B07">
        <w:rPr>
          <w:rFonts w:asciiTheme="majorHAnsi" w:hAnsiTheme="majorHAnsi" w:cs="Calibri"/>
          <w:szCs w:val="22"/>
          <w:lang w:val="sq-AL"/>
        </w:rPr>
        <w:t>Për sa i përket raporteve të kostos dhe riskut në portofolin e borxhit, pavarësisht se viti 2022 ka qenë një vit jo i zakonshëm, i ndikuar nga zhvillime jo të favorshme në tregjet financiare, ndër të cilat ritheksojmë rritjen e normës bazë të interesit brenda vendit nga Banka Qendrore, politikë e cila është ndjekur gjithashtu edhe nga autoritetet ndërkombëtare monetare, portofoli i borxhit të brendshëm është arritur të menaxhohet duke mbajtur në nivele të qendrueshme raportet e riskut, si dhe në drejtim të mbajtjes së kostove në nivelin më të ulët të mundshëm sipas kushteve të tregut. Krahasuar me vitin 2021, shpenzimet për interesa vlerësohen rreth 3.8 miliard Lekë më të larta, kryesisht si rezultat i rritjes së stokut të borxhit në vlerë nominale si dhe rritjes së normave të interesit.</w:t>
      </w:r>
    </w:p>
    <w:p w:rsidR="00FD1603" w:rsidRPr="00FD1603" w:rsidRDefault="00AA6B07" w:rsidP="00C244E2">
      <w:pPr>
        <w:shd w:val="clear" w:color="auto" w:fill="FFFFFF"/>
        <w:tabs>
          <w:tab w:val="left" w:pos="8647"/>
          <w:tab w:val="left" w:pos="8789"/>
        </w:tabs>
        <w:spacing w:line="240" w:lineRule="auto"/>
        <w:ind w:right="-46"/>
        <w:rPr>
          <w:rFonts w:asciiTheme="majorHAnsi" w:hAnsiTheme="majorHAnsi"/>
        </w:rPr>
      </w:pPr>
      <w:bookmarkStart w:id="183" w:name="_Hlk138152472"/>
      <w:bookmarkStart w:id="184" w:name="_GoBack"/>
      <w:r w:rsidRPr="00AA6B07">
        <w:rPr>
          <w:rFonts w:asciiTheme="majorHAnsi" w:hAnsiTheme="majorHAnsi" w:cs="Calibri"/>
          <w:szCs w:val="22"/>
          <w:lang w:val="sq-AL"/>
        </w:rPr>
        <w:t>Në vazhdim të angazhimit të ndërmarrë në lidhje me përmirësimin e mëtejshëm të tregut primar dhe zhvillimin e tregut sekondar të titujve shtetërorë, përgjatë  vitit 2022 është vijuar me praktikat që kontribuojnë në krijimin e madhësive referencë dhe konsolidimin e kurbës së yield-it në segmentin e titujve shtetërorë afatmesëm dhe afatgjatë. Gjthashtu në dhjetor 2022, MFE hartoi dhe publikoi për herë të parë një Plan Vjetor Huamarrje për vitin 2023.  Plani Vjetor i Huamarrjes për vitin 2023, i përgatitur me asistencën e Bankës Botërore, synon të mbështesë aktivitetin e huamarrjes vjetore të Ministrisë së Financave dhe Ekonomisë, si dhe të rrisë transparencën kundrejt investitorëve</w:t>
      </w:r>
      <w:bookmarkEnd w:id="183"/>
      <w:bookmarkEnd w:id="184"/>
      <w:r w:rsidR="00FD1603" w:rsidRPr="00FD1603">
        <w:rPr>
          <w:rFonts w:asciiTheme="majorHAnsi" w:hAnsiTheme="majorHAnsi"/>
        </w:rPr>
        <w:t>.</w:t>
      </w:r>
    </w:p>
    <w:p w:rsidR="000964B4" w:rsidRPr="001D35B2" w:rsidRDefault="000964B4" w:rsidP="00C244E2">
      <w:pPr>
        <w:spacing w:line="240" w:lineRule="auto"/>
        <w:rPr>
          <w:rFonts w:cs="Calibri"/>
          <w:lang w:val="sq-AL"/>
        </w:rPr>
      </w:pPr>
      <w:r w:rsidRPr="001D35B2">
        <w:rPr>
          <w:rFonts w:cs="Calibri"/>
          <w:lang w:val="sq-AL"/>
        </w:rPr>
        <w:t xml:space="preserve">Informacion </w:t>
      </w:r>
      <w:r>
        <w:rPr>
          <w:rFonts w:cs="Calibri"/>
          <w:lang w:val="sq-AL"/>
        </w:rPr>
        <w:t xml:space="preserve">më të detajuar dhe </w:t>
      </w:r>
      <w:r w:rsidRPr="001D35B2">
        <w:rPr>
          <w:rFonts w:cs="Calibri"/>
          <w:lang w:val="sq-AL"/>
        </w:rPr>
        <w:t>gjith</w:t>
      </w:r>
      <w:r>
        <w:rPr>
          <w:rFonts w:cs="Calibri"/>
          <w:lang w:val="sq-AL"/>
        </w:rPr>
        <w:t>ë</w:t>
      </w:r>
      <w:r w:rsidRPr="001D35B2">
        <w:rPr>
          <w:rFonts w:cs="Calibri"/>
          <w:lang w:val="sq-AL"/>
        </w:rPr>
        <w:t>p</w:t>
      </w:r>
      <w:r>
        <w:rPr>
          <w:rFonts w:cs="Calibri"/>
          <w:lang w:val="sq-AL"/>
        </w:rPr>
        <w:t>ë</w:t>
      </w:r>
      <w:r w:rsidRPr="001D35B2">
        <w:rPr>
          <w:rFonts w:cs="Calibri"/>
          <w:lang w:val="sq-AL"/>
        </w:rPr>
        <w:t>rfshir</w:t>
      </w:r>
      <w:r>
        <w:rPr>
          <w:rFonts w:cs="Calibri"/>
          <w:lang w:val="sq-AL"/>
        </w:rPr>
        <w:t>ë</w:t>
      </w:r>
      <w:r w:rsidRPr="001D35B2">
        <w:rPr>
          <w:rFonts w:cs="Calibri"/>
          <w:lang w:val="sq-AL"/>
        </w:rPr>
        <w:t>s</w:t>
      </w:r>
      <w:r>
        <w:rPr>
          <w:rFonts w:cs="Calibri"/>
          <w:lang w:val="sq-AL"/>
        </w:rPr>
        <w:t xml:space="preserve"> për këtë qëllim, do të gjeni në “</w:t>
      </w:r>
      <w:r w:rsidRPr="000964B4">
        <w:rPr>
          <w:rFonts w:cs="Calibri"/>
          <w:b/>
          <w:lang w:val="sq-AL"/>
        </w:rPr>
        <w:t>Raporti</w:t>
      </w:r>
      <w:r>
        <w:rPr>
          <w:rFonts w:cs="Calibri"/>
          <w:b/>
          <w:lang w:val="sq-AL"/>
        </w:rPr>
        <w:t>n</w:t>
      </w:r>
      <w:r w:rsidRPr="000964B4">
        <w:rPr>
          <w:rFonts w:cs="Calibri"/>
          <w:b/>
          <w:lang w:val="sq-AL"/>
        </w:rPr>
        <w:t xml:space="preserve"> per Borxhin Publik dhe përbërjen e tij, për vitin 202</w:t>
      </w:r>
      <w:r w:rsidR="00AA6B07">
        <w:rPr>
          <w:rFonts w:cs="Calibri"/>
          <w:b/>
          <w:lang w:val="sq-AL"/>
        </w:rPr>
        <w:t>2</w:t>
      </w:r>
      <w:r>
        <w:rPr>
          <w:rFonts w:cs="Calibri"/>
          <w:b/>
          <w:lang w:val="sq-AL"/>
        </w:rPr>
        <w:t>”</w:t>
      </w:r>
      <w:r>
        <w:rPr>
          <w:rFonts w:cs="Calibri"/>
          <w:lang w:val="sq-AL"/>
        </w:rPr>
        <w:t xml:space="preserve"> që i bashkëlidhet këtij relacioni.</w:t>
      </w:r>
      <w:r w:rsidRPr="001D35B2">
        <w:rPr>
          <w:rFonts w:cs="Calibri"/>
          <w:lang w:val="sq-AL"/>
        </w:rPr>
        <w:t xml:space="preserve"> </w:t>
      </w:r>
    </w:p>
    <w:p w:rsidR="00CF660F" w:rsidRDefault="00CF660F" w:rsidP="00FC729E">
      <w:pPr>
        <w:tabs>
          <w:tab w:val="left" w:pos="2730"/>
        </w:tabs>
        <w:rPr>
          <w:rFonts w:asciiTheme="majorHAnsi" w:hAnsiTheme="majorHAnsi" w:cs="Calibri"/>
          <w:szCs w:val="22"/>
          <w:lang w:val="sq-AL"/>
        </w:rPr>
      </w:pPr>
    </w:p>
    <w:p w:rsidR="00C244E2" w:rsidRDefault="00C244E2" w:rsidP="00FC729E">
      <w:pPr>
        <w:tabs>
          <w:tab w:val="left" w:pos="2730"/>
        </w:tabs>
        <w:rPr>
          <w:rFonts w:asciiTheme="majorHAnsi" w:hAnsiTheme="majorHAnsi" w:cs="Calibri"/>
          <w:szCs w:val="22"/>
          <w:lang w:val="sq-AL"/>
        </w:rPr>
      </w:pPr>
    </w:p>
    <w:p w:rsidR="00C244E2" w:rsidRDefault="00C244E2" w:rsidP="00FC729E">
      <w:pPr>
        <w:tabs>
          <w:tab w:val="left" w:pos="2730"/>
        </w:tabs>
        <w:rPr>
          <w:rFonts w:asciiTheme="majorHAnsi" w:hAnsiTheme="majorHAnsi" w:cs="Calibri"/>
          <w:szCs w:val="22"/>
          <w:lang w:val="sq-AL"/>
        </w:rPr>
      </w:pPr>
    </w:p>
    <w:p w:rsidR="00C244E2" w:rsidRDefault="00C244E2" w:rsidP="00FC729E">
      <w:pPr>
        <w:tabs>
          <w:tab w:val="left" w:pos="2730"/>
        </w:tabs>
        <w:rPr>
          <w:rFonts w:asciiTheme="majorHAnsi" w:hAnsiTheme="majorHAnsi" w:cs="Calibri"/>
          <w:szCs w:val="22"/>
          <w:lang w:val="sq-AL"/>
        </w:rPr>
      </w:pPr>
    </w:p>
    <w:p w:rsidR="00C244E2" w:rsidRPr="00FD1603" w:rsidRDefault="00C244E2" w:rsidP="00FC729E">
      <w:pPr>
        <w:tabs>
          <w:tab w:val="left" w:pos="2730"/>
        </w:tabs>
        <w:rPr>
          <w:rFonts w:asciiTheme="majorHAnsi" w:hAnsiTheme="majorHAnsi" w:cs="Calibri"/>
          <w:szCs w:val="22"/>
          <w:lang w:val="sq-AL"/>
        </w:rPr>
      </w:pPr>
    </w:p>
    <w:p w:rsidR="00A94670" w:rsidRPr="00392522" w:rsidRDefault="008F621A" w:rsidP="00FC729E">
      <w:pPr>
        <w:pStyle w:val="Fiskale1"/>
        <w:rPr>
          <w:rFonts w:ascii="Calibri" w:hAnsi="Calibri" w:cs="Calibri"/>
        </w:rPr>
      </w:pPr>
      <w:bookmarkStart w:id="185" w:name="_Toc104980342"/>
      <w:r w:rsidRPr="00392522">
        <w:rPr>
          <w:rFonts w:ascii="Calibri" w:hAnsi="Calibri" w:cs="Calibri"/>
        </w:rPr>
        <w:lastRenderedPageBreak/>
        <w:t>RI</w:t>
      </w:r>
      <w:r w:rsidR="00CD42C3" w:rsidRPr="00392522">
        <w:rPr>
          <w:rFonts w:ascii="Calibri" w:hAnsi="Calibri" w:cs="Calibri"/>
        </w:rPr>
        <w:t>S</w:t>
      </w:r>
      <w:r w:rsidRPr="00392522">
        <w:rPr>
          <w:rFonts w:ascii="Calibri" w:hAnsi="Calibri" w:cs="Calibri"/>
        </w:rPr>
        <w:t>QET FISKALE DHE DETYRIMET KONTIGJENTE</w:t>
      </w:r>
      <w:bookmarkEnd w:id="181"/>
      <w:bookmarkEnd w:id="182"/>
      <w:bookmarkEnd w:id="185"/>
      <w:r w:rsidRPr="00392522">
        <w:rPr>
          <w:rFonts w:ascii="Calibri" w:hAnsi="Calibri" w:cs="Calibri"/>
        </w:rPr>
        <w:t xml:space="preserve"> </w:t>
      </w:r>
    </w:p>
    <w:p w:rsidR="001C245C" w:rsidRPr="00476D2E" w:rsidRDefault="001C245C" w:rsidP="00FC729E">
      <w:pPr>
        <w:spacing w:before="240"/>
        <w:rPr>
          <w:rFonts w:cs="Calibri"/>
          <w:lang w:val="sq-AL"/>
        </w:rPr>
      </w:pPr>
      <w:r w:rsidRPr="00476D2E">
        <w:rPr>
          <w:rFonts w:cs="Calibri"/>
          <w:lang w:val="sq-AL"/>
        </w:rPr>
        <w:t xml:space="preserve">Me qëllim ndjekjen e performancës të zbatimit të buxhetit të shtetit, Ministria e Financave dhe Ekonomisë me mbështetjen e FMN dhe BB që prej vitit 2017 ka </w:t>
      </w:r>
      <w:r w:rsidR="002E4773" w:rsidRPr="00476D2E">
        <w:rPr>
          <w:rFonts w:cs="Calibri"/>
          <w:lang w:val="sq-AL"/>
        </w:rPr>
        <w:t>nisur</w:t>
      </w:r>
      <w:r w:rsidRPr="00476D2E">
        <w:rPr>
          <w:rFonts w:cs="Calibri"/>
          <w:lang w:val="sq-AL"/>
        </w:rPr>
        <w:t xml:space="preserve"> monitorimin e risqeve që shoqërojnë zbatimin e tij. Ky proces ka për qëllim që, në bazë të analizave të thelluara, të rekomandojë zbutjen dhe/apo parandalimin në kohë të rreziqeve fiskale, pasuar nga një vendimarrje k</w:t>
      </w:r>
      <w:r w:rsidR="00560062" w:rsidRPr="00476D2E">
        <w:rPr>
          <w:rFonts w:cs="Calibri"/>
          <w:lang w:val="sq-AL"/>
        </w:rPr>
        <w:t xml:space="preserve">oherente. </w:t>
      </w:r>
      <w:r w:rsidRPr="00476D2E">
        <w:rPr>
          <w:rFonts w:cs="Calibri"/>
          <w:lang w:val="sq-AL"/>
        </w:rPr>
        <w:t xml:space="preserve">Risqet fiskale janë faktorë që mund të shkaktojnë devijim nga parashikimet fiskale dhe buxhetore gjatë ciklit të buxhetit, si rrjedhojë e disa ngjarjeve të paparashikuara. Ato mund të lindin si pasojë e supozimeve dhe zhvillimeve makroekonomike, vendimeve </w:t>
      </w:r>
      <w:r w:rsidRPr="00476D2E">
        <w:rPr>
          <w:rFonts w:cs="Calibri"/>
          <w:i/>
          <w:lang w:val="sq-AL"/>
        </w:rPr>
        <w:t>ad-hoc</w:t>
      </w:r>
      <w:r w:rsidRPr="00476D2E">
        <w:rPr>
          <w:rFonts w:cs="Calibri"/>
          <w:lang w:val="sq-AL"/>
        </w:rPr>
        <w:t xml:space="preserve"> mbi politikën fiskale dhe/ose materializi</w:t>
      </w:r>
      <w:r w:rsidR="00560062" w:rsidRPr="00476D2E">
        <w:rPr>
          <w:rFonts w:cs="Calibri"/>
          <w:lang w:val="sq-AL"/>
        </w:rPr>
        <w:t xml:space="preserve">min e detyrimeve kontingjente. </w:t>
      </w:r>
      <w:r w:rsidRPr="00476D2E">
        <w:rPr>
          <w:rFonts w:cs="Calibri"/>
          <w:lang w:val="sq-AL"/>
        </w:rPr>
        <w:t xml:space="preserve">Vlerësimi i probabilitetit dhe ndikimit të risqeve fiskale kryhet në bazë të analizave të thelluara dhe parashikimeve në kuadër të Buxhetit </w:t>
      </w:r>
      <w:r w:rsidR="00127C01" w:rsidRPr="00476D2E">
        <w:rPr>
          <w:rFonts w:cs="Calibri"/>
          <w:lang w:val="sq-AL"/>
        </w:rPr>
        <w:t>a</w:t>
      </w:r>
      <w:r w:rsidRPr="00476D2E">
        <w:rPr>
          <w:rFonts w:cs="Calibri"/>
          <w:lang w:val="sq-AL"/>
        </w:rPr>
        <w:t xml:space="preserve">fatmesëm. Përkatësisht vlerësohen </w:t>
      </w:r>
      <w:r w:rsidR="00E61050">
        <w:rPr>
          <w:rFonts w:cs="Calibri"/>
          <w:lang w:val="sq-AL"/>
        </w:rPr>
        <w:t xml:space="preserve">                   </w:t>
      </w:r>
      <w:r w:rsidRPr="00476D2E">
        <w:rPr>
          <w:rFonts w:cs="Calibri"/>
          <w:u w:val="single"/>
          <w:lang w:val="sq-AL"/>
        </w:rPr>
        <w:t>dy kategori risqesh</w:t>
      </w:r>
      <w:r w:rsidRPr="00476D2E">
        <w:rPr>
          <w:rFonts w:cs="Calibri"/>
          <w:lang w:val="sq-AL"/>
        </w:rPr>
        <w:t>:</w:t>
      </w:r>
    </w:p>
    <w:p w:rsidR="00560062" w:rsidRPr="00476D2E" w:rsidRDefault="00560062" w:rsidP="00FC729E">
      <w:pPr>
        <w:pStyle w:val="ListParagraph"/>
        <w:spacing w:before="0"/>
        <w:ind w:left="540"/>
        <w:rPr>
          <w:rFonts w:cs="Calibri"/>
          <w:i/>
          <w:sz w:val="8"/>
          <w:szCs w:val="8"/>
          <w:lang w:val="sq-AL"/>
        </w:rPr>
      </w:pPr>
    </w:p>
    <w:p w:rsidR="001C245C" w:rsidRPr="00476D2E" w:rsidRDefault="001C245C" w:rsidP="00FC729E">
      <w:pPr>
        <w:pStyle w:val="ListParagraph"/>
        <w:numPr>
          <w:ilvl w:val="1"/>
          <w:numId w:val="6"/>
        </w:numPr>
        <w:spacing w:before="0"/>
        <w:ind w:left="540"/>
        <w:rPr>
          <w:rFonts w:cs="Calibri"/>
          <w:i/>
          <w:lang w:val="sq-AL"/>
        </w:rPr>
      </w:pPr>
      <w:r w:rsidRPr="00476D2E">
        <w:rPr>
          <w:rFonts w:cs="Calibri"/>
          <w:i/>
          <w:u w:val="single"/>
          <w:lang w:val="sq-AL"/>
        </w:rPr>
        <w:t>Eksplicite”</w:t>
      </w:r>
      <w:r w:rsidRPr="00476D2E">
        <w:rPr>
          <w:rFonts w:cs="Calibri"/>
          <w:i/>
          <w:lang w:val="sq-AL"/>
        </w:rPr>
        <w:t>, Detyrime të njohura nga qeveria dhe të bazuara në legjislacionin në fuqi apo kontrata të ndryshme të cilat mund të lidhen me supozimet dhe zhvillimet makroekonomike, të ardhurat e qeverisë, shpenzimet e përgjithshme të qeverisë, shpenzimet dhe menaxhimin e borxhit, etj.</w:t>
      </w:r>
    </w:p>
    <w:p w:rsidR="00560062" w:rsidRPr="00476D2E" w:rsidRDefault="00560062" w:rsidP="00FC729E">
      <w:pPr>
        <w:pStyle w:val="ListParagraph"/>
        <w:ind w:left="540"/>
        <w:rPr>
          <w:rFonts w:cs="Calibri"/>
          <w:i/>
          <w:sz w:val="8"/>
          <w:szCs w:val="8"/>
          <w:lang w:val="sq-AL"/>
        </w:rPr>
      </w:pPr>
    </w:p>
    <w:p w:rsidR="001C245C" w:rsidRPr="00476D2E" w:rsidRDefault="001C245C" w:rsidP="00FC729E">
      <w:pPr>
        <w:pStyle w:val="ListParagraph"/>
        <w:numPr>
          <w:ilvl w:val="1"/>
          <w:numId w:val="6"/>
        </w:numPr>
        <w:ind w:left="540"/>
        <w:rPr>
          <w:rFonts w:cs="Calibri"/>
          <w:i/>
          <w:lang w:val="sq-AL"/>
        </w:rPr>
      </w:pPr>
      <w:r w:rsidRPr="00476D2E">
        <w:rPr>
          <w:rFonts w:cs="Calibri"/>
          <w:i/>
          <w:u w:val="single"/>
          <w:lang w:val="sq-AL"/>
        </w:rPr>
        <w:t>“Implicite”</w:t>
      </w:r>
      <w:r w:rsidRPr="00476D2E">
        <w:rPr>
          <w:rFonts w:cs="Calibri"/>
          <w:i/>
          <w:lang w:val="sq-AL"/>
        </w:rPr>
        <w:t>, kontingjente, Detyrime (indirekte) që mund të lindin si pasojë e presionit politik apo presionit të grupeve të ndryshme të interesit si detyrimet e lidhura me PPP-të, ato të vetëqeverisjes vendore, ndërmarrjet publike me kapital shtetëror, risqe të tjera si vendime gjyqësore, fatkeqësi natyrore dhe sektori financiar apo risqet afatgjata.</w:t>
      </w:r>
    </w:p>
    <w:p w:rsidR="001C245C" w:rsidRPr="00276062" w:rsidRDefault="001C245C" w:rsidP="00FC729E">
      <w:pPr>
        <w:pStyle w:val="Caption"/>
        <w:keepNext/>
        <w:spacing w:after="0"/>
        <w:jc w:val="left"/>
      </w:pPr>
      <w:bookmarkStart w:id="186" w:name="_Toc136526338"/>
      <w:r w:rsidRPr="00276062">
        <w:t xml:space="preserve">Tabela </w:t>
      </w:r>
      <w:fldSimple w:instr=" SEQ Tabela \* ARABIC ">
        <w:r w:rsidR="008C3E07">
          <w:rPr>
            <w:noProof/>
          </w:rPr>
          <w:t>12</w:t>
        </w:r>
      </w:fldSimple>
      <w:r w:rsidRPr="00276062">
        <w:t xml:space="preserve"> Matrica e riskut</w:t>
      </w:r>
      <w:bookmarkEnd w:id="186"/>
    </w:p>
    <w:tbl>
      <w:tblPr>
        <w:tblStyle w:val="GridTable4-Accent11"/>
        <w:tblW w:w="5023" w:type="pct"/>
        <w:jc w:val="center"/>
        <w:tblLook w:val="04A0" w:firstRow="1" w:lastRow="0" w:firstColumn="1" w:lastColumn="0" w:noHBand="0" w:noVBand="1"/>
      </w:tblPr>
      <w:tblGrid>
        <w:gridCol w:w="3724"/>
        <w:gridCol w:w="6844"/>
      </w:tblGrid>
      <w:tr w:rsidR="001C245C" w:rsidRPr="00476D2E" w:rsidTr="001766F3">
        <w:trPr>
          <w:cnfStyle w:val="100000000000" w:firstRow="1" w:lastRow="0" w:firstColumn="0" w:lastColumn="0" w:oddVBand="0" w:evenVBand="0" w:oddHBand="0" w:evenHBand="0" w:firstRowFirstColumn="0" w:firstRowLastColumn="0" w:lastRowFirstColumn="0" w:lastRowLastColumn="0"/>
          <w:trHeight w:val="76"/>
          <w:jc w:val="center"/>
        </w:trPr>
        <w:tc>
          <w:tcPr>
            <w:cnfStyle w:val="001000000000" w:firstRow="0" w:lastRow="0" w:firstColumn="1" w:lastColumn="0" w:oddVBand="0" w:evenVBand="0" w:oddHBand="0" w:evenHBand="0" w:firstRowFirstColumn="0" w:firstRowLastColumn="0" w:lastRowFirstColumn="0" w:lastRowLastColumn="0"/>
            <w:tcW w:w="1762" w:type="pct"/>
            <w:tcBorders>
              <w:bottom w:val="single" w:sz="4" w:space="0" w:color="59A9F2" w:themeColor="accent1" w:themeTint="99"/>
            </w:tcBorders>
            <w:shd w:val="clear" w:color="auto" w:fill="0B5294" w:themeFill="accent1" w:themeFillShade="BF"/>
            <w:hideMark/>
          </w:tcPr>
          <w:p w:rsidR="001C245C" w:rsidRPr="00476D2E" w:rsidRDefault="001C245C" w:rsidP="00FC729E">
            <w:pPr>
              <w:spacing w:before="0"/>
              <w:jc w:val="center"/>
              <w:rPr>
                <w:rFonts w:cs="Calibri"/>
                <w:sz w:val="19"/>
                <w:szCs w:val="19"/>
                <w:lang w:val="sq-AL" w:eastAsia="nb-NO"/>
              </w:rPr>
            </w:pPr>
            <w:r w:rsidRPr="00476D2E">
              <w:rPr>
                <w:rFonts w:cs="Calibri"/>
                <w:kern w:val="24"/>
                <w:sz w:val="19"/>
                <w:szCs w:val="19"/>
                <w:lang w:val="sq-AL" w:eastAsia="nb-NO"/>
              </w:rPr>
              <w:t>Lloji i rrezikut</w:t>
            </w:r>
          </w:p>
        </w:tc>
        <w:tc>
          <w:tcPr>
            <w:tcW w:w="3238" w:type="pct"/>
            <w:tcBorders>
              <w:bottom w:val="single" w:sz="4" w:space="0" w:color="59A9F2" w:themeColor="accent1" w:themeTint="99"/>
            </w:tcBorders>
            <w:shd w:val="clear" w:color="auto" w:fill="0B5294" w:themeFill="accent1" w:themeFillShade="BF"/>
            <w:hideMark/>
          </w:tcPr>
          <w:p w:rsidR="001C245C" w:rsidRPr="00476D2E" w:rsidRDefault="001C245C" w:rsidP="00FC729E">
            <w:pPr>
              <w:spacing w:before="0"/>
              <w:jc w:val="center"/>
              <w:cnfStyle w:val="100000000000" w:firstRow="1" w:lastRow="0" w:firstColumn="0" w:lastColumn="0" w:oddVBand="0" w:evenVBand="0" w:oddHBand="0" w:evenHBand="0" w:firstRowFirstColumn="0" w:firstRowLastColumn="0" w:lastRowFirstColumn="0" w:lastRowLastColumn="0"/>
              <w:rPr>
                <w:rFonts w:cs="Calibri"/>
                <w:sz w:val="19"/>
                <w:szCs w:val="19"/>
                <w:lang w:val="sq-AL" w:eastAsia="nb-NO"/>
              </w:rPr>
            </w:pPr>
            <w:r w:rsidRPr="00476D2E">
              <w:rPr>
                <w:rFonts w:cs="Calibri"/>
                <w:kern w:val="24"/>
                <w:sz w:val="19"/>
                <w:szCs w:val="19"/>
                <w:lang w:val="sq-AL" w:eastAsia="nb-NO"/>
              </w:rPr>
              <w:t>Skenarët e mundshëm</w:t>
            </w:r>
          </w:p>
        </w:tc>
      </w:tr>
      <w:tr w:rsidR="001C245C" w:rsidRPr="00476D2E" w:rsidTr="001766F3">
        <w:trPr>
          <w:cnfStyle w:val="000000100000" w:firstRow="0" w:lastRow="0" w:firstColumn="0" w:lastColumn="0" w:oddVBand="0" w:evenVBand="0" w:oddHBand="1" w:evenHBand="0" w:firstRowFirstColumn="0" w:firstRowLastColumn="0" w:lastRowFirstColumn="0" w:lastRowLastColumn="0"/>
          <w:trHeight w:val="46"/>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hideMark/>
          </w:tcPr>
          <w:p w:rsidR="001C245C" w:rsidRPr="00CF6A7A" w:rsidRDefault="001C245C" w:rsidP="00FC729E">
            <w:pPr>
              <w:spacing w:before="0"/>
              <w:jc w:val="center"/>
              <w:rPr>
                <w:rFonts w:cs="Calibri"/>
                <w:b w:val="0"/>
                <w:bCs w:val="0"/>
                <w:kern w:val="24"/>
                <w:sz w:val="19"/>
                <w:szCs w:val="19"/>
                <w:lang w:val="sq-AL" w:eastAsia="nb-NO"/>
              </w:rPr>
            </w:pPr>
            <w:r w:rsidRPr="00CF6A7A">
              <w:rPr>
                <w:rFonts w:cs="Calibri"/>
                <w:kern w:val="24"/>
                <w:sz w:val="19"/>
                <w:szCs w:val="19"/>
                <w:lang w:val="sq-AL" w:eastAsia="nb-NO"/>
              </w:rPr>
              <w:t xml:space="preserve">Risqet dhe detyrimet </w:t>
            </w:r>
            <w:r w:rsidRPr="00CF6A7A">
              <w:rPr>
                <w:rFonts w:cs="Calibri"/>
                <w:kern w:val="24"/>
                <w:sz w:val="19"/>
                <w:szCs w:val="19"/>
                <w:u w:val="single"/>
                <w:lang w:val="sq-AL" w:eastAsia="nb-NO"/>
              </w:rPr>
              <w:t>eksplicite</w:t>
            </w:r>
          </w:p>
        </w:tc>
      </w:tr>
      <w:tr w:rsidR="001C245C" w:rsidRPr="00476D2E" w:rsidTr="001766F3">
        <w:trPr>
          <w:trHeight w:val="80"/>
          <w:jc w:val="center"/>
        </w:trPr>
        <w:tc>
          <w:tcPr>
            <w:cnfStyle w:val="001000000000" w:firstRow="0" w:lastRow="0" w:firstColumn="1" w:lastColumn="0" w:oddVBand="0" w:evenVBand="0" w:oddHBand="0" w:evenHBand="0" w:firstRowFirstColumn="0" w:firstRowLastColumn="0" w:lastRowFirstColumn="0" w:lastRowLastColumn="0"/>
            <w:tcW w:w="1762" w:type="pct"/>
            <w:shd w:val="clear" w:color="auto" w:fill="auto"/>
            <w:hideMark/>
          </w:tcPr>
          <w:p w:rsidR="001C245C" w:rsidRPr="00476D2E" w:rsidRDefault="001C245C" w:rsidP="00FC729E">
            <w:pPr>
              <w:spacing w:before="0"/>
              <w:jc w:val="center"/>
              <w:rPr>
                <w:rFonts w:cs="Calibri"/>
                <w:sz w:val="19"/>
                <w:szCs w:val="19"/>
                <w:lang w:val="sq-AL" w:eastAsia="nb-NO"/>
              </w:rPr>
            </w:pPr>
            <w:r w:rsidRPr="00476D2E">
              <w:rPr>
                <w:rFonts w:cs="Calibri"/>
                <w:color w:val="000000"/>
                <w:kern w:val="24"/>
                <w:sz w:val="19"/>
                <w:szCs w:val="19"/>
                <w:lang w:val="sq-AL" w:eastAsia="nb-NO"/>
              </w:rPr>
              <w:t>Goditje Makroekonomike</w:t>
            </w:r>
          </w:p>
        </w:tc>
        <w:tc>
          <w:tcPr>
            <w:tcW w:w="3238" w:type="pct"/>
            <w:shd w:val="clear" w:color="auto" w:fill="auto"/>
            <w:hideMark/>
          </w:tcPr>
          <w:p w:rsidR="001C245C" w:rsidRPr="00CF6A7A" w:rsidRDefault="001C245C" w:rsidP="00FC729E">
            <w:pPr>
              <w:spacing w:before="0"/>
              <w:jc w:val="center"/>
              <w:cnfStyle w:val="000000000000" w:firstRow="0" w:lastRow="0" w:firstColumn="0" w:lastColumn="0" w:oddVBand="0" w:evenVBand="0" w:oddHBand="0" w:evenHBand="0" w:firstRowFirstColumn="0" w:firstRowLastColumn="0" w:lastRowFirstColumn="0" w:lastRowLastColumn="0"/>
              <w:rPr>
                <w:rFonts w:cs="Calibri"/>
                <w:kern w:val="24"/>
                <w:sz w:val="19"/>
                <w:szCs w:val="19"/>
                <w:lang w:val="sq-AL" w:eastAsia="nb-NO"/>
              </w:rPr>
            </w:pPr>
            <w:r w:rsidRPr="00CF6A7A">
              <w:rPr>
                <w:rFonts w:cs="Calibri"/>
                <w:kern w:val="24"/>
                <w:sz w:val="19"/>
                <w:szCs w:val="19"/>
                <w:lang w:val="sq-AL" w:eastAsia="nb-NO"/>
              </w:rPr>
              <w:t>Zhvillime  makroekonomike të paparashikuara, që mund të ndryshojnë perspektivën e rritjes ekonomike dhe pozicionin fiskal</w:t>
            </w:r>
          </w:p>
        </w:tc>
      </w:tr>
      <w:tr w:rsidR="001C245C" w:rsidRPr="00476D2E" w:rsidTr="001766F3">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762" w:type="pct"/>
            <w:shd w:val="clear" w:color="auto" w:fill="auto"/>
            <w:hideMark/>
          </w:tcPr>
          <w:p w:rsidR="001C245C" w:rsidRPr="00476D2E" w:rsidRDefault="001C245C" w:rsidP="00FC729E">
            <w:pPr>
              <w:spacing w:before="0"/>
              <w:jc w:val="center"/>
              <w:rPr>
                <w:rFonts w:cs="Calibri"/>
                <w:sz w:val="19"/>
                <w:szCs w:val="19"/>
                <w:lang w:val="sq-AL" w:eastAsia="nb-NO"/>
              </w:rPr>
            </w:pPr>
            <w:r w:rsidRPr="00476D2E">
              <w:rPr>
                <w:rFonts w:cs="Calibri"/>
                <w:color w:val="000000"/>
                <w:kern w:val="24"/>
                <w:sz w:val="19"/>
                <w:szCs w:val="19"/>
                <w:lang w:val="sq-AL" w:eastAsia="nb-NO"/>
              </w:rPr>
              <w:t>Parashikimi i të ardhurave</w:t>
            </w:r>
          </w:p>
        </w:tc>
        <w:tc>
          <w:tcPr>
            <w:tcW w:w="3238" w:type="pct"/>
            <w:shd w:val="clear" w:color="auto" w:fill="auto"/>
            <w:hideMark/>
          </w:tcPr>
          <w:p w:rsidR="001C245C" w:rsidRPr="00CF6A7A" w:rsidRDefault="001C245C" w:rsidP="00FC729E">
            <w:pPr>
              <w:spacing w:before="0"/>
              <w:jc w:val="center"/>
              <w:cnfStyle w:val="000000100000" w:firstRow="0" w:lastRow="0" w:firstColumn="0" w:lastColumn="0" w:oddVBand="0" w:evenVBand="0" w:oddHBand="1" w:evenHBand="0" w:firstRowFirstColumn="0" w:firstRowLastColumn="0" w:lastRowFirstColumn="0" w:lastRowLastColumn="0"/>
              <w:rPr>
                <w:rFonts w:cs="Calibri"/>
                <w:kern w:val="24"/>
                <w:sz w:val="19"/>
                <w:szCs w:val="19"/>
                <w:lang w:val="sq-AL" w:eastAsia="nb-NO"/>
              </w:rPr>
            </w:pPr>
            <w:r w:rsidRPr="00CF6A7A">
              <w:rPr>
                <w:rFonts w:cs="Calibri"/>
                <w:kern w:val="24"/>
                <w:sz w:val="19"/>
                <w:szCs w:val="19"/>
                <w:lang w:val="sq-AL" w:eastAsia="nb-NO"/>
              </w:rPr>
              <w:t>Mosrealizimi i të ardhurave, që mund të sjellë përkeqësimin e bilancit fiskal</w:t>
            </w:r>
          </w:p>
        </w:tc>
      </w:tr>
      <w:tr w:rsidR="001C245C" w:rsidRPr="00476D2E" w:rsidTr="001766F3">
        <w:trPr>
          <w:trHeight w:val="80"/>
          <w:jc w:val="center"/>
        </w:trPr>
        <w:tc>
          <w:tcPr>
            <w:cnfStyle w:val="001000000000" w:firstRow="0" w:lastRow="0" w:firstColumn="1" w:lastColumn="0" w:oddVBand="0" w:evenVBand="0" w:oddHBand="0" w:evenHBand="0" w:firstRowFirstColumn="0" w:firstRowLastColumn="0" w:lastRowFirstColumn="0" w:lastRowLastColumn="0"/>
            <w:tcW w:w="1762" w:type="pct"/>
            <w:shd w:val="clear" w:color="auto" w:fill="auto"/>
            <w:hideMark/>
          </w:tcPr>
          <w:p w:rsidR="001C245C" w:rsidRPr="00476D2E" w:rsidRDefault="001C245C" w:rsidP="00FC729E">
            <w:pPr>
              <w:spacing w:before="0"/>
              <w:jc w:val="center"/>
              <w:rPr>
                <w:rFonts w:cs="Calibri"/>
                <w:sz w:val="19"/>
                <w:szCs w:val="19"/>
                <w:lang w:val="sq-AL" w:eastAsia="nb-NO"/>
              </w:rPr>
            </w:pPr>
            <w:r w:rsidRPr="00476D2E">
              <w:rPr>
                <w:rFonts w:cs="Calibri"/>
                <w:color w:val="000000"/>
                <w:kern w:val="24"/>
                <w:sz w:val="19"/>
                <w:szCs w:val="19"/>
                <w:lang w:val="sq-AL" w:eastAsia="nb-NO"/>
              </w:rPr>
              <w:t>Shpenzime të paplanifikuara</w:t>
            </w:r>
          </w:p>
        </w:tc>
        <w:tc>
          <w:tcPr>
            <w:tcW w:w="3238" w:type="pct"/>
            <w:shd w:val="clear" w:color="auto" w:fill="auto"/>
            <w:hideMark/>
          </w:tcPr>
          <w:p w:rsidR="001C245C" w:rsidRPr="00CF6A7A" w:rsidRDefault="001C245C" w:rsidP="00FC729E">
            <w:pPr>
              <w:spacing w:before="0"/>
              <w:jc w:val="center"/>
              <w:cnfStyle w:val="000000000000" w:firstRow="0" w:lastRow="0" w:firstColumn="0" w:lastColumn="0" w:oddVBand="0" w:evenVBand="0" w:oddHBand="0" w:evenHBand="0" w:firstRowFirstColumn="0" w:firstRowLastColumn="0" w:lastRowFirstColumn="0" w:lastRowLastColumn="0"/>
              <w:rPr>
                <w:rFonts w:cs="Calibri"/>
                <w:kern w:val="24"/>
                <w:sz w:val="19"/>
                <w:szCs w:val="19"/>
                <w:lang w:val="sq-AL" w:eastAsia="nb-NO"/>
              </w:rPr>
            </w:pPr>
            <w:r w:rsidRPr="00CF6A7A">
              <w:rPr>
                <w:rFonts w:cs="Calibri"/>
                <w:kern w:val="24"/>
                <w:sz w:val="19"/>
                <w:szCs w:val="19"/>
                <w:lang w:val="sq-AL" w:eastAsia="nb-NO"/>
              </w:rPr>
              <w:t>Detyrime ligjore ose presione politike, që mund të sjellin rishpërndarje të shpenzimeve</w:t>
            </w:r>
          </w:p>
        </w:tc>
      </w:tr>
      <w:tr w:rsidR="001C245C" w:rsidRPr="00476D2E" w:rsidTr="001766F3">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762" w:type="pct"/>
            <w:shd w:val="clear" w:color="auto" w:fill="auto"/>
            <w:hideMark/>
          </w:tcPr>
          <w:p w:rsidR="001C245C" w:rsidRPr="00476D2E" w:rsidRDefault="001C245C" w:rsidP="00FC729E">
            <w:pPr>
              <w:spacing w:before="0"/>
              <w:jc w:val="center"/>
              <w:rPr>
                <w:rFonts w:cs="Calibri"/>
                <w:sz w:val="19"/>
                <w:szCs w:val="19"/>
                <w:lang w:val="sq-AL" w:eastAsia="nb-NO"/>
              </w:rPr>
            </w:pPr>
            <w:r w:rsidRPr="00476D2E">
              <w:rPr>
                <w:rFonts w:cs="Calibri"/>
                <w:color w:val="000000"/>
                <w:kern w:val="24"/>
                <w:sz w:val="19"/>
                <w:szCs w:val="19"/>
                <w:lang w:val="sq-AL" w:eastAsia="nb-NO"/>
              </w:rPr>
              <w:t>Borxhi publik</w:t>
            </w:r>
          </w:p>
        </w:tc>
        <w:tc>
          <w:tcPr>
            <w:tcW w:w="3238" w:type="pct"/>
            <w:shd w:val="clear" w:color="auto" w:fill="auto"/>
            <w:hideMark/>
          </w:tcPr>
          <w:p w:rsidR="001C245C" w:rsidRPr="00CF6A7A" w:rsidRDefault="001C245C" w:rsidP="00FC729E">
            <w:pPr>
              <w:spacing w:before="0"/>
              <w:jc w:val="center"/>
              <w:cnfStyle w:val="000000100000" w:firstRow="0" w:lastRow="0" w:firstColumn="0" w:lastColumn="0" w:oddVBand="0" w:evenVBand="0" w:oddHBand="1" w:evenHBand="0" w:firstRowFirstColumn="0" w:firstRowLastColumn="0" w:lastRowFirstColumn="0" w:lastRowLastColumn="0"/>
              <w:rPr>
                <w:rFonts w:cs="Calibri"/>
                <w:kern w:val="24"/>
                <w:sz w:val="19"/>
                <w:szCs w:val="19"/>
                <w:lang w:val="sq-AL" w:eastAsia="nb-NO"/>
              </w:rPr>
            </w:pPr>
            <w:r w:rsidRPr="00CF6A7A">
              <w:rPr>
                <w:rFonts w:cs="Calibri"/>
                <w:kern w:val="24"/>
                <w:sz w:val="19"/>
                <w:szCs w:val="19"/>
                <w:lang w:val="sq-AL" w:eastAsia="nb-NO"/>
              </w:rPr>
              <w:t>Zhvillime të papritura të tregut, ndryshime në normën e interesit ose në kursin e këmbimit, që mund të rrisin nivelin e borxhit publik</w:t>
            </w:r>
          </w:p>
        </w:tc>
      </w:tr>
      <w:tr w:rsidR="001C245C" w:rsidRPr="00476D2E" w:rsidTr="001766F3">
        <w:trPr>
          <w:trHeight w:val="43"/>
          <w:jc w:val="cent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rsidR="00127C01" w:rsidRPr="00CF6A7A" w:rsidRDefault="001C245C" w:rsidP="00FC729E">
            <w:pPr>
              <w:spacing w:before="0"/>
              <w:jc w:val="center"/>
              <w:rPr>
                <w:rFonts w:cs="Calibri"/>
                <w:b w:val="0"/>
                <w:kern w:val="24"/>
                <w:sz w:val="19"/>
                <w:szCs w:val="19"/>
                <w:u w:val="single"/>
                <w:lang w:val="sq-AL" w:eastAsia="nb-NO"/>
              </w:rPr>
            </w:pPr>
            <w:r w:rsidRPr="00CF6A7A">
              <w:rPr>
                <w:rFonts w:cs="Calibri"/>
                <w:kern w:val="24"/>
                <w:sz w:val="19"/>
                <w:szCs w:val="19"/>
                <w:lang w:val="sq-AL" w:eastAsia="nb-NO"/>
              </w:rPr>
              <w:t xml:space="preserve">Risqet </w:t>
            </w:r>
            <w:r w:rsidRPr="00CF6A7A">
              <w:rPr>
                <w:rFonts w:cs="Calibri"/>
                <w:kern w:val="24"/>
                <w:sz w:val="19"/>
                <w:szCs w:val="19"/>
                <w:u w:val="single"/>
                <w:lang w:val="sq-AL" w:eastAsia="nb-NO"/>
              </w:rPr>
              <w:t>implicite</w:t>
            </w:r>
            <w:r w:rsidRPr="00CF6A7A">
              <w:rPr>
                <w:rFonts w:cs="Calibri"/>
                <w:kern w:val="24"/>
                <w:sz w:val="19"/>
                <w:szCs w:val="19"/>
                <w:lang w:val="sq-AL" w:eastAsia="nb-NO"/>
              </w:rPr>
              <w:t xml:space="preserve"> dhe detyrimet </w:t>
            </w:r>
            <w:r w:rsidRPr="00CF6A7A">
              <w:rPr>
                <w:rFonts w:cs="Calibri"/>
                <w:kern w:val="24"/>
                <w:sz w:val="19"/>
                <w:szCs w:val="19"/>
                <w:u w:val="single"/>
                <w:lang w:val="sq-AL" w:eastAsia="nb-NO"/>
              </w:rPr>
              <w:t>kontigjente</w:t>
            </w:r>
          </w:p>
        </w:tc>
      </w:tr>
      <w:tr w:rsidR="001C245C" w:rsidRPr="00476D2E" w:rsidTr="001766F3">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1762" w:type="pct"/>
            <w:shd w:val="clear" w:color="auto" w:fill="auto"/>
            <w:hideMark/>
          </w:tcPr>
          <w:p w:rsidR="001C245C" w:rsidRPr="00476D2E" w:rsidRDefault="001C245C" w:rsidP="00FC729E">
            <w:pPr>
              <w:spacing w:before="0"/>
              <w:jc w:val="center"/>
              <w:rPr>
                <w:rFonts w:cs="Calibri"/>
                <w:sz w:val="19"/>
                <w:szCs w:val="19"/>
                <w:lang w:val="sq-AL" w:eastAsia="nb-NO"/>
              </w:rPr>
            </w:pPr>
            <w:r w:rsidRPr="00476D2E">
              <w:rPr>
                <w:rFonts w:cs="Calibri"/>
                <w:color w:val="000000"/>
                <w:kern w:val="24"/>
                <w:sz w:val="19"/>
                <w:szCs w:val="19"/>
                <w:lang w:val="sq-AL" w:eastAsia="nb-NO"/>
              </w:rPr>
              <w:t>Pagesat për PPP</w:t>
            </w:r>
          </w:p>
        </w:tc>
        <w:tc>
          <w:tcPr>
            <w:tcW w:w="3238" w:type="pct"/>
            <w:shd w:val="clear" w:color="auto" w:fill="auto"/>
            <w:hideMark/>
          </w:tcPr>
          <w:p w:rsidR="001C245C" w:rsidRPr="00476D2E" w:rsidRDefault="001C245C" w:rsidP="00FC729E">
            <w:pPr>
              <w:spacing w:before="0"/>
              <w:jc w:val="center"/>
              <w:cnfStyle w:val="000000100000" w:firstRow="0" w:lastRow="0" w:firstColumn="0" w:lastColumn="0" w:oddVBand="0" w:evenVBand="0" w:oddHBand="1" w:evenHBand="0" w:firstRowFirstColumn="0" w:firstRowLastColumn="0" w:lastRowFirstColumn="0" w:lastRowLastColumn="0"/>
              <w:rPr>
                <w:rFonts w:cs="Calibri"/>
                <w:color w:val="000000"/>
                <w:kern w:val="24"/>
                <w:sz w:val="19"/>
                <w:szCs w:val="19"/>
                <w:lang w:val="sq-AL" w:eastAsia="nb-NO"/>
              </w:rPr>
            </w:pPr>
            <w:r w:rsidRPr="00476D2E">
              <w:rPr>
                <w:rFonts w:cs="Calibri"/>
                <w:color w:val="000000"/>
                <w:kern w:val="24"/>
                <w:sz w:val="19"/>
                <w:szCs w:val="19"/>
                <w:lang w:val="sq-AL" w:eastAsia="nb-NO"/>
              </w:rPr>
              <w:t>Pagesat vjetore për PPP-të, mund të tejkalojnë nivelin e lejuar ligjor prej 5% të të ardhurave tatimore faktike të vitit paraardhës</w:t>
            </w:r>
          </w:p>
        </w:tc>
      </w:tr>
      <w:tr w:rsidR="001C245C" w:rsidRPr="00476D2E" w:rsidTr="001766F3">
        <w:trPr>
          <w:trHeight w:val="52"/>
          <w:jc w:val="center"/>
        </w:trPr>
        <w:tc>
          <w:tcPr>
            <w:cnfStyle w:val="001000000000" w:firstRow="0" w:lastRow="0" w:firstColumn="1" w:lastColumn="0" w:oddVBand="0" w:evenVBand="0" w:oddHBand="0" w:evenHBand="0" w:firstRowFirstColumn="0" w:firstRowLastColumn="0" w:lastRowFirstColumn="0" w:lastRowLastColumn="0"/>
            <w:tcW w:w="1762" w:type="pct"/>
            <w:shd w:val="clear" w:color="auto" w:fill="auto"/>
            <w:hideMark/>
          </w:tcPr>
          <w:p w:rsidR="001C245C" w:rsidRPr="00476D2E" w:rsidRDefault="001C245C" w:rsidP="00FC729E">
            <w:pPr>
              <w:spacing w:before="0"/>
              <w:jc w:val="center"/>
              <w:rPr>
                <w:rFonts w:cs="Calibri"/>
                <w:sz w:val="19"/>
                <w:szCs w:val="19"/>
                <w:lang w:val="sq-AL" w:eastAsia="nb-NO"/>
              </w:rPr>
            </w:pPr>
            <w:r w:rsidRPr="00476D2E">
              <w:rPr>
                <w:rFonts w:cs="Calibri"/>
                <w:color w:val="000000"/>
                <w:kern w:val="24"/>
                <w:sz w:val="19"/>
                <w:szCs w:val="19"/>
                <w:lang w:val="sq-AL" w:eastAsia="nb-NO"/>
              </w:rPr>
              <w:t>Vështirësia financiare e Ndërmarrjeve Shtetërore (NSH)</w:t>
            </w:r>
          </w:p>
        </w:tc>
        <w:tc>
          <w:tcPr>
            <w:tcW w:w="3238" w:type="pct"/>
            <w:shd w:val="clear" w:color="auto" w:fill="auto"/>
            <w:hideMark/>
          </w:tcPr>
          <w:p w:rsidR="001C245C" w:rsidRPr="00476D2E" w:rsidRDefault="001C245C" w:rsidP="00FC729E">
            <w:pPr>
              <w:spacing w:before="0"/>
              <w:jc w:val="center"/>
              <w:cnfStyle w:val="000000000000" w:firstRow="0" w:lastRow="0" w:firstColumn="0" w:lastColumn="0" w:oddVBand="0" w:evenVBand="0" w:oddHBand="0" w:evenHBand="0" w:firstRowFirstColumn="0" w:firstRowLastColumn="0" w:lastRowFirstColumn="0" w:lastRowLastColumn="0"/>
              <w:rPr>
                <w:rFonts w:cs="Calibri"/>
                <w:color w:val="000000"/>
                <w:kern w:val="24"/>
                <w:sz w:val="8"/>
                <w:szCs w:val="19"/>
                <w:lang w:val="sq-AL" w:eastAsia="nb-NO"/>
              </w:rPr>
            </w:pPr>
          </w:p>
          <w:p w:rsidR="001C245C" w:rsidRPr="00476D2E" w:rsidRDefault="001C245C" w:rsidP="00FC729E">
            <w:pPr>
              <w:spacing w:before="0"/>
              <w:jc w:val="center"/>
              <w:cnfStyle w:val="000000000000" w:firstRow="0" w:lastRow="0" w:firstColumn="0" w:lastColumn="0" w:oddVBand="0" w:evenVBand="0" w:oddHBand="0" w:evenHBand="0" w:firstRowFirstColumn="0" w:firstRowLastColumn="0" w:lastRowFirstColumn="0" w:lastRowLastColumn="0"/>
              <w:rPr>
                <w:rFonts w:cs="Calibri"/>
                <w:color w:val="000000"/>
                <w:kern w:val="24"/>
                <w:sz w:val="19"/>
                <w:szCs w:val="19"/>
                <w:lang w:val="sq-AL" w:eastAsia="nb-NO"/>
              </w:rPr>
            </w:pPr>
            <w:r w:rsidRPr="00476D2E">
              <w:rPr>
                <w:rFonts w:cs="Calibri"/>
                <w:color w:val="000000"/>
                <w:kern w:val="24"/>
                <w:sz w:val="19"/>
                <w:szCs w:val="19"/>
                <w:lang w:val="sq-AL" w:eastAsia="nb-NO"/>
              </w:rPr>
              <w:t>Qeverisë mund t’i duhet të ndërhyjë për të mbështur financiarisht NSH-të</w:t>
            </w:r>
          </w:p>
        </w:tc>
      </w:tr>
      <w:tr w:rsidR="001C245C" w:rsidRPr="00476D2E" w:rsidTr="001766F3">
        <w:trPr>
          <w:cnfStyle w:val="000000100000" w:firstRow="0" w:lastRow="0" w:firstColumn="0" w:lastColumn="0" w:oddVBand="0" w:evenVBand="0" w:oddHBand="1" w:evenHBand="0" w:firstRowFirstColumn="0" w:firstRowLastColumn="0" w:lastRowFirstColumn="0" w:lastRowLastColumn="0"/>
          <w:trHeight w:val="78"/>
          <w:jc w:val="center"/>
        </w:trPr>
        <w:tc>
          <w:tcPr>
            <w:cnfStyle w:val="001000000000" w:firstRow="0" w:lastRow="0" w:firstColumn="1" w:lastColumn="0" w:oddVBand="0" w:evenVBand="0" w:oddHBand="0" w:evenHBand="0" w:firstRowFirstColumn="0" w:firstRowLastColumn="0" w:lastRowFirstColumn="0" w:lastRowLastColumn="0"/>
            <w:tcW w:w="1762" w:type="pct"/>
            <w:shd w:val="clear" w:color="auto" w:fill="auto"/>
            <w:hideMark/>
          </w:tcPr>
          <w:p w:rsidR="001C245C" w:rsidRPr="00476D2E" w:rsidRDefault="001C245C" w:rsidP="00FC729E">
            <w:pPr>
              <w:spacing w:before="0"/>
              <w:jc w:val="center"/>
              <w:rPr>
                <w:rFonts w:cs="Calibri"/>
                <w:sz w:val="19"/>
                <w:szCs w:val="19"/>
                <w:lang w:val="sq-AL" w:eastAsia="nb-NO"/>
              </w:rPr>
            </w:pPr>
            <w:r w:rsidRPr="00476D2E">
              <w:rPr>
                <w:rFonts w:cs="Calibri"/>
                <w:color w:val="000000"/>
                <w:kern w:val="24"/>
                <w:sz w:val="19"/>
                <w:szCs w:val="19"/>
                <w:lang w:val="sq-AL" w:eastAsia="nb-NO"/>
              </w:rPr>
              <w:t>Risqe të tjera</w:t>
            </w:r>
          </w:p>
        </w:tc>
        <w:tc>
          <w:tcPr>
            <w:tcW w:w="3238" w:type="pct"/>
            <w:shd w:val="clear" w:color="auto" w:fill="auto"/>
            <w:hideMark/>
          </w:tcPr>
          <w:p w:rsidR="001C245C" w:rsidRPr="00476D2E" w:rsidRDefault="001C245C" w:rsidP="00FC729E">
            <w:pPr>
              <w:spacing w:before="0"/>
              <w:jc w:val="center"/>
              <w:cnfStyle w:val="000000100000" w:firstRow="0" w:lastRow="0" w:firstColumn="0" w:lastColumn="0" w:oddVBand="0" w:evenVBand="0" w:oddHBand="1" w:evenHBand="0" w:firstRowFirstColumn="0" w:firstRowLastColumn="0" w:lastRowFirstColumn="0" w:lastRowLastColumn="0"/>
              <w:rPr>
                <w:rFonts w:cs="Calibri"/>
                <w:color w:val="000000"/>
                <w:kern w:val="24"/>
                <w:sz w:val="19"/>
                <w:szCs w:val="19"/>
                <w:lang w:val="sq-AL" w:eastAsia="nb-NO"/>
              </w:rPr>
            </w:pPr>
            <w:r w:rsidRPr="00476D2E">
              <w:rPr>
                <w:rFonts w:cs="Calibri"/>
                <w:color w:val="000000"/>
                <w:kern w:val="24"/>
                <w:sz w:val="19"/>
                <w:szCs w:val="19"/>
                <w:lang w:val="sq-AL" w:eastAsia="nb-NO"/>
              </w:rPr>
              <w:t>Vendime gjyqësore, arbitrazhe ndërkombëtare, fatkeqësi natyrore, etj, që mund të sjellin kosto buxhetore shtesë në buxhetin e shtetit</w:t>
            </w:r>
          </w:p>
        </w:tc>
      </w:tr>
    </w:tbl>
    <w:p w:rsidR="001C245C" w:rsidRDefault="00153CD6" w:rsidP="00153CD6">
      <w:pPr>
        <w:spacing w:line="360" w:lineRule="auto"/>
        <w:rPr>
          <w:rFonts w:eastAsia="SimSun" w:cs="Calibri"/>
          <w:i/>
          <w:sz w:val="18"/>
          <w:szCs w:val="18"/>
          <w:lang w:val="sq-AL"/>
        </w:rPr>
      </w:pPr>
      <w:r>
        <w:rPr>
          <w:rFonts w:eastAsia="SimSun" w:cs="Calibri"/>
          <w:i/>
          <w:sz w:val="18"/>
          <w:szCs w:val="18"/>
          <w:lang w:val="sq-AL"/>
        </w:rPr>
        <w:t>Burimi: Ministria e Financave dhe Ekonomisë (2023)</w:t>
      </w:r>
    </w:p>
    <w:p w:rsidR="00D90F7B" w:rsidRPr="00D90F7B" w:rsidRDefault="00D90F7B" w:rsidP="00FC729E">
      <w:pPr>
        <w:rPr>
          <w:rFonts w:eastAsia="SimSun" w:cs="Calibri"/>
          <w:i/>
          <w:sz w:val="4"/>
          <w:szCs w:val="18"/>
          <w:lang w:val="sq-AL"/>
        </w:rPr>
      </w:pPr>
    </w:p>
    <w:p w:rsidR="00D90F7B" w:rsidRDefault="00392522" w:rsidP="00FC729E">
      <w:pPr>
        <w:rPr>
          <w:lang w:val="sq-AL"/>
        </w:rPr>
      </w:pPr>
      <w:r>
        <w:rPr>
          <w:lang w:val="sq-AL"/>
        </w:rPr>
        <w:t>Për vitin</w:t>
      </w:r>
      <w:r w:rsidRPr="00AB4430">
        <w:rPr>
          <w:lang w:val="sq-AL"/>
        </w:rPr>
        <w:t xml:space="preserve"> 202</w:t>
      </w:r>
      <w:r>
        <w:rPr>
          <w:lang w:val="sq-AL"/>
        </w:rPr>
        <w:t>2</w:t>
      </w:r>
      <w:r w:rsidRPr="00AB4430">
        <w:rPr>
          <w:lang w:val="sq-AL"/>
        </w:rPr>
        <w:t>, Ministria e Financave dhe Ekonomisë vijoi monitorimin e risqeve kryesore fiskale/buxhetore, sipas Udhëzimit Plotësues të Ministrit të Financave dhe Ekonomisë nr.</w:t>
      </w:r>
      <w:r>
        <w:rPr>
          <w:lang w:val="sq-AL"/>
        </w:rPr>
        <w:t>1</w:t>
      </w:r>
      <w:r w:rsidRPr="00AB4430">
        <w:rPr>
          <w:lang w:val="sq-AL"/>
        </w:rPr>
        <w:t xml:space="preserve"> datë </w:t>
      </w:r>
      <w:r>
        <w:rPr>
          <w:lang w:val="sq-AL"/>
        </w:rPr>
        <w:t>10</w:t>
      </w:r>
      <w:r w:rsidRPr="00AB4430">
        <w:rPr>
          <w:lang w:val="sq-AL"/>
        </w:rPr>
        <w:t>.01.202</w:t>
      </w:r>
      <w:r>
        <w:rPr>
          <w:lang w:val="sq-AL"/>
        </w:rPr>
        <w:t>2</w:t>
      </w:r>
      <w:r w:rsidRPr="00AB4430">
        <w:rPr>
          <w:lang w:val="sq-AL"/>
        </w:rPr>
        <w:t xml:space="preserve"> “</w:t>
      </w:r>
      <w:r w:rsidRPr="00392522">
        <w:rPr>
          <w:i/>
          <w:lang w:val="sq-AL"/>
        </w:rPr>
        <w:t>Për zbatimin e Buxhetit të vitit 2022</w:t>
      </w:r>
      <w:r w:rsidRPr="00AB4430">
        <w:rPr>
          <w:lang w:val="sq-AL"/>
        </w:rPr>
        <w:t>”</w:t>
      </w:r>
      <w:r>
        <w:rPr>
          <w:lang w:val="sq-AL"/>
        </w:rPr>
        <w:t xml:space="preserve">, </w:t>
      </w:r>
      <w:r w:rsidRPr="00AB4430">
        <w:rPr>
          <w:lang w:val="sq-AL"/>
        </w:rPr>
        <w:t xml:space="preserve">Udhëzimit nr.37 datë 06.10.2020 </w:t>
      </w:r>
      <w:r>
        <w:rPr>
          <w:lang w:val="sq-AL"/>
        </w:rPr>
        <w:t>“</w:t>
      </w:r>
      <w:r w:rsidRPr="00392522">
        <w:rPr>
          <w:i/>
          <w:lang w:val="sq-AL"/>
        </w:rPr>
        <w:t>Për monitorimin dhe publikimin periodik të stokut të detyrimeve të prapambetura të qeverisjes së përgjithshme</w:t>
      </w:r>
      <w:r w:rsidRPr="00AB4430">
        <w:rPr>
          <w:lang w:val="sq-AL"/>
        </w:rPr>
        <w:t>”</w:t>
      </w:r>
      <w:r>
        <w:rPr>
          <w:lang w:val="sq-AL"/>
        </w:rPr>
        <w:t xml:space="preserve"> dhe </w:t>
      </w:r>
      <w:r w:rsidRPr="00392522">
        <w:rPr>
          <w:lang w:val="sq-AL"/>
        </w:rPr>
        <w:t>Udhëzimit nr.35 datë 29.12.2022 “</w:t>
      </w:r>
      <w:r w:rsidRPr="00392522">
        <w:rPr>
          <w:i/>
          <w:lang w:val="sq-AL"/>
        </w:rPr>
        <w:t>Për procedurat standarde të raportimit dhe monitorimit të risqeve fiskale nga njësitë e qeverisjes së përgjithshme dhe njësi të tjera të sektorit publik</w:t>
      </w:r>
      <w:r w:rsidRPr="00392522">
        <w:rPr>
          <w:lang w:val="sq-AL"/>
        </w:rPr>
        <w:t>”</w:t>
      </w:r>
      <w:r w:rsidR="00D90F7B" w:rsidRPr="00476D2E">
        <w:rPr>
          <w:lang w:val="sq-AL"/>
        </w:rPr>
        <w:t xml:space="preserve">. </w:t>
      </w:r>
    </w:p>
    <w:p w:rsidR="00D90F7B" w:rsidRDefault="00D90F7B" w:rsidP="00FC729E">
      <w:pPr>
        <w:rPr>
          <w:lang w:val="sq-AL"/>
        </w:rPr>
      </w:pPr>
    </w:p>
    <w:p w:rsidR="00392522" w:rsidRPr="00476D2E" w:rsidRDefault="00392522" w:rsidP="00392522">
      <w:pPr>
        <w:spacing w:line="240" w:lineRule="auto"/>
        <w:rPr>
          <w:rFonts w:eastAsia="MS Mincho"/>
          <w:bCs/>
          <w:i/>
          <w:lang w:val="sq-AL"/>
        </w:rPr>
      </w:pPr>
      <w:r w:rsidRPr="00476D2E">
        <w:rPr>
          <w:lang w:val="sq-AL"/>
        </w:rPr>
        <w:lastRenderedPageBreak/>
        <w:t>Kryesisht, raportimi në adresë të MFE u kanalizua përmes skeduleve kohore dhe  formateve standarde të miratuara, një proces tashmë i institucionalizuar për monitorimin e risqeve, krahas intensifikimit të punës në drejtim të rritjes së cilësisë së përpunimit, raportimit dhe publikimit të informacionit të grumbulluar, me synim final</w:t>
      </w:r>
      <w:r w:rsidRPr="00476D2E">
        <w:rPr>
          <w:rFonts w:eastAsia="MS Mincho"/>
          <w:lang w:val="sq-AL"/>
        </w:rPr>
        <w:t>:</w:t>
      </w:r>
      <w:r w:rsidRPr="00476D2E">
        <w:rPr>
          <w:rFonts w:eastAsia="MS Mincho"/>
          <w:bCs/>
          <w:i/>
          <w:lang w:val="sq-AL"/>
        </w:rPr>
        <w:t xml:space="preserve">  </w:t>
      </w:r>
    </w:p>
    <w:p w:rsidR="00392522" w:rsidRPr="00D90F7B" w:rsidRDefault="00392522" w:rsidP="00C71069">
      <w:pPr>
        <w:pStyle w:val="ListParagraph"/>
        <w:numPr>
          <w:ilvl w:val="0"/>
          <w:numId w:val="31"/>
        </w:numPr>
        <w:spacing w:before="0"/>
        <w:rPr>
          <w:rFonts w:eastAsia="MS Mincho"/>
          <w:i/>
          <w:lang w:val="sq-AL"/>
        </w:rPr>
      </w:pPr>
      <w:r w:rsidRPr="00D90F7B">
        <w:rPr>
          <w:rFonts w:eastAsia="MS Mincho"/>
          <w:i/>
          <w:lang w:val="sq-AL"/>
        </w:rPr>
        <w:t>Monitorimin dhe raportimin periodik mbi bazë tremujore, të stokut të akumuluar të detyrimeve të prapambetura të qeverisjes së përgjithshme.</w:t>
      </w:r>
    </w:p>
    <w:p w:rsidR="00392522" w:rsidRPr="00D90F7B" w:rsidRDefault="00392522" w:rsidP="00C71069">
      <w:pPr>
        <w:pStyle w:val="ListParagraph"/>
        <w:numPr>
          <w:ilvl w:val="0"/>
          <w:numId w:val="31"/>
        </w:numPr>
        <w:spacing w:before="0"/>
        <w:rPr>
          <w:rFonts w:eastAsia="MS Mincho"/>
          <w:i/>
          <w:lang w:val="sq-AL"/>
        </w:rPr>
      </w:pPr>
      <w:r w:rsidRPr="00D90F7B">
        <w:rPr>
          <w:rFonts w:eastAsia="MS Mincho"/>
          <w:i/>
          <w:lang w:val="sq-AL"/>
        </w:rPr>
        <w:t xml:space="preserve">Monitorimin dhe raportimin periodik mbi bazë tremujore, të performancës financiare të ndërmarrjeve kryesore shtetërore; </w:t>
      </w:r>
    </w:p>
    <w:p w:rsidR="00392522" w:rsidRPr="00D90F7B" w:rsidRDefault="00392522" w:rsidP="00C71069">
      <w:pPr>
        <w:pStyle w:val="ListParagraph"/>
        <w:numPr>
          <w:ilvl w:val="0"/>
          <w:numId w:val="31"/>
        </w:numPr>
        <w:spacing w:before="0"/>
        <w:rPr>
          <w:rFonts w:eastAsia="MS Mincho"/>
          <w:i/>
          <w:lang w:val="sq-AL"/>
        </w:rPr>
      </w:pPr>
      <w:r w:rsidRPr="00D90F7B">
        <w:rPr>
          <w:rFonts w:eastAsia="MS Mincho"/>
          <w:i/>
          <w:lang w:val="sq-AL"/>
        </w:rPr>
        <w:t xml:space="preserve">Monitorimin dhe raportimin periodik mbi bazë </w:t>
      </w:r>
      <w:r w:rsidRPr="00491465">
        <w:rPr>
          <w:rFonts w:eastAsia="MS Mincho"/>
          <w:i/>
          <w:lang w:val="sq-AL"/>
        </w:rPr>
        <w:t>tremujore</w:t>
      </w:r>
      <w:r w:rsidRPr="00D90F7B">
        <w:rPr>
          <w:rFonts w:eastAsia="MS Mincho"/>
          <w:i/>
          <w:lang w:val="sq-AL"/>
        </w:rPr>
        <w:t xml:space="preserve"> të detyrimeve të ndërsjellta të sektorit energjitik  dhe palëve të treta.</w:t>
      </w:r>
    </w:p>
    <w:p w:rsidR="00392522" w:rsidRDefault="00392522" w:rsidP="00C71069">
      <w:pPr>
        <w:pStyle w:val="ListParagraph"/>
        <w:numPr>
          <w:ilvl w:val="0"/>
          <w:numId w:val="31"/>
        </w:numPr>
        <w:spacing w:before="0"/>
        <w:rPr>
          <w:rFonts w:eastAsia="MS Mincho"/>
          <w:i/>
          <w:lang w:val="sq-AL"/>
        </w:rPr>
      </w:pPr>
      <w:r w:rsidRPr="00D90F7B">
        <w:rPr>
          <w:rFonts w:eastAsia="MS Mincho"/>
          <w:i/>
          <w:lang w:val="sq-AL"/>
        </w:rPr>
        <w:t>Monitorimin dhe raportimin periodik mbi bazë mujore, të performancës së kontratave konçesionare/PPP, me mbështetje buxhetore.</w:t>
      </w:r>
    </w:p>
    <w:p w:rsidR="00392522" w:rsidRPr="006A0318" w:rsidRDefault="00392522" w:rsidP="00C71069">
      <w:pPr>
        <w:pStyle w:val="ListParagraph"/>
        <w:numPr>
          <w:ilvl w:val="0"/>
          <w:numId w:val="31"/>
        </w:numPr>
        <w:spacing w:before="0"/>
        <w:rPr>
          <w:rFonts w:eastAsia="MS Mincho"/>
          <w:i/>
          <w:lang w:val="sq-AL"/>
        </w:rPr>
      </w:pPr>
      <w:r w:rsidRPr="006A0318">
        <w:rPr>
          <w:rFonts w:eastAsia="MS Mincho"/>
          <w:i/>
          <w:lang w:val="sq-AL"/>
        </w:rPr>
        <w:t>Monitorimin dhe raportimin mbi vendimet gjyqësore të Gjykatës Evropiane për të Drejtat e Njeriut dhe atyre të Arbitrazhit Ndërkombëtar</w:t>
      </w:r>
    </w:p>
    <w:p w:rsidR="00F60A28" w:rsidRPr="00F60A28" w:rsidRDefault="00F60A28" w:rsidP="00FC729E">
      <w:pPr>
        <w:spacing w:before="0"/>
        <w:rPr>
          <w:rFonts w:eastAsia="MS Mincho"/>
          <w:sz w:val="8"/>
          <w:lang w:val="sq-AL"/>
        </w:rPr>
      </w:pPr>
    </w:p>
    <w:p w:rsidR="001C245C" w:rsidRPr="00476D2E" w:rsidRDefault="001C245C" w:rsidP="00FC729E">
      <w:pPr>
        <w:spacing w:before="0"/>
        <w:rPr>
          <w:rFonts w:eastAsia="MS Mincho"/>
          <w:lang w:val="sq-AL"/>
        </w:rPr>
      </w:pPr>
      <w:r w:rsidRPr="00476D2E">
        <w:rPr>
          <w:rFonts w:eastAsia="MS Mincho"/>
          <w:lang w:val="sq-AL"/>
        </w:rPr>
        <w:t>Më</w:t>
      </w:r>
      <w:r w:rsidR="00127C01" w:rsidRPr="00476D2E">
        <w:rPr>
          <w:rFonts w:eastAsia="MS Mincho"/>
          <w:lang w:val="sq-AL"/>
        </w:rPr>
        <w:t xml:space="preserve"> </w:t>
      </w:r>
      <w:r w:rsidRPr="00476D2E">
        <w:rPr>
          <w:rFonts w:eastAsia="MS Mincho"/>
          <w:lang w:val="sq-AL"/>
        </w:rPr>
        <w:t>poshtë jepet një tablo e vlerësimeve mbi disa nga tipologjitë e risqeve fiskale, si rezultat i monitorimit nga njësitë përgjegjëse në MFE, për vitin 202</w:t>
      </w:r>
      <w:r w:rsidR="00102F0D">
        <w:rPr>
          <w:rFonts w:eastAsia="MS Mincho"/>
          <w:lang w:val="sq-AL"/>
        </w:rPr>
        <w:t>2</w:t>
      </w:r>
      <w:r w:rsidRPr="00476D2E">
        <w:rPr>
          <w:rFonts w:eastAsia="MS Mincho"/>
          <w:lang w:val="sq-AL"/>
        </w:rPr>
        <w:t>:</w:t>
      </w:r>
    </w:p>
    <w:p w:rsidR="00560062" w:rsidRDefault="00560062" w:rsidP="00FC729E">
      <w:pPr>
        <w:ind w:right="525"/>
        <w:contextualSpacing/>
        <w:rPr>
          <w:rFonts w:eastAsia="MS Mincho" w:cs="Calibri"/>
          <w:bCs/>
          <w:sz w:val="28"/>
          <w:lang w:val="sq-AL" w:eastAsia="sq-AL"/>
        </w:rPr>
      </w:pPr>
    </w:p>
    <w:p w:rsidR="00A151EB" w:rsidRPr="007D4C4E" w:rsidRDefault="00A151EB" w:rsidP="00FC729E">
      <w:pPr>
        <w:ind w:right="525"/>
        <w:contextualSpacing/>
        <w:rPr>
          <w:rFonts w:eastAsia="MS Mincho" w:cs="Calibri"/>
          <w:bCs/>
          <w:sz w:val="28"/>
          <w:lang w:val="sq-AL" w:eastAsia="sq-AL"/>
        </w:rPr>
      </w:pPr>
    </w:p>
    <w:p w:rsidR="002350D2" w:rsidRPr="00A151EB" w:rsidRDefault="001C245C" w:rsidP="00FC729E">
      <w:pPr>
        <w:pStyle w:val="Fiskale2"/>
        <w:rPr>
          <w:rFonts w:ascii="Calibri" w:hAnsi="Calibri" w:cs="Calibri"/>
        </w:rPr>
      </w:pPr>
      <w:bookmarkStart w:id="187" w:name="_Toc104980343"/>
      <w:bookmarkStart w:id="188" w:name="_Toc10033284"/>
      <w:bookmarkStart w:id="189" w:name="_Toc10721421"/>
      <w:r w:rsidRPr="00A151EB">
        <w:rPr>
          <w:rFonts w:ascii="Calibri" w:hAnsi="Calibri" w:cs="Calibri"/>
        </w:rPr>
        <w:t>Nd</w:t>
      </w:r>
      <w:r w:rsidR="00086626" w:rsidRPr="00A151EB">
        <w:rPr>
          <w:rFonts w:ascii="Calibri" w:hAnsi="Calibri" w:cs="Calibri"/>
        </w:rPr>
        <w:t>ë</w:t>
      </w:r>
      <w:r w:rsidRPr="00A151EB">
        <w:rPr>
          <w:rFonts w:ascii="Calibri" w:hAnsi="Calibri" w:cs="Calibri"/>
        </w:rPr>
        <w:t>rmarrjet shtet</w:t>
      </w:r>
      <w:r w:rsidR="00086626" w:rsidRPr="00A151EB">
        <w:rPr>
          <w:rFonts w:ascii="Calibri" w:hAnsi="Calibri" w:cs="Calibri"/>
        </w:rPr>
        <w:t>ë</w:t>
      </w:r>
      <w:r w:rsidRPr="00A151EB">
        <w:rPr>
          <w:rFonts w:ascii="Calibri" w:hAnsi="Calibri" w:cs="Calibri"/>
        </w:rPr>
        <w:t>rore</w:t>
      </w:r>
      <w:bookmarkEnd w:id="187"/>
      <w:r w:rsidRPr="00A151EB">
        <w:rPr>
          <w:rFonts w:ascii="Calibri" w:hAnsi="Calibri" w:cs="Calibri"/>
        </w:rPr>
        <w:t xml:space="preserve"> </w:t>
      </w:r>
      <w:bookmarkEnd w:id="188"/>
      <w:bookmarkEnd w:id="189"/>
    </w:p>
    <w:p w:rsidR="00D90F7B" w:rsidRPr="00A151EB" w:rsidRDefault="00D90F7B" w:rsidP="00FC729E">
      <w:pPr>
        <w:rPr>
          <w:rFonts w:cs="Calibri"/>
          <w:bCs/>
          <w:lang w:val="sq-AL" w:eastAsia="sq-AL"/>
        </w:rPr>
      </w:pPr>
      <w:r w:rsidRPr="00A151EB">
        <w:rPr>
          <w:rFonts w:cs="Calibri"/>
          <w:bCs/>
          <w:lang w:val="sq-AL" w:eastAsia="sq-AL"/>
        </w:rPr>
        <w:t xml:space="preserve">Referuar publikimit më të fundit të Instat (Shtator 2021) mbi sektorin publik në Shqipëri numri total i institucioneve jashtëbuxhetore është 196. Këto institucione ndahen si më poshtë: </w:t>
      </w:r>
    </w:p>
    <w:p w:rsidR="00D90F7B" w:rsidRPr="00A151EB" w:rsidRDefault="00D90F7B" w:rsidP="00C71069">
      <w:pPr>
        <w:numPr>
          <w:ilvl w:val="0"/>
          <w:numId w:val="32"/>
        </w:numPr>
        <w:spacing w:before="0"/>
        <w:contextualSpacing/>
        <w:rPr>
          <w:rFonts w:cs="Calibri"/>
          <w:bCs/>
          <w:i/>
          <w:lang w:val="sq-AL" w:eastAsia="sq-AL"/>
        </w:rPr>
      </w:pPr>
      <w:r w:rsidRPr="00A151EB">
        <w:rPr>
          <w:rFonts w:cs="Calibri"/>
          <w:bCs/>
          <w:i/>
          <w:lang w:val="sq-AL" w:eastAsia="sq-AL"/>
        </w:rPr>
        <w:t>58 Extra-buxhetore Qeveria qendrore</w:t>
      </w:r>
      <w:r w:rsidRPr="00A151EB">
        <w:rPr>
          <w:rFonts w:cs="Calibri"/>
          <w:bCs/>
          <w:i/>
          <w:lang w:val="sq-AL" w:eastAsia="sq-AL"/>
        </w:rPr>
        <w:tab/>
      </w:r>
    </w:p>
    <w:p w:rsidR="00D90F7B" w:rsidRPr="00A151EB" w:rsidRDefault="00D90F7B" w:rsidP="00C71069">
      <w:pPr>
        <w:numPr>
          <w:ilvl w:val="0"/>
          <w:numId w:val="32"/>
        </w:numPr>
        <w:spacing w:before="0"/>
        <w:contextualSpacing/>
        <w:rPr>
          <w:rFonts w:cs="Calibri"/>
          <w:bCs/>
          <w:i/>
          <w:lang w:val="sq-AL" w:eastAsia="sq-AL"/>
        </w:rPr>
      </w:pPr>
      <w:r w:rsidRPr="00A151EB">
        <w:rPr>
          <w:rFonts w:cs="Calibri"/>
          <w:bCs/>
          <w:i/>
          <w:lang w:val="sq-AL" w:eastAsia="sq-AL"/>
        </w:rPr>
        <w:t>109 Extra-buxhetore Qeveria lokale</w:t>
      </w:r>
      <w:r w:rsidRPr="00A151EB">
        <w:rPr>
          <w:rFonts w:cs="Calibri"/>
          <w:bCs/>
          <w:i/>
          <w:lang w:val="sq-AL" w:eastAsia="sq-AL"/>
        </w:rPr>
        <w:tab/>
      </w:r>
    </w:p>
    <w:p w:rsidR="00D90F7B" w:rsidRPr="00A151EB" w:rsidRDefault="00D90F7B" w:rsidP="00C71069">
      <w:pPr>
        <w:numPr>
          <w:ilvl w:val="0"/>
          <w:numId w:val="32"/>
        </w:numPr>
        <w:spacing w:before="0"/>
        <w:contextualSpacing/>
        <w:rPr>
          <w:rFonts w:cs="Calibri"/>
          <w:bCs/>
          <w:i/>
          <w:lang w:val="sq-AL" w:eastAsia="sq-AL"/>
        </w:rPr>
      </w:pPr>
      <w:r w:rsidRPr="00A151EB">
        <w:rPr>
          <w:rFonts w:cs="Calibri"/>
          <w:bCs/>
          <w:i/>
          <w:lang w:val="sq-AL" w:eastAsia="sq-AL"/>
        </w:rPr>
        <w:t>26 Ndërmarrje publike jo-financiare</w:t>
      </w:r>
      <w:r w:rsidRPr="00A151EB">
        <w:rPr>
          <w:rFonts w:cs="Calibri"/>
          <w:bCs/>
          <w:i/>
          <w:lang w:val="sq-AL" w:eastAsia="sq-AL"/>
        </w:rPr>
        <w:tab/>
      </w:r>
    </w:p>
    <w:p w:rsidR="00D90F7B" w:rsidRPr="00A151EB" w:rsidRDefault="00D90F7B" w:rsidP="00C71069">
      <w:pPr>
        <w:numPr>
          <w:ilvl w:val="0"/>
          <w:numId w:val="32"/>
        </w:numPr>
        <w:spacing w:before="0"/>
        <w:contextualSpacing/>
        <w:rPr>
          <w:rFonts w:cs="Calibri"/>
          <w:bCs/>
          <w:i/>
          <w:lang w:val="sq-AL" w:eastAsia="sq-AL"/>
        </w:rPr>
      </w:pPr>
      <w:r w:rsidRPr="00A151EB">
        <w:rPr>
          <w:rFonts w:cs="Calibri"/>
          <w:bCs/>
          <w:i/>
          <w:lang w:val="sq-AL" w:eastAsia="sq-AL"/>
        </w:rPr>
        <w:t>2 Ndërmarrje publike financiare</w:t>
      </w:r>
      <w:r w:rsidRPr="00A151EB">
        <w:rPr>
          <w:rFonts w:cs="Calibri"/>
          <w:bCs/>
          <w:i/>
          <w:lang w:val="sq-AL" w:eastAsia="sq-AL"/>
        </w:rPr>
        <w:tab/>
      </w:r>
    </w:p>
    <w:p w:rsidR="00D90F7B" w:rsidRDefault="00D90F7B" w:rsidP="00C71069">
      <w:pPr>
        <w:numPr>
          <w:ilvl w:val="0"/>
          <w:numId w:val="32"/>
        </w:numPr>
        <w:spacing w:before="0"/>
        <w:contextualSpacing/>
        <w:rPr>
          <w:rFonts w:cs="Calibri"/>
          <w:bCs/>
          <w:i/>
          <w:lang w:val="sq-AL" w:eastAsia="sq-AL"/>
        </w:rPr>
      </w:pPr>
      <w:r w:rsidRPr="00A151EB">
        <w:rPr>
          <w:rFonts w:cs="Calibri"/>
          <w:bCs/>
          <w:i/>
          <w:lang w:val="sq-AL" w:eastAsia="sq-AL"/>
        </w:rPr>
        <w:t>1 Banka e Shqipërisë</w:t>
      </w:r>
    </w:p>
    <w:p w:rsidR="00127C01" w:rsidRPr="00476D2E" w:rsidRDefault="00127C01" w:rsidP="00FC729E">
      <w:pPr>
        <w:pStyle w:val="Caption"/>
        <w:keepNext/>
        <w:spacing w:after="0"/>
        <w:jc w:val="left"/>
      </w:pPr>
      <w:bookmarkStart w:id="190" w:name="_Toc136526491"/>
      <w:r w:rsidRPr="00A151EB">
        <w:t xml:space="preserve">Grafiku </w:t>
      </w:r>
      <w:r w:rsidR="00E346B9" w:rsidRPr="00A151EB">
        <w:rPr>
          <w:noProof/>
        </w:rPr>
        <w:fldChar w:fldCharType="begin"/>
      </w:r>
      <w:r w:rsidR="00E346B9" w:rsidRPr="00A151EB">
        <w:rPr>
          <w:noProof/>
        </w:rPr>
        <w:instrText xml:space="preserve"> SEQ Grafiku \* ARABIC </w:instrText>
      </w:r>
      <w:r w:rsidR="00E346B9" w:rsidRPr="00A151EB">
        <w:rPr>
          <w:noProof/>
        </w:rPr>
        <w:fldChar w:fldCharType="separate"/>
      </w:r>
      <w:r w:rsidR="008C3E07">
        <w:rPr>
          <w:noProof/>
        </w:rPr>
        <w:t>46</w:t>
      </w:r>
      <w:r w:rsidR="00E346B9" w:rsidRPr="00A151EB">
        <w:rPr>
          <w:noProof/>
        </w:rPr>
        <w:fldChar w:fldCharType="end"/>
      </w:r>
      <w:r w:rsidRPr="00A151EB">
        <w:t xml:space="preserve"> Sektori </w:t>
      </w:r>
      <w:r w:rsidR="007F3A35" w:rsidRPr="00A151EB">
        <w:t>quasi publik sipas numrit t</w:t>
      </w:r>
      <w:r w:rsidR="00086626" w:rsidRPr="00A151EB">
        <w:t>ë</w:t>
      </w:r>
      <w:r w:rsidR="007F3A35" w:rsidRPr="00A151EB">
        <w:t xml:space="preserve"> nd</w:t>
      </w:r>
      <w:r w:rsidR="00086626" w:rsidRPr="00A151EB">
        <w:t>ë</w:t>
      </w:r>
      <w:r w:rsidR="007F3A35" w:rsidRPr="00A151EB">
        <w:t>rmarrjeve</w:t>
      </w:r>
      <w:bookmarkEnd w:id="190"/>
    </w:p>
    <w:p w:rsidR="00C6090D" w:rsidRPr="00476D2E" w:rsidRDefault="00F60A28" w:rsidP="00F60A28">
      <w:pPr>
        <w:spacing w:before="0" w:line="240" w:lineRule="auto"/>
        <w:jc w:val="center"/>
        <w:rPr>
          <w:rFonts w:cs="Calibri"/>
          <w:bCs/>
          <w:lang w:val="sq-AL" w:eastAsia="sq-AL"/>
        </w:rPr>
      </w:pPr>
      <w:r>
        <w:rPr>
          <w:noProof/>
        </w:rPr>
        <w:drawing>
          <wp:inline distT="0" distB="0" distL="0" distR="0" wp14:anchorId="0681117B" wp14:editId="208851C9">
            <wp:extent cx="5097145" cy="2766647"/>
            <wp:effectExtent l="0" t="0" r="8255" b="15240"/>
            <wp:docPr id="71" name="Chart 71">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A151EB" w:rsidRDefault="00A151EB" w:rsidP="00FC729E">
      <w:pPr>
        <w:ind w:left="720" w:firstLine="720"/>
        <w:contextualSpacing/>
        <w:rPr>
          <w:rFonts w:eastAsia="SimSun" w:cs="Calibri"/>
          <w:i/>
          <w:sz w:val="18"/>
          <w:szCs w:val="18"/>
          <w:lang w:val="sq-AL"/>
        </w:rPr>
      </w:pPr>
      <w:r>
        <w:rPr>
          <w:rFonts w:eastAsia="SimSun" w:cs="Calibri"/>
          <w:i/>
          <w:sz w:val="18"/>
          <w:szCs w:val="18"/>
          <w:lang w:val="sq-AL"/>
        </w:rPr>
        <w:t>Burimi: INSTAT (202</w:t>
      </w:r>
      <w:r w:rsidR="006A7D7B">
        <w:rPr>
          <w:rFonts w:eastAsia="SimSun" w:cs="Calibri"/>
          <w:i/>
          <w:sz w:val="18"/>
          <w:szCs w:val="18"/>
          <w:lang w:val="sq-AL"/>
        </w:rPr>
        <w:t>3</w:t>
      </w:r>
      <w:r>
        <w:rPr>
          <w:rFonts w:eastAsia="SimSun" w:cs="Calibri"/>
          <w:i/>
          <w:sz w:val="18"/>
          <w:szCs w:val="18"/>
          <w:lang w:val="sq-AL"/>
        </w:rPr>
        <w:t>)</w:t>
      </w:r>
    </w:p>
    <w:p w:rsidR="006A7D7B" w:rsidRDefault="006A7D7B" w:rsidP="00FC729E">
      <w:pPr>
        <w:ind w:left="720" w:firstLine="720"/>
        <w:contextualSpacing/>
        <w:rPr>
          <w:rFonts w:eastAsia="Calibri" w:cs="Calibri"/>
          <w:bCs/>
          <w:i/>
          <w:sz w:val="20"/>
          <w:lang w:val="sq-AL" w:eastAsia="sq-AL"/>
        </w:rPr>
      </w:pPr>
    </w:p>
    <w:p w:rsidR="004F77A0" w:rsidRDefault="006A7D7B" w:rsidP="006A7D7B">
      <w:pPr>
        <w:spacing w:before="0" w:line="240" w:lineRule="auto"/>
        <w:contextualSpacing/>
        <w:rPr>
          <w:rFonts w:cs="Calibri"/>
          <w:bCs/>
          <w:lang w:val="sq-AL" w:eastAsia="sq-AL"/>
        </w:rPr>
      </w:pPr>
      <w:r w:rsidRPr="00716C10">
        <w:rPr>
          <w:rFonts w:cs="Calibri"/>
          <w:bCs/>
          <w:lang w:val="sq-AL" w:eastAsia="sq-AL"/>
        </w:rPr>
        <w:lastRenderedPageBreak/>
        <w:t xml:space="preserve">Në zbatim të Ligjit Organik të Buxhetit “Për menaxhimin e sistemit buxhetor në Republikën e Shqipërisë”, të ndryshuar”, specifikisht nenit 4/2 sipas së cilit: </w:t>
      </w:r>
      <w:r w:rsidRPr="00716C10">
        <w:rPr>
          <w:rFonts w:cs="Calibri"/>
          <w:bCs/>
          <w:i/>
          <w:lang w:val="sq-AL" w:eastAsia="sq-AL"/>
        </w:rPr>
        <w:t>“...Planet financiare vjetore dhe pasqyrat financiare mbi bazë tremujori, të çdo njësie jo të qeverisjes së përgjithshme përfituese të fondeve buxhetore dhe/ose garancive shtetërore, dorëzohen në Ministrinë e Financave...”</w:t>
      </w:r>
      <w:r w:rsidRPr="00716C10">
        <w:rPr>
          <w:rFonts w:cs="Calibri"/>
          <w:bCs/>
          <w:lang w:val="sq-AL" w:eastAsia="sq-AL"/>
        </w:rPr>
        <w:t xml:space="preserve">, dhe në zbatim të </w:t>
      </w:r>
      <w:r>
        <w:rPr>
          <w:rFonts w:cs="Calibri"/>
          <w:bCs/>
          <w:lang w:val="sq-AL" w:eastAsia="sq-AL"/>
        </w:rPr>
        <w:t>U</w:t>
      </w:r>
      <w:r w:rsidRPr="00716C10">
        <w:rPr>
          <w:rFonts w:cs="Calibri"/>
          <w:bCs/>
          <w:lang w:val="sq-AL" w:eastAsia="sq-AL"/>
        </w:rPr>
        <w:t xml:space="preserve">dhëzimit </w:t>
      </w:r>
      <w:r>
        <w:rPr>
          <w:rFonts w:cs="Calibri"/>
          <w:bCs/>
          <w:lang w:val="sq-AL" w:eastAsia="sq-AL"/>
        </w:rPr>
        <w:t>P</w:t>
      </w:r>
      <w:r w:rsidRPr="00716C10">
        <w:rPr>
          <w:rFonts w:cs="Calibri"/>
          <w:bCs/>
          <w:lang w:val="sq-AL" w:eastAsia="sq-AL"/>
        </w:rPr>
        <w:t>lotësues nr.</w:t>
      </w:r>
      <w:r>
        <w:rPr>
          <w:rFonts w:cs="Calibri"/>
          <w:bCs/>
          <w:lang w:val="sq-AL" w:eastAsia="sq-AL"/>
        </w:rPr>
        <w:t>1</w:t>
      </w:r>
      <w:r w:rsidRPr="00716C10">
        <w:rPr>
          <w:rFonts w:cs="Calibri"/>
          <w:bCs/>
          <w:lang w:val="sq-AL" w:eastAsia="sq-AL"/>
        </w:rPr>
        <w:t>/202</w:t>
      </w:r>
      <w:r>
        <w:rPr>
          <w:rFonts w:cs="Calibri"/>
          <w:bCs/>
          <w:lang w:val="sq-AL" w:eastAsia="sq-AL"/>
        </w:rPr>
        <w:t>2</w:t>
      </w:r>
      <w:r w:rsidRPr="00716C10">
        <w:rPr>
          <w:rFonts w:cs="Calibri"/>
          <w:bCs/>
          <w:lang w:val="sq-AL" w:eastAsia="sq-AL"/>
        </w:rPr>
        <w:t xml:space="preserve"> “</w:t>
      </w:r>
      <w:r w:rsidRPr="00B02C11">
        <w:rPr>
          <w:rFonts w:cs="Calibri"/>
          <w:bCs/>
          <w:i/>
          <w:lang w:val="sq-AL" w:eastAsia="sq-AL"/>
        </w:rPr>
        <w:t>Për zbatimin e Buxhetit të vitit 2022</w:t>
      </w:r>
      <w:r w:rsidRPr="00716C10">
        <w:rPr>
          <w:rFonts w:cs="Calibri"/>
          <w:bCs/>
          <w:lang w:val="sq-AL" w:eastAsia="sq-AL"/>
        </w:rPr>
        <w:t xml:space="preserve">”, </w:t>
      </w:r>
      <w:r w:rsidR="004F77A0" w:rsidRPr="00716C10">
        <w:rPr>
          <w:rFonts w:cs="Calibri"/>
          <w:bCs/>
          <w:lang w:val="sq-AL" w:eastAsia="sq-AL"/>
        </w:rPr>
        <w:t>kanë detyrimin e ndarjes së planeve financiare vjetore dhe pasqyrave financiare mbi bazë tremujori me Ministrinë e Financave dhe Ekonomisë</w:t>
      </w:r>
      <w:r w:rsidR="004F77A0">
        <w:rPr>
          <w:rFonts w:cs="Calibri"/>
          <w:bCs/>
          <w:lang w:val="sq-AL" w:eastAsia="sq-AL"/>
        </w:rPr>
        <w:t xml:space="preserve">. </w:t>
      </w:r>
    </w:p>
    <w:p w:rsidR="004F77A0" w:rsidRPr="004F77A0" w:rsidRDefault="004F77A0" w:rsidP="006A7D7B">
      <w:pPr>
        <w:spacing w:before="0" w:line="240" w:lineRule="auto"/>
        <w:contextualSpacing/>
        <w:rPr>
          <w:rFonts w:cs="Calibri"/>
          <w:bCs/>
          <w:sz w:val="8"/>
          <w:szCs w:val="8"/>
          <w:lang w:val="sq-AL" w:eastAsia="sq-AL"/>
        </w:rPr>
      </w:pPr>
    </w:p>
    <w:p w:rsidR="006A7D7B" w:rsidRPr="004F77A0" w:rsidRDefault="004F77A0" w:rsidP="006A7D7B">
      <w:pPr>
        <w:spacing w:before="0" w:line="240" w:lineRule="auto"/>
        <w:contextualSpacing/>
        <w:rPr>
          <w:rFonts w:cs="Calibri"/>
          <w:bCs/>
          <w:lang w:val="sq-AL" w:eastAsia="sq-AL"/>
        </w:rPr>
      </w:pPr>
      <w:r>
        <w:rPr>
          <w:rFonts w:cs="Calibri"/>
          <w:bCs/>
          <w:lang w:val="sq-AL" w:eastAsia="sq-AL"/>
        </w:rPr>
        <w:t>Mbi k</w:t>
      </w:r>
      <w:r w:rsidR="00F35311">
        <w:rPr>
          <w:rFonts w:cs="Calibri"/>
          <w:bCs/>
          <w:lang w:val="sq-AL" w:eastAsia="sq-AL"/>
        </w:rPr>
        <w:t>ë</w:t>
      </w:r>
      <w:r>
        <w:rPr>
          <w:rFonts w:cs="Calibri"/>
          <w:bCs/>
          <w:lang w:val="sq-AL" w:eastAsia="sq-AL"/>
        </w:rPr>
        <w:t>t</w:t>
      </w:r>
      <w:r w:rsidR="00F35311">
        <w:rPr>
          <w:rFonts w:cs="Calibri"/>
          <w:bCs/>
          <w:lang w:val="sq-AL" w:eastAsia="sq-AL"/>
        </w:rPr>
        <w:t>ë</w:t>
      </w:r>
      <w:r>
        <w:rPr>
          <w:rFonts w:cs="Calibri"/>
          <w:bCs/>
          <w:lang w:val="sq-AL" w:eastAsia="sq-AL"/>
        </w:rPr>
        <w:t xml:space="preserve"> baz</w:t>
      </w:r>
      <w:r w:rsidR="00F35311">
        <w:rPr>
          <w:rFonts w:cs="Calibri"/>
          <w:bCs/>
          <w:lang w:val="sq-AL" w:eastAsia="sq-AL"/>
        </w:rPr>
        <w:t>ë</w:t>
      </w:r>
      <w:r>
        <w:rPr>
          <w:rFonts w:cs="Calibri"/>
          <w:bCs/>
          <w:lang w:val="sq-AL" w:eastAsia="sq-AL"/>
        </w:rPr>
        <w:t xml:space="preserve">, </w:t>
      </w:r>
      <w:r w:rsidR="006A7D7B" w:rsidRPr="00B02C11">
        <w:rPr>
          <w:rFonts w:cs="Calibri"/>
          <w:bCs/>
          <w:lang w:val="sq-AL" w:eastAsia="sq-AL"/>
        </w:rPr>
        <w:t>MFE monitoron dhe përgatit periodikisht mbi baza tremujore, analizat financiare të performancës së NSH-ve kryesore bazuar në potencialin e tyre për të ndikuar në financat dhe buxhetin e shtetit. Monitorimi është fokusuar kryesisht në performancën financiare dhe jofinanciare të tre kompanive të sektorit energjetik, që është thelluar në kuadër të reformës të këtij sektori</w:t>
      </w:r>
      <w:r w:rsidR="006A7D7B">
        <w:rPr>
          <w:rFonts w:cs="Calibri"/>
          <w:bCs/>
          <w:lang w:val="sq-AL" w:eastAsia="sq-AL"/>
        </w:rPr>
        <w:t>, si edhe n</w:t>
      </w:r>
      <w:r w:rsidR="00F35311">
        <w:rPr>
          <w:rFonts w:cs="Calibri"/>
          <w:bCs/>
          <w:lang w:val="sq-AL" w:eastAsia="sq-AL"/>
        </w:rPr>
        <w:t>ë</w:t>
      </w:r>
      <w:r w:rsidR="006A7D7B">
        <w:rPr>
          <w:rFonts w:cs="Calibri"/>
          <w:bCs/>
          <w:lang w:val="sq-AL" w:eastAsia="sq-AL"/>
        </w:rPr>
        <w:t xml:space="preserve"> </w:t>
      </w:r>
      <w:r w:rsidR="006A7D7B" w:rsidRPr="00B02C11">
        <w:rPr>
          <w:rFonts w:cs="Calibri"/>
          <w:bCs/>
          <w:lang w:val="sq-AL" w:eastAsia="sq-AL"/>
        </w:rPr>
        <w:t>performanc</w:t>
      </w:r>
      <w:r w:rsidR="00F35311">
        <w:rPr>
          <w:rFonts w:cs="Calibri"/>
          <w:bCs/>
          <w:lang w:val="sq-AL" w:eastAsia="sq-AL"/>
        </w:rPr>
        <w:t>ë</w:t>
      </w:r>
      <w:r w:rsidR="006A7D7B">
        <w:rPr>
          <w:rFonts w:cs="Calibri"/>
          <w:bCs/>
          <w:lang w:val="sq-AL" w:eastAsia="sq-AL"/>
        </w:rPr>
        <w:t>n</w:t>
      </w:r>
      <w:r w:rsidR="006A7D7B" w:rsidRPr="00B02C11">
        <w:rPr>
          <w:rFonts w:cs="Calibri"/>
          <w:bCs/>
          <w:lang w:val="sq-AL" w:eastAsia="sq-AL"/>
        </w:rPr>
        <w:t xml:space="preserve"> financiare të Ndërmarrjeve Shtetërore</w:t>
      </w:r>
      <w:r w:rsidR="006A7D7B">
        <w:rPr>
          <w:rFonts w:cs="Calibri"/>
          <w:bCs/>
          <w:lang w:val="sq-AL" w:eastAsia="sq-AL"/>
        </w:rPr>
        <w:t xml:space="preserve"> si </w:t>
      </w:r>
      <w:r w:rsidR="006A7D7B" w:rsidRPr="00B02C11">
        <w:rPr>
          <w:rFonts w:cs="Calibri"/>
          <w:bCs/>
          <w:lang w:val="sq-AL" w:eastAsia="sq-AL"/>
        </w:rPr>
        <w:t>Ujësjellës Kanalizime Tiranë</w:t>
      </w:r>
      <w:r w:rsidR="006A7D7B">
        <w:rPr>
          <w:rFonts w:cs="Calibri"/>
          <w:bCs/>
          <w:lang w:val="sq-AL" w:eastAsia="sq-AL"/>
        </w:rPr>
        <w:t xml:space="preserve"> (UKT) Sh.a</w:t>
      </w:r>
      <w:r w:rsidR="006A7D7B" w:rsidRPr="00B02C11">
        <w:rPr>
          <w:rFonts w:cs="Calibri"/>
          <w:bCs/>
          <w:lang w:val="sq-AL" w:eastAsia="sq-AL"/>
        </w:rPr>
        <w:t>,</w:t>
      </w:r>
      <w:r w:rsidR="006A7D7B" w:rsidRPr="00FF12C1">
        <w:rPr>
          <w:rFonts w:cs="Calibri"/>
          <w:bCs/>
          <w:lang w:val="sq-AL" w:eastAsia="sq-AL"/>
        </w:rPr>
        <w:t xml:space="preserve"> </w:t>
      </w:r>
      <w:r w:rsidR="006A7D7B" w:rsidRPr="00B02C11">
        <w:rPr>
          <w:rFonts w:cs="Calibri"/>
          <w:bCs/>
          <w:lang w:val="sq-AL" w:eastAsia="sq-AL"/>
        </w:rPr>
        <w:t xml:space="preserve">Hekurudha Shqiptare </w:t>
      </w:r>
      <w:r w:rsidR="006A7D7B">
        <w:rPr>
          <w:rFonts w:cs="Calibri"/>
          <w:bCs/>
          <w:lang w:val="sq-AL" w:eastAsia="sq-AL"/>
        </w:rPr>
        <w:t>S</w:t>
      </w:r>
      <w:r w:rsidR="006A7D7B" w:rsidRPr="00B02C11">
        <w:rPr>
          <w:rFonts w:cs="Calibri"/>
          <w:bCs/>
          <w:lang w:val="sq-AL" w:eastAsia="sq-AL"/>
        </w:rPr>
        <w:t>h.a</w:t>
      </w:r>
      <w:r w:rsidR="006A7D7B">
        <w:rPr>
          <w:rFonts w:cs="Calibri"/>
          <w:bCs/>
          <w:lang w:val="sq-AL" w:eastAsia="sq-AL"/>
        </w:rPr>
        <w:t>, Autoriteti Portual Durrës</w:t>
      </w:r>
      <w:r w:rsidR="006A7D7B" w:rsidRPr="00B02C11">
        <w:rPr>
          <w:rFonts w:cs="Calibri"/>
          <w:bCs/>
          <w:lang w:val="sq-AL" w:eastAsia="sq-AL"/>
        </w:rPr>
        <w:t xml:space="preserve"> </w:t>
      </w:r>
      <w:r w:rsidR="006A7D7B">
        <w:rPr>
          <w:rFonts w:cs="Calibri"/>
          <w:bCs/>
          <w:lang w:val="sq-AL" w:eastAsia="sq-AL"/>
        </w:rPr>
        <w:t>(APD) S</w:t>
      </w:r>
      <w:r w:rsidR="006A7D7B" w:rsidRPr="00B02C11">
        <w:rPr>
          <w:rFonts w:cs="Calibri"/>
          <w:bCs/>
          <w:lang w:val="sq-AL" w:eastAsia="sq-AL"/>
        </w:rPr>
        <w:t>h.a</w:t>
      </w:r>
      <w:r w:rsidR="006A7D7B">
        <w:rPr>
          <w:rFonts w:cs="Calibri"/>
          <w:bCs/>
          <w:lang w:val="sq-AL" w:eastAsia="sq-AL"/>
        </w:rPr>
        <w:t>, AlbGaz Sh.a, Posta Shqiptare Sh.a, Albcontrol Sh.a, Albpetrol Sh.a, dhe</w:t>
      </w:r>
      <w:r w:rsidR="006A7D7B" w:rsidRPr="00692039">
        <w:rPr>
          <w:rFonts w:cs="Calibri"/>
          <w:bCs/>
          <w:lang w:val="sq-AL" w:eastAsia="sq-AL"/>
        </w:rPr>
        <w:t xml:space="preserve"> </w:t>
      </w:r>
      <w:r w:rsidR="006A7D7B">
        <w:rPr>
          <w:rFonts w:cs="Calibri"/>
          <w:bCs/>
          <w:lang w:val="sq-AL" w:eastAsia="sq-AL"/>
        </w:rPr>
        <w:t>Radio Televizioni Shqiptar (RTSH) Sh.a.</w:t>
      </w:r>
    </w:p>
    <w:p w:rsidR="006A7D7B" w:rsidRPr="006A7D7B" w:rsidRDefault="006A7D7B" w:rsidP="006A7D7B">
      <w:pPr>
        <w:spacing w:before="0" w:line="240" w:lineRule="auto"/>
        <w:contextualSpacing/>
        <w:rPr>
          <w:rFonts w:cs="Calibri"/>
          <w:bCs/>
          <w:sz w:val="8"/>
          <w:szCs w:val="8"/>
          <w:lang w:val="sq-AL" w:eastAsia="sq-AL"/>
        </w:rPr>
      </w:pPr>
    </w:p>
    <w:p w:rsidR="006A7D7B" w:rsidRDefault="006A7D7B" w:rsidP="006A7D7B">
      <w:pPr>
        <w:spacing w:before="0" w:line="240" w:lineRule="auto"/>
        <w:contextualSpacing/>
        <w:rPr>
          <w:rFonts w:cs="Calibri"/>
          <w:bCs/>
          <w:lang w:val="sq-AL" w:eastAsia="sq-AL"/>
        </w:rPr>
      </w:pPr>
      <w:r w:rsidRPr="00B02C11">
        <w:rPr>
          <w:rFonts w:cs="Calibri"/>
          <w:bCs/>
          <w:lang w:val="sq-AL" w:eastAsia="sq-AL"/>
        </w:rPr>
        <w:t>Këto raporte analitike, të cilat përgatiten rregullisht në baz</w:t>
      </w:r>
      <w:r w:rsidR="00F35311">
        <w:rPr>
          <w:rFonts w:cs="Calibri"/>
          <w:bCs/>
          <w:lang w:val="sq-AL" w:eastAsia="sq-AL"/>
        </w:rPr>
        <w:t>ë</w:t>
      </w:r>
      <w:r w:rsidRPr="00B02C11">
        <w:rPr>
          <w:rFonts w:cs="Calibri"/>
          <w:bCs/>
          <w:lang w:val="sq-AL" w:eastAsia="sq-AL"/>
        </w:rPr>
        <w:t xml:space="preserve"> tremujore, bëhen pjesë/publikohen në të gjitha raportet periodike të MFE si Buxheti Faktik, Raporti i Mesvitit, dhe Projektbuxheti</w:t>
      </w:r>
      <w:r>
        <w:rPr>
          <w:rFonts w:cs="Calibri"/>
          <w:bCs/>
          <w:lang w:val="sq-AL" w:eastAsia="sq-AL"/>
        </w:rPr>
        <w:t>.</w:t>
      </w:r>
    </w:p>
    <w:p w:rsidR="006A7D7B" w:rsidRDefault="006A7D7B" w:rsidP="006A7D7B">
      <w:pPr>
        <w:spacing w:before="0" w:line="240" w:lineRule="auto"/>
        <w:contextualSpacing/>
        <w:rPr>
          <w:rFonts w:cs="Calibri"/>
          <w:bCs/>
          <w:sz w:val="8"/>
          <w:lang w:val="sq-AL" w:eastAsia="sq-AL"/>
        </w:rPr>
      </w:pPr>
    </w:p>
    <w:p w:rsidR="00560062" w:rsidRDefault="00560062" w:rsidP="00FC729E">
      <w:pPr>
        <w:contextualSpacing/>
        <w:rPr>
          <w:rFonts w:eastAsia="Calibri" w:cs="Calibri"/>
          <w:bCs/>
          <w:i/>
          <w:u w:val="single"/>
          <w:lang w:val="sq-AL" w:eastAsia="sq-AL"/>
        </w:rPr>
      </w:pPr>
    </w:p>
    <w:p w:rsidR="00C6090D" w:rsidRPr="00366408" w:rsidRDefault="00C6090D" w:rsidP="00FC729E">
      <w:pPr>
        <w:pStyle w:val="fiskale3"/>
        <w:rPr>
          <w:rFonts w:ascii="Calibri" w:hAnsi="Calibri" w:cs="Calibri"/>
        </w:rPr>
      </w:pPr>
      <w:bookmarkStart w:id="191" w:name="_Toc104980344"/>
      <w:r w:rsidRPr="00366408">
        <w:rPr>
          <w:rFonts w:ascii="Calibri" w:hAnsi="Calibri" w:cs="Calibri"/>
        </w:rPr>
        <w:t>Ndërmarrjet e Sektorit Energjetik.</w:t>
      </w:r>
      <w:bookmarkEnd w:id="191"/>
    </w:p>
    <w:p w:rsidR="007D4C4E" w:rsidRDefault="007D4C4E" w:rsidP="004F77A0">
      <w:pPr>
        <w:spacing w:after="120" w:line="240" w:lineRule="auto"/>
        <w:rPr>
          <w:rFonts w:cs="Calibri"/>
          <w:bCs/>
          <w:lang w:val="sq-AL" w:eastAsia="sq-AL"/>
        </w:rPr>
      </w:pPr>
      <w:r w:rsidRPr="00716C10">
        <w:rPr>
          <w:rFonts w:cs="Calibri"/>
          <w:bCs/>
          <w:lang w:val="sq-AL" w:eastAsia="sq-AL"/>
        </w:rPr>
        <w:t xml:space="preserve">Ky sektor strategjik ka qenë dhe mbetet nën monitorimin e Ministrisë së Financave dhe Ekonomisë, duke patur parasysh ndikimin e konsiderueshëm fiskal dhe impaktin e ndjeshëm të tij në ekonomi. Ky monitorim, i cili është kryer periodikisht mbi bazë tremujore, ka konsistuar në analizimin e treguesve të performancës financiare të secilës prej tre kompanive KESH Sh.a, OSHEE Group Sh.a dhe OST Sh.a. </w:t>
      </w:r>
    </w:p>
    <w:p w:rsidR="00C6090D" w:rsidRPr="004E15B6" w:rsidRDefault="00C6090D" w:rsidP="00FC729E">
      <w:pPr>
        <w:keepNext/>
        <w:rPr>
          <w:rFonts w:cs="Calibri"/>
          <w:iCs/>
          <w:color w:val="1F497D"/>
          <w:sz w:val="18"/>
          <w:szCs w:val="18"/>
          <w:lang w:val="sq-AL"/>
        </w:rPr>
      </w:pPr>
      <w:bookmarkStart w:id="192" w:name="_Toc136526492"/>
      <w:r w:rsidRPr="004E15B6">
        <w:rPr>
          <w:rFonts w:cs="Calibri"/>
          <w:iCs/>
          <w:color w:val="1F497D"/>
          <w:sz w:val="18"/>
          <w:szCs w:val="18"/>
          <w:lang w:val="sq-AL"/>
        </w:rPr>
        <w:t xml:space="preserve">Grafiku </w:t>
      </w:r>
      <w:r w:rsidRPr="004E15B6">
        <w:rPr>
          <w:rFonts w:cs="Calibri"/>
          <w:iCs/>
          <w:color w:val="1F497D"/>
          <w:sz w:val="18"/>
          <w:szCs w:val="18"/>
          <w:lang w:val="sq-AL"/>
        </w:rPr>
        <w:fldChar w:fldCharType="begin"/>
      </w:r>
      <w:r w:rsidRPr="004E15B6">
        <w:rPr>
          <w:rFonts w:cs="Calibri"/>
          <w:iCs/>
          <w:color w:val="1F497D"/>
          <w:sz w:val="18"/>
          <w:szCs w:val="18"/>
          <w:lang w:val="sq-AL"/>
        </w:rPr>
        <w:instrText xml:space="preserve"> SEQ Grafiku \* ARABIC </w:instrText>
      </w:r>
      <w:r w:rsidRPr="004E15B6">
        <w:rPr>
          <w:rFonts w:cs="Calibri"/>
          <w:iCs/>
          <w:color w:val="1F497D"/>
          <w:sz w:val="18"/>
          <w:szCs w:val="18"/>
          <w:lang w:val="sq-AL"/>
        </w:rPr>
        <w:fldChar w:fldCharType="separate"/>
      </w:r>
      <w:r w:rsidR="008C3E07">
        <w:rPr>
          <w:rFonts w:cs="Calibri"/>
          <w:iCs/>
          <w:noProof/>
          <w:color w:val="1F497D"/>
          <w:sz w:val="18"/>
          <w:szCs w:val="18"/>
          <w:lang w:val="sq-AL"/>
        </w:rPr>
        <w:t>47</w:t>
      </w:r>
      <w:r w:rsidRPr="004E15B6">
        <w:rPr>
          <w:rFonts w:cs="Calibri"/>
          <w:iCs/>
          <w:color w:val="1F497D"/>
          <w:sz w:val="18"/>
          <w:szCs w:val="18"/>
          <w:lang w:val="sq-AL"/>
        </w:rPr>
        <w:fldChar w:fldCharType="end"/>
      </w:r>
      <w:r w:rsidRPr="004E15B6">
        <w:rPr>
          <w:rFonts w:cs="Calibri"/>
          <w:iCs/>
          <w:color w:val="1F497D"/>
          <w:sz w:val="18"/>
          <w:szCs w:val="18"/>
          <w:lang w:val="sq-AL"/>
        </w:rPr>
        <w:t xml:space="preserve"> Ecuria e nivelit të arkëtimeve të OSHEE </w:t>
      </w:r>
      <w:r w:rsidR="00380C50" w:rsidRPr="004E15B6">
        <w:rPr>
          <w:rFonts w:cs="Calibri"/>
          <w:iCs/>
          <w:color w:val="1F497D"/>
          <w:sz w:val="18"/>
          <w:szCs w:val="18"/>
          <w:lang w:val="sq-AL"/>
        </w:rPr>
        <w:t xml:space="preserve">Group </w:t>
      </w:r>
      <w:r w:rsidRPr="004E15B6">
        <w:rPr>
          <w:rFonts w:cs="Calibri"/>
          <w:iCs/>
          <w:color w:val="1F497D"/>
          <w:sz w:val="18"/>
          <w:szCs w:val="18"/>
          <w:lang w:val="sq-AL"/>
        </w:rPr>
        <w:t>sh.a (në miliardë lekë)</w:t>
      </w:r>
      <w:bookmarkEnd w:id="192"/>
    </w:p>
    <w:p w:rsidR="00C6090D" w:rsidRPr="00476D2E" w:rsidRDefault="004F77A0" w:rsidP="004F77A0">
      <w:pPr>
        <w:spacing w:before="0" w:line="240" w:lineRule="auto"/>
        <w:jc w:val="center"/>
        <w:rPr>
          <w:rFonts w:cs="Calibri"/>
          <w:bCs/>
          <w:lang w:val="sq-AL" w:eastAsia="sq-AL"/>
        </w:rPr>
      </w:pPr>
      <w:r>
        <w:rPr>
          <w:noProof/>
        </w:rPr>
        <w:drawing>
          <wp:inline distT="0" distB="0" distL="0" distR="0" wp14:anchorId="28B6450B" wp14:editId="7383733C">
            <wp:extent cx="6309995" cy="1858108"/>
            <wp:effectExtent l="0" t="0" r="14605" b="889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6090D" w:rsidRDefault="00153CD6" w:rsidP="004F77A0">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C6090D" w:rsidRPr="004E15B6" w:rsidRDefault="00C6090D" w:rsidP="00FC729E">
      <w:pPr>
        <w:keepNext/>
        <w:rPr>
          <w:rFonts w:cs="Calibri"/>
          <w:iCs/>
          <w:color w:val="1F497D"/>
          <w:sz w:val="18"/>
          <w:szCs w:val="18"/>
          <w:lang w:val="sq-AL"/>
        </w:rPr>
      </w:pPr>
      <w:bookmarkStart w:id="193" w:name="_Toc136526493"/>
      <w:r w:rsidRPr="004E15B6">
        <w:rPr>
          <w:rFonts w:cs="Calibri"/>
          <w:iCs/>
          <w:color w:val="1F497D"/>
          <w:sz w:val="18"/>
          <w:szCs w:val="18"/>
          <w:lang w:val="sq-AL"/>
        </w:rPr>
        <w:t xml:space="preserve">Grafiku </w:t>
      </w:r>
      <w:r w:rsidRPr="004E15B6">
        <w:rPr>
          <w:rFonts w:cs="Calibri"/>
          <w:iCs/>
          <w:color w:val="1F497D"/>
          <w:sz w:val="18"/>
          <w:szCs w:val="18"/>
          <w:lang w:val="sq-AL"/>
        </w:rPr>
        <w:fldChar w:fldCharType="begin"/>
      </w:r>
      <w:r w:rsidRPr="004E15B6">
        <w:rPr>
          <w:rFonts w:cs="Calibri"/>
          <w:iCs/>
          <w:color w:val="1F497D"/>
          <w:sz w:val="18"/>
          <w:szCs w:val="18"/>
          <w:lang w:val="sq-AL"/>
        </w:rPr>
        <w:instrText xml:space="preserve"> SEQ Grafiku \* ARABIC </w:instrText>
      </w:r>
      <w:r w:rsidRPr="004E15B6">
        <w:rPr>
          <w:rFonts w:cs="Calibri"/>
          <w:iCs/>
          <w:color w:val="1F497D"/>
          <w:sz w:val="18"/>
          <w:szCs w:val="18"/>
          <w:lang w:val="sq-AL"/>
        </w:rPr>
        <w:fldChar w:fldCharType="separate"/>
      </w:r>
      <w:r w:rsidR="008C3E07">
        <w:rPr>
          <w:rFonts w:cs="Calibri"/>
          <w:iCs/>
          <w:noProof/>
          <w:color w:val="1F497D"/>
          <w:sz w:val="18"/>
          <w:szCs w:val="18"/>
          <w:lang w:val="sq-AL"/>
        </w:rPr>
        <w:t>48</w:t>
      </w:r>
      <w:r w:rsidRPr="004E15B6">
        <w:rPr>
          <w:rFonts w:cs="Calibri"/>
          <w:iCs/>
          <w:color w:val="1F497D"/>
          <w:sz w:val="18"/>
          <w:szCs w:val="18"/>
          <w:lang w:val="sq-AL"/>
        </w:rPr>
        <w:fldChar w:fldCharType="end"/>
      </w:r>
      <w:r w:rsidRPr="004E15B6">
        <w:rPr>
          <w:rFonts w:cs="Calibri"/>
          <w:iCs/>
          <w:color w:val="1F497D"/>
          <w:sz w:val="18"/>
          <w:szCs w:val="18"/>
          <w:lang w:val="sq-AL"/>
        </w:rPr>
        <w:t xml:space="preserve"> Ecuria e nivelit të humbjeve në rrjet për OSHEE </w:t>
      </w:r>
      <w:r w:rsidR="00380C50" w:rsidRPr="004E15B6">
        <w:rPr>
          <w:rFonts w:cs="Calibri"/>
          <w:iCs/>
          <w:color w:val="1F497D"/>
          <w:sz w:val="18"/>
          <w:szCs w:val="18"/>
          <w:lang w:val="sq-AL"/>
        </w:rPr>
        <w:t xml:space="preserve">Group </w:t>
      </w:r>
      <w:r w:rsidRPr="004E15B6">
        <w:rPr>
          <w:rFonts w:cs="Calibri"/>
          <w:iCs/>
          <w:color w:val="1F497D"/>
          <w:sz w:val="18"/>
          <w:szCs w:val="18"/>
          <w:lang w:val="sq-AL"/>
        </w:rPr>
        <w:t>sh.a (në %)</w:t>
      </w:r>
      <w:bookmarkEnd w:id="193"/>
    </w:p>
    <w:p w:rsidR="00C6090D" w:rsidRPr="00476D2E" w:rsidRDefault="004F77A0" w:rsidP="004F77A0">
      <w:pPr>
        <w:spacing w:before="0" w:line="240" w:lineRule="auto"/>
        <w:jc w:val="center"/>
        <w:rPr>
          <w:rFonts w:cs="Calibri"/>
          <w:bCs/>
          <w:lang w:val="sq-AL" w:eastAsia="sq-AL"/>
        </w:rPr>
      </w:pPr>
      <w:r>
        <w:rPr>
          <w:noProof/>
        </w:rPr>
        <w:drawing>
          <wp:inline distT="0" distB="0" distL="0" distR="0" wp14:anchorId="14E8C680" wp14:editId="4113E029">
            <wp:extent cx="6309995" cy="1981200"/>
            <wp:effectExtent l="0" t="0" r="14605"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6090D" w:rsidRDefault="00153CD6" w:rsidP="004F77A0">
      <w:pPr>
        <w:spacing w:before="0" w:line="36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7D4C4E" w:rsidRDefault="007D4C4E" w:rsidP="00AC5EFC">
      <w:pPr>
        <w:spacing w:line="240" w:lineRule="auto"/>
        <w:rPr>
          <w:rFonts w:eastAsia="SimSun" w:cs="Calibri"/>
          <w:bCs/>
          <w:lang w:val="sq-AL"/>
        </w:rPr>
      </w:pPr>
      <w:r w:rsidRPr="00E87F6B">
        <w:rPr>
          <w:rFonts w:eastAsia="SimSun" w:cs="Calibri"/>
          <w:lang w:val="sq-AL"/>
        </w:rPr>
        <w:lastRenderedPageBreak/>
        <w:t xml:space="preserve">Gjatë vitit </w:t>
      </w:r>
      <w:r w:rsidR="00AC5EFC" w:rsidRPr="006E19A2">
        <w:rPr>
          <w:rFonts w:eastAsia="SimSun" w:cs="Calibri"/>
          <w:bCs/>
          <w:lang w:val="sq-AL"/>
        </w:rPr>
        <w:t>2022, sektori energjitik është përballur me një situatë jo të favorshme në terma financiarë, një vazhdimësi kjo e fund-vitit 2021, si pasojë e situatës jo të mirë meteorologjike në vend e cila ka ulur nivelin e prodhimit të energjisë vendase nga KESH sh.a.. Mosplotësimi i planit të furnizimit me energji elektrike si pasojë e motit të thatë ka detyruar KESH sh.a të plotësojë këtë mungesë me blerje në tregun e lirë, gjë që ka ndikuar në ulje të performancës financiare dhe mungesës së likuiditetit për shoqërinë. Për më tepër, si pasojë e niveleve të ulta të basenëve hidrikë përgjatë vitit 2022 dhe për përballimin e kërkesës së energjisë për</w:t>
      </w:r>
      <w:r w:rsidR="00AC5EFC">
        <w:rPr>
          <w:rFonts w:eastAsia="SimSun" w:cs="Calibri"/>
          <w:bCs/>
          <w:lang w:val="sq-AL"/>
        </w:rPr>
        <w:t xml:space="preserve"> </w:t>
      </w:r>
      <w:r w:rsidR="00AC5EFC" w:rsidRPr="006E19A2">
        <w:rPr>
          <w:rFonts w:eastAsia="SimSun" w:cs="Calibri"/>
          <w:bCs/>
          <w:lang w:val="sq-AL"/>
        </w:rPr>
        <w:t>muaj</w:t>
      </w:r>
      <w:r w:rsidR="00AC5EFC">
        <w:rPr>
          <w:rFonts w:eastAsia="SimSun" w:cs="Calibri"/>
          <w:bCs/>
          <w:lang w:val="sq-AL"/>
        </w:rPr>
        <w:t>t</w:t>
      </w:r>
      <w:r w:rsidR="00AC5EFC" w:rsidRPr="006E19A2">
        <w:rPr>
          <w:rFonts w:eastAsia="SimSun" w:cs="Calibri"/>
          <w:bCs/>
          <w:lang w:val="sq-AL"/>
        </w:rPr>
        <w:t xml:space="preserve"> </w:t>
      </w:r>
      <w:r w:rsidR="00AC5EFC">
        <w:rPr>
          <w:rFonts w:eastAsia="SimSun" w:cs="Calibri"/>
          <w:bCs/>
          <w:lang w:val="sq-AL"/>
        </w:rPr>
        <w:t>e</w:t>
      </w:r>
      <w:r w:rsidR="00AC5EFC" w:rsidRPr="006E19A2">
        <w:rPr>
          <w:rFonts w:eastAsia="SimSun" w:cs="Calibri"/>
          <w:bCs/>
          <w:lang w:val="sq-AL"/>
        </w:rPr>
        <w:t xml:space="preserve"> parë të vitit 2023, u ndërmorën masa lehtësuese për përmirësimin e situatës së basenit të Fierzes. Më konkretisht</w:t>
      </w:r>
      <w:r w:rsidR="00AC5EFC">
        <w:rPr>
          <w:rFonts w:eastAsia="SimSun" w:cs="Calibri"/>
          <w:bCs/>
          <w:lang w:val="sq-AL"/>
        </w:rPr>
        <w:t>:</w:t>
      </w:r>
    </w:p>
    <w:p w:rsidR="00AC5EFC" w:rsidRPr="00AC5EFC" w:rsidRDefault="00AC5EFC" w:rsidP="00C71069">
      <w:pPr>
        <w:pStyle w:val="ListParagraph"/>
        <w:numPr>
          <w:ilvl w:val="0"/>
          <w:numId w:val="31"/>
        </w:numPr>
        <w:spacing w:before="0"/>
        <w:rPr>
          <w:rFonts w:eastAsia="MS Mincho"/>
          <w:i/>
          <w:lang w:val="sq-AL"/>
        </w:rPr>
      </w:pPr>
      <w:r w:rsidRPr="00AC5EFC">
        <w:rPr>
          <w:rFonts w:eastAsia="MS Mincho"/>
          <w:i/>
          <w:lang w:val="sq-AL"/>
        </w:rPr>
        <w:t>Ulja/ndalimi i prodhimit të energjisë në hidrocentralin Fierzë, deri në rritjen e kuotave të pranueshme të rezervës ujore.</w:t>
      </w:r>
    </w:p>
    <w:p w:rsidR="00AC5EFC" w:rsidRPr="00AC5EFC" w:rsidRDefault="00AC5EFC" w:rsidP="00C71069">
      <w:pPr>
        <w:pStyle w:val="ListParagraph"/>
        <w:numPr>
          <w:ilvl w:val="0"/>
          <w:numId w:val="31"/>
        </w:numPr>
        <w:spacing w:before="0"/>
        <w:rPr>
          <w:rFonts w:eastAsia="MS Mincho"/>
          <w:i/>
          <w:lang w:val="sq-AL"/>
        </w:rPr>
      </w:pPr>
      <w:r w:rsidRPr="00AC5EFC">
        <w:rPr>
          <w:rFonts w:eastAsia="MS Mincho"/>
          <w:i/>
          <w:lang w:val="sq-AL"/>
        </w:rPr>
        <w:t>Rritja në blerje të sasisë së energjisë në bursë për të përballuar kërkesën shtesë nga prodhimi i munguar vendas, si pasojë e mos gjenerimit të energjisë në HEC Fierzë.</w:t>
      </w:r>
    </w:p>
    <w:p w:rsidR="00AB609E" w:rsidRDefault="00F8779D" w:rsidP="00F8779D">
      <w:pPr>
        <w:spacing w:line="240" w:lineRule="auto"/>
        <w:rPr>
          <w:rFonts w:eastAsia="SimSun" w:cs="Calibri"/>
          <w:bCs/>
          <w:lang w:val="sq-AL"/>
        </w:rPr>
      </w:pPr>
      <w:r w:rsidRPr="00F676EC">
        <w:rPr>
          <w:rFonts w:eastAsia="SimSun" w:cs="Calibri"/>
          <w:bCs/>
          <w:lang w:val="sq-AL"/>
        </w:rPr>
        <w:t xml:space="preserve">Falë konservimit të basenit të </w:t>
      </w:r>
      <w:r>
        <w:rPr>
          <w:rFonts w:eastAsia="SimSun" w:cs="Calibri"/>
          <w:bCs/>
          <w:lang w:val="sq-AL"/>
        </w:rPr>
        <w:t>Fierzës</w:t>
      </w:r>
      <w:r w:rsidRPr="00F676EC">
        <w:rPr>
          <w:rFonts w:eastAsia="SimSun" w:cs="Calibri"/>
          <w:bCs/>
          <w:lang w:val="sq-AL"/>
        </w:rPr>
        <w:t xml:space="preserve"> dhe pru</w:t>
      </w:r>
      <w:r>
        <w:rPr>
          <w:rFonts w:eastAsia="SimSun" w:cs="Calibri"/>
          <w:bCs/>
          <w:lang w:val="sq-AL"/>
        </w:rPr>
        <w:t xml:space="preserve">rjeve të rreshjeve gjatë tre muajve të fund </w:t>
      </w:r>
      <w:r w:rsidRPr="00F676EC">
        <w:rPr>
          <w:rFonts w:eastAsia="SimSun" w:cs="Calibri"/>
          <w:bCs/>
          <w:lang w:val="sq-AL"/>
        </w:rPr>
        <w:t xml:space="preserve">vitit, në muajin Dhjetor </w:t>
      </w:r>
      <w:r>
        <w:rPr>
          <w:rFonts w:eastAsia="SimSun" w:cs="Calibri"/>
          <w:bCs/>
          <w:lang w:val="sq-AL"/>
        </w:rPr>
        <w:t xml:space="preserve">të vitit </w:t>
      </w:r>
      <w:r w:rsidRPr="00F676EC">
        <w:rPr>
          <w:rFonts w:eastAsia="SimSun" w:cs="Calibri"/>
          <w:bCs/>
          <w:lang w:val="sq-AL"/>
        </w:rPr>
        <w:t>2022</w:t>
      </w:r>
      <w:r>
        <w:rPr>
          <w:rFonts w:eastAsia="SimSun" w:cs="Calibri"/>
          <w:bCs/>
          <w:lang w:val="sq-AL"/>
        </w:rPr>
        <w:t>, baseni i Fierzës</w:t>
      </w:r>
      <w:r w:rsidRPr="00F676EC">
        <w:rPr>
          <w:rFonts w:eastAsia="SimSun" w:cs="Calibri"/>
          <w:bCs/>
          <w:lang w:val="sq-AL"/>
        </w:rPr>
        <w:t xml:space="preserve"> arriti në nivelin e kuotës prej rreth </w:t>
      </w:r>
      <w:r w:rsidRPr="00575732">
        <w:rPr>
          <w:rFonts w:eastAsia="SimSun" w:cs="Calibri"/>
          <w:bCs/>
          <w:lang w:val="sq-AL"/>
        </w:rPr>
        <w:t xml:space="preserve">291.7m. Ky është niveli më i lartë </w:t>
      </w:r>
      <w:r w:rsidRPr="00F676EC">
        <w:rPr>
          <w:rFonts w:eastAsia="SimSun" w:cs="Calibri"/>
          <w:bCs/>
          <w:lang w:val="sq-AL"/>
        </w:rPr>
        <w:t xml:space="preserve">për këtë periudhë që prej vitit </w:t>
      </w:r>
      <w:r w:rsidRPr="00575732">
        <w:rPr>
          <w:rFonts w:eastAsia="SimSun" w:cs="Calibri"/>
          <w:bCs/>
          <w:lang w:val="sq-AL"/>
        </w:rPr>
        <w:t>1996 dhe nivel shumë më i lartë sesa kuota mesatare</w:t>
      </w:r>
      <w:r w:rsidRPr="00F676EC">
        <w:rPr>
          <w:rFonts w:eastAsia="SimSun" w:cs="Calibri"/>
          <w:bCs/>
          <w:lang w:val="sq-AL"/>
        </w:rPr>
        <w:t xml:space="preserve"> prej 277.5m e 30 viteve të fundit, për të njëjtën periudhë.</w:t>
      </w:r>
      <w:r>
        <w:rPr>
          <w:rFonts w:eastAsia="SimSun" w:cs="Calibri"/>
          <w:bCs/>
          <w:lang w:val="sq-AL"/>
        </w:rPr>
        <w:t xml:space="preserve"> </w:t>
      </w:r>
      <w:r w:rsidRPr="00F676EC">
        <w:rPr>
          <w:rFonts w:eastAsia="SimSun" w:cs="Calibri"/>
          <w:bCs/>
          <w:lang w:val="sq-AL"/>
        </w:rPr>
        <w:t xml:space="preserve">Krahasuar me </w:t>
      </w:r>
      <w:r>
        <w:rPr>
          <w:rFonts w:eastAsia="SimSun" w:cs="Calibri"/>
          <w:bCs/>
          <w:lang w:val="sq-AL"/>
        </w:rPr>
        <w:t>vitin</w:t>
      </w:r>
      <w:r w:rsidRPr="00F676EC">
        <w:rPr>
          <w:rFonts w:eastAsia="SimSun" w:cs="Calibri"/>
          <w:bCs/>
          <w:lang w:val="sq-AL"/>
        </w:rPr>
        <w:t xml:space="preserve"> 2021 vërehet se</w:t>
      </w:r>
      <w:r>
        <w:rPr>
          <w:rFonts w:eastAsia="SimSun" w:cs="Calibri"/>
          <w:bCs/>
          <w:lang w:val="sq-AL"/>
        </w:rPr>
        <w:t>:</w:t>
      </w:r>
    </w:p>
    <w:p w:rsidR="00F8779D" w:rsidRPr="00F8779D" w:rsidRDefault="00F8779D" w:rsidP="00C71069">
      <w:pPr>
        <w:pStyle w:val="ListParagraph"/>
        <w:numPr>
          <w:ilvl w:val="0"/>
          <w:numId w:val="31"/>
        </w:numPr>
        <w:spacing w:before="0"/>
        <w:rPr>
          <w:rFonts w:eastAsia="MS Mincho"/>
          <w:i/>
          <w:lang w:val="sq-AL"/>
        </w:rPr>
      </w:pPr>
      <w:r w:rsidRPr="00F8779D">
        <w:rPr>
          <w:rFonts w:eastAsia="MS Mincho"/>
          <w:i/>
          <w:lang w:val="sq-AL"/>
        </w:rPr>
        <w:t xml:space="preserve">Niveli i përgjithshëm i prodhimit vendas është ulur me rreth 21.9 përqind krahasuar me të njejtën periudhë të një viti më parë. </w:t>
      </w:r>
    </w:p>
    <w:p w:rsidR="00F8779D" w:rsidRPr="00F8779D" w:rsidRDefault="00F8779D" w:rsidP="00C71069">
      <w:pPr>
        <w:pStyle w:val="ListParagraph"/>
        <w:numPr>
          <w:ilvl w:val="0"/>
          <w:numId w:val="31"/>
        </w:numPr>
        <w:spacing w:before="0"/>
        <w:rPr>
          <w:rFonts w:eastAsia="MS Mincho"/>
          <w:i/>
          <w:lang w:val="sq-AL"/>
        </w:rPr>
      </w:pPr>
      <w:r w:rsidRPr="00F8779D">
        <w:rPr>
          <w:rFonts w:eastAsia="MS Mincho"/>
          <w:i/>
          <w:lang w:val="sq-AL"/>
        </w:rPr>
        <w:t>Prodhimi neto vendas është vetëm 7.00 T</w:t>
      </w:r>
      <w:r w:rsidR="00F35311">
        <w:rPr>
          <w:rFonts w:eastAsia="MS Mincho"/>
          <w:i/>
          <w:lang w:val="sq-AL"/>
        </w:rPr>
        <w:t>Ë</w:t>
      </w:r>
      <w:r w:rsidRPr="00F8779D">
        <w:rPr>
          <w:rFonts w:eastAsia="MS Mincho"/>
          <w:i/>
          <w:lang w:val="sq-AL"/>
        </w:rPr>
        <w:t>h krahasur me të njejtën periudhë të vitit të kaluar ku prodhimi neto vendas ka qënë rreth 8.96 T</w:t>
      </w:r>
      <w:r w:rsidR="00F35311">
        <w:rPr>
          <w:rFonts w:eastAsia="MS Mincho"/>
          <w:i/>
          <w:lang w:val="sq-AL"/>
        </w:rPr>
        <w:t>Ë</w:t>
      </w:r>
      <w:r w:rsidRPr="00F8779D">
        <w:rPr>
          <w:rFonts w:eastAsia="MS Mincho"/>
          <w:i/>
          <w:lang w:val="sq-AL"/>
        </w:rPr>
        <w:t xml:space="preserve">h. </w:t>
      </w:r>
    </w:p>
    <w:p w:rsidR="00F8779D" w:rsidRPr="00F8779D" w:rsidRDefault="00F8779D" w:rsidP="00C71069">
      <w:pPr>
        <w:pStyle w:val="ListParagraph"/>
        <w:numPr>
          <w:ilvl w:val="0"/>
          <w:numId w:val="31"/>
        </w:numPr>
        <w:spacing w:before="0"/>
        <w:rPr>
          <w:rFonts w:eastAsia="MS Mincho"/>
          <w:i/>
          <w:lang w:val="sq-AL"/>
        </w:rPr>
      </w:pPr>
      <w:r w:rsidRPr="00F8779D">
        <w:rPr>
          <w:rFonts w:eastAsia="MS Mincho"/>
          <w:i/>
          <w:lang w:val="sq-AL"/>
        </w:rPr>
        <w:t>Konkretisht, gjatë 12M 2022, KESH sh.a realizoi një nivel prodhimi neto publik prej rreth 3.86 T</w:t>
      </w:r>
      <w:r w:rsidR="00F35311">
        <w:rPr>
          <w:rFonts w:eastAsia="MS Mincho"/>
          <w:i/>
          <w:lang w:val="sq-AL"/>
        </w:rPr>
        <w:t>Ë</w:t>
      </w:r>
      <w:r w:rsidRPr="00F8779D">
        <w:rPr>
          <w:rFonts w:eastAsia="MS Mincho"/>
          <w:i/>
          <w:lang w:val="sq-AL"/>
        </w:rPr>
        <w:t>h, krahasuar me 5.34 T</w:t>
      </w:r>
      <w:r w:rsidR="00F35311">
        <w:rPr>
          <w:rFonts w:eastAsia="MS Mincho"/>
          <w:i/>
          <w:lang w:val="sq-AL"/>
        </w:rPr>
        <w:t>Ë</w:t>
      </w:r>
      <w:r w:rsidRPr="00F8779D">
        <w:rPr>
          <w:rFonts w:eastAsia="MS Mincho"/>
          <w:i/>
          <w:lang w:val="sq-AL"/>
        </w:rPr>
        <w:t xml:space="preserve">h realizuar </w:t>
      </w:r>
      <w:bookmarkStart w:id="194" w:name="_Hlk119331615"/>
      <w:r w:rsidRPr="00F8779D">
        <w:rPr>
          <w:rFonts w:eastAsia="MS Mincho"/>
          <w:i/>
          <w:lang w:val="sq-AL"/>
        </w:rPr>
        <w:t>në të njejtën periudhë të vitit të kaluar</w:t>
      </w:r>
      <w:bookmarkEnd w:id="194"/>
      <w:r w:rsidRPr="00F8779D">
        <w:rPr>
          <w:rFonts w:eastAsia="MS Mincho"/>
          <w:i/>
          <w:lang w:val="sq-AL"/>
        </w:rPr>
        <w:t xml:space="preserve">, një ulje kjo prej rreth 27.8%. </w:t>
      </w:r>
    </w:p>
    <w:p w:rsidR="00F8779D" w:rsidRPr="00F8779D" w:rsidRDefault="00F8779D" w:rsidP="00C71069">
      <w:pPr>
        <w:pStyle w:val="ListParagraph"/>
        <w:numPr>
          <w:ilvl w:val="0"/>
          <w:numId w:val="31"/>
        </w:numPr>
        <w:spacing w:before="0"/>
        <w:rPr>
          <w:rFonts w:eastAsia="MS Mincho"/>
          <w:i/>
          <w:lang w:val="sq-AL"/>
        </w:rPr>
      </w:pPr>
      <w:r w:rsidRPr="00F8779D">
        <w:rPr>
          <w:rFonts w:eastAsia="MS Mincho"/>
          <w:i/>
          <w:lang w:val="sq-AL"/>
        </w:rPr>
        <w:t xml:space="preserve">Ky është një tregues përkeqësimi i konsiderueshëm që tregon që deri në 12M e vitit 2022, situata hidrike nuk është në kushte shumë të favorshme. Për pasojë, pritet një përkeqësim i situatës financiare për KESH sh.a. </w:t>
      </w:r>
    </w:p>
    <w:p w:rsidR="00F8779D" w:rsidRPr="00F8779D" w:rsidRDefault="00F8779D" w:rsidP="00C71069">
      <w:pPr>
        <w:pStyle w:val="ListParagraph"/>
        <w:numPr>
          <w:ilvl w:val="0"/>
          <w:numId w:val="31"/>
        </w:numPr>
        <w:spacing w:before="0"/>
        <w:rPr>
          <w:rFonts w:eastAsia="MS Mincho"/>
          <w:i/>
          <w:lang w:val="sq-AL"/>
        </w:rPr>
      </w:pPr>
      <w:r w:rsidRPr="00F8779D">
        <w:rPr>
          <w:rFonts w:eastAsia="MS Mincho"/>
          <w:i/>
          <w:lang w:val="sq-AL"/>
        </w:rPr>
        <w:t xml:space="preserve">Sa i përket humbjeve në sistemin e shpërndarjes së energjisë elektrike ato rezultuan në nivelin 19.70 përqind për 12M 2022, duke shënuar një rënie të mëtejshme të nivelit të humbjeve krahasuar me të njëjtën periudhë të një viti më parë, ku humbjet figuruan në nivelin 20.62 përqind. </w:t>
      </w:r>
    </w:p>
    <w:p w:rsidR="00F8779D" w:rsidRPr="00F8779D" w:rsidRDefault="00F8779D" w:rsidP="00C71069">
      <w:pPr>
        <w:pStyle w:val="ListParagraph"/>
        <w:numPr>
          <w:ilvl w:val="0"/>
          <w:numId w:val="31"/>
        </w:numPr>
        <w:spacing w:before="0"/>
        <w:rPr>
          <w:rFonts w:eastAsia="MS Mincho"/>
          <w:i/>
          <w:lang w:val="sq-AL"/>
        </w:rPr>
      </w:pPr>
      <w:r w:rsidRPr="00F8779D">
        <w:rPr>
          <w:rFonts w:eastAsia="MS Mincho"/>
          <w:i/>
          <w:lang w:val="sq-AL"/>
        </w:rPr>
        <w:t>Niveli i arkëtimeve për 12M 2022 arriti vlerën prej 98.0 përqind, një shifër mjaft e mirë dhe në rritje krahasuar me vlerën prej 97.4 përqind e të njëjtës periudhë të një viti më parë, gjë që dëshmon stabilitetin e operatorit në këtë drejtim.</w:t>
      </w:r>
    </w:p>
    <w:p w:rsidR="00C73387" w:rsidRPr="00C73387" w:rsidRDefault="00C73387" w:rsidP="00C73387">
      <w:pPr>
        <w:spacing w:line="240" w:lineRule="auto"/>
        <w:rPr>
          <w:rFonts w:eastAsia="SimSun" w:cs="Calibri"/>
          <w:lang w:val="sq-AL"/>
        </w:rPr>
      </w:pPr>
      <w:r w:rsidRPr="00C73387">
        <w:rPr>
          <w:rFonts w:eastAsia="SimSun" w:cs="Calibri"/>
          <w:lang w:val="sq-AL"/>
        </w:rPr>
        <w:t>Nisur nga treguesit e parashtruar sa më sipër, ku ndër më kyesorët që kanë ndikuar në përformancën e sektorit janë, ulja e nivelit të prodhimit të energjisë vendase dhe përshkallëzimi i krizës globale energjitike shkaktuar nga konflikti në Ukrainë, nëpërmjet VKM nr.650 datë 10.10.2022 “</w:t>
      </w:r>
      <w:r w:rsidRPr="00C73387">
        <w:rPr>
          <w:rFonts w:eastAsia="SimSun" w:cs="Calibri"/>
          <w:i/>
          <w:lang w:val="sq-AL"/>
        </w:rPr>
        <w:t>Disa shtesa dhe ndryshime në Vendimin nr.584, datë 8.10.2021</w:t>
      </w:r>
      <w:r w:rsidRPr="00C73387">
        <w:rPr>
          <w:rFonts w:eastAsia="SimSun" w:cs="Calibri"/>
          <w:lang w:val="sq-AL"/>
        </w:rPr>
        <w:t xml:space="preserve"> “</w:t>
      </w:r>
      <w:r w:rsidRPr="00C73387">
        <w:rPr>
          <w:rFonts w:eastAsia="SimSun" w:cs="Calibri"/>
          <w:i/>
          <w:lang w:val="sq-AL"/>
        </w:rPr>
        <w:t>Për Shpalljen e gjendjes së emergjencës në furnizimin me energji elektrike</w:t>
      </w:r>
      <w:r w:rsidRPr="00C73387">
        <w:rPr>
          <w:rFonts w:eastAsia="SimSun" w:cs="Calibri"/>
          <w:lang w:val="sq-AL"/>
        </w:rPr>
        <w:t xml:space="preserve">” të ndryshuar, Këshillli i Ministrave vendosi ndryshimin e kohëzgjatjes së gjendjes së emergjencës së furnizimit me energji elektrike deri më 30 Qershor 2023. Kjo, me qëllim vazhdimin e mbështetjes nga buxheti i shtetit së këtij sektori gjatë kësaj përiudhe, duke asistuar kështu KESH sh.a. në blerjen e energjisë elektrike në tregun e lirë për të  plotësuar mangësitë në prodhim dhe përballimin e </w:t>
      </w:r>
      <w:r w:rsidRPr="00C73387">
        <w:rPr>
          <w:rFonts w:eastAsia="SimSun" w:cs="Calibri"/>
          <w:bCs/>
          <w:lang w:val="sq-AL"/>
        </w:rPr>
        <w:t>rritjes të paparashikuar eksponenciale të çmimit të energjisë në Tregun e Lirë (kriza globale e energjisë).</w:t>
      </w:r>
    </w:p>
    <w:p w:rsidR="00F8779D" w:rsidRDefault="00C73387" w:rsidP="00C73387">
      <w:pPr>
        <w:spacing w:line="240" w:lineRule="auto"/>
        <w:rPr>
          <w:rFonts w:eastAsia="SimSun" w:cs="Calibri"/>
          <w:bCs/>
          <w:lang w:val="sq-AL"/>
        </w:rPr>
      </w:pPr>
      <w:r w:rsidRPr="00C73387">
        <w:rPr>
          <w:rFonts w:eastAsia="SimSun" w:cs="Calibri"/>
          <w:bCs/>
          <w:lang w:val="sq-AL"/>
        </w:rPr>
        <w:t>Në terma të riskut fiskal, mbështetja nga buxheti i shtetit përgjatë vitit 2022 për sektorin e energjisë ka qënë e konsiderueshme.  Impakti i sektorit si kosto apo të ardhura të munguara në financat publike për vitin 2022, vlerësohet në rreth 33 miliardë LEK, nga rreth 5.5 miliardë LEK në vitin 2021, duke treguar një gjendje jo të mirë të detyrimeve</w:t>
      </w:r>
      <w:r>
        <w:rPr>
          <w:rFonts w:eastAsia="SimSun" w:cs="Calibri"/>
          <w:bCs/>
          <w:lang w:val="sq-AL"/>
        </w:rPr>
        <w:t>. K</w:t>
      </w:r>
      <w:r w:rsidR="00F35311">
        <w:rPr>
          <w:rFonts w:eastAsia="SimSun" w:cs="Calibri"/>
          <w:bCs/>
          <w:lang w:val="sq-AL"/>
        </w:rPr>
        <w:t>ë</w:t>
      </w:r>
      <w:r>
        <w:rPr>
          <w:rFonts w:eastAsia="SimSun" w:cs="Calibri"/>
          <w:bCs/>
          <w:lang w:val="sq-AL"/>
        </w:rPr>
        <w:t>shtu:</w:t>
      </w:r>
    </w:p>
    <w:p w:rsidR="00C73387" w:rsidRPr="00C73387" w:rsidRDefault="00C73387" w:rsidP="00C71069">
      <w:pPr>
        <w:pStyle w:val="ListParagraph"/>
        <w:numPr>
          <w:ilvl w:val="0"/>
          <w:numId w:val="52"/>
        </w:numPr>
        <w:spacing w:before="0" w:line="240" w:lineRule="auto"/>
        <w:rPr>
          <w:rFonts w:eastAsia="SimSun" w:cs="Calibri"/>
          <w:bCs/>
          <w:i/>
          <w:lang w:val="sq-AL"/>
        </w:rPr>
      </w:pPr>
      <w:r w:rsidRPr="00C73387">
        <w:rPr>
          <w:rFonts w:eastAsia="SimSun" w:cs="Calibri"/>
          <w:bCs/>
          <w:i/>
          <w:lang w:val="sq-AL"/>
        </w:rPr>
        <w:t xml:space="preserve">Për vitin 2022, KESH sh.a si pjesë e sektorit të energjisë është mbështetur nëpërmjet marrëveshjes së huasë së MFE dhe KESH sh.a datë 24.03.2022 në shumën 8 miliardë lekë si dhe përmes mbështetjes buxhetore (injeksion kapitali) në shumën 20 miliardë lek, në zbatim të tre VKM-ve respektivisht: nr.498 datë 29.07.2022, nr.603 datë </w:t>
      </w:r>
      <w:r w:rsidRPr="00C73387">
        <w:rPr>
          <w:rFonts w:eastAsia="SimSun" w:cs="Calibri"/>
          <w:bCs/>
          <w:i/>
          <w:lang w:val="sq-AL"/>
        </w:rPr>
        <w:lastRenderedPageBreak/>
        <w:t>14.09.2022 dhe nr.875 datë 27.12.2022 “Për kalim fondi Ministrisë së Infrastrukturës dhe Energjisë për mbështetjen e sektorit të energjisë” në shumat respektive 8 miliardë lekë, 8 miliardë lekë dhe 4 miliardë lekë</w:t>
      </w:r>
      <w:r>
        <w:rPr>
          <w:rFonts w:eastAsia="SimSun" w:cs="Calibri"/>
          <w:bCs/>
          <w:i/>
          <w:lang w:val="sq-AL"/>
        </w:rPr>
        <w:t>”</w:t>
      </w:r>
      <w:r w:rsidRPr="00C73387">
        <w:rPr>
          <w:rFonts w:eastAsia="SimSun" w:cs="Calibri"/>
          <w:bCs/>
          <w:i/>
          <w:lang w:val="sq-AL"/>
        </w:rPr>
        <w:t xml:space="preserve">. </w:t>
      </w:r>
    </w:p>
    <w:p w:rsidR="00C73387" w:rsidRPr="00C73387" w:rsidRDefault="00C73387" w:rsidP="00C71069">
      <w:pPr>
        <w:pStyle w:val="ListParagraph"/>
        <w:numPr>
          <w:ilvl w:val="0"/>
          <w:numId w:val="52"/>
        </w:numPr>
        <w:spacing w:before="0" w:line="240" w:lineRule="auto"/>
        <w:rPr>
          <w:rFonts w:eastAsia="SimSun" w:cs="Calibri"/>
          <w:bCs/>
          <w:i/>
          <w:lang w:val="sq-AL"/>
        </w:rPr>
      </w:pPr>
      <w:r w:rsidRPr="00C73387">
        <w:rPr>
          <w:rFonts w:eastAsia="SimSun" w:cs="Calibri"/>
          <w:i/>
          <w:lang w:val="sq-AL"/>
        </w:rPr>
        <w:t>Projektet e investimeve me financim të huaj për Sektorin e Energjisë për vitin 2022 u miratuan në nivelin 2.1 miliardë lekë sipas buxhetit fillestar</w:t>
      </w:r>
      <w:r>
        <w:rPr>
          <w:rFonts w:eastAsia="SimSun" w:cs="Calibri"/>
          <w:i/>
          <w:lang w:val="sq-AL"/>
        </w:rPr>
        <w:t xml:space="preserve"> t</w:t>
      </w:r>
      <w:r w:rsidR="00F35311">
        <w:rPr>
          <w:rFonts w:eastAsia="SimSun" w:cs="Calibri"/>
          <w:i/>
          <w:lang w:val="sq-AL"/>
        </w:rPr>
        <w:t>ë</w:t>
      </w:r>
      <w:r>
        <w:rPr>
          <w:rFonts w:eastAsia="SimSun" w:cs="Calibri"/>
          <w:i/>
          <w:lang w:val="sq-AL"/>
        </w:rPr>
        <w:t xml:space="preserve"> miratuar me </w:t>
      </w:r>
      <w:r w:rsidRPr="00C73387">
        <w:rPr>
          <w:rFonts w:eastAsia="SimSun" w:cs="Calibri"/>
          <w:i/>
          <w:lang w:val="sq-AL"/>
        </w:rPr>
        <w:t xml:space="preserve">Ligjin nr.115/2021 </w:t>
      </w:r>
      <w:r>
        <w:rPr>
          <w:rFonts w:eastAsia="SimSun" w:cs="Calibri"/>
          <w:i/>
          <w:lang w:val="sq-AL"/>
        </w:rPr>
        <w:t>“</w:t>
      </w:r>
      <w:r w:rsidRPr="00C73387">
        <w:rPr>
          <w:rFonts w:eastAsia="SimSun" w:cs="Calibri"/>
          <w:i/>
          <w:lang w:val="sq-AL"/>
        </w:rPr>
        <w:t>Për buxhetin e vitit 2022”</w:t>
      </w:r>
      <w:r>
        <w:rPr>
          <w:rFonts w:eastAsia="SimSun" w:cs="Calibri"/>
          <w:i/>
          <w:lang w:val="sq-AL"/>
        </w:rPr>
        <w:t xml:space="preserve">, </w:t>
      </w:r>
      <w:r w:rsidR="00EE3A9E">
        <w:rPr>
          <w:rFonts w:eastAsia="SimSun" w:cs="Calibri"/>
          <w:i/>
          <w:highlight w:val="yellow"/>
          <w:lang w:val="sq-AL"/>
        </w:rPr>
        <w:t>dhe nuk pë</w:t>
      </w:r>
      <w:r w:rsidRPr="00C73387">
        <w:rPr>
          <w:rFonts w:eastAsia="SimSun" w:cs="Calibri"/>
          <w:i/>
          <w:highlight w:val="yellow"/>
          <w:lang w:val="sq-AL"/>
        </w:rPr>
        <w:t>suan rishikime gjat</w:t>
      </w:r>
      <w:r w:rsidR="00EE3A9E">
        <w:rPr>
          <w:rFonts w:eastAsia="SimSun" w:cs="Calibri"/>
          <w:i/>
          <w:highlight w:val="yellow"/>
          <w:lang w:val="sq-AL"/>
        </w:rPr>
        <w:t>ë</w:t>
      </w:r>
      <w:r w:rsidRPr="00C73387">
        <w:rPr>
          <w:rFonts w:eastAsia="SimSun" w:cs="Calibri"/>
          <w:i/>
          <w:highlight w:val="yellow"/>
          <w:lang w:val="sq-AL"/>
        </w:rPr>
        <w:t xml:space="preserve"> vitit buxhetor</w:t>
      </w:r>
      <w:r w:rsidRPr="00C73387">
        <w:rPr>
          <w:rFonts w:eastAsia="SimSun" w:cs="Calibri"/>
          <w:i/>
          <w:lang w:val="sq-AL"/>
        </w:rPr>
        <w:t xml:space="preserve">. </w:t>
      </w:r>
    </w:p>
    <w:p w:rsidR="00C1141E" w:rsidRDefault="00C1141E" w:rsidP="00C1141E">
      <w:pPr>
        <w:spacing w:before="0" w:line="240" w:lineRule="auto"/>
        <w:rPr>
          <w:rFonts w:eastAsia="SimSun" w:cs="Calibri"/>
          <w:bCs/>
          <w:lang w:val="sq-AL"/>
        </w:rPr>
      </w:pPr>
    </w:p>
    <w:p w:rsidR="00C73387" w:rsidRDefault="00C1141E" w:rsidP="001662E1">
      <w:pPr>
        <w:spacing w:before="0" w:line="240" w:lineRule="auto"/>
        <w:rPr>
          <w:rFonts w:eastAsia="SimSun" w:cs="Calibri"/>
          <w:bCs/>
          <w:lang w:val="sq-AL"/>
        </w:rPr>
      </w:pPr>
      <w:r w:rsidRPr="00650D33">
        <w:rPr>
          <w:rFonts w:eastAsia="SimSun" w:cs="Calibri"/>
          <w:bCs/>
          <w:lang w:val="sq-AL"/>
        </w:rPr>
        <w:t>Në tabelën e mëposhtme paraqitet në mënyrë të përmbledhur ndikimi që sektori i energjisë ka patur në financat publike</w:t>
      </w:r>
      <w:r>
        <w:rPr>
          <w:rFonts w:eastAsia="SimSun" w:cs="Calibri"/>
          <w:bCs/>
          <w:lang w:val="sq-AL"/>
        </w:rPr>
        <w:t>:</w:t>
      </w:r>
    </w:p>
    <w:p w:rsidR="00C1141E" w:rsidRPr="001662E1" w:rsidRDefault="00C1141E" w:rsidP="001662E1">
      <w:pPr>
        <w:spacing w:before="0" w:line="240" w:lineRule="auto"/>
        <w:rPr>
          <w:rFonts w:eastAsia="SimSun" w:cs="Calibri"/>
          <w:bCs/>
          <w:i/>
          <w:color w:val="FF0000"/>
          <w:sz w:val="8"/>
          <w:highlight w:val="yellow"/>
          <w:lang w:val="sq-AL"/>
        </w:rPr>
      </w:pPr>
    </w:p>
    <w:p w:rsidR="00C1141E" w:rsidRPr="00B06D74" w:rsidRDefault="00EE3A9E" w:rsidP="00EE3A9E">
      <w:pPr>
        <w:pStyle w:val="Caption"/>
        <w:keepNext/>
        <w:spacing w:after="0"/>
        <w:jc w:val="left"/>
        <w:rPr>
          <w:lang w:val="sq-AL"/>
        </w:rPr>
      </w:pPr>
      <w:bookmarkStart w:id="195" w:name="_Toc136526339"/>
      <w:r w:rsidRPr="00276062">
        <w:t xml:space="preserve">Tabela </w:t>
      </w:r>
      <w:fldSimple w:instr=" SEQ Tabela \* ARABIC ">
        <w:r w:rsidR="008C3E07">
          <w:rPr>
            <w:noProof/>
          </w:rPr>
          <w:t>13</w:t>
        </w:r>
      </w:fldSimple>
      <w:r>
        <w:rPr>
          <w:lang w:val="sq-AL"/>
        </w:rPr>
        <w:t xml:space="preserve"> </w:t>
      </w:r>
      <w:r w:rsidR="00C1141E" w:rsidRPr="00B06D74">
        <w:rPr>
          <w:lang w:val="sq-AL"/>
        </w:rPr>
        <w:t>Të dhënat mbi impaktin e sektorit të energjisë në financat publike sipas periudhave përkatëse (në milion Lekë).</w:t>
      </w:r>
      <w:bookmarkEnd w:id="195"/>
    </w:p>
    <w:tbl>
      <w:tblPr>
        <w:tblW w:w="10634" w:type="dxa"/>
        <w:jc w:val="center"/>
        <w:tblLook w:val="04A0" w:firstRow="1" w:lastRow="0" w:firstColumn="1" w:lastColumn="0" w:noHBand="0" w:noVBand="1"/>
      </w:tblPr>
      <w:tblGrid>
        <w:gridCol w:w="5561"/>
        <w:gridCol w:w="1193"/>
        <w:gridCol w:w="970"/>
        <w:gridCol w:w="970"/>
        <w:gridCol w:w="970"/>
        <w:gridCol w:w="970"/>
      </w:tblGrid>
      <w:tr w:rsidR="00C1141E" w:rsidRPr="00C34BEE" w:rsidTr="001662E1">
        <w:trPr>
          <w:trHeight w:val="366"/>
          <w:jc w:val="center"/>
        </w:trPr>
        <w:tc>
          <w:tcPr>
            <w:tcW w:w="5561" w:type="dxa"/>
            <w:tcBorders>
              <w:top w:val="single" w:sz="8" w:space="0" w:color="auto"/>
              <w:left w:val="single" w:sz="8" w:space="0" w:color="auto"/>
              <w:bottom w:val="single" w:sz="8" w:space="0" w:color="auto"/>
              <w:right w:val="single" w:sz="8" w:space="0" w:color="auto"/>
            </w:tcBorders>
            <w:shd w:val="clear" w:color="000000" w:fill="9BC2E6"/>
            <w:noWrap/>
            <w:hideMark/>
          </w:tcPr>
          <w:p w:rsidR="00C1141E" w:rsidRPr="001662E1" w:rsidRDefault="00C1141E" w:rsidP="00C1141E">
            <w:pPr>
              <w:spacing w:before="0" w:line="240" w:lineRule="auto"/>
              <w:jc w:val="left"/>
              <w:rPr>
                <w:rFonts w:asciiTheme="majorHAnsi" w:hAnsiTheme="majorHAnsi" w:cs="Arial"/>
                <w:sz w:val="18"/>
                <w:szCs w:val="20"/>
                <w:lang w:val="sq-AL"/>
              </w:rPr>
            </w:pPr>
            <w:r w:rsidRPr="001662E1">
              <w:rPr>
                <w:rFonts w:asciiTheme="majorHAnsi" w:hAnsiTheme="majorHAnsi" w:cs="Arial"/>
                <w:sz w:val="18"/>
                <w:szCs w:val="20"/>
                <w:lang w:val="sq-AL"/>
              </w:rPr>
              <w:t> </w:t>
            </w:r>
          </w:p>
        </w:tc>
        <w:tc>
          <w:tcPr>
            <w:tcW w:w="1193" w:type="dxa"/>
            <w:tcBorders>
              <w:top w:val="single" w:sz="8" w:space="0" w:color="auto"/>
              <w:left w:val="nil"/>
              <w:bottom w:val="single" w:sz="8" w:space="0" w:color="auto"/>
              <w:right w:val="single" w:sz="8" w:space="0" w:color="auto"/>
            </w:tcBorders>
            <w:shd w:val="clear" w:color="000000" w:fill="9BC2E6"/>
            <w:noWrap/>
            <w:vAlign w:val="center"/>
            <w:hideMark/>
          </w:tcPr>
          <w:p w:rsidR="00C1141E" w:rsidRPr="001662E1" w:rsidRDefault="00C1141E" w:rsidP="00C1141E">
            <w:pPr>
              <w:spacing w:before="0" w:line="240" w:lineRule="auto"/>
              <w:jc w:val="center"/>
              <w:rPr>
                <w:rFonts w:asciiTheme="majorHAnsi" w:hAnsiTheme="majorHAnsi"/>
                <w:b/>
                <w:bCs/>
                <w:sz w:val="18"/>
                <w:szCs w:val="20"/>
              </w:rPr>
            </w:pPr>
            <w:r w:rsidRPr="001662E1">
              <w:rPr>
                <w:rFonts w:asciiTheme="majorHAnsi" w:hAnsiTheme="majorHAnsi"/>
                <w:b/>
                <w:bCs/>
                <w:sz w:val="18"/>
                <w:szCs w:val="20"/>
              </w:rPr>
              <w:t>2018</w:t>
            </w:r>
          </w:p>
        </w:tc>
        <w:tc>
          <w:tcPr>
            <w:tcW w:w="970" w:type="dxa"/>
            <w:tcBorders>
              <w:top w:val="single" w:sz="8" w:space="0" w:color="auto"/>
              <w:left w:val="nil"/>
              <w:bottom w:val="single" w:sz="8" w:space="0" w:color="auto"/>
              <w:right w:val="single" w:sz="8" w:space="0" w:color="auto"/>
            </w:tcBorders>
            <w:shd w:val="clear" w:color="000000" w:fill="9BC2E6"/>
            <w:vAlign w:val="center"/>
            <w:hideMark/>
          </w:tcPr>
          <w:p w:rsidR="00C1141E" w:rsidRPr="001662E1" w:rsidRDefault="00C1141E" w:rsidP="00C1141E">
            <w:pPr>
              <w:spacing w:before="0" w:line="240" w:lineRule="auto"/>
              <w:jc w:val="center"/>
              <w:rPr>
                <w:rFonts w:asciiTheme="majorHAnsi" w:hAnsiTheme="majorHAnsi"/>
                <w:b/>
                <w:bCs/>
                <w:sz w:val="18"/>
                <w:szCs w:val="20"/>
              </w:rPr>
            </w:pPr>
            <w:r w:rsidRPr="001662E1">
              <w:rPr>
                <w:rFonts w:asciiTheme="majorHAnsi" w:hAnsiTheme="majorHAnsi"/>
                <w:b/>
                <w:bCs/>
                <w:sz w:val="18"/>
                <w:szCs w:val="20"/>
              </w:rPr>
              <w:t>2019</w:t>
            </w:r>
          </w:p>
        </w:tc>
        <w:tc>
          <w:tcPr>
            <w:tcW w:w="970" w:type="dxa"/>
            <w:tcBorders>
              <w:top w:val="single" w:sz="8" w:space="0" w:color="auto"/>
              <w:left w:val="nil"/>
              <w:bottom w:val="single" w:sz="8" w:space="0" w:color="auto"/>
              <w:right w:val="single" w:sz="8" w:space="0" w:color="auto"/>
            </w:tcBorders>
            <w:shd w:val="clear" w:color="000000" w:fill="9BC2E6"/>
            <w:vAlign w:val="center"/>
            <w:hideMark/>
          </w:tcPr>
          <w:p w:rsidR="00C1141E" w:rsidRPr="001662E1" w:rsidRDefault="00C1141E" w:rsidP="00C1141E">
            <w:pPr>
              <w:spacing w:before="0" w:line="240" w:lineRule="auto"/>
              <w:jc w:val="center"/>
              <w:rPr>
                <w:rFonts w:asciiTheme="majorHAnsi" w:hAnsiTheme="majorHAnsi"/>
                <w:b/>
                <w:bCs/>
                <w:sz w:val="18"/>
                <w:szCs w:val="20"/>
              </w:rPr>
            </w:pPr>
            <w:r w:rsidRPr="001662E1">
              <w:rPr>
                <w:rFonts w:asciiTheme="majorHAnsi" w:hAnsiTheme="majorHAnsi"/>
                <w:b/>
                <w:bCs/>
                <w:sz w:val="18"/>
                <w:szCs w:val="20"/>
              </w:rPr>
              <w:t>2020</w:t>
            </w:r>
          </w:p>
        </w:tc>
        <w:tc>
          <w:tcPr>
            <w:tcW w:w="970" w:type="dxa"/>
            <w:tcBorders>
              <w:top w:val="single" w:sz="8" w:space="0" w:color="auto"/>
              <w:left w:val="nil"/>
              <w:bottom w:val="single" w:sz="8" w:space="0" w:color="auto"/>
              <w:right w:val="single" w:sz="8" w:space="0" w:color="auto"/>
            </w:tcBorders>
            <w:shd w:val="clear" w:color="000000" w:fill="9BC2E6"/>
            <w:vAlign w:val="center"/>
            <w:hideMark/>
          </w:tcPr>
          <w:p w:rsidR="00C1141E" w:rsidRPr="001662E1" w:rsidRDefault="00C1141E" w:rsidP="00C1141E">
            <w:pPr>
              <w:spacing w:before="0" w:line="240" w:lineRule="auto"/>
              <w:jc w:val="center"/>
              <w:rPr>
                <w:rFonts w:asciiTheme="majorHAnsi" w:hAnsiTheme="majorHAnsi"/>
                <w:b/>
                <w:bCs/>
                <w:sz w:val="18"/>
                <w:szCs w:val="20"/>
              </w:rPr>
            </w:pPr>
            <w:r w:rsidRPr="001662E1">
              <w:rPr>
                <w:rFonts w:asciiTheme="majorHAnsi" w:hAnsiTheme="majorHAnsi"/>
                <w:b/>
                <w:bCs/>
                <w:sz w:val="18"/>
                <w:szCs w:val="20"/>
              </w:rPr>
              <w:t>2021</w:t>
            </w:r>
          </w:p>
        </w:tc>
        <w:tc>
          <w:tcPr>
            <w:tcW w:w="970" w:type="dxa"/>
            <w:tcBorders>
              <w:top w:val="single" w:sz="8" w:space="0" w:color="auto"/>
              <w:left w:val="nil"/>
              <w:bottom w:val="single" w:sz="8" w:space="0" w:color="auto"/>
              <w:right w:val="single" w:sz="8" w:space="0" w:color="auto"/>
            </w:tcBorders>
            <w:shd w:val="clear" w:color="000000" w:fill="9BC2E6"/>
            <w:vAlign w:val="center"/>
            <w:hideMark/>
          </w:tcPr>
          <w:p w:rsidR="00C1141E" w:rsidRPr="001662E1" w:rsidRDefault="00C1141E" w:rsidP="00C1141E">
            <w:pPr>
              <w:spacing w:before="0" w:line="240" w:lineRule="auto"/>
              <w:jc w:val="center"/>
              <w:rPr>
                <w:rFonts w:asciiTheme="majorHAnsi" w:hAnsiTheme="majorHAnsi"/>
                <w:b/>
                <w:bCs/>
                <w:sz w:val="18"/>
                <w:szCs w:val="20"/>
              </w:rPr>
            </w:pPr>
            <w:r w:rsidRPr="001662E1">
              <w:rPr>
                <w:rFonts w:asciiTheme="majorHAnsi" w:hAnsiTheme="majorHAnsi"/>
                <w:b/>
                <w:bCs/>
                <w:sz w:val="18"/>
                <w:szCs w:val="20"/>
              </w:rPr>
              <w:t>2022</w:t>
            </w:r>
          </w:p>
        </w:tc>
      </w:tr>
      <w:tr w:rsidR="00C1141E" w:rsidRPr="00C34BEE" w:rsidTr="001662E1">
        <w:trPr>
          <w:trHeight w:val="348"/>
          <w:jc w:val="center"/>
        </w:trPr>
        <w:tc>
          <w:tcPr>
            <w:tcW w:w="5561" w:type="dxa"/>
            <w:tcBorders>
              <w:top w:val="nil"/>
              <w:left w:val="single" w:sz="8" w:space="0" w:color="auto"/>
              <w:bottom w:val="nil"/>
              <w:right w:val="single" w:sz="8" w:space="0" w:color="auto"/>
            </w:tcBorders>
            <w:shd w:val="clear" w:color="000000" w:fill="FFFFFF"/>
            <w:noWrap/>
            <w:vAlign w:val="center"/>
            <w:hideMark/>
          </w:tcPr>
          <w:p w:rsidR="00C1141E" w:rsidRPr="001662E1" w:rsidRDefault="00C1141E" w:rsidP="00C1141E">
            <w:pPr>
              <w:spacing w:before="0" w:line="240" w:lineRule="auto"/>
              <w:jc w:val="left"/>
              <w:rPr>
                <w:rFonts w:asciiTheme="majorHAnsi" w:hAnsiTheme="majorHAnsi"/>
                <w:b/>
                <w:bCs/>
                <w:color w:val="000000"/>
                <w:sz w:val="18"/>
                <w:szCs w:val="20"/>
              </w:rPr>
            </w:pPr>
            <w:r w:rsidRPr="001662E1">
              <w:rPr>
                <w:rFonts w:asciiTheme="majorHAnsi" w:hAnsiTheme="majorHAnsi"/>
                <w:b/>
                <w:bCs/>
                <w:color w:val="000000"/>
                <w:sz w:val="18"/>
                <w:szCs w:val="20"/>
              </w:rPr>
              <w:t xml:space="preserve"> Ndikimi i përgjithshëm i sektorit të energjisë në financat publike:</w:t>
            </w:r>
          </w:p>
        </w:tc>
        <w:tc>
          <w:tcPr>
            <w:tcW w:w="1193"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b/>
                <w:bCs/>
                <w:color w:val="000000"/>
                <w:sz w:val="18"/>
                <w:szCs w:val="20"/>
              </w:rPr>
            </w:pPr>
            <w:r w:rsidRPr="001662E1">
              <w:rPr>
                <w:rFonts w:asciiTheme="majorHAnsi" w:hAnsiTheme="majorHAnsi"/>
                <w:b/>
                <w:bCs/>
                <w:color w:val="000000"/>
                <w:sz w:val="18"/>
                <w:szCs w:val="20"/>
              </w:rPr>
              <w:t>9,358</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b/>
                <w:bCs/>
                <w:color w:val="000000"/>
                <w:sz w:val="18"/>
                <w:szCs w:val="20"/>
              </w:rPr>
            </w:pPr>
            <w:r w:rsidRPr="001662E1">
              <w:rPr>
                <w:rFonts w:asciiTheme="majorHAnsi" w:hAnsiTheme="majorHAnsi"/>
                <w:b/>
                <w:bCs/>
                <w:color w:val="000000"/>
                <w:sz w:val="18"/>
                <w:szCs w:val="20"/>
              </w:rPr>
              <w:t>6,824</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b/>
                <w:bCs/>
                <w:color w:val="000000"/>
                <w:sz w:val="18"/>
                <w:szCs w:val="20"/>
              </w:rPr>
            </w:pPr>
            <w:r w:rsidRPr="001662E1">
              <w:rPr>
                <w:rFonts w:asciiTheme="majorHAnsi" w:hAnsiTheme="majorHAnsi"/>
                <w:b/>
                <w:bCs/>
                <w:color w:val="000000"/>
                <w:sz w:val="18"/>
                <w:szCs w:val="20"/>
              </w:rPr>
              <w:t>5,240</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b/>
                <w:bCs/>
                <w:color w:val="000000"/>
                <w:sz w:val="18"/>
                <w:szCs w:val="20"/>
              </w:rPr>
            </w:pPr>
            <w:r w:rsidRPr="001662E1">
              <w:rPr>
                <w:rFonts w:asciiTheme="majorHAnsi" w:hAnsiTheme="majorHAnsi"/>
                <w:b/>
                <w:bCs/>
                <w:color w:val="000000"/>
                <w:sz w:val="18"/>
                <w:szCs w:val="20"/>
              </w:rPr>
              <w:t>5,504</w:t>
            </w:r>
          </w:p>
        </w:tc>
        <w:tc>
          <w:tcPr>
            <w:tcW w:w="970" w:type="dxa"/>
            <w:tcBorders>
              <w:top w:val="nil"/>
              <w:left w:val="nil"/>
              <w:bottom w:val="nil"/>
              <w:right w:val="single" w:sz="8" w:space="0" w:color="auto"/>
            </w:tcBorders>
            <w:shd w:val="clear" w:color="auto" w:fill="auto"/>
            <w:noWrap/>
            <w:vAlign w:val="center"/>
            <w:hideMark/>
          </w:tcPr>
          <w:p w:rsidR="00C1141E" w:rsidRPr="001662E1" w:rsidRDefault="00C1141E" w:rsidP="00C1141E">
            <w:pPr>
              <w:spacing w:before="0" w:line="240" w:lineRule="auto"/>
              <w:jc w:val="center"/>
              <w:rPr>
                <w:rFonts w:asciiTheme="majorHAnsi" w:hAnsiTheme="majorHAnsi"/>
                <w:b/>
                <w:bCs/>
                <w:color w:val="000000"/>
                <w:sz w:val="18"/>
                <w:szCs w:val="20"/>
              </w:rPr>
            </w:pPr>
            <w:r w:rsidRPr="001662E1">
              <w:rPr>
                <w:rFonts w:asciiTheme="majorHAnsi" w:hAnsiTheme="majorHAnsi"/>
                <w:b/>
                <w:bCs/>
                <w:color w:val="000000"/>
                <w:sz w:val="18"/>
                <w:szCs w:val="20"/>
              </w:rPr>
              <w:t>33,017</w:t>
            </w:r>
          </w:p>
        </w:tc>
      </w:tr>
      <w:tr w:rsidR="00C1141E" w:rsidRPr="00772EC8" w:rsidTr="001662E1">
        <w:trPr>
          <w:trHeight w:val="348"/>
          <w:jc w:val="center"/>
        </w:trPr>
        <w:tc>
          <w:tcPr>
            <w:tcW w:w="5561" w:type="dxa"/>
            <w:tcBorders>
              <w:top w:val="nil"/>
              <w:left w:val="single" w:sz="8" w:space="0" w:color="auto"/>
              <w:bottom w:val="nil"/>
              <w:right w:val="single" w:sz="8" w:space="0" w:color="auto"/>
            </w:tcBorders>
            <w:shd w:val="clear" w:color="000000" w:fill="FFFFFF"/>
            <w:noWrap/>
            <w:vAlign w:val="center"/>
            <w:hideMark/>
          </w:tcPr>
          <w:p w:rsidR="00C1141E" w:rsidRPr="001662E1" w:rsidRDefault="00C1141E" w:rsidP="00C1141E">
            <w:pPr>
              <w:spacing w:before="0" w:line="240" w:lineRule="auto"/>
              <w:jc w:val="left"/>
              <w:rPr>
                <w:rFonts w:asciiTheme="majorHAnsi" w:hAnsiTheme="majorHAnsi"/>
                <w:b/>
                <w:bCs/>
                <w:color w:val="000000"/>
                <w:sz w:val="18"/>
                <w:szCs w:val="20"/>
                <w:lang w:val="it-IT"/>
              </w:rPr>
            </w:pPr>
            <w:r w:rsidRPr="001662E1">
              <w:rPr>
                <w:rFonts w:asciiTheme="majorHAnsi" w:hAnsiTheme="majorHAnsi"/>
                <w:b/>
                <w:bCs/>
                <w:color w:val="000000"/>
                <w:sz w:val="18"/>
                <w:szCs w:val="20"/>
                <w:lang w:val="it-IT"/>
              </w:rPr>
              <w:t>1. Për garancitë dhe nënhuatë e paguara nga MFE</w:t>
            </w:r>
          </w:p>
        </w:tc>
        <w:tc>
          <w:tcPr>
            <w:tcW w:w="1193" w:type="dxa"/>
            <w:tcBorders>
              <w:top w:val="nil"/>
              <w:left w:val="nil"/>
              <w:bottom w:val="nil"/>
              <w:right w:val="single" w:sz="8" w:space="0" w:color="auto"/>
            </w:tcBorders>
            <w:shd w:val="clear" w:color="000000" w:fill="FFFFFF"/>
            <w:noWrap/>
            <w:hideMark/>
          </w:tcPr>
          <w:p w:rsidR="00C1141E" w:rsidRPr="001662E1" w:rsidRDefault="00C1141E" w:rsidP="00C1141E">
            <w:pPr>
              <w:spacing w:before="0" w:line="240" w:lineRule="auto"/>
              <w:jc w:val="left"/>
              <w:rPr>
                <w:rFonts w:asciiTheme="majorHAnsi" w:hAnsiTheme="majorHAnsi" w:cs="Arial"/>
                <w:sz w:val="18"/>
                <w:szCs w:val="20"/>
                <w:lang w:val="it-IT"/>
              </w:rPr>
            </w:pPr>
            <w:r w:rsidRPr="001662E1">
              <w:rPr>
                <w:rFonts w:asciiTheme="majorHAnsi" w:hAnsiTheme="majorHAnsi" w:cs="Arial"/>
                <w:sz w:val="18"/>
                <w:szCs w:val="20"/>
                <w:lang w:val="it-IT"/>
              </w:rPr>
              <w:t> </w:t>
            </w:r>
          </w:p>
        </w:tc>
        <w:tc>
          <w:tcPr>
            <w:tcW w:w="970" w:type="dxa"/>
            <w:tcBorders>
              <w:top w:val="nil"/>
              <w:left w:val="nil"/>
              <w:bottom w:val="nil"/>
              <w:right w:val="single" w:sz="8" w:space="0" w:color="auto"/>
            </w:tcBorders>
            <w:shd w:val="clear" w:color="000000" w:fill="FFFFFF"/>
            <w:noWrap/>
            <w:hideMark/>
          </w:tcPr>
          <w:p w:rsidR="00C1141E" w:rsidRPr="001662E1" w:rsidRDefault="00C1141E" w:rsidP="00C1141E">
            <w:pPr>
              <w:spacing w:before="0" w:line="240" w:lineRule="auto"/>
              <w:jc w:val="left"/>
              <w:rPr>
                <w:rFonts w:asciiTheme="majorHAnsi" w:hAnsiTheme="majorHAnsi" w:cs="Arial"/>
                <w:sz w:val="18"/>
                <w:szCs w:val="20"/>
                <w:lang w:val="it-IT"/>
              </w:rPr>
            </w:pPr>
            <w:r w:rsidRPr="001662E1">
              <w:rPr>
                <w:rFonts w:asciiTheme="majorHAnsi" w:hAnsiTheme="majorHAnsi" w:cs="Arial"/>
                <w:sz w:val="18"/>
                <w:szCs w:val="20"/>
                <w:lang w:val="it-IT"/>
              </w:rPr>
              <w:t> </w:t>
            </w:r>
          </w:p>
        </w:tc>
        <w:tc>
          <w:tcPr>
            <w:tcW w:w="970" w:type="dxa"/>
            <w:tcBorders>
              <w:top w:val="nil"/>
              <w:left w:val="nil"/>
              <w:bottom w:val="nil"/>
              <w:right w:val="single" w:sz="8" w:space="0" w:color="auto"/>
            </w:tcBorders>
            <w:shd w:val="clear" w:color="000000" w:fill="FFFFFF"/>
            <w:noWrap/>
            <w:hideMark/>
          </w:tcPr>
          <w:p w:rsidR="00C1141E" w:rsidRPr="001662E1" w:rsidRDefault="00C1141E" w:rsidP="00C1141E">
            <w:pPr>
              <w:spacing w:before="0" w:line="240" w:lineRule="auto"/>
              <w:jc w:val="left"/>
              <w:rPr>
                <w:rFonts w:asciiTheme="majorHAnsi" w:hAnsiTheme="majorHAnsi" w:cs="Arial"/>
                <w:sz w:val="18"/>
                <w:szCs w:val="20"/>
                <w:lang w:val="it-IT"/>
              </w:rPr>
            </w:pPr>
            <w:r w:rsidRPr="001662E1">
              <w:rPr>
                <w:rFonts w:asciiTheme="majorHAnsi" w:hAnsiTheme="majorHAnsi" w:cs="Arial"/>
                <w:sz w:val="18"/>
                <w:szCs w:val="20"/>
                <w:lang w:val="it-IT"/>
              </w:rPr>
              <w:t> </w:t>
            </w:r>
          </w:p>
        </w:tc>
        <w:tc>
          <w:tcPr>
            <w:tcW w:w="970" w:type="dxa"/>
            <w:tcBorders>
              <w:top w:val="nil"/>
              <w:left w:val="nil"/>
              <w:bottom w:val="nil"/>
              <w:right w:val="single" w:sz="8" w:space="0" w:color="auto"/>
            </w:tcBorders>
            <w:shd w:val="clear" w:color="000000" w:fill="FFFFFF"/>
            <w:noWrap/>
            <w:hideMark/>
          </w:tcPr>
          <w:p w:rsidR="00C1141E" w:rsidRPr="001662E1" w:rsidRDefault="00C1141E" w:rsidP="00C1141E">
            <w:pPr>
              <w:spacing w:before="0" w:line="240" w:lineRule="auto"/>
              <w:jc w:val="left"/>
              <w:rPr>
                <w:rFonts w:asciiTheme="majorHAnsi" w:hAnsiTheme="majorHAnsi" w:cs="Arial"/>
                <w:sz w:val="18"/>
                <w:szCs w:val="20"/>
                <w:lang w:val="it-IT"/>
              </w:rPr>
            </w:pPr>
            <w:r w:rsidRPr="001662E1">
              <w:rPr>
                <w:rFonts w:asciiTheme="majorHAnsi" w:hAnsiTheme="majorHAnsi" w:cs="Arial"/>
                <w:sz w:val="18"/>
                <w:szCs w:val="20"/>
                <w:lang w:val="it-IT"/>
              </w:rPr>
              <w:t> </w:t>
            </w:r>
          </w:p>
        </w:tc>
        <w:tc>
          <w:tcPr>
            <w:tcW w:w="970" w:type="dxa"/>
            <w:tcBorders>
              <w:top w:val="nil"/>
              <w:left w:val="nil"/>
              <w:bottom w:val="nil"/>
              <w:right w:val="single" w:sz="8" w:space="0" w:color="auto"/>
            </w:tcBorders>
            <w:shd w:val="clear" w:color="000000" w:fill="FFFFFF"/>
            <w:noWrap/>
            <w:hideMark/>
          </w:tcPr>
          <w:p w:rsidR="00C1141E" w:rsidRPr="001662E1" w:rsidRDefault="00C1141E" w:rsidP="00C1141E">
            <w:pPr>
              <w:spacing w:before="0" w:line="240" w:lineRule="auto"/>
              <w:jc w:val="left"/>
              <w:rPr>
                <w:rFonts w:asciiTheme="majorHAnsi" w:hAnsiTheme="majorHAnsi" w:cs="Arial"/>
                <w:sz w:val="18"/>
                <w:szCs w:val="20"/>
                <w:lang w:val="it-IT"/>
              </w:rPr>
            </w:pPr>
            <w:r w:rsidRPr="001662E1">
              <w:rPr>
                <w:rFonts w:asciiTheme="majorHAnsi" w:hAnsiTheme="majorHAnsi" w:cs="Arial"/>
                <w:sz w:val="18"/>
                <w:szCs w:val="20"/>
                <w:lang w:val="it-IT"/>
              </w:rPr>
              <w:t> </w:t>
            </w:r>
          </w:p>
        </w:tc>
      </w:tr>
      <w:tr w:rsidR="00C1141E" w:rsidRPr="00C34BEE" w:rsidTr="001662E1">
        <w:trPr>
          <w:trHeight w:val="348"/>
          <w:jc w:val="center"/>
        </w:trPr>
        <w:tc>
          <w:tcPr>
            <w:tcW w:w="5561" w:type="dxa"/>
            <w:tcBorders>
              <w:top w:val="nil"/>
              <w:left w:val="single" w:sz="8" w:space="0" w:color="auto"/>
              <w:bottom w:val="nil"/>
              <w:right w:val="single" w:sz="8" w:space="0" w:color="auto"/>
            </w:tcBorders>
            <w:shd w:val="clear" w:color="000000" w:fill="FFFFFF"/>
            <w:noWrap/>
            <w:vAlign w:val="center"/>
            <w:hideMark/>
          </w:tcPr>
          <w:p w:rsidR="00C1141E" w:rsidRPr="001662E1" w:rsidRDefault="00C1141E" w:rsidP="00C1141E">
            <w:pPr>
              <w:spacing w:before="0" w:line="240" w:lineRule="auto"/>
              <w:jc w:val="left"/>
              <w:rPr>
                <w:rFonts w:asciiTheme="majorHAnsi" w:hAnsiTheme="majorHAnsi"/>
                <w:i/>
                <w:iCs/>
                <w:color w:val="000000"/>
                <w:sz w:val="18"/>
                <w:szCs w:val="20"/>
                <w:lang w:val="it-IT"/>
              </w:rPr>
            </w:pPr>
            <w:r w:rsidRPr="001662E1">
              <w:rPr>
                <w:rFonts w:asciiTheme="majorHAnsi" w:hAnsiTheme="majorHAnsi"/>
                <w:i/>
                <w:iCs/>
                <w:color w:val="000000"/>
                <w:sz w:val="18"/>
                <w:szCs w:val="20"/>
                <w:lang w:val="it-IT"/>
              </w:rPr>
              <w:t>-Për garancitë e paguara nga MFE</w:t>
            </w:r>
          </w:p>
        </w:tc>
        <w:tc>
          <w:tcPr>
            <w:tcW w:w="1193"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2,624</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2,011</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2,069</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1,503.6</w:t>
            </w:r>
            <w:r w:rsidRPr="001662E1">
              <w:rPr>
                <w:rFonts w:asciiTheme="majorHAnsi" w:hAnsiTheme="majorHAnsi"/>
                <w:i/>
                <w:iCs/>
                <w:color w:val="FF0000"/>
                <w:sz w:val="18"/>
                <w:szCs w:val="20"/>
              </w:rPr>
              <w:t>*</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2,989</w:t>
            </w:r>
          </w:p>
        </w:tc>
      </w:tr>
      <w:tr w:rsidR="00C1141E" w:rsidRPr="00C34BEE" w:rsidTr="001662E1">
        <w:trPr>
          <w:trHeight w:val="355"/>
          <w:jc w:val="center"/>
        </w:trPr>
        <w:tc>
          <w:tcPr>
            <w:tcW w:w="5561" w:type="dxa"/>
            <w:tcBorders>
              <w:top w:val="nil"/>
              <w:left w:val="single" w:sz="8" w:space="0" w:color="auto"/>
              <w:bottom w:val="nil"/>
              <w:right w:val="single" w:sz="8" w:space="0" w:color="auto"/>
            </w:tcBorders>
            <w:shd w:val="clear" w:color="000000" w:fill="FFFFFF"/>
            <w:noWrap/>
            <w:vAlign w:val="center"/>
            <w:hideMark/>
          </w:tcPr>
          <w:p w:rsidR="00C1141E" w:rsidRPr="001662E1" w:rsidRDefault="00C1141E" w:rsidP="00C1141E">
            <w:pPr>
              <w:spacing w:before="0" w:line="240" w:lineRule="auto"/>
              <w:jc w:val="left"/>
              <w:rPr>
                <w:rFonts w:asciiTheme="majorHAnsi" w:hAnsiTheme="majorHAnsi"/>
                <w:i/>
                <w:iCs/>
                <w:color w:val="000000"/>
                <w:sz w:val="18"/>
                <w:szCs w:val="20"/>
              </w:rPr>
            </w:pPr>
            <w:r w:rsidRPr="001662E1">
              <w:rPr>
                <w:rFonts w:asciiTheme="majorHAnsi" w:hAnsiTheme="majorHAnsi"/>
                <w:i/>
                <w:iCs/>
                <w:color w:val="000000"/>
                <w:sz w:val="18"/>
                <w:szCs w:val="20"/>
              </w:rPr>
              <w:t>-Për fondet me financim të huaj të nënhuazuara</w:t>
            </w:r>
          </w:p>
        </w:tc>
        <w:tc>
          <w:tcPr>
            <w:tcW w:w="1193"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4,698</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4,142</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3,172</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3,903</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2,077</w:t>
            </w:r>
          </w:p>
        </w:tc>
      </w:tr>
      <w:tr w:rsidR="00C1141E" w:rsidRPr="00C34BEE" w:rsidTr="001662E1">
        <w:trPr>
          <w:trHeight w:val="302"/>
          <w:jc w:val="center"/>
        </w:trPr>
        <w:tc>
          <w:tcPr>
            <w:tcW w:w="5561" w:type="dxa"/>
            <w:tcBorders>
              <w:top w:val="nil"/>
              <w:left w:val="single" w:sz="8" w:space="0" w:color="auto"/>
              <w:bottom w:val="nil"/>
              <w:right w:val="single" w:sz="8" w:space="0" w:color="auto"/>
            </w:tcBorders>
            <w:shd w:val="clear" w:color="000000" w:fill="FFFFFF"/>
            <w:noWrap/>
            <w:vAlign w:val="center"/>
            <w:hideMark/>
          </w:tcPr>
          <w:p w:rsidR="00C1141E" w:rsidRPr="001662E1" w:rsidRDefault="00C1141E" w:rsidP="00C1141E">
            <w:pPr>
              <w:spacing w:before="0" w:line="240" w:lineRule="auto"/>
              <w:jc w:val="left"/>
              <w:rPr>
                <w:rFonts w:asciiTheme="majorHAnsi" w:hAnsiTheme="majorHAnsi"/>
                <w:i/>
                <w:iCs/>
                <w:color w:val="000000"/>
                <w:sz w:val="18"/>
                <w:szCs w:val="20"/>
                <w:lang w:val="it-IT"/>
              </w:rPr>
            </w:pPr>
            <w:r w:rsidRPr="001662E1">
              <w:rPr>
                <w:rFonts w:asciiTheme="majorHAnsi" w:hAnsiTheme="majorHAnsi"/>
                <w:i/>
                <w:iCs/>
                <w:color w:val="000000"/>
                <w:sz w:val="18"/>
                <w:szCs w:val="20"/>
                <w:lang w:val="it-IT"/>
              </w:rPr>
              <w:t>-Për mbështetjen buxhetore me fonde nga buxheti i shtetit</w:t>
            </w:r>
          </w:p>
        </w:tc>
        <w:tc>
          <w:tcPr>
            <w:tcW w:w="1193"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 xml:space="preserve">              -   </w:t>
            </w:r>
          </w:p>
        </w:tc>
        <w:tc>
          <w:tcPr>
            <w:tcW w:w="970" w:type="dxa"/>
            <w:tcBorders>
              <w:top w:val="nil"/>
              <w:left w:val="nil"/>
              <w:bottom w:val="nil"/>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 xml:space="preserve">              -   </w:t>
            </w:r>
          </w:p>
        </w:tc>
        <w:tc>
          <w:tcPr>
            <w:tcW w:w="970" w:type="dxa"/>
            <w:tcBorders>
              <w:top w:val="nil"/>
              <w:left w:val="nil"/>
              <w:bottom w:val="nil"/>
              <w:right w:val="single" w:sz="8" w:space="0" w:color="auto"/>
            </w:tcBorders>
            <w:shd w:val="clear" w:color="auto" w:fill="auto"/>
            <w:noWrap/>
            <w:vAlign w:val="center"/>
            <w:hideMark/>
          </w:tcPr>
          <w:p w:rsidR="00C1141E" w:rsidRPr="001662E1" w:rsidRDefault="00C1141E" w:rsidP="00C1141E">
            <w:pPr>
              <w:spacing w:before="0" w:line="240" w:lineRule="auto"/>
              <w:jc w:val="center"/>
              <w:rPr>
                <w:rFonts w:asciiTheme="majorHAnsi" w:hAnsiTheme="majorHAnsi"/>
                <w:i/>
                <w:iCs/>
                <w:color w:val="000000"/>
                <w:sz w:val="18"/>
                <w:szCs w:val="20"/>
              </w:rPr>
            </w:pPr>
            <w:r w:rsidRPr="001662E1">
              <w:rPr>
                <w:rFonts w:asciiTheme="majorHAnsi" w:hAnsiTheme="majorHAnsi"/>
                <w:i/>
                <w:iCs/>
                <w:color w:val="000000"/>
                <w:sz w:val="18"/>
                <w:szCs w:val="20"/>
              </w:rPr>
              <w:t>27,907</w:t>
            </w:r>
            <w:r w:rsidRPr="001662E1">
              <w:rPr>
                <w:rFonts w:asciiTheme="majorHAnsi" w:hAnsiTheme="majorHAnsi"/>
                <w:i/>
                <w:iCs/>
                <w:color w:val="C00000"/>
                <w:sz w:val="18"/>
                <w:szCs w:val="20"/>
              </w:rPr>
              <w:t>**</w:t>
            </w:r>
          </w:p>
        </w:tc>
      </w:tr>
      <w:tr w:rsidR="00C1141E" w:rsidRPr="00C34BEE" w:rsidTr="001662E1">
        <w:trPr>
          <w:trHeight w:val="313"/>
          <w:jc w:val="center"/>
        </w:trPr>
        <w:tc>
          <w:tcPr>
            <w:tcW w:w="5561" w:type="dxa"/>
            <w:tcBorders>
              <w:top w:val="nil"/>
              <w:left w:val="single" w:sz="8" w:space="0" w:color="auto"/>
              <w:bottom w:val="single" w:sz="8" w:space="0" w:color="auto"/>
              <w:right w:val="single" w:sz="8" w:space="0" w:color="auto"/>
            </w:tcBorders>
            <w:shd w:val="clear" w:color="000000" w:fill="FFFFFF"/>
            <w:noWrap/>
            <w:vAlign w:val="center"/>
            <w:hideMark/>
          </w:tcPr>
          <w:p w:rsidR="00C1141E" w:rsidRPr="001662E1" w:rsidRDefault="00C1141E" w:rsidP="00C1141E">
            <w:pPr>
              <w:spacing w:before="0" w:line="240" w:lineRule="auto"/>
              <w:jc w:val="left"/>
              <w:rPr>
                <w:rFonts w:asciiTheme="majorHAnsi" w:hAnsiTheme="majorHAnsi"/>
                <w:b/>
                <w:bCs/>
                <w:color w:val="000000"/>
                <w:sz w:val="18"/>
                <w:szCs w:val="20"/>
              </w:rPr>
            </w:pPr>
            <w:r w:rsidRPr="001662E1">
              <w:rPr>
                <w:rFonts w:asciiTheme="majorHAnsi" w:hAnsiTheme="majorHAnsi"/>
                <w:b/>
                <w:bCs/>
                <w:color w:val="000000"/>
                <w:sz w:val="18"/>
                <w:szCs w:val="20"/>
              </w:rPr>
              <w:t>2. Detyrimet Tatimore (të papaguara)</w:t>
            </w:r>
          </w:p>
        </w:tc>
        <w:tc>
          <w:tcPr>
            <w:tcW w:w="1193" w:type="dxa"/>
            <w:tcBorders>
              <w:top w:val="nil"/>
              <w:left w:val="nil"/>
              <w:bottom w:val="single" w:sz="8" w:space="0" w:color="auto"/>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b/>
                <w:bCs/>
                <w:color w:val="000000"/>
                <w:sz w:val="18"/>
                <w:szCs w:val="20"/>
              </w:rPr>
            </w:pPr>
            <w:r w:rsidRPr="001662E1">
              <w:rPr>
                <w:rFonts w:asciiTheme="majorHAnsi" w:hAnsiTheme="majorHAnsi"/>
                <w:b/>
                <w:bCs/>
                <w:color w:val="000000"/>
                <w:sz w:val="18"/>
                <w:szCs w:val="20"/>
              </w:rPr>
              <w:t xml:space="preserve">         2,036.3 </w:t>
            </w:r>
          </w:p>
        </w:tc>
        <w:tc>
          <w:tcPr>
            <w:tcW w:w="970" w:type="dxa"/>
            <w:tcBorders>
              <w:top w:val="nil"/>
              <w:left w:val="nil"/>
              <w:bottom w:val="single" w:sz="8" w:space="0" w:color="auto"/>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b/>
                <w:bCs/>
                <w:color w:val="000000"/>
                <w:sz w:val="18"/>
                <w:szCs w:val="20"/>
              </w:rPr>
            </w:pPr>
            <w:r w:rsidRPr="001662E1">
              <w:rPr>
                <w:rFonts w:asciiTheme="majorHAnsi" w:hAnsiTheme="majorHAnsi"/>
                <w:b/>
                <w:bCs/>
                <w:color w:val="000000"/>
                <w:sz w:val="18"/>
                <w:szCs w:val="20"/>
              </w:rPr>
              <w:t xml:space="preserve">        670.9 </w:t>
            </w:r>
          </w:p>
        </w:tc>
        <w:tc>
          <w:tcPr>
            <w:tcW w:w="970" w:type="dxa"/>
            <w:tcBorders>
              <w:top w:val="nil"/>
              <w:left w:val="nil"/>
              <w:bottom w:val="single" w:sz="8" w:space="0" w:color="auto"/>
              <w:right w:val="single" w:sz="8" w:space="0" w:color="auto"/>
            </w:tcBorders>
            <w:shd w:val="clear" w:color="000000" w:fill="FFFFFF"/>
            <w:noWrap/>
            <w:vAlign w:val="center"/>
            <w:hideMark/>
          </w:tcPr>
          <w:p w:rsidR="00C1141E" w:rsidRPr="001662E1" w:rsidRDefault="00C1141E" w:rsidP="00C1141E">
            <w:pPr>
              <w:spacing w:before="0" w:line="240" w:lineRule="auto"/>
              <w:rPr>
                <w:rFonts w:asciiTheme="majorHAnsi" w:hAnsiTheme="majorHAnsi"/>
                <w:b/>
                <w:bCs/>
                <w:color w:val="000000"/>
                <w:sz w:val="18"/>
                <w:szCs w:val="20"/>
              </w:rPr>
            </w:pPr>
            <w:r w:rsidRPr="001662E1">
              <w:rPr>
                <w:rFonts w:asciiTheme="majorHAnsi" w:hAnsiTheme="majorHAnsi"/>
                <w:b/>
                <w:bCs/>
                <w:color w:val="000000"/>
                <w:sz w:val="18"/>
                <w:szCs w:val="20"/>
              </w:rPr>
              <w:t xml:space="preserve">      0.1 </w:t>
            </w:r>
          </w:p>
        </w:tc>
        <w:tc>
          <w:tcPr>
            <w:tcW w:w="970" w:type="dxa"/>
            <w:tcBorders>
              <w:top w:val="nil"/>
              <w:left w:val="nil"/>
              <w:bottom w:val="single" w:sz="8" w:space="0" w:color="auto"/>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b/>
                <w:bCs/>
                <w:color w:val="000000"/>
                <w:sz w:val="18"/>
                <w:szCs w:val="20"/>
              </w:rPr>
            </w:pPr>
            <w:r w:rsidRPr="001662E1">
              <w:rPr>
                <w:rFonts w:asciiTheme="majorHAnsi" w:hAnsiTheme="majorHAnsi"/>
                <w:b/>
                <w:bCs/>
                <w:color w:val="000000"/>
                <w:sz w:val="18"/>
                <w:szCs w:val="20"/>
              </w:rPr>
              <w:t xml:space="preserve">        97.25 </w:t>
            </w:r>
          </w:p>
        </w:tc>
        <w:tc>
          <w:tcPr>
            <w:tcW w:w="970" w:type="dxa"/>
            <w:tcBorders>
              <w:top w:val="nil"/>
              <w:left w:val="nil"/>
              <w:bottom w:val="single" w:sz="8" w:space="0" w:color="auto"/>
              <w:right w:val="single" w:sz="8" w:space="0" w:color="auto"/>
            </w:tcBorders>
            <w:shd w:val="clear" w:color="000000" w:fill="FFFFFF"/>
            <w:noWrap/>
            <w:vAlign w:val="center"/>
            <w:hideMark/>
          </w:tcPr>
          <w:p w:rsidR="00C1141E" w:rsidRPr="001662E1" w:rsidRDefault="00C1141E" w:rsidP="00C1141E">
            <w:pPr>
              <w:spacing w:before="0" w:line="240" w:lineRule="auto"/>
              <w:jc w:val="center"/>
              <w:rPr>
                <w:rFonts w:asciiTheme="majorHAnsi" w:hAnsiTheme="majorHAnsi"/>
                <w:b/>
                <w:bCs/>
                <w:color w:val="000000"/>
                <w:sz w:val="18"/>
                <w:szCs w:val="20"/>
              </w:rPr>
            </w:pPr>
            <w:r w:rsidRPr="001662E1">
              <w:rPr>
                <w:rFonts w:asciiTheme="majorHAnsi" w:hAnsiTheme="majorHAnsi"/>
                <w:b/>
                <w:bCs/>
                <w:color w:val="000000"/>
                <w:sz w:val="18"/>
                <w:szCs w:val="20"/>
              </w:rPr>
              <w:t xml:space="preserve">        43.41 </w:t>
            </w:r>
          </w:p>
        </w:tc>
      </w:tr>
    </w:tbl>
    <w:p w:rsidR="00C1141E" w:rsidRPr="00C1141E" w:rsidRDefault="00C1141E" w:rsidP="00C1141E">
      <w:pPr>
        <w:shd w:val="clear" w:color="auto" w:fill="FFFFFF" w:themeFill="background1"/>
        <w:spacing w:before="0" w:line="240" w:lineRule="auto"/>
        <w:contextualSpacing/>
        <w:rPr>
          <w:i/>
          <w:sz w:val="16"/>
          <w:szCs w:val="20"/>
          <w:lang w:val="sq-AL"/>
        </w:rPr>
      </w:pPr>
      <w:bookmarkStart w:id="196" w:name="_Hlk129872185"/>
      <w:r w:rsidRPr="00C1141E">
        <w:rPr>
          <w:i/>
          <w:sz w:val="16"/>
          <w:szCs w:val="20"/>
          <w:lang w:val="sq-AL"/>
        </w:rPr>
        <w:t>*</w:t>
      </w:r>
      <w:r w:rsidRPr="00C1141E">
        <w:rPr>
          <w:sz w:val="18"/>
        </w:rPr>
        <w:t xml:space="preserve"> </w:t>
      </w:r>
      <w:r w:rsidRPr="00C1141E">
        <w:rPr>
          <w:i/>
          <w:sz w:val="16"/>
          <w:szCs w:val="20"/>
          <w:lang w:val="sq-AL"/>
        </w:rPr>
        <w:t>Garanci Sovrane  për sektorin energjitik (OSHEE Group sh.a.) në shumën prej 10,000 milionë lekë për vitin 2021, nëpërmjet Aktit Normativ nr. 31, datë 27.10.2021</w:t>
      </w:r>
    </w:p>
    <w:p w:rsidR="00C1141E" w:rsidRPr="00C1141E" w:rsidRDefault="00C1141E" w:rsidP="00C1141E">
      <w:pPr>
        <w:shd w:val="clear" w:color="auto" w:fill="FFFFFF" w:themeFill="background1"/>
        <w:spacing w:before="0" w:line="240" w:lineRule="auto"/>
        <w:contextualSpacing/>
        <w:rPr>
          <w:i/>
          <w:sz w:val="16"/>
          <w:szCs w:val="20"/>
          <w:lang w:val="sq-AL"/>
        </w:rPr>
      </w:pPr>
      <w:r w:rsidRPr="00C1141E">
        <w:rPr>
          <w:i/>
          <w:sz w:val="16"/>
          <w:szCs w:val="20"/>
          <w:lang w:val="sq-AL"/>
        </w:rPr>
        <w:t xml:space="preserve">**“Hua e dhënë për energjinë” planifikuar në shumën 8,000 milionë lekë për vitin 2022 </w:t>
      </w:r>
      <w:bookmarkStart w:id="197" w:name="_Hlk118710288"/>
      <w:r w:rsidRPr="00C1141E">
        <w:rPr>
          <w:i/>
          <w:sz w:val="16"/>
          <w:szCs w:val="20"/>
          <w:lang w:val="sq-AL"/>
        </w:rPr>
        <w:t xml:space="preserve">(realizimi aktual është 7,907 milionë lekë) </w:t>
      </w:r>
      <w:bookmarkEnd w:id="197"/>
      <w:r w:rsidRPr="00C1141E">
        <w:rPr>
          <w:i/>
          <w:sz w:val="16"/>
          <w:szCs w:val="20"/>
          <w:lang w:val="sq-AL"/>
        </w:rPr>
        <w:t xml:space="preserve">dhe “Mbështetje buxhetore për sektorin e energjisë” planifikuar në shumën 20,000 milionë lekë për vitin 2022 </w:t>
      </w:r>
      <w:bookmarkStart w:id="198" w:name="_Hlk118796934"/>
      <w:r w:rsidRPr="00C1141E">
        <w:rPr>
          <w:i/>
          <w:sz w:val="16"/>
          <w:szCs w:val="20"/>
          <w:lang w:val="sq-AL"/>
        </w:rPr>
        <w:t>(realizimi aktual është 20,000 milionë lekë).</w:t>
      </w:r>
      <w:bookmarkEnd w:id="198"/>
      <w:r w:rsidRPr="00C1141E">
        <w:rPr>
          <w:i/>
          <w:sz w:val="16"/>
          <w:szCs w:val="20"/>
          <w:lang w:val="sq-AL"/>
        </w:rPr>
        <w:t xml:space="preserve"> </w:t>
      </w:r>
    </w:p>
    <w:bookmarkEnd w:id="196"/>
    <w:p w:rsidR="00C1141E" w:rsidRPr="007979F5" w:rsidRDefault="00C1141E" w:rsidP="00C1141E">
      <w:pPr>
        <w:spacing w:before="0" w:line="240" w:lineRule="auto"/>
        <w:rPr>
          <w:rFonts w:ascii="Times New Roman" w:hAnsi="Times New Roman"/>
          <w:i/>
          <w:sz w:val="18"/>
          <w:szCs w:val="28"/>
          <w:lang w:val="sq-AL"/>
        </w:rPr>
      </w:pPr>
      <w:r w:rsidRPr="007979F5">
        <w:rPr>
          <w:rFonts w:ascii="Times New Roman" w:hAnsi="Times New Roman"/>
          <w:i/>
          <w:sz w:val="18"/>
          <w:szCs w:val="20"/>
          <w:lang w:val="sq-AL"/>
        </w:rPr>
        <w:t>Burimi: Drejtoria e Borxhit Publik, Drejtoria e Përgjithshme e Tatimeve. 202</w:t>
      </w:r>
      <w:r>
        <w:rPr>
          <w:rFonts w:ascii="Times New Roman" w:hAnsi="Times New Roman"/>
          <w:i/>
          <w:sz w:val="18"/>
          <w:szCs w:val="20"/>
          <w:lang w:val="sq-AL"/>
        </w:rPr>
        <w:t>3</w:t>
      </w:r>
      <w:r w:rsidRPr="007979F5">
        <w:rPr>
          <w:rFonts w:ascii="Times New Roman" w:hAnsi="Times New Roman"/>
          <w:i/>
          <w:sz w:val="18"/>
          <w:szCs w:val="28"/>
          <w:lang w:val="sq-AL"/>
        </w:rPr>
        <w:tab/>
      </w:r>
    </w:p>
    <w:p w:rsidR="00C1141E" w:rsidRDefault="00C1141E" w:rsidP="00C73387">
      <w:pPr>
        <w:spacing w:line="240" w:lineRule="auto"/>
        <w:rPr>
          <w:rFonts w:eastAsia="SimSun" w:cs="Calibri"/>
          <w:lang w:val="sq-AL"/>
        </w:rPr>
      </w:pPr>
      <w:r w:rsidRPr="001C176D">
        <w:rPr>
          <w:rFonts w:eastAsia="SimSun" w:cs="Calibri"/>
          <w:bCs/>
          <w:lang w:val="sq-AL"/>
        </w:rPr>
        <w:t>Në kuadër të reformës në sektorin e energjisë, Ministria e Financave dhe Ekonomisë dhe Ministria e Infrastrukturës dhe Energjisë, bashkëfirmosën Urdhërin e Përbashkët nr.379/2021 datë 30.09.2021 “</w:t>
      </w:r>
      <w:r w:rsidRPr="001C176D">
        <w:rPr>
          <w:rFonts w:eastAsia="SimSun" w:cs="Calibri"/>
          <w:bCs/>
          <w:i/>
          <w:lang w:val="sq-AL"/>
        </w:rPr>
        <w:t>Mbi zbatimin e planit të masave për reduktimin e detyrimeve të prapambetura në sektorin e energjisë elektrike</w:t>
      </w:r>
      <w:r w:rsidRPr="001C176D">
        <w:rPr>
          <w:rFonts w:eastAsia="SimSun" w:cs="Calibri"/>
          <w:bCs/>
          <w:lang w:val="sq-AL"/>
        </w:rPr>
        <w:t>”, nëpërmjet së cilit, ndërmarrjet e sektorit energjitik raportojnë në mënyrë periodike mujore, mbi shlyerjen e detyrimeve të prapambetura të ndërsjella ndërmjet sektorit të energjisë dhe entiteve të tjera publike. Përgjatë vitit 2022, në përputhje me udhëzimin e sipërcituar, MFE ka monitoruar periodikisht mbi bazë mujore detyrimet e ndërsjella të raportuara nga ndërmarrjet e sektorit të energjisë dhe entiteve të tjera publike. Nga ana e ndërmarrjeve raportohet se, mos shlyerja e detyrimeve të ndërsjella në kohë ka ardhur si pasojë e situatës jo të mirë financiare të tyre, rrjedhojë kjo edhe e paqëndrueshmërisë ekonomike të tregjeve globale.</w:t>
      </w:r>
    </w:p>
    <w:p w:rsidR="001662E1" w:rsidRPr="000642C5" w:rsidRDefault="001662E1" w:rsidP="001662E1">
      <w:pPr>
        <w:pStyle w:val="Caption"/>
        <w:keepNext/>
        <w:spacing w:after="0"/>
        <w:jc w:val="left"/>
        <w:rPr>
          <w:lang w:val="sq-AL"/>
        </w:rPr>
      </w:pPr>
      <w:bookmarkStart w:id="199" w:name="_Toc136526340"/>
      <w:bookmarkStart w:id="200" w:name="_Toc76470030"/>
      <w:r w:rsidRPr="00B06D74">
        <w:rPr>
          <w:lang w:val="sq-AL"/>
        </w:rPr>
        <w:t xml:space="preserve">Tabela </w:t>
      </w:r>
      <w:r w:rsidRPr="00B06D74">
        <w:fldChar w:fldCharType="begin"/>
      </w:r>
      <w:r w:rsidRPr="00B06D74">
        <w:rPr>
          <w:lang w:val="sq-AL"/>
        </w:rPr>
        <w:instrText xml:space="preserve"> SEQ Tabela \* ARABIC </w:instrText>
      </w:r>
      <w:r w:rsidRPr="00B06D74">
        <w:fldChar w:fldCharType="separate"/>
      </w:r>
      <w:r w:rsidR="008C3E07">
        <w:rPr>
          <w:noProof/>
          <w:lang w:val="sq-AL"/>
        </w:rPr>
        <w:t>14</w:t>
      </w:r>
      <w:r w:rsidRPr="00B06D74">
        <w:rPr>
          <w:noProof/>
        </w:rPr>
        <w:fldChar w:fldCharType="end"/>
      </w:r>
      <w:r w:rsidRPr="00B06D74">
        <w:rPr>
          <w:lang w:val="sq-AL"/>
        </w:rPr>
        <w:t xml:space="preserve"> Detyrimet e ndërsjella midis ndërmarjeve të sektorit energjitik, ML/IB,MFE dhe DPT:</w:t>
      </w:r>
      <w:bookmarkEnd w:id="199"/>
    </w:p>
    <w:tbl>
      <w:tblPr>
        <w:tblStyle w:val="TableGrid"/>
        <w:tblW w:w="9680" w:type="dxa"/>
        <w:jc w:val="center"/>
        <w:tblLook w:val="04A0" w:firstRow="1" w:lastRow="0" w:firstColumn="1" w:lastColumn="0" w:noHBand="0" w:noVBand="1"/>
      </w:tblPr>
      <w:tblGrid>
        <w:gridCol w:w="2652"/>
        <w:gridCol w:w="1017"/>
        <w:gridCol w:w="1264"/>
        <w:gridCol w:w="1173"/>
        <w:gridCol w:w="893"/>
        <w:gridCol w:w="950"/>
        <w:gridCol w:w="1731"/>
      </w:tblGrid>
      <w:tr w:rsidR="001662E1" w:rsidRPr="001662E1" w:rsidTr="00242E33">
        <w:trPr>
          <w:trHeight w:val="584"/>
          <w:jc w:val="center"/>
        </w:trPr>
        <w:tc>
          <w:tcPr>
            <w:tcW w:w="2652" w:type="dxa"/>
            <w:shd w:val="clear" w:color="auto" w:fill="B3DDF2" w:themeFill="background2" w:themeFillShade="E6"/>
            <w:vAlign w:val="center"/>
            <w:hideMark/>
          </w:tcPr>
          <w:p w:rsidR="001662E1" w:rsidRPr="001662E1" w:rsidRDefault="001662E1" w:rsidP="001662E1">
            <w:pPr>
              <w:spacing w:before="0" w:line="240" w:lineRule="auto"/>
              <w:jc w:val="center"/>
              <w:rPr>
                <w:rFonts w:asciiTheme="majorHAnsi" w:eastAsia="Calibri" w:hAnsiTheme="majorHAnsi"/>
                <w:b/>
                <w:color w:val="C00000"/>
                <w:sz w:val="18"/>
                <w:szCs w:val="18"/>
                <w:lang w:val="sq-AL"/>
              </w:rPr>
            </w:pPr>
            <w:r w:rsidRPr="001662E1">
              <w:rPr>
                <w:rFonts w:asciiTheme="majorHAnsi" w:eastAsia="Calibri" w:hAnsiTheme="majorHAnsi"/>
                <w:b/>
                <w:color w:val="C00000"/>
                <w:sz w:val="18"/>
                <w:szCs w:val="18"/>
                <w:lang w:val="sq-AL"/>
              </w:rPr>
              <w:t>Deri në Dhjetor 2022</w:t>
            </w:r>
          </w:p>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eastAsia="Calibri" w:hAnsiTheme="majorHAnsi"/>
                <w:b/>
                <w:color w:val="C00000"/>
                <w:sz w:val="18"/>
                <w:szCs w:val="18"/>
                <w:lang w:val="sq-AL"/>
              </w:rPr>
              <w:t>(ne mld LEK)</w:t>
            </w:r>
          </w:p>
        </w:tc>
        <w:tc>
          <w:tcPr>
            <w:tcW w:w="1017" w:type="dxa"/>
            <w:shd w:val="clear" w:color="auto" w:fill="B3DDF2" w:themeFill="background2" w:themeFillShade="E6"/>
            <w:vAlign w:val="center"/>
            <w:hideMark/>
          </w:tcPr>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hAnsiTheme="majorHAnsi"/>
                <w:b/>
                <w:bCs/>
                <w:color w:val="000000" w:themeColor="text1"/>
                <w:sz w:val="18"/>
                <w:szCs w:val="18"/>
              </w:rPr>
              <w:t>KESH</w:t>
            </w:r>
          </w:p>
        </w:tc>
        <w:tc>
          <w:tcPr>
            <w:tcW w:w="1264" w:type="dxa"/>
            <w:shd w:val="clear" w:color="auto" w:fill="B3DDF2" w:themeFill="background2" w:themeFillShade="E6"/>
            <w:vAlign w:val="center"/>
            <w:hideMark/>
          </w:tcPr>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hAnsiTheme="majorHAnsi"/>
                <w:b/>
                <w:bCs/>
                <w:color w:val="000000" w:themeColor="text1"/>
                <w:sz w:val="18"/>
                <w:szCs w:val="18"/>
              </w:rPr>
              <w:t>OST</w:t>
            </w:r>
          </w:p>
        </w:tc>
        <w:tc>
          <w:tcPr>
            <w:tcW w:w="1173" w:type="dxa"/>
            <w:shd w:val="clear" w:color="auto" w:fill="B3DDF2" w:themeFill="background2" w:themeFillShade="E6"/>
            <w:vAlign w:val="center"/>
            <w:hideMark/>
          </w:tcPr>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hAnsiTheme="majorHAnsi"/>
                <w:b/>
                <w:bCs/>
                <w:color w:val="000000" w:themeColor="text1"/>
                <w:sz w:val="18"/>
                <w:szCs w:val="18"/>
              </w:rPr>
              <w:t>OSHEE</w:t>
            </w:r>
          </w:p>
        </w:tc>
        <w:tc>
          <w:tcPr>
            <w:tcW w:w="893" w:type="dxa"/>
            <w:shd w:val="clear" w:color="auto" w:fill="B3DDF2" w:themeFill="background2" w:themeFillShade="E6"/>
            <w:vAlign w:val="center"/>
            <w:hideMark/>
          </w:tcPr>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hAnsiTheme="majorHAnsi"/>
                <w:b/>
                <w:bCs/>
                <w:color w:val="000000" w:themeColor="text1"/>
                <w:sz w:val="18"/>
                <w:szCs w:val="18"/>
              </w:rPr>
              <w:t>MFE</w:t>
            </w:r>
          </w:p>
        </w:tc>
        <w:tc>
          <w:tcPr>
            <w:tcW w:w="950" w:type="dxa"/>
            <w:shd w:val="clear" w:color="auto" w:fill="B3DDF2" w:themeFill="background2" w:themeFillShade="E6"/>
            <w:vAlign w:val="center"/>
            <w:hideMark/>
          </w:tcPr>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hAnsiTheme="majorHAnsi"/>
                <w:b/>
                <w:bCs/>
                <w:color w:val="000000" w:themeColor="text1"/>
                <w:sz w:val="18"/>
                <w:szCs w:val="18"/>
              </w:rPr>
              <w:t>DPT</w:t>
            </w:r>
          </w:p>
        </w:tc>
        <w:tc>
          <w:tcPr>
            <w:tcW w:w="1731" w:type="dxa"/>
            <w:shd w:val="clear" w:color="auto" w:fill="B3DDF2" w:themeFill="background2" w:themeFillShade="E6"/>
            <w:vAlign w:val="center"/>
            <w:hideMark/>
          </w:tcPr>
          <w:p w:rsidR="001662E1" w:rsidRPr="001662E1" w:rsidRDefault="001662E1" w:rsidP="001662E1">
            <w:pPr>
              <w:spacing w:before="0" w:line="240" w:lineRule="auto"/>
              <w:jc w:val="center"/>
              <w:rPr>
                <w:rFonts w:asciiTheme="majorHAnsi" w:hAnsiTheme="majorHAnsi"/>
                <w:b/>
                <w:bCs/>
                <w:color w:val="C00000"/>
                <w:sz w:val="18"/>
                <w:szCs w:val="18"/>
              </w:rPr>
            </w:pPr>
            <w:r w:rsidRPr="001662E1">
              <w:rPr>
                <w:rFonts w:asciiTheme="majorHAnsi" w:hAnsiTheme="majorHAnsi"/>
                <w:b/>
                <w:bCs/>
                <w:color w:val="C00000"/>
                <w:sz w:val="18"/>
                <w:szCs w:val="18"/>
              </w:rPr>
              <w:t>Total</w:t>
            </w:r>
          </w:p>
        </w:tc>
      </w:tr>
      <w:tr w:rsidR="001662E1" w:rsidRPr="001662E1" w:rsidTr="00242E33">
        <w:trPr>
          <w:trHeight w:val="334"/>
          <w:jc w:val="center"/>
        </w:trPr>
        <w:tc>
          <w:tcPr>
            <w:tcW w:w="2652" w:type="dxa"/>
            <w:vAlign w:val="center"/>
            <w:hideMark/>
          </w:tcPr>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hAnsiTheme="majorHAnsi"/>
                <w:b/>
                <w:bCs/>
                <w:color w:val="000000" w:themeColor="text1"/>
                <w:sz w:val="18"/>
                <w:szCs w:val="18"/>
              </w:rPr>
              <w:t>KESH ndaj:</w:t>
            </w:r>
          </w:p>
        </w:tc>
        <w:tc>
          <w:tcPr>
            <w:tcW w:w="1017" w:type="dxa"/>
            <w:hideMark/>
          </w:tcPr>
          <w:p w:rsidR="001662E1" w:rsidRPr="001662E1" w:rsidRDefault="001662E1" w:rsidP="001662E1">
            <w:pPr>
              <w:spacing w:line="240" w:lineRule="auto"/>
              <w:jc w:val="center"/>
              <w:rPr>
                <w:rFonts w:asciiTheme="majorHAnsi" w:hAnsiTheme="majorHAnsi"/>
                <w:sz w:val="18"/>
                <w:szCs w:val="18"/>
              </w:rPr>
            </w:pPr>
          </w:p>
        </w:tc>
        <w:tc>
          <w:tcPr>
            <w:tcW w:w="1264"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0*</w:t>
            </w:r>
          </w:p>
        </w:tc>
        <w:tc>
          <w:tcPr>
            <w:tcW w:w="1173" w:type="dxa"/>
            <w:hideMark/>
          </w:tcPr>
          <w:p w:rsidR="001662E1" w:rsidRPr="001662E1" w:rsidRDefault="001662E1" w:rsidP="001662E1">
            <w:pPr>
              <w:spacing w:line="240" w:lineRule="auto"/>
              <w:jc w:val="center"/>
              <w:rPr>
                <w:rFonts w:asciiTheme="majorHAnsi" w:hAnsiTheme="majorHAnsi"/>
                <w:sz w:val="18"/>
                <w:szCs w:val="18"/>
              </w:rPr>
            </w:pPr>
          </w:p>
        </w:tc>
        <w:tc>
          <w:tcPr>
            <w:tcW w:w="893"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33.69</w:t>
            </w:r>
          </w:p>
        </w:tc>
        <w:tc>
          <w:tcPr>
            <w:tcW w:w="950" w:type="dxa"/>
            <w:hideMark/>
          </w:tcPr>
          <w:p w:rsidR="001662E1" w:rsidRPr="001662E1" w:rsidRDefault="001662E1" w:rsidP="001662E1">
            <w:pPr>
              <w:spacing w:line="240" w:lineRule="auto"/>
              <w:jc w:val="center"/>
              <w:rPr>
                <w:rFonts w:asciiTheme="majorHAnsi" w:hAnsiTheme="majorHAnsi"/>
                <w:sz w:val="18"/>
                <w:szCs w:val="18"/>
              </w:rPr>
            </w:pPr>
          </w:p>
        </w:tc>
        <w:tc>
          <w:tcPr>
            <w:tcW w:w="1731"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33.69</w:t>
            </w:r>
          </w:p>
        </w:tc>
      </w:tr>
      <w:tr w:rsidR="001662E1" w:rsidRPr="001662E1" w:rsidTr="00242E33">
        <w:trPr>
          <w:trHeight w:val="334"/>
          <w:jc w:val="center"/>
        </w:trPr>
        <w:tc>
          <w:tcPr>
            <w:tcW w:w="2652" w:type="dxa"/>
            <w:vAlign w:val="center"/>
            <w:hideMark/>
          </w:tcPr>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hAnsiTheme="majorHAnsi"/>
                <w:b/>
                <w:bCs/>
                <w:color w:val="000000" w:themeColor="text1"/>
                <w:sz w:val="18"/>
                <w:szCs w:val="18"/>
              </w:rPr>
              <w:t>OST ndaj:</w:t>
            </w:r>
          </w:p>
        </w:tc>
        <w:tc>
          <w:tcPr>
            <w:tcW w:w="1017"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9.19*</w:t>
            </w:r>
          </w:p>
        </w:tc>
        <w:tc>
          <w:tcPr>
            <w:tcW w:w="1264" w:type="dxa"/>
            <w:hideMark/>
          </w:tcPr>
          <w:p w:rsidR="001662E1" w:rsidRPr="001662E1" w:rsidRDefault="001662E1" w:rsidP="001662E1">
            <w:pPr>
              <w:spacing w:line="240" w:lineRule="auto"/>
              <w:jc w:val="center"/>
              <w:rPr>
                <w:rFonts w:asciiTheme="majorHAnsi" w:hAnsiTheme="majorHAnsi"/>
                <w:sz w:val="18"/>
                <w:szCs w:val="18"/>
              </w:rPr>
            </w:pPr>
          </w:p>
        </w:tc>
        <w:tc>
          <w:tcPr>
            <w:tcW w:w="1173"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1.66</w:t>
            </w:r>
          </w:p>
        </w:tc>
        <w:tc>
          <w:tcPr>
            <w:tcW w:w="893"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8.66</w:t>
            </w:r>
          </w:p>
        </w:tc>
        <w:tc>
          <w:tcPr>
            <w:tcW w:w="950" w:type="dxa"/>
            <w:hideMark/>
          </w:tcPr>
          <w:p w:rsidR="001662E1" w:rsidRPr="001662E1" w:rsidRDefault="001662E1" w:rsidP="001662E1">
            <w:pPr>
              <w:spacing w:line="240" w:lineRule="auto"/>
              <w:jc w:val="center"/>
              <w:rPr>
                <w:rFonts w:asciiTheme="majorHAnsi" w:hAnsiTheme="majorHAnsi"/>
                <w:sz w:val="18"/>
                <w:szCs w:val="18"/>
              </w:rPr>
            </w:pPr>
          </w:p>
        </w:tc>
        <w:tc>
          <w:tcPr>
            <w:tcW w:w="1731"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19.51</w:t>
            </w:r>
          </w:p>
        </w:tc>
      </w:tr>
      <w:tr w:rsidR="001662E1" w:rsidRPr="001662E1" w:rsidTr="00242E33">
        <w:trPr>
          <w:trHeight w:val="371"/>
          <w:jc w:val="center"/>
        </w:trPr>
        <w:tc>
          <w:tcPr>
            <w:tcW w:w="2652" w:type="dxa"/>
            <w:vAlign w:val="center"/>
            <w:hideMark/>
          </w:tcPr>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hAnsiTheme="majorHAnsi"/>
                <w:b/>
                <w:bCs/>
                <w:color w:val="000000" w:themeColor="text1"/>
                <w:sz w:val="18"/>
                <w:szCs w:val="18"/>
              </w:rPr>
              <w:t>OSHEE ndaj:</w:t>
            </w:r>
          </w:p>
        </w:tc>
        <w:tc>
          <w:tcPr>
            <w:tcW w:w="1017"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51.13**</w:t>
            </w:r>
          </w:p>
        </w:tc>
        <w:tc>
          <w:tcPr>
            <w:tcW w:w="1264"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9.50**</w:t>
            </w:r>
          </w:p>
        </w:tc>
        <w:tc>
          <w:tcPr>
            <w:tcW w:w="1173" w:type="dxa"/>
            <w:hideMark/>
          </w:tcPr>
          <w:p w:rsidR="001662E1" w:rsidRPr="001662E1" w:rsidRDefault="001662E1" w:rsidP="001662E1">
            <w:pPr>
              <w:spacing w:line="240" w:lineRule="auto"/>
              <w:jc w:val="center"/>
              <w:rPr>
                <w:rFonts w:asciiTheme="majorHAnsi" w:hAnsiTheme="majorHAnsi"/>
                <w:sz w:val="18"/>
                <w:szCs w:val="18"/>
              </w:rPr>
            </w:pPr>
          </w:p>
        </w:tc>
        <w:tc>
          <w:tcPr>
            <w:tcW w:w="893"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2.69</w:t>
            </w:r>
          </w:p>
        </w:tc>
        <w:tc>
          <w:tcPr>
            <w:tcW w:w="950"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5.19</w:t>
            </w:r>
          </w:p>
        </w:tc>
        <w:tc>
          <w:tcPr>
            <w:tcW w:w="1731"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68.51</w:t>
            </w:r>
          </w:p>
        </w:tc>
      </w:tr>
      <w:tr w:rsidR="001662E1" w:rsidRPr="001662E1" w:rsidTr="00242E33">
        <w:trPr>
          <w:trHeight w:val="276"/>
          <w:jc w:val="center"/>
        </w:trPr>
        <w:tc>
          <w:tcPr>
            <w:tcW w:w="2652" w:type="dxa"/>
            <w:vAlign w:val="center"/>
            <w:hideMark/>
          </w:tcPr>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hAnsiTheme="majorHAnsi"/>
                <w:b/>
                <w:bCs/>
                <w:color w:val="000000" w:themeColor="text1"/>
                <w:sz w:val="18"/>
                <w:szCs w:val="18"/>
              </w:rPr>
              <w:t>Ndermarrjet UK ndaj:</w:t>
            </w:r>
          </w:p>
        </w:tc>
        <w:tc>
          <w:tcPr>
            <w:tcW w:w="1017" w:type="dxa"/>
            <w:hideMark/>
          </w:tcPr>
          <w:p w:rsidR="001662E1" w:rsidRPr="001662E1" w:rsidRDefault="001662E1" w:rsidP="001662E1">
            <w:pPr>
              <w:spacing w:line="240" w:lineRule="auto"/>
              <w:jc w:val="center"/>
              <w:rPr>
                <w:rFonts w:asciiTheme="majorHAnsi" w:hAnsiTheme="majorHAnsi"/>
                <w:sz w:val="18"/>
                <w:szCs w:val="18"/>
              </w:rPr>
            </w:pPr>
          </w:p>
        </w:tc>
        <w:tc>
          <w:tcPr>
            <w:tcW w:w="1264" w:type="dxa"/>
            <w:hideMark/>
          </w:tcPr>
          <w:p w:rsidR="001662E1" w:rsidRPr="001662E1" w:rsidRDefault="001662E1" w:rsidP="001662E1">
            <w:pPr>
              <w:spacing w:line="240" w:lineRule="auto"/>
              <w:jc w:val="center"/>
              <w:rPr>
                <w:rFonts w:asciiTheme="majorHAnsi" w:hAnsiTheme="majorHAnsi"/>
                <w:sz w:val="18"/>
                <w:szCs w:val="18"/>
              </w:rPr>
            </w:pPr>
          </w:p>
        </w:tc>
        <w:tc>
          <w:tcPr>
            <w:tcW w:w="1173"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25.35</w:t>
            </w:r>
          </w:p>
        </w:tc>
        <w:tc>
          <w:tcPr>
            <w:tcW w:w="893"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10.39</w:t>
            </w:r>
          </w:p>
        </w:tc>
        <w:tc>
          <w:tcPr>
            <w:tcW w:w="950" w:type="dxa"/>
            <w:hideMark/>
          </w:tcPr>
          <w:p w:rsidR="001662E1" w:rsidRPr="001662E1" w:rsidRDefault="001662E1" w:rsidP="001662E1">
            <w:pPr>
              <w:spacing w:line="240" w:lineRule="auto"/>
              <w:jc w:val="center"/>
              <w:rPr>
                <w:rFonts w:asciiTheme="majorHAnsi" w:hAnsiTheme="majorHAnsi"/>
                <w:sz w:val="18"/>
                <w:szCs w:val="18"/>
              </w:rPr>
            </w:pPr>
          </w:p>
        </w:tc>
        <w:tc>
          <w:tcPr>
            <w:tcW w:w="1731"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35.74</w:t>
            </w:r>
          </w:p>
        </w:tc>
      </w:tr>
      <w:tr w:rsidR="001662E1" w:rsidRPr="001662E1" w:rsidTr="00242E33">
        <w:trPr>
          <w:trHeight w:val="334"/>
          <w:jc w:val="center"/>
        </w:trPr>
        <w:tc>
          <w:tcPr>
            <w:tcW w:w="2652" w:type="dxa"/>
            <w:vAlign w:val="center"/>
            <w:hideMark/>
          </w:tcPr>
          <w:p w:rsidR="001662E1" w:rsidRPr="001662E1" w:rsidRDefault="001662E1" w:rsidP="001662E1">
            <w:pPr>
              <w:spacing w:before="0" w:line="240" w:lineRule="auto"/>
              <w:jc w:val="center"/>
              <w:rPr>
                <w:rFonts w:asciiTheme="majorHAnsi" w:hAnsiTheme="majorHAnsi"/>
                <w:b/>
                <w:bCs/>
                <w:color w:val="000000" w:themeColor="text1"/>
                <w:sz w:val="18"/>
                <w:szCs w:val="18"/>
              </w:rPr>
            </w:pPr>
            <w:r w:rsidRPr="001662E1">
              <w:rPr>
                <w:rFonts w:asciiTheme="majorHAnsi" w:hAnsiTheme="majorHAnsi"/>
                <w:b/>
                <w:bCs/>
                <w:color w:val="000000" w:themeColor="text1"/>
                <w:sz w:val="18"/>
                <w:szCs w:val="18"/>
              </w:rPr>
              <w:t>ML/IB</w:t>
            </w:r>
          </w:p>
        </w:tc>
        <w:tc>
          <w:tcPr>
            <w:tcW w:w="1017" w:type="dxa"/>
            <w:hideMark/>
          </w:tcPr>
          <w:p w:rsidR="001662E1" w:rsidRPr="001662E1" w:rsidRDefault="001662E1" w:rsidP="001662E1">
            <w:pPr>
              <w:spacing w:line="240" w:lineRule="auto"/>
              <w:jc w:val="center"/>
              <w:rPr>
                <w:rFonts w:asciiTheme="majorHAnsi" w:hAnsiTheme="majorHAnsi"/>
                <w:sz w:val="18"/>
                <w:szCs w:val="18"/>
              </w:rPr>
            </w:pPr>
          </w:p>
        </w:tc>
        <w:tc>
          <w:tcPr>
            <w:tcW w:w="1264" w:type="dxa"/>
            <w:hideMark/>
          </w:tcPr>
          <w:p w:rsidR="001662E1" w:rsidRPr="001662E1" w:rsidRDefault="001662E1" w:rsidP="001662E1">
            <w:pPr>
              <w:spacing w:line="240" w:lineRule="auto"/>
              <w:jc w:val="center"/>
              <w:rPr>
                <w:rFonts w:asciiTheme="majorHAnsi" w:hAnsiTheme="majorHAnsi"/>
                <w:sz w:val="18"/>
                <w:szCs w:val="18"/>
              </w:rPr>
            </w:pPr>
          </w:p>
        </w:tc>
        <w:tc>
          <w:tcPr>
            <w:tcW w:w="1173" w:type="dxa"/>
            <w:hideMark/>
          </w:tcPr>
          <w:p w:rsidR="001662E1" w:rsidRPr="001662E1" w:rsidRDefault="001662E1" w:rsidP="001662E1">
            <w:pPr>
              <w:spacing w:line="240" w:lineRule="auto"/>
              <w:jc w:val="center"/>
              <w:rPr>
                <w:rFonts w:asciiTheme="majorHAnsi" w:hAnsiTheme="majorHAnsi"/>
                <w:sz w:val="18"/>
                <w:szCs w:val="18"/>
              </w:rPr>
            </w:pPr>
            <w:r w:rsidRPr="001662E1">
              <w:rPr>
                <w:rFonts w:asciiTheme="majorHAnsi" w:hAnsiTheme="majorHAnsi"/>
                <w:sz w:val="18"/>
                <w:szCs w:val="18"/>
              </w:rPr>
              <w:t>5.67</w:t>
            </w:r>
          </w:p>
        </w:tc>
        <w:tc>
          <w:tcPr>
            <w:tcW w:w="893" w:type="dxa"/>
            <w:hideMark/>
          </w:tcPr>
          <w:p w:rsidR="001662E1" w:rsidRPr="001662E1" w:rsidRDefault="001662E1" w:rsidP="001662E1">
            <w:pPr>
              <w:spacing w:line="240" w:lineRule="auto"/>
              <w:jc w:val="center"/>
              <w:rPr>
                <w:rFonts w:asciiTheme="majorHAnsi" w:hAnsiTheme="majorHAnsi"/>
                <w:sz w:val="18"/>
                <w:szCs w:val="18"/>
              </w:rPr>
            </w:pPr>
          </w:p>
        </w:tc>
        <w:tc>
          <w:tcPr>
            <w:tcW w:w="950" w:type="dxa"/>
            <w:hideMark/>
          </w:tcPr>
          <w:p w:rsidR="001662E1" w:rsidRPr="001662E1" w:rsidRDefault="001662E1" w:rsidP="001662E1">
            <w:pPr>
              <w:spacing w:line="240" w:lineRule="auto"/>
              <w:jc w:val="center"/>
              <w:rPr>
                <w:rFonts w:asciiTheme="majorHAnsi" w:hAnsiTheme="majorHAnsi"/>
                <w:sz w:val="18"/>
                <w:szCs w:val="18"/>
              </w:rPr>
            </w:pPr>
          </w:p>
        </w:tc>
        <w:tc>
          <w:tcPr>
            <w:tcW w:w="1731"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5.67</w:t>
            </w:r>
          </w:p>
        </w:tc>
      </w:tr>
      <w:tr w:rsidR="001662E1" w:rsidRPr="001662E1" w:rsidTr="00242E33">
        <w:trPr>
          <w:trHeight w:val="584"/>
          <w:jc w:val="center"/>
        </w:trPr>
        <w:tc>
          <w:tcPr>
            <w:tcW w:w="2652" w:type="dxa"/>
            <w:shd w:val="clear" w:color="auto" w:fill="B3DDF2" w:themeFill="background2" w:themeFillShade="E6"/>
            <w:vAlign w:val="center"/>
            <w:hideMark/>
          </w:tcPr>
          <w:p w:rsidR="001662E1" w:rsidRPr="001662E1" w:rsidRDefault="001662E1" w:rsidP="001662E1">
            <w:pPr>
              <w:spacing w:before="0" w:line="240" w:lineRule="auto"/>
              <w:jc w:val="center"/>
              <w:rPr>
                <w:rFonts w:asciiTheme="majorHAnsi" w:hAnsiTheme="majorHAnsi"/>
                <w:b/>
                <w:bCs/>
                <w:color w:val="C00000"/>
                <w:sz w:val="18"/>
                <w:szCs w:val="18"/>
              </w:rPr>
            </w:pPr>
            <w:r w:rsidRPr="001662E1">
              <w:rPr>
                <w:rFonts w:asciiTheme="majorHAnsi" w:hAnsiTheme="majorHAnsi"/>
                <w:b/>
                <w:bCs/>
                <w:color w:val="C00000"/>
                <w:sz w:val="18"/>
                <w:szCs w:val="18"/>
              </w:rPr>
              <w:t>Total</w:t>
            </w:r>
          </w:p>
        </w:tc>
        <w:tc>
          <w:tcPr>
            <w:tcW w:w="1017"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60.32</w:t>
            </w:r>
          </w:p>
        </w:tc>
        <w:tc>
          <w:tcPr>
            <w:tcW w:w="1264"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9.50</w:t>
            </w:r>
          </w:p>
        </w:tc>
        <w:tc>
          <w:tcPr>
            <w:tcW w:w="1173"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32.67</w:t>
            </w:r>
          </w:p>
        </w:tc>
        <w:tc>
          <w:tcPr>
            <w:tcW w:w="893"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55.42</w:t>
            </w:r>
          </w:p>
        </w:tc>
        <w:tc>
          <w:tcPr>
            <w:tcW w:w="950"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5.19</w:t>
            </w:r>
          </w:p>
        </w:tc>
        <w:tc>
          <w:tcPr>
            <w:tcW w:w="1731" w:type="dxa"/>
            <w:shd w:val="clear" w:color="auto" w:fill="B3DDF2" w:themeFill="background2" w:themeFillShade="E6"/>
            <w:hideMark/>
          </w:tcPr>
          <w:p w:rsidR="001662E1" w:rsidRPr="001662E1" w:rsidRDefault="001662E1" w:rsidP="001662E1">
            <w:pPr>
              <w:spacing w:line="240" w:lineRule="auto"/>
              <w:jc w:val="center"/>
              <w:rPr>
                <w:rFonts w:asciiTheme="majorHAnsi" w:hAnsiTheme="majorHAnsi" w:cstheme="majorHAnsi"/>
                <w:b/>
                <w:color w:val="C00000"/>
                <w:sz w:val="18"/>
                <w:szCs w:val="18"/>
              </w:rPr>
            </w:pPr>
            <w:r w:rsidRPr="001662E1">
              <w:rPr>
                <w:rFonts w:asciiTheme="majorHAnsi" w:hAnsiTheme="majorHAnsi" w:cstheme="majorHAnsi"/>
                <w:b/>
                <w:color w:val="C00000"/>
                <w:sz w:val="18"/>
                <w:szCs w:val="18"/>
              </w:rPr>
              <w:t>163.11</w:t>
            </w:r>
          </w:p>
        </w:tc>
      </w:tr>
    </w:tbl>
    <w:p w:rsidR="001662E1" w:rsidRPr="007022F8" w:rsidRDefault="001662E1" w:rsidP="001662E1">
      <w:pPr>
        <w:spacing w:before="0" w:line="240" w:lineRule="auto"/>
        <w:ind w:left="630"/>
        <w:rPr>
          <w:rFonts w:eastAsia="SimSun"/>
          <w:i/>
          <w:sz w:val="16"/>
          <w:szCs w:val="18"/>
          <w:lang w:val="sq-AL"/>
        </w:rPr>
      </w:pPr>
      <w:r w:rsidRPr="007022F8">
        <w:rPr>
          <w:rFonts w:eastAsia="SimSun"/>
          <w:i/>
          <w:sz w:val="16"/>
          <w:szCs w:val="18"/>
          <w:lang w:val="sq-AL"/>
        </w:rPr>
        <w:t>* Vlera e detyrimeve të ndërsjellta varion nga 0-0.184 mld lekë për KESH ndaj OST dhe nga 9.193-10.547 mld lekë për OST ndaj KESH, për arsye të mosrakordimit mes kompanive.</w:t>
      </w:r>
    </w:p>
    <w:p w:rsidR="001662E1" w:rsidRPr="007022F8" w:rsidRDefault="001662E1" w:rsidP="001662E1">
      <w:pPr>
        <w:spacing w:before="0" w:line="240" w:lineRule="auto"/>
        <w:ind w:left="630"/>
        <w:rPr>
          <w:rFonts w:eastAsia="SimSun"/>
          <w:i/>
          <w:sz w:val="16"/>
          <w:szCs w:val="18"/>
          <w:lang w:val="sq-AL"/>
        </w:rPr>
      </w:pPr>
      <w:bookmarkStart w:id="201" w:name="_Hlk123199818"/>
      <w:r w:rsidRPr="007022F8">
        <w:rPr>
          <w:rFonts w:eastAsia="SimSun"/>
          <w:i/>
          <w:sz w:val="16"/>
          <w:szCs w:val="18"/>
          <w:lang w:val="sq-AL"/>
        </w:rPr>
        <w:t>**Vlera e detyrimeve të ndërsjellta varion nga 51.13-56.04 mld lekë për OSHEE ndaj KESH dhe nga 9.50-18.55 mld lekë për OSHEE ndaj OST, për arsye të mosrakordimit mes kompanive.</w:t>
      </w:r>
    </w:p>
    <w:p w:rsidR="001662E1" w:rsidRPr="007022F8" w:rsidRDefault="001662E1" w:rsidP="001662E1">
      <w:pPr>
        <w:spacing w:before="0" w:line="240" w:lineRule="auto"/>
        <w:ind w:left="360" w:firstLine="270"/>
        <w:rPr>
          <w:rFonts w:eastAsia="SimSun"/>
          <w:i/>
          <w:sz w:val="16"/>
          <w:szCs w:val="18"/>
          <w:lang w:val="sq-AL"/>
        </w:rPr>
      </w:pPr>
      <w:r w:rsidRPr="007022F8">
        <w:rPr>
          <w:rFonts w:eastAsia="SimSun"/>
          <w:i/>
          <w:sz w:val="16"/>
          <w:szCs w:val="18"/>
          <w:lang w:val="sq-AL"/>
        </w:rPr>
        <w:t>Detyrimet e Ndërmarrjeve UK ndaj OSHEE janë raportuar për periudhën deri më 31.09.2022</w:t>
      </w:r>
      <w:bookmarkEnd w:id="201"/>
      <w:r w:rsidRPr="007022F8">
        <w:rPr>
          <w:rFonts w:eastAsia="SimSun"/>
          <w:i/>
          <w:sz w:val="16"/>
          <w:szCs w:val="18"/>
          <w:lang w:val="sq-AL"/>
        </w:rPr>
        <w:t>.</w:t>
      </w:r>
    </w:p>
    <w:p w:rsidR="001662E1" w:rsidRPr="007022F8" w:rsidRDefault="001662E1" w:rsidP="001662E1">
      <w:pPr>
        <w:spacing w:before="0" w:line="240" w:lineRule="auto"/>
        <w:ind w:left="360" w:firstLine="270"/>
        <w:rPr>
          <w:rFonts w:eastAsia="SimSun"/>
          <w:i/>
          <w:sz w:val="16"/>
          <w:szCs w:val="18"/>
          <w:lang w:val="sq-AL"/>
        </w:rPr>
      </w:pPr>
      <w:r w:rsidRPr="007022F8">
        <w:rPr>
          <w:rFonts w:eastAsia="SimSun"/>
          <w:i/>
          <w:sz w:val="16"/>
          <w:szCs w:val="18"/>
          <w:lang w:val="sq-AL"/>
        </w:rPr>
        <w:t>Detyrimet e ML/IB ndaj OSHEE janë raportuar për periudhën deri më 31.09.2022.</w:t>
      </w:r>
    </w:p>
    <w:p w:rsidR="001662E1" w:rsidRPr="007022F8" w:rsidRDefault="001662E1" w:rsidP="001662E1">
      <w:pPr>
        <w:tabs>
          <w:tab w:val="left" w:pos="630"/>
        </w:tabs>
        <w:spacing w:before="0" w:line="240" w:lineRule="auto"/>
        <w:ind w:left="630" w:hanging="630"/>
        <w:rPr>
          <w:rFonts w:eastAsia="SimSun"/>
          <w:i/>
          <w:sz w:val="16"/>
          <w:szCs w:val="18"/>
          <w:lang w:val="sq-AL"/>
        </w:rPr>
      </w:pPr>
      <w:r w:rsidRPr="007022F8">
        <w:rPr>
          <w:rFonts w:eastAsia="SimSun"/>
          <w:i/>
          <w:sz w:val="16"/>
          <w:szCs w:val="18"/>
          <w:lang w:val="sq-AL"/>
        </w:rPr>
        <w:t xml:space="preserve">              </w:t>
      </w:r>
      <w:r w:rsidR="007022F8">
        <w:rPr>
          <w:rFonts w:eastAsia="SimSun"/>
          <w:i/>
          <w:sz w:val="16"/>
          <w:szCs w:val="18"/>
          <w:lang w:val="sq-AL"/>
        </w:rPr>
        <w:tab/>
      </w:r>
      <w:r w:rsidRPr="007022F8">
        <w:rPr>
          <w:rFonts w:eastAsia="SimSun"/>
          <w:i/>
          <w:sz w:val="16"/>
          <w:szCs w:val="18"/>
          <w:lang w:val="sq-AL"/>
        </w:rPr>
        <w:t>Burimi: MFE, KESH, OST, OSHEE Group, AKUM (2023)</w:t>
      </w:r>
    </w:p>
    <w:p w:rsidR="00E87F6B" w:rsidRPr="00BD08C6" w:rsidRDefault="00E87F6B" w:rsidP="00BD08C6">
      <w:pPr>
        <w:pStyle w:val="Caption"/>
        <w:keepNext/>
        <w:spacing w:after="0"/>
        <w:rPr>
          <w:iCs w:val="0"/>
          <w:color w:val="auto"/>
          <w:sz w:val="22"/>
          <w:szCs w:val="24"/>
          <w:u w:val="single"/>
          <w:lang w:val="sq-AL"/>
        </w:rPr>
      </w:pPr>
      <w:bookmarkStart w:id="202" w:name="_Toc104907138"/>
      <w:bookmarkStart w:id="203" w:name="_Toc104980347"/>
      <w:r w:rsidRPr="00BD08C6">
        <w:rPr>
          <w:iCs w:val="0"/>
          <w:color w:val="auto"/>
          <w:sz w:val="22"/>
          <w:szCs w:val="24"/>
          <w:u w:val="single"/>
          <w:lang w:val="sq-AL"/>
        </w:rPr>
        <w:lastRenderedPageBreak/>
        <w:t>Të Dhëna Financiare për Sektorin Energjetik</w:t>
      </w:r>
      <w:bookmarkEnd w:id="200"/>
      <w:bookmarkEnd w:id="202"/>
      <w:bookmarkEnd w:id="203"/>
    </w:p>
    <w:p w:rsidR="00B47B01" w:rsidRPr="00716C10" w:rsidRDefault="001662E1" w:rsidP="00CF6A7A">
      <w:pPr>
        <w:spacing w:before="0" w:line="240" w:lineRule="auto"/>
        <w:rPr>
          <w:rFonts w:eastAsia="SimSun" w:cs="Calibri"/>
          <w:lang w:val="sq-AL"/>
        </w:rPr>
      </w:pPr>
      <w:r w:rsidRPr="000F4149">
        <w:rPr>
          <w:rFonts w:cs="Calibri"/>
          <w:bCs/>
          <w:lang w:val="sq-AL" w:eastAsia="sq-AL"/>
        </w:rPr>
        <w:t xml:space="preserve">Në zbatim të </w:t>
      </w:r>
      <w:r>
        <w:rPr>
          <w:rFonts w:cs="Calibri"/>
          <w:bCs/>
          <w:lang w:val="sq-AL" w:eastAsia="sq-AL"/>
        </w:rPr>
        <w:t>U</w:t>
      </w:r>
      <w:r w:rsidRPr="000F4149">
        <w:rPr>
          <w:rFonts w:cs="Calibri"/>
          <w:bCs/>
          <w:lang w:val="sq-AL" w:eastAsia="sq-AL"/>
        </w:rPr>
        <w:t xml:space="preserve">dhëzimit </w:t>
      </w:r>
      <w:r>
        <w:rPr>
          <w:rFonts w:cs="Calibri"/>
          <w:bCs/>
          <w:lang w:val="sq-AL" w:eastAsia="sq-AL"/>
        </w:rPr>
        <w:t>P</w:t>
      </w:r>
      <w:r w:rsidRPr="000F4149">
        <w:rPr>
          <w:rFonts w:cs="Calibri"/>
          <w:bCs/>
          <w:lang w:val="sq-AL" w:eastAsia="sq-AL"/>
        </w:rPr>
        <w:t>lotësues nr.</w:t>
      </w:r>
      <w:r>
        <w:rPr>
          <w:rFonts w:cs="Calibri"/>
          <w:bCs/>
          <w:lang w:val="sq-AL" w:eastAsia="sq-AL"/>
        </w:rPr>
        <w:t>1</w:t>
      </w:r>
      <w:r w:rsidRPr="000F4149">
        <w:rPr>
          <w:rFonts w:cs="Calibri"/>
          <w:bCs/>
          <w:lang w:val="sq-AL" w:eastAsia="sq-AL"/>
        </w:rPr>
        <w:t>/202</w:t>
      </w:r>
      <w:r>
        <w:rPr>
          <w:rFonts w:cs="Calibri"/>
          <w:bCs/>
          <w:lang w:val="sq-AL" w:eastAsia="sq-AL"/>
        </w:rPr>
        <w:t>2</w:t>
      </w:r>
      <w:r w:rsidRPr="000F4149">
        <w:rPr>
          <w:rFonts w:cs="Calibri"/>
          <w:bCs/>
          <w:lang w:val="sq-AL" w:eastAsia="sq-AL"/>
        </w:rPr>
        <w:t xml:space="preserve"> “</w:t>
      </w:r>
      <w:r w:rsidRPr="00B47B01">
        <w:rPr>
          <w:rFonts w:cs="Calibri"/>
          <w:bCs/>
          <w:i/>
          <w:lang w:val="sq-AL" w:eastAsia="sq-AL"/>
        </w:rPr>
        <w:t>Për zbatimin e Buxhetit të vitit 202</w:t>
      </w:r>
      <w:r>
        <w:rPr>
          <w:rFonts w:cs="Calibri"/>
          <w:bCs/>
          <w:i/>
          <w:lang w:val="sq-AL" w:eastAsia="sq-AL"/>
        </w:rPr>
        <w:t>2</w:t>
      </w:r>
      <w:r w:rsidRPr="000F4149">
        <w:rPr>
          <w:rFonts w:cs="Calibri"/>
          <w:bCs/>
          <w:lang w:val="sq-AL" w:eastAsia="sq-AL"/>
        </w:rPr>
        <w:t>”,</w:t>
      </w:r>
      <w:r>
        <w:rPr>
          <w:rFonts w:cs="Calibri"/>
          <w:bCs/>
          <w:lang w:val="sq-AL" w:eastAsia="sq-AL"/>
        </w:rPr>
        <w:t xml:space="preserve"> </w:t>
      </w:r>
      <w:r>
        <w:rPr>
          <w:rFonts w:eastAsia="SimSun" w:cs="Calibri"/>
          <w:lang w:val="sq-AL"/>
        </w:rPr>
        <w:t>M</w:t>
      </w:r>
      <w:r w:rsidRPr="009678AD">
        <w:rPr>
          <w:rFonts w:eastAsia="SimSun" w:cs="Calibri"/>
          <w:lang w:val="sq-AL"/>
        </w:rPr>
        <w:t>inistria e Financave dhe Ekonomisë, periodikisht mbi bazë tremujore,</w:t>
      </w:r>
      <w:r w:rsidRPr="00716C10">
        <w:rPr>
          <w:rFonts w:eastAsia="SimSun" w:cs="Calibri"/>
          <w:lang w:val="sq-AL"/>
        </w:rPr>
        <w:t xml:space="preserve"> ka mbledhur, përpunuar dhe analizuar informacionin e nevojshëm në lidhje me treguesit e performancës financiare të tre </w:t>
      </w:r>
      <w:r>
        <w:rPr>
          <w:rFonts w:eastAsia="SimSun" w:cs="Calibri"/>
          <w:lang w:val="sq-AL"/>
        </w:rPr>
        <w:t>kompanive të sektorit energjitik</w:t>
      </w:r>
      <w:r w:rsidRPr="00716C10">
        <w:rPr>
          <w:rFonts w:eastAsia="SimSun" w:cs="Calibri"/>
          <w:lang w:val="sq-AL"/>
        </w:rPr>
        <w:t xml:space="preserve">. Kjo, me qëllim identifikimin, vlerësimin, monitorimin dhe raportimin e risqeve fiskale që rezultojnë nga ndërmarrjet publike me kapital shtetëror në tërësi dhe nga sektori energjetik në veçanti, duke konsideruar rëndësinë strategjike të tij dhe problematikat sensitive që e karakterizojnë. </w:t>
      </w:r>
      <w:r>
        <w:rPr>
          <w:rFonts w:eastAsia="SimSun" w:cs="Calibri"/>
          <w:lang w:val="sq-AL"/>
        </w:rPr>
        <w:t>Bazuar</w:t>
      </w:r>
      <w:r w:rsidRPr="00716C10">
        <w:rPr>
          <w:rFonts w:eastAsia="SimSun" w:cs="Calibri"/>
          <w:lang w:val="sq-AL"/>
        </w:rPr>
        <w:t xml:space="preserve"> në të dhënat më të fundit të raportuara pranë MFE-së</w:t>
      </w:r>
      <w:r>
        <w:rPr>
          <w:rFonts w:eastAsia="SimSun" w:cs="Calibri"/>
          <w:lang w:val="sq-AL"/>
        </w:rPr>
        <w:t xml:space="preserve"> për vitin 2022, më</w:t>
      </w:r>
      <w:r w:rsidRPr="00716C10">
        <w:rPr>
          <w:rFonts w:eastAsia="SimSun" w:cs="Calibri"/>
          <w:lang w:val="sq-AL"/>
        </w:rPr>
        <w:t xml:space="preserve">poshtë paraqitet performanca </w:t>
      </w:r>
      <w:r w:rsidRPr="00B47B01">
        <w:rPr>
          <w:rFonts w:eastAsia="SimSun" w:cs="Calibri"/>
          <w:lang w:val="sq-AL"/>
        </w:rPr>
        <w:t>financiare e tre ndërmarrjeve të sektorit energjitik</w:t>
      </w:r>
      <w:r w:rsidRPr="00B47B01">
        <w:rPr>
          <w:rFonts w:eastAsia="SimSun" w:cs="Calibri"/>
          <w:vertAlign w:val="superscript"/>
          <w:lang w:val="sq-AL"/>
        </w:rPr>
        <w:t xml:space="preserve"> </w:t>
      </w:r>
      <w:r w:rsidRPr="00B47B01">
        <w:rPr>
          <w:rFonts w:eastAsia="SimSun" w:cs="Calibri"/>
          <w:lang w:val="sq-AL"/>
        </w:rPr>
        <w:t xml:space="preserve"> (KESH sh.a, OSHEE Group sh.a dhe OST sh.a) mbi bazë</w:t>
      </w:r>
      <w:r>
        <w:rPr>
          <w:rFonts w:eastAsia="SimSun" w:cs="Calibri"/>
          <w:lang w:val="sq-AL"/>
        </w:rPr>
        <w:t xml:space="preserve"> krahasimore </w:t>
      </w:r>
      <w:r w:rsidRPr="00AE4B84">
        <w:rPr>
          <w:rFonts w:eastAsia="SimSun" w:cs="Calibri"/>
          <w:lang w:val="sq-AL"/>
        </w:rPr>
        <w:t>për të njëjtat periudha pararendëse</w:t>
      </w:r>
      <w:r w:rsidR="00B47B01" w:rsidRPr="00716C10">
        <w:rPr>
          <w:rFonts w:eastAsia="SimSun" w:cs="Calibri"/>
          <w:lang w:val="sq-AL"/>
        </w:rPr>
        <w:t>:</w:t>
      </w:r>
    </w:p>
    <w:p w:rsidR="00242E33" w:rsidRPr="00242E33" w:rsidRDefault="00B47B01" w:rsidP="00CF6A7A">
      <w:pPr>
        <w:pStyle w:val="Caption"/>
        <w:keepNext/>
        <w:spacing w:before="0" w:after="0" w:line="240" w:lineRule="auto"/>
        <w:rPr>
          <w:rFonts w:ascii="Times New Roman" w:hAnsi="Times New Roman"/>
          <w:i w:val="0"/>
          <w:sz w:val="20"/>
          <w:szCs w:val="28"/>
          <w:lang w:val="sq-AL"/>
        </w:rPr>
      </w:pPr>
      <w:bookmarkStart w:id="204" w:name="_Toc136526341"/>
      <w:r w:rsidRPr="00242E33">
        <w:t xml:space="preserve">Tabela </w:t>
      </w:r>
      <w:fldSimple w:instr=" SEQ Tabela \* ARABIC ">
        <w:r w:rsidR="008C3E07">
          <w:rPr>
            <w:noProof/>
          </w:rPr>
          <w:t>15</w:t>
        </w:r>
      </w:fldSimple>
      <w:r w:rsidRPr="00242E33">
        <w:t xml:space="preserve"> Të dhënat financiare për Sektorin </w:t>
      </w:r>
      <w:r w:rsidR="00242E33" w:rsidRPr="00315B12">
        <w:rPr>
          <w:rFonts w:cs="Calibri"/>
          <w:u w:val="single"/>
          <w:lang w:val="sq-AL"/>
        </w:rPr>
        <w:t>Energjitik</w:t>
      </w:r>
      <w:r w:rsidR="00242E33" w:rsidRPr="00315B12">
        <w:rPr>
          <w:rFonts w:cs="Calibri"/>
          <w:lang w:val="sq-AL"/>
        </w:rPr>
        <w:t xml:space="preserve"> (në mijë Lekë)</w:t>
      </w:r>
      <w:r w:rsidR="00242E33">
        <w:rPr>
          <w:rStyle w:val="FootnoteReference"/>
          <w:rFonts w:cs="Calibri"/>
          <w:lang w:val="sq-AL"/>
        </w:rPr>
        <w:footnoteReference w:id="4"/>
      </w:r>
      <w:bookmarkEnd w:id="204"/>
    </w:p>
    <w:tbl>
      <w:tblPr>
        <w:tblW w:w="8728"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2253"/>
        <w:gridCol w:w="2316"/>
        <w:gridCol w:w="2316"/>
        <w:gridCol w:w="1843"/>
      </w:tblGrid>
      <w:tr w:rsidR="00242E33" w:rsidRPr="00CF6A7A" w:rsidTr="00CF6A7A">
        <w:trPr>
          <w:trHeight w:val="264"/>
          <w:jc w:val="center"/>
        </w:trPr>
        <w:tc>
          <w:tcPr>
            <w:tcW w:w="2253" w:type="dxa"/>
            <w:shd w:val="clear" w:color="auto" w:fill="B3DDF2" w:themeFill="background2" w:themeFillShade="E6"/>
            <w:noWrap/>
            <w:vAlign w:val="center"/>
            <w:hideMark/>
          </w:tcPr>
          <w:p w:rsidR="00242E33" w:rsidRPr="00CF6A7A" w:rsidRDefault="00242E33" w:rsidP="001F05DF">
            <w:pPr>
              <w:spacing w:before="0" w:line="240" w:lineRule="auto"/>
              <w:jc w:val="center"/>
              <w:rPr>
                <w:rFonts w:cs="Calibri"/>
                <w:b/>
                <w:color w:val="C00000"/>
                <w:sz w:val="20"/>
                <w:szCs w:val="22"/>
                <w:lang w:val="sq-AL"/>
              </w:rPr>
            </w:pPr>
            <w:r w:rsidRPr="00CF6A7A">
              <w:rPr>
                <w:rFonts w:cs="Calibri"/>
                <w:b/>
                <w:color w:val="C00000"/>
                <w:sz w:val="20"/>
                <w:szCs w:val="22"/>
                <w:lang w:val="sq-AL"/>
              </w:rPr>
              <w:t>Zërat/Periudha</w:t>
            </w:r>
          </w:p>
        </w:tc>
        <w:tc>
          <w:tcPr>
            <w:tcW w:w="2316" w:type="dxa"/>
            <w:shd w:val="clear" w:color="auto" w:fill="B3DDF2" w:themeFill="background2" w:themeFillShade="E6"/>
            <w:noWrap/>
            <w:vAlign w:val="center"/>
            <w:hideMark/>
          </w:tcPr>
          <w:p w:rsidR="00242E33" w:rsidRPr="00CF6A7A" w:rsidRDefault="00242E33" w:rsidP="001F05DF">
            <w:pPr>
              <w:spacing w:before="0" w:line="240" w:lineRule="auto"/>
              <w:jc w:val="center"/>
              <w:rPr>
                <w:rFonts w:cs="Calibri"/>
                <w:b/>
                <w:bCs/>
                <w:color w:val="C00000"/>
                <w:sz w:val="20"/>
                <w:szCs w:val="22"/>
              </w:rPr>
            </w:pPr>
            <w:r w:rsidRPr="00CF6A7A">
              <w:rPr>
                <w:rFonts w:cs="Calibri"/>
                <w:b/>
                <w:bCs/>
                <w:color w:val="C00000"/>
                <w:sz w:val="20"/>
                <w:szCs w:val="22"/>
              </w:rPr>
              <w:t>12M 2020</w:t>
            </w:r>
          </w:p>
        </w:tc>
        <w:tc>
          <w:tcPr>
            <w:tcW w:w="2316" w:type="dxa"/>
            <w:shd w:val="clear" w:color="auto" w:fill="B3DDF2" w:themeFill="background2" w:themeFillShade="E6"/>
            <w:noWrap/>
            <w:vAlign w:val="center"/>
            <w:hideMark/>
          </w:tcPr>
          <w:p w:rsidR="00242E33" w:rsidRPr="00CF6A7A" w:rsidRDefault="00242E33" w:rsidP="001F05DF">
            <w:pPr>
              <w:spacing w:before="0" w:line="240" w:lineRule="auto"/>
              <w:jc w:val="center"/>
              <w:rPr>
                <w:rFonts w:cs="Calibri"/>
                <w:b/>
                <w:bCs/>
                <w:color w:val="C00000"/>
                <w:sz w:val="20"/>
                <w:szCs w:val="22"/>
              </w:rPr>
            </w:pPr>
            <w:r w:rsidRPr="00CF6A7A">
              <w:rPr>
                <w:rFonts w:cs="Calibri"/>
                <w:b/>
                <w:bCs/>
                <w:color w:val="C00000"/>
                <w:sz w:val="20"/>
                <w:szCs w:val="22"/>
              </w:rPr>
              <w:t>12M 2021</w:t>
            </w:r>
          </w:p>
        </w:tc>
        <w:tc>
          <w:tcPr>
            <w:tcW w:w="1843" w:type="dxa"/>
            <w:shd w:val="clear" w:color="auto" w:fill="B3DDF2" w:themeFill="background2" w:themeFillShade="E6"/>
            <w:noWrap/>
            <w:vAlign w:val="center"/>
            <w:hideMark/>
          </w:tcPr>
          <w:p w:rsidR="00242E33" w:rsidRPr="00CF6A7A" w:rsidRDefault="00242E33" w:rsidP="001F05DF">
            <w:pPr>
              <w:spacing w:before="0" w:line="240" w:lineRule="auto"/>
              <w:jc w:val="center"/>
              <w:rPr>
                <w:rFonts w:cs="Calibri"/>
                <w:b/>
                <w:bCs/>
                <w:color w:val="C00000"/>
                <w:sz w:val="20"/>
                <w:szCs w:val="22"/>
              </w:rPr>
            </w:pPr>
            <w:r w:rsidRPr="00CF6A7A">
              <w:rPr>
                <w:rFonts w:cs="Calibri"/>
                <w:b/>
                <w:bCs/>
                <w:color w:val="C00000"/>
                <w:sz w:val="20"/>
                <w:szCs w:val="22"/>
              </w:rPr>
              <w:t>12M 2022</w:t>
            </w:r>
          </w:p>
        </w:tc>
      </w:tr>
      <w:tr w:rsidR="00242E33" w:rsidRPr="00EF131B" w:rsidTr="00CF6A7A">
        <w:trPr>
          <w:trHeight w:val="242"/>
          <w:jc w:val="center"/>
        </w:trPr>
        <w:tc>
          <w:tcPr>
            <w:tcW w:w="225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Të ardhurat</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78,618,553</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94,924,507</w:t>
            </w:r>
          </w:p>
        </w:tc>
        <w:tc>
          <w:tcPr>
            <w:tcW w:w="184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124,741,172</w:t>
            </w:r>
          </w:p>
        </w:tc>
      </w:tr>
      <w:tr w:rsidR="00242E33" w:rsidRPr="00EF131B" w:rsidTr="00CF6A7A">
        <w:trPr>
          <w:trHeight w:val="242"/>
          <w:jc w:val="center"/>
        </w:trPr>
        <w:tc>
          <w:tcPr>
            <w:tcW w:w="225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Shpenzimet</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81,117,926</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104,350,648</w:t>
            </w:r>
          </w:p>
        </w:tc>
        <w:tc>
          <w:tcPr>
            <w:tcW w:w="184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148,977,394</w:t>
            </w:r>
          </w:p>
        </w:tc>
      </w:tr>
      <w:tr w:rsidR="00242E33" w:rsidRPr="00EF131B" w:rsidTr="00CF6A7A">
        <w:trPr>
          <w:trHeight w:val="115"/>
          <w:jc w:val="center"/>
        </w:trPr>
        <w:tc>
          <w:tcPr>
            <w:tcW w:w="2253"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Humbje/Fitim</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(2,499,372)</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(9,426,141)</w:t>
            </w:r>
          </w:p>
        </w:tc>
        <w:tc>
          <w:tcPr>
            <w:tcW w:w="1843"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(24,236,222)</w:t>
            </w:r>
          </w:p>
        </w:tc>
      </w:tr>
      <w:tr w:rsidR="00242E33" w:rsidRPr="00EF131B" w:rsidTr="00CF6A7A">
        <w:trPr>
          <w:trHeight w:val="242"/>
          <w:jc w:val="center"/>
        </w:trPr>
        <w:tc>
          <w:tcPr>
            <w:tcW w:w="225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Aktivet Afatshkurtra</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139,020,106</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131,113,020</w:t>
            </w:r>
          </w:p>
        </w:tc>
        <w:tc>
          <w:tcPr>
            <w:tcW w:w="184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139,599,295</w:t>
            </w:r>
          </w:p>
        </w:tc>
      </w:tr>
      <w:tr w:rsidR="00242E33" w:rsidRPr="00EF131B" w:rsidTr="00CF6A7A">
        <w:trPr>
          <w:trHeight w:val="242"/>
          <w:jc w:val="center"/>
        </w:trPr>
        <w:tc>
          <w:tcPr>
            <w:tcW w:w="225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Aktivet Afatgjata</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196,281,427</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213,716,732</w:t>
            </w:r>
          </w:p>
        </w:tc>
        <w:tc>
          <w:tcPr>
            <w:tcW w:w="184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207,108,598</w:t>
            </w:r>
          </w:p>
        </w:tc>
      </w:tr>
      <w:tr w:rsidR="00242E33" w:rsidRPr="00EF131B" w:rsidTr="00CF6A7A">
        <w:trPr>
          <w:trHeight w:val="242"/>
          <w:jc w:val="center"/>
        </w:trPr>
        <w:tc>
          <w:tcPr>
            <w:tcW w:w="2253"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Total Aktive</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335,301,533</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344,829,751</w:t>
            </w:r>
          </w:p>
        </w:tc>
        <w:tc>
          <w:tcPr>
            <w:tcW w:w="1843"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346,707,894</w:t>
            </w:r>
          </w:p>
        </w:tc>
      </w:tr>
      <w:tr w:rsidR="00242E33" w:rsidRPr="00EF131B" w:rsidTr="00CF6A7A">
        <w:trPr>
          <w:trHeight w:val="242"/>
          <w:jc w:val="center"/>
        </w:trPr>
        <w:tc>
          <w:tcPr>
            <w:tcW w:w="225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Detyrimet afatshkurtra</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203,161,811</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173,099,190</w:t>
            </w:r>
          </w:p>
        </w:tc>
        <w:tc>
          <w:tcPr>
            <w:tcW w:w="184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178,171,974</w:t>
            </w:r>
          </w:p>
        </w:tc>
      </w:tr>
      <w:tr w:rsidR="00242E33" w:rsidRPr="00EF131B" w:rsidTr="00CF6A7A">
        <w:trPr>
          <w:trHeight w:val="242"/>
          <w:jc w:val="center"/>
        </w:trPr>
        <w:tc>
          <w:tcPr>
            <w:tcW w:w="225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Detyrimet afatgjata</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62,451,218</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110,130,474</w:t>
            </w:r>
          </w:p>
        </w:tc>
        <w:tc>
          <w:tcPr>
            <w:tcW w:w="1843" w:type="dxa"/>
            <w:shd w:val="clear" w:color="auto" w:fill="auto"/>
            <w:noWrap/>
            <w:vAlign w:val="center"/>
            <w:hideMark/>
          </w:tcPr>
          <w:p w:rsidR="00242E33" w:rsidRPr="00CF6A7A" w:rsidRDefault="00242E33" w:rsidP="001F05DF">
            <w:pPr>
              <w:spacing w:before="0" w:line="240" w:lineRule="auto"/>
              <w:jc w:val="center"/>
              <w:rPr>
                <w:rFonts w:cs="Calibri"/>
                <w:i/>
                <w:color w:val="000000"/>
                <w:sz w:val="18"/>
                <w:szCs w:val="18"/>
              </w:rPr>
            </w:pPr>
            <w:r w:rsidRPr="00CF6A7A">
              <w:rPr>
                <w:rFonts w:cs="Calibri"/>
                <w:i/>
                <w:color w:val="000000"/>
                <w:sz w:val="18"/>
                <w:szCs w:val="18"/>
              </w:rPr>
              <w:t>117,149,326</w:t>
            </w:r>
          </w:p>
        </w:tc>
      </w:tr>
      <w:tr w:rsidR="00242E33" w:rsidRPr="00EF131B" w:rsidTr="00CF6A7A">
        <w:trPr>
          <w:trHeight w:val="242"/>
          <w:jc w:val="center"/>
        </w:trPr>
        <w:tc>
          <w:tcPr>
            <w:tcW w:w="2253"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Total Detyrime</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265,613,029</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283,229,665</w:t>
            </w:r>
          </w:p>
        </w:tc>
        <w:tc>
          <w:tcPr>
            <w:tcW w:w="1843"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295,321,299</w:t>
            </w:r>
          </w:p>
        </w:tc>
      </w:tr>
      <w:tr w:rsidR="00242E33" w:rsidRPr="00EF131B" w:rsidTr="00CF6A7A">
        <w:trPr>
          <w:trHeight w:val="254"/>
          <w:jc w:val="center"/>
        </w:trPr>
        <w:tc>
          <w:tcPr>
            <w:tcW w:w="2253"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Kapital</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69,688,504</w:t>
            </w:r>
          </w:p>
        </w:tc>
        <w:tc>
          <w:tcPr>
            <w:tcW w:w="2316"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61,600,087</w:t>
            </w:r>
          </w:p>
        </w:tc>
        <w:tc>
          <w:tcPr>
            <w:tcW w:w="1843" w:type="dxa"/>
            <w:shd w:val="clear" w:color="auto" w:fill="auto"/>
            <w:noWrap/>
            <w:vAlign w:val="center"/>
            <w:hideMark/>
          </w:tcPr>
          <w:p w:rsidR="00242E33" w:rsidRPr="00CF6A7A" w:rsidRDefault="00242E33" w:rsidP="001F05DF">
            <w:pPr>
              <w:spacing w:before="0" w:line="240" w:lineRule="auto"/>
              <w:jc w:val="center"/>
              <w:rPr>
                <w:rFonts w:cs="Calibri"/>
                <w:b/>
                <w:bCs/>
                <w:color w:val="C00000"/>
                <w:sz w:val="18"/>
                <w:szCs w:val="18"/>
              </w:rPr>
            </w:pPr>
            <w:r w:rsidRPr="00CF6A7A">
              <w:rPr>
                <w:rFonts w:cs="Calibri"/>
                <w:b/>
                <w:bCs/>
                <w:color w:val="C00000"/>
                <w:sz w:val="18"/>
                <w:szCs w:val="18"/>
              </w:rPr>
              <w:t>51,386,595</w:t>
            </w:r>
          </w:p>
        </w:tc>
      </w:tr>
    </w:tbl>
    <w:p w:rsidR="00C6090D" w:rsidRDefault="00737045" w:rsidP="00CF6A7A">
      <w:pPr>
        <w:spacing w:before="0" w:line="240" w:lineRule="auto"/>
        <w:contextualSpacing/>
        <w:rPr>
          <w:rFonts w:asciiTheme="majorHAnsi" w:hAnsiTheme="majorHAnsi"/>
          <w:i/>
          <w:sz w:val="18"/>
          <w:szCs w:val="28"/>
          <w:lang w:val="sq-AL"/>
        </w:rPr>
      </w:pPr>
      <w:r w:rsidRPr="00737045">
        <w:rPr>
          <w:rFonts w:ascii="Times New Roman" w:hAnsi="Times New Roman"/>
          <w:i/>
          <w:sz w:val="20"/>
          <w:szCs w:val="28"/>
          <w:lang w:val="sq-AL"/>
        </w:rPr>
        <w:t xml:space="preserve"> </w:t>
      </w:r>
      <w:r>
        <w:rPr>
          <w:rFonts w:ascii="Times New Roman" w:hAnsi="Times New Roman"/>
          <w:i/>
          <w:sz w:val="20"/>
          <w:szCs w:val="28"/>
          <w:lang w:val="sq-AL"/>
        </w:rPr>
        <w:tab/>
      </w:r>
      <w:r w:rsidR="009475E3">
        <w:rPr>
          <w:rFonts w:ascii="Times New Roman" w:hAnsi="Times New Roman"/>
          <w:i/>
          <w:sz w:val="20"/>
          <w:szCs w:val="28"/>
          <w:lang w:val="sq-AL"/>
        </w:rPr>
        <w:tab/>
      </w:r>
      <w:r w:rsidRPr="00737045">
        <w:rPr>
          <w:rFonts w:asciiTheme="majorHAnsi" w:hAnsiTheme="majorHAnsi"/>
          <w:i/>
          <w:sz w:val="18"/>
          <w:szCs w:val="28"/>
          <w:lang w:val="sq-AL"/>
        </w:rPr>
        <w:t>Burimi: OSHEE Group, OST,  KESH Sh.a.</w:t>
      </w:r>
    </w:p>
    <w:p w:rsidR="00737045" w:rsidRPr="007223E1" w:rsidRDefault="00737045" w:rsidP="00C71069">
      <w:pPr>
        <w:pStyle w:val="Caption"/>
        <w:keepNext/>
        <w:numPr>
          <w:ilvl w:val="0"/>
          <w:numId w:val="42"/>
        </w:numPr>
        <w:spacing w:after="0"/>
        <w:rPr>
          <w:iCs w:val="0"/>
          <w:color w:val="auto"/>
          <w:sz w:val="22"/>
          <w:szCs w:val="24"/>
          <w:lang w:val="sq-AL"/>
        </w:rPr>
      </w:pPr>
      <w:r w:rsidRPr="007223E1">
        <w:rPr>
          <w:iCs w:val="0"/>
          <w:color w:val="auto"/>
          <w:sz w:val="22"/>
          <w:szCs w:val="24"/>
          <w:lang w:val="sq-AL"/>
        </w:rPr>
        <w:t>Performanca financiare e OSHEE Group sh.a.</w:t>
      </w:r>
    </w:p>
    <w:p w:rsidR="007022F8" w:rsidRPr="00E315BE" w:rsidRDefault="00276062" w:rsidP="007022F8">
      <w:pPr>
        <w:pStyle w:val="Caption"/>
        <w:keepNext/>
        <w:spacing w:before="0" w:after="0" w:line="240" w:lineRule="auto"/>
        <w:rPr>
          <w:rFonts w:asciiTheme="majorHAnsi" w:hAnsiTheme="majorHAnsi"/>
          <w:sz w:val="20"/>
          <w:lang w:val="sq-AL"/>
        </w:rPr>
      </w:pPr>
      <w:bookmarkStart w:id="205" w:name="_Toc136526342"/>
      <w:r>
        <w:t xml:space="preserve">Tabela </w:t>
      </w:r>
      <w:fldSimple w:instr=" SEQ Tabela \* ARABIC ">
        <w:r w:rsidR="008C3E07">
          <w:rPr>
            <w:noProof/>
          </w:rPr>
          <w:t>16</w:t>
        </w:r>
      </w:fldSimple>
      <w:r>
        <w:t xml:space="preserve"> </w:t>
      </w:r>
      <w:r w:rsidR="00737045" w:rsidRPr="00EE5118">
        <w:rPr>
          <w:rFonts w:cs="Calibri"/>
          <w:lang w:val="sq-AL"/>
        </w:rPr>
        <w:t>Të dhënat financiare 12 mujore për OSHEE Group Sh.a (në mijë Lekë)</w:t>
      </w:r>
      <w:bookmarkEnd w:id="205"/>
      <w:r w:rsidR="00737045" w:rsidRPr="00EE5118">
        <w:rPr>
          <w:rFonts w:cs="Calibri"/>
          <w:lang w:val="sq-AL"/>
        </w:rPr>
        <w:t xml:space="preserve">  </w:t>
      </w:r>
    </w:p>
    <w:tbl>
      <w:tblPr>
        <w:tblW w:w="8741"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2714"/>
        <w:gridCol w:w="2006"/>
        <w:gridCol w:w="2006"/>
        <w:gridCol w:w="2015"/>
      </w:tblGrid>
      <w:tr w:rsidR="007022F8" w:rsidRPr="00CF6A7A" w:rsidTr="00CF6A7A">
        <w:trPr>
          <w:trHeight w:val="237"/>
          <w:jc w:val="center"/>
        </w:trPr>
        <w:tc>
          <w:tcPr>
            <w:tcW w:w="2714" w:type="dxa"/>
            <w:shd w:val="clear" w:color="auto" w:fill="B3DDF2" w:themeFill="background2" w:themeFillShade="E6"/>
            <w:noWrap/>
            <w:vAlign w:val="center"/>
            <w:hideMark/>
          </w:tcPr>
          <w:p w:rsidR="007022F8" w:rsidRPr="00CF6A7A" w:rsidRDefault="007022F8" w:rsidP="001F05DF">
            <w:pPr>
              <w:spacing w:before="0" w:line="240" w:lineRule="auto"/>
              <w:jc w:val="center"/>
              <w:rPr>
                <w:rFonts w:cs="Calibri"/>
                <w:color w:val="000000"/>
                <w:sz w:val="20"/>
                <w:szCs w:val="22"/>
                <w:lang w:val="sq-AL"/>
              </w:rPr>
            </w:pPr>
            <w:r w:rsidRPr="00CF6A7A">
              <w:rPr>
                <w:rFonts w:cs="Calibri"/>
                <w:b/>
                <w:color w:val="C00000"/>
                <w:sz w:val="20"/>
                <w:szCs w:val="22"/>
                <w:lang w:val="sq-AL"/>
              </w:rPr>
              <w:t>Zërat/Periudha</w:t>
            </w:r>
          </w:p>
        </w:tc>
        <w:tc>
          <w:tcPr>
            <w:tcW w:w="2006" w:type="dxa"/>
            <w:shd w:val="clear" w:color="auto" w:fill="B3DDF2" w:themeFill="background2" w:themeFillShade="E6"/>
            <w:noWrap/>
            <w:vAlign w:val="center"/>
            <w:hideMark/>
          </w:tcPr>
          <w:p w:rsidR="007022F8" w:rsidRPr="00CF6A7A" w:rsidRDefault="007022F8" w:rsidP="001F05DF">
            <w:pPr>
              <w:spacing w:before="0" w:line="240" w:lineRule="auto"/>
              <w:jc w:val="center"/>
              <w:rPr>
                <w:rFonts w:cs="Calibri"/>
                <w:b/>
                <w:bCs/>
                <w:color w:val="000000"/>
                <w:sz w:val="20"/>
                <w:szCs w:val="22"/>
              </w:rPr>
            </w:pPr>
            <w:r w:rsidRPr="00CF6A7A">
              <w:rPr>
                <w:rFonts w:cs="Calibri"/>
                <w:b/>
                <w:bCs/>
                <w:color w:val="C00000"/>
                <w:sz w:val="20"/>
                <w:szCs w:val="22"/>
              </w:rPr>
              <w:t>12M 2020</w:t>
            </w:r>
          </w:p>
        </w:tc>
        <w:tc>
          <w:tcPr>
            <w:tcW w:w="2006" w:type="dxa"/>
            <w:shd w:val="clear" w:color="auto" w:fill="B3DDF2" w:themeFill="background2" w:themeFillShade="E6"/>
            <w:noWrap/>
            <w:vAlign w:val="center"/>
            <w:hideMark/>
          </w:tcPr>
          <w:p w:rsidR="007022F8" w:rsidRPr="00CF6A7A" w:rsidRDefault="007022F8" w:rsidP="001F05DF">
            <w:pPr>
              <w:spacing w:before="0" w:line="240" w:lineRule="auto"/>
              <w:jc w:val="center"/>
              <w:rPr>
                <w:rFonts w:cs="Calibri"/>
                <w:b/>
                <w:bCs/>
                <w:color w:val="000000"/>
                <w:sz w:val="20"/>
                <w:szCs w:val="22"/>
              </w:rPr>
            </w:pPr>
            <w:r w:rsidRPr="00CF6A7A">
              <w:rPr>
                <w:rFonts w:cs="Calibri"/>
                <w:b/>
                <w:bCs/>
                <w:color w:val="C00000"/>
                <w:sz w:val="20"/>
                <w:szCs w:val="22"/>
              </w:rPr>
              <w:t>12M 2021</w:t>
            </w:r>
          </w:p>
        </w:tc>
        <w:tc>
          <w:tcPr>
            <w:tcW w:w="2015" w:type="dxa"/>
            <w:shd w:val="clear" w:color="auto" w:fill="B3DDF2" w:themeFill="background2" w:themeFillShade="E6"/>
            <w:noWrap/>
            <w:vAlign w:val="center"/>
            <w:hideMark/>
          </w:tcPr>
          <w:p w:rsidR="007022F8" w:rsidRPr="00CF6A7A" w:rsidRDefault="007022F8" w:rsidP="001F05DF">
            <w:pPr>
              <w:spacing w:before="0" w:line="240" w:lineRule="auto"/>
              <w:jc w:val="center"/>
              <w:rPr>
                <w:rFonts w:cs="Calibri"/>
                <w:b/>
                <w:bCs/>
                <w:color w:val="000000"/>
                <w:sz w:val="20"/>
                <w:szCs w:val="22"/>
              </w:rPr>
            </w:pPr>
            <w:r w:rsidRPr="00CF6A7A">
              <w:rPr>
                <w:rFonts w:cs="Calibri"/>
                <w:b/>
                <w:bCs/>
                <w:color w:val="C00000"/>
                <w:sz w:val="20"/>
                <w:szCs w:val="22"/>
              </w:rPr>
              <w:t>12M 2022</w:t>
            </w:r>
          </w:p>
        </w:tc>
      </w:tr>
      <w:tr w:rsidR="007022F8" w:rsidRPr="00A32ADF" w:rsidTr="00CF6A7A">
        <w:trPr>
          <w:trHeight w:val="177"/>
          <w:jc w:val="center"/>
        </w:trPr>
        <w:tc>
          <w:tcPr>
            <w:tcW w:w="2714"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Të ardhurat</w:t>
            </w:r>
          </w:p>
        </w:tc>
        <w:tc>
          <w:tcPr>
            <w:tcW w:w="2006"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60,562,188</w:t>
            </w:r>
          </w:p>
        </w:tc>
        <w:tc>
          <w:tcPr>
            <w:tcW w:w="2006" w:type="dxa"/>
            <w:shd w:val="clear" w:color="auto" w:fill="auto"/>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66,341,264</w:t>
            </w:r>
          </w:p>
        </w:tc>
        <w:tc>
          <w:tcPr>
            <w:tcW w:w="2015"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75,822,651</w:t>
            </w:r>
          </w:p>
        </w:tc>
      </w:tr>
      <w:tr w:rsidR="007022F8" w:rsidRPr="00A32ADF" w:rsidTr="00CF6A7A">
        <w:trPr>
          <w:trHeight w:val="169"/>
          <w:jc w:val="center"/>
        </w:trPr>
        <w:tc>
          <w:tcPr>
            <w:tcW w:w="2714"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Shpenzimet</w:t>
            </w:r>
          </w:p>
        </w:tc>
        <w:tc>
          <w:tcPr>
            <w:tcW w:w="2006"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62,916,355</w:t>
            </w:r>
          </w:p>
        </w:tc>
        <w:tc>
          <w:tcPr>
            <w:tcW w:w="2006" w:type="dxa"/>
            <w:shd w:val="clear" w:color="auto" w:fill="auto"/>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81,879,114</w:t>
            </w:r>
          </w:p>
        </w:tc>
        <w:tc>
          <w:tcPr>
            <w:tcW w:w="2015"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73,847,058</w:t>
            </w:r>
          </w:p>
        </w:tc>
      </w:tr>
      <w:tr w:rsidR="007022F8" w:rsidRPr="00A32ADF" w:rsidTr="00CF6A7A">
        <w:trPr>
          <w:trHeight w:val="169"/>
          <w:jc w:val="center"/>
        </w:trPr>
        <w:tc>
          <w:tcPr>
            <w:tcW w:w="2714"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Humbje/Fitim</w:t>
            </w:r>
          </w:p>
        </w:tc>
        <w:tc>
          <w:tcPr>
            <w:tcW w:w="2006"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(2,354,167)</w:t>
            </w:r>
          </w:p>
        </w:tc>
        <w:tc>
          <w:tcPr>
            <w:tcW w:w="2006" w:type="dxa"/>
            <w:shd w:val="clear" w:color="auto" w:fill="auto"/>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(15,537,850)</w:t>
            </w:r>
          </w:p>
        </w:tc>
        <w:tc>
          <w:tcPr>
            <w:tcW w:w="2015"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1,975,593</w:t>
            </w:r>
          </w:p>
        </w:tc>
      </w:tr>
      <w:tr w:rsidR="007022F8" w:rsidRPr="00A32ADF" w:rsidTr="00CF6A7A">
        <w:trPr>
          <w:trHeight w:val="169"/>
          <w:jc w:val="center"/>
        </w:trPr>
        <w:tc>
          <w:tcPr>
            <w:tcW w:w="2714"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Aktivet Afatshkurtra</w:t>
            </w:r>
          </w:p>
        </w:tc>
        <w:tc>
          <w:tcPr>
            <w:tcW w:w="2006"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37,575,191</w:t>
            </w:r>
          </w:p>
        </w:tc>
        <w:tc>
          <w:tcPr>
            <w:tcW w:w="2006" w:type="dxa"/>
            <w:shd w:val="clear" w:color="auto" w:fill="auto"/>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35,298,082</w:t>
            </w:r>
          </w:p>
        </w:tc>
        <w:tc>
          <w:tcPr>
            <w:tcW w:w="2015"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30,962,125</w:t>
            </w:r>
          </w:p>
        </w:tc>
      </w:tr>
      <w:tr w:rsidR="007022F8" w:rsidRPr="00A32ADF" w:rsidTr="00CF6A7A">
        <w:trPr>
          <w:trHeight w:val="169"/>
          <w:jc w:val="center"/>
        </w:trPr>
        <w:tc>
          <w:tcPr>
            <w:tcW w:w="2714"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Aktivet Afatgjata</w:t>
            </w:r>
          </w:p>
        </w:tc>
        <w:tc>
          <w:tcPr>
            <w:tcW w:w="2006"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50,050,746</w:t>
            </w:r>
          </w:p>
        </w:tc>
        <w:tc>
          <w:tcPr>
            <w:tcW w:w="2006" w:type="dxa"/>
            <w:shd w:val="clear" w:color="auto" w:fill="auto"/>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57,608,845</w:t>
            </w:r>
          </w:p>
        </w:tc>
        <w:tc>
          <w:tcPr>
            <w:tcW w:w="2015"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58,889,773</w:t>
            </w:r>
          </w:p>
        </w:tc>
      </w:tr>
      <w:tr w:rsidR="007022F8" w:rsidRPr="00A32ADF" w:rsidTr="00CF6A7A">
        <w:trPr>
          <w:trHeight w:val="169"/>
          <w:jc w:val="center"/>
        </w:trPr>
        <w:tc>
          <w:tcPr>
            <w:tcW w:w="2714"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Total Aktive</w:t>
            </w:r>
          </w:p>
        </w:tc>
        <w:tc>
          <w:tcPr>
            <w:tcW w:w="2006"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87,625,937</w:t>
            </w:r>
          </w:p>
        </w:tc>
        <w:tc>
          <w:tcPr>
            <w:tcW w:w="2006" w:type="dxa"/>
            <w:shd w:val="clear" w:color="auto" w:fill="auto"/>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92,906,927</w:t>
            </w:r>
          </w:p>
        </w:tc>
        <w:tc>
          <w:tcPr>
            <w:tcW w:w="2015"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89,851,899</w:t>
            </w:r>
          </w:p>
        </w:tc>
      </w:tr>
      <w:tr w:rsidR="007022F8" w:rsidRPr="00A32ADF" w:rsidTr="00CF6A7A">
        <w:trPr>
          <w:trHeight w:val="169"/>
          <w:jc w:val="center"/>
        </w:trPr>
        <w:tc>
          <w:tcPr>
            <w:tcW w:w="2714"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Detyrimet afatshkurtra</w:t>
            </w:r>
          </w:p>
        </w:tc>
        <w:tc>
          <w:tcPr>
            <w:tcW w:w="2006"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115,313,819</w:t>
            </w:r>
          </w:p>
        </w:tc>
        <w:tc>
          <w:tcPr>
            <w:tcW w:w="2006" w:type="dxa"/>
            <w:shd w:val="clear" w:color="auto" w:fill="auto"/>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83,335,129</w:t>
            </w:r>
          </w:p>
        </w:tc>
        <w:tc>
          <w:tcPr>
            <w:tcW w:w="2015"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71,487,583</w:t>
            </w:r>
          </w:p>
        </w:tc>
      </w:tr>
      <w:tr w:rsidR="007022F8" w:rsidRPr="00A32ADF" w:rsidTr="00CF6A7A">
        <w:trPr>
          <w:trHeight w:val="169"/>
          <w:jc w:val="center"/>
        </w:trPr>
        <w:tc>
          <w:tcPr>
            <w:tcW w:w="2714"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Detyrimet afatgjata</w:t>
            </w:r>
          </w:p>
        </w:tc>
        <w:tc>
          <w:tcPr>
            <w:tcW w:w="2006"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10,342,697</w:t>
            </w:r>
          </w:p>
        </w:tc>
        <w:tc>
          <w:tcPr>
            <w:tcW w:w="2006" w:type="dxa"/>
            <w:shd w:val="clear" w:color="auto" w:fill="auto"/>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63,129,728</w:t>
            </w:r>
          </w:p>
        </w:tc>
        <w:tc>
          <w:tcPr>
            <w:tcW w:w="2015"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69,171,166</w:t>
            </w:r>
          </w:p>
        </w:tc>
      </w:tr>
      <w:tr w:rsidR="007022F8" w:rsidRPr="00A32ADF" w:rsidTr="00CF6A7A">
        <w:trPr>
          <w:trHeight w:val="169"/>
          <w:jc w:val="center"/>
        </w:trPr>
        <w:tc>
          <w:tcPr>
            <w:tcW w:w="2714"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Total Detyrime</w:t>
            </w:r>
          </w:p>
        </w:tc>
        <w:tc>
          <w:tcPr>
            <w:tcW w:w="2006"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125,656,516</w:t>
            </w:r>
          </w:p>
        </w:tc>
        <w:tc>
          <w:tcPr>
            <w:tcW w:w="2006" w:type="dxa"/>
            <w:shd w:val="clear" w:color="auto" w:fill="auto"/>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146,464,856</w:t>
            </w:r>
          </w:p>
        </w:tc>
        <w:tc>
          <w:tcPr>
            <w:tcW w:w="2015" w:type="dxa"/>
            <w:shd w:val="clear" w:color="auto" w:fill="auto"/>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140,658,749</w:t>
            </w:r>
          </w:p>
        </w:tc>
      </w:tr>
      <w:tr w:rsidR="007022F8" w:rsidRPr="00A32ADF" w:rsidTr="00CF6A7A">
        <w:trPr>
          <w:trHeight w:val="177"/>
          <w:jc w:val="center"/>
        </w:trPr>
        <w:tc>
          <w:tcPr>
            <w:tcW w:w="2714"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Kapital</w:t>
            </w:r>
          </w:p>
        </w:tc>
        <w:tc>
          <w:tcPr>
            <w:tcW w:w="2006"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(38,030,579)</w:t>
            </w:r>
          </w:p>
        </w:tc>
        <w:tc>
          <w:tcPr>
            <w:tcW w:w="2006" w:type="dxa"/>
            <w:shd w:val="clear" w:color="auto" w:fill="auto"/>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(53,557,929)</w:t>
            </w:r>
          </w:p>
        </w:tc>
        <w:tc>
          <w:tcPr>
            <w:tcW w:w="2015"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(50,806,851)</w:t>
            </w:r>
          </w:p>
        </w:tc>
      </w:tr>
    </w:tbl>
    <w:p w:rsidR="00737045" w:rsidRPr="00E315BE" w:rsidRDefault="00737045" w:rsidP="00CF6A7A">
      <w:pPr>
        <w:spacing w:before="0" w:line="240" w:lineRule="auto"/>
        <w:ind w:left="1440"/>
        <w:rPr>
          <w:rFonts w:asciiTheme="majorHAnsi" w:hAnsiTheme="majorHAnsi"/>
          <w:i/>
          <w:sz w:val="18"/>
          <w:szCs w:val="28"/>
          <w:lang w:val="sq-AL"/>
        </w:rPr>
      </w:pPr>
      <w:r w:rsidRPr="00E315BE">
        <w:rPr>
          <w:rFonts w:asciiTheme="majorHAnsi" w:hAnsiTheme="majorHAnsi"/>
          <w:i/>
          <w:sz w:val="18"/>
          <w:szCs w:val="28"/>
          <w:lang w:val="sq-AL"/>
        </w:rPr>
        <w:t>Burimi: OSHEE Group sh.a.</w:t>
      </w:r>
    </w:p>
    <w:p w:rsidR="00737045" w:rsidRPr="007223E1" w:rsidRDefault="00737045" w:rsidP="00C71069">
      <w:pPr>
        <w:pStyle w:val="Caption"/>
        <w:keepNext/>
        <w:numPr>
          <w:ilvl w:val="0"/>
          <w:numId w:val="42"/>
        </w:numPr>
        <w:spacing w:after="0"/>
        <w:rPr>
          <w:iCs w:val="0"/>
          <w:color w:val="auto"/>
          <w:sz w:val="22"/>
          <w:szCs w:val="24"/>
          <w:lang w:val="sq-AL"/>
        </w:rPr>
      </w:pPr>
      <w:r w:rsidRPr="007223E1">
        <w:rPr>
          <w:iCs w:val="0"/>
          <w:color w:val="auto"/>
          <w:sz w:val="22"/>
          <w:szCs w:val="24"/>
          <w:lang w:val="sq-AL"/>
        </w:rPr>
        <w:t>Performanca financiare e KESH sh.a.</w:t>
      </w:r>
    </w:p>
    <w:p w:rsidR="007022F8" w:rsidRDefault="00276062" w:rsidP="007022F8">
      <w:pPr>
        <w:pStyle w:val="Caption"/>
        <w:spacing w:before="0" w:after="0" w:line="240" w:lineRule="auto"/>
      </w:pPr>
      <w:bookmarkStart w:id="206" w:name="_Toc136526343"/>
      <w:r>
        <w:t xml:space="preserve">Tabela </w:t>
      </w:r>
      <w:fldSimple w:instr=" SEQ Tabela \* ARABIC ">
        <w:r w:rsidR="008C3E07">
          <w:rPr>
            <w:noProof/>
          </w:rPr>
          <w:t>17</w:t>
        </w:r>
      </w:fldSimple>
      <w:r w:rsidR="00737045" w:rsidRPr="00276062">
        <w:t xml:space="preserve"> Të dhënat financiare 12 mujore për KESH sh.a (në mijë Lekë)</w:t>
      </w:r>
      <w:bookmarkEnd w:id="206"/>
    </w:p>
    <w:tbl>
      <w:tblPr>
        <w:tblW w:w="8826"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2742"/>
        <w:gridCol w:w="2028"/>
        <w:gridCol w:w="2028"/>
        <w:gridCol w:w="2028"/>
      </w:tblGrid>
      <w:tr w:rsidR="007022F8" w:rsidRPr="00CF6A7A" w:rsidTr="00CF6A7A">
        <w:trPr>
          <w:trHeight w:val="219"/>
          <w:jc w:val="center"/>
        </w:trPr>
        <w:tc>
          <w:tcPr>
            <w:tcW w:w="2742" w:type="dxa"/>
            <w:shd w:val="clear" w:color="auto" w:fill="B3DDF2" w:themeFill="background2" w:themeFillShade="E6"/>
            <w:noWrap/>
            <w:vAlign w:val="center"/>
            <w:hideMark/>
          </w:tcPr>
          <w:p w:rsidR="007022F8" w:rsidRPr="00CF6A7A" w:rsidRDefault="007022F8" w:rsidP="001F05DF">
            <w:pPr>
              <w:spacing w:before="0" w:line="240" w:lineRule="auto"/>
              <w:jc w:val="center"/>
              <w:rPr>
                <w:rFonts w:cs="Calibri"/>
                <w:color w:val="000000"/>
                <w:sz w:val="20"/>
                <w:szCs w:val="22"/>
                <w:lang w:val="sq-AL"/>
              </w:rPr>
            </w:pPr>
            <w:r w:rsidRPr="00CF6A7A">
              <w:rPr>
                <w:rFonts w:cs="Calibri"/>
                <w:b/>
                <w:color w:val="C00000"/>
                <w:sz w:val="20"/>
                <w:szCs w:val="22"/>
                <w:lang w:val="sq-AL"/>
              </w:rPr>
              <w:t>Zërat/Periudha</w:t>
            </w:r>
          </w:p>
        </w:tc>
        <w:tc>
          <w:tcPr>
            <w:tcW w:w="2028" w:type="dxa"/>
            <w:shd w:val="clear" w:color="auto" w:fill="B3DDF2" w:themeFill="background2" w:themeFillShade="E6"/>
            <w:noWrap/>
            <w:vAlign w:val="center"/>
            <w:hideMark/>
          </w:tcPr>
          <w:p w:rsidR="007022F8" w:rsidRPr="00CF6A7A" w:rsidRDefault="007022F8" w:rsidP="001F05DF">
            <w:pPr>
              <w:spacing w:before="0" w:line="240" w:lineRule="auto"/>
              <w:jc w:val="center"/>
              <w:rPr>
                <w:rFonts w:cs="Calibri"/>
                <w:b/>
                <w:bCs/>
                <w:color w:val="000000"/>
                <w:sz w:val="20"/>
                <w:szCs w:val="22"/>
              </w:rPr>
            </w:pPr>
            <w:r w:rsidRPr="00CF6A7A">
              <w:rPr>
                <w:rFonts w:cs="Calibri"/>
                <w:b/>
                <w:bCs/>
                <w:color w:val="C00000"/>
                <w:sz w:val="20"/>
                <w:szCs w:val="22"/>
              </w:rPr>
              <w:t>12M 2020</w:t>
            </w:r>
          </w:p>
        </w:tc>
        <w:tc>
          <w:tcPr>
            <w:tcW w:w="2028" w:type="dxa"/>
            <w:shd w:val="clear" w:color="auto" w:fill="B3DDF2" w:themeFill="background2" w:themeFillShade="E6"/>
            <w:noWrap/>
            <w:vAlign w:val="center"/>
            <w:hideMark/>
          </w:tcPr>
          <w:p w:rsidR="007022F8" w:rsidRPr="00CF6A7A" w:rsidRDefault="007022F8" w:rsidP="001F05DF">
            <w:pPr>
              <w:spacing w:before="0" w:line="240" w:lineRule="auto"/>
              <w:jc w:val="center"/>
              <w:rPr>
                <w:rFonts w:cs="Calibri"/>
                <w:b/>
                <w:bCs/>
                <w:color w:val="000000"/>
                <w:sz w:val="20"/>
                <w:szCs w:val="22"/>
              </w:rPr>
            </w:pPr>
            <w:r w:rsidRPr="00CF6A7A">
              <w:rPr>
                <w:rFonts w:cs="Calibri"/>
                <w:b/>
                <w:bCs/>
                <w:color w:val="C00000"/>
                <w:sz w:val="20"/>
                <w:szCs w:val="22"/>
              </w:rPr>
              <w:t>12M 2021</w:t>
            </w:r>
          </w:p>
        </w:tc>
        <w:tc>
          <w:tcPr>
            <w:tcW w:w="2028" w:type="dxa"/>
            <w:shd w:val="clear" w:color="auto" w:fill="B3DDF2" w:themeFill="background2" w:themeFillShade="E6"/>
            <w:noWrap/>
            <w:vAlign w:val="center"/>
            <w:hideMark/>
          </w:tcPr>
          <w:p w:rsidR="007022F8" w:rsidRPr="00CF6A7A" w:rsidRDefault="007022F8" w:rsidP="001F05DF">
            <w:pPr>
              <w:spacing w:before="0" w:line="240" w:lineRule="auto"/>
              <w:jc w:val="center"/>
              <w:rPr>
                <w:rFonts w:cs="Calibri"/>
                <w:b/>
                <w:bCs/>
                <w:color w:val="000000"/>
                <w:sz w:val="20"/>
                <w:szCs w:val="22"/>
              </w:rPr>
            </w:pPr>
            <w:r w:rsidRPr="00CF6A7A">
              <w:rPr>
                <w:rFonts w:cs="Calibri"/>
                <w:b/>
                <w:bCs/>
                <w:color w:val="C00000"/>
                <w:sz w:val="20"/>
                <w:szCs w:val="22"/>
              </w:rPr>
              <w:t>12M 2022</w:t>
            </w:r>
          </w:p>
        </w:tc>
      </w:tr>
      <w:tr w:rsidR="007022F8" w:rsidRPr="00450D73" w:rsidTr="00CF6A7A">
        <w:trPr>
          <w:trHeight w:val="228"/>
          <w:jc w:val="center"/>
        </w:trPr>
        <w:tc>
          <w:tcPr>
            <w:tcW w:w="2742"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Të ardhurat</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11,158,917</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19,200,426</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36,728,325</w:t>
            </w:r>
          </w:p>
        </w:tc>
      </w:tr>
      <w:tr w:rsidR="007022F8" w:rsidRPr="00450D73" w:rsidTr="00CF6A7A">
        <w:trPr>
          <w:trHeight w:val="228"/>
          <w:jc w:val="center"/>
        </w:trPr>
        <w:tc>
          <w:tcPr>
            <w:tcW w:w="2742"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Shpenzimet</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11,252,871</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13,197,021</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63,438,249</w:t>
            </w:r>
          </w:p>
        </w:tc>
      </w:tr>
      <w:tr w:rsidR="007022F8" w:rsidRPr="00450D73" w:rsidTr="00CF6A7A">
        <w:trPr>
          <w:trHeight w:val="228"/>
          <w:jc w:val="center"/>
        </w:trPr>
        <w:tc>
          <w:tcPr>
            <w:tcW w:w="2742"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Humbje/Fitim</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(93,954)</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6,003,405</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(26,709,924)</w:t>
            </w:r>
          </w:p>
        </w:tc>
      </w:tr>
      <w:tr w:rsidR="007022F8" w:rsidRPr="00450D73" w:rsidTr="00CF6A7A">
        <w:trPr>
          <w:trHeight w:val="228"/>
          <w:jc w:val="center"/>
        </w:trPr>
        <w:tc>
          <w:tcPr>
            <w:tcW w:w="2742"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Aktivet Afatshkurtra</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81,613,887</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79,178,996</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89,400,954</w:t>
            </w:r>
          </w:p>
        </w:tc>
      </w:tr>
      <w:tr w:rsidR="007022F8" w:rsidRPr="00450D73" w:rsidTr="00CF6A7A">
        <w:trPr>
          <w:trHeight w:val="228"/>
          <w:jc w:val="center"/>
        </w:trPr>
        <w:tc>
          <w:tcPr>
            <w:tcW w:w="2742"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Aktivet Afatgjata</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92,025,672</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92,097,503</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90,150,652</w:t>
            </w:r>
          </w:p>
        </w:tc>
      </w:tr>
      <w:tr w:rsidR="007022F8" w:rsidRPr="00450D73" w:rsidTr="00CF6A7A">
        <w:trPr>
          <w:trHeight w:val="228"/>
          <w:jc w:val="center"/>
        </w:trPr>
        <w:tc>
          <w:tcPr>
            <w:tcW w:w="2742"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Total Aktive</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173,639,559</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171,276,498</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179,551,606</w:t>
            </w:r>
          </w:p>
        </w:tc>
      </w:tr>
      <w:tr w:rsidR="007022F8" w:rsidRPr="00450D73" w:rsidTr="00CF6A7A">
        <w:trPr>
          <w:trHeight w:val="228"/>
          <w:jc w:val="center"/>
        </w:trPr>
        <w:tc>
          <w:tcPr>
            <w:tcW w:w="2742"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Detyrimet Afatshkurtra</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64,834,078</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62,759,012</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80,902,658</w:t>
            </w:r>
          </w:p>
        </w:tc>
      </w:tr>
      <w:tr w:rsidR="007022F8" w:rsidRPr="00450D73" w:rsidTr="00CF6A7A">
        <w:trPr>
          <w:trHeight w:val="228"/>
          <w:jc w:val="center"/>
        </w:trPr>
        <w:tc>
          <w:tcPr>
            <w:tcW w:w="2742"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Detyrimet Afatgjata</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33,406,825</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27,142,997</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i/>
                <w:color w:val="000000"/>
                <w:sz w:val="18"/>
                <w:szCs w:val="18"/>
              </w:rPr>
            </w:pPr>
            <w:r w:rsidRPr="00CF6A7A">
              <w:rPr>
                <w:rFonts w:cs="Calibri"/>
                <w:i/>
                <w:color w:val="000000"/>
                <w:sz w:val="18"/>
                <w:szCs w:val="18"/>
              </w:rPr>
              <w:t>29,178,768</w:t>
            </w:r>
          </w:p>
        </w:tc>
      </w:tr>
      <w:tr w:rsidR="007022F8" w:rsidRPr="00450D73" w:rsidTr="00CF6A7A">
        <w:trPr>
          <w:trHeight w:val="228"/>
          <w:jc w:val="center"/>
        </w:trPr>
        <w:tc>
          <w:tcPr>
            <w:tcW w:w="2742"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Total Detyrime</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98,240,903</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89,902,009</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110,081,426</w:t>
            </w:r>
          </w:p>
        </w:tc>
      </w:tr>
      <w:tr w:rsidR="007022F8" w:rsidRPr="00450D73" w:rsidTr="00CF6A7A">
        <w:trPr>
          <w:trHeight w:val="240"/>
          <w:jc w:val="center"/>
        </w:trPr>
        <w:tc>
          <w:tcPr>
            <w:tcW w:w="2742"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Kapital</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75,398,656</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81,374,489</w:t>
            </w:r>
          </w:p>
        </w:tc>
        <w:tc>
          <w:tcPr>
            <w:tcW w:w="2028" w:type="dxa"/>
            <w:shd w:val="clear" w:color="000000" w:fill="FFFFFF"/>
            <w:noWrap/>
            <w:vAlign w:val="center"/>
            <w:hideMark/>
          </w:tcPr>
          <w:p w:rsidR="007022F8" w:rsidRPr="00CF6A7A" w:rsidRDefault="007022F8" w:rsidP="001F05DF">
            <w:pPr>
              <w:spacing w:before="0" w:line="240" w:lineRule="auto"/>
              <w:jc w:val="center"/>
              <w:rPr>
                <w:rFonts w:cs="Calibri"/>
                <w:b/>
                <w:bCs/>
                <w:color w:val="C00000"/>
                <w:sz w:val="18"/>
                <w:szCs w:val="18"/>
              </w:rPr>
            </w:pPr>
            <w:r w:rsidRPr="00CF6A7A">
              <w:rPr>
                <w:rFonts w:cs="Calibri"/>
                <w:b/>
                <w:bCs/>
                <w:color w:val="C00000"/>
                <w:sz w:val="18"/>
                <w:szCs w:val="18"/>
              </w:rPr>
              <w:t>69,470,180</w:t>
            </w:r>
          </w:p>
        </w:tc>
      </w:tr>
    </w:tbl>
    <w:p w:rsidR="00737045" w:rsidRDefault="00737045" w:rsidP="00CF6A7A">
      <w:pPr>
        <w:spacing w:before="0" w:line="240" w:lineRule="auto"/>
        <w:ind w:left="720" w:firstLine="720"/>
        <w:contextualSpacing/>
        <w:rPr>
          <w:rFonts w:asciiTheme="majorHAnsi" w:hAnsiTheme="majorHAnsi"/>
          <w:i/>
          <w:sz w:val="18"/>
          <w:szCs w:val="28"/>
          <w:lang w:val="sq-AL"/>
        </w:rPr>
      </w:pPr>
      <w:r w:rsidRPr="00E315BE">
        <w:rPr>
          <w:rFonts w:asciiTheme="majorHAnsi" w:hAnsiTheme="majorHAnsi"/>
          <w:i/>
          <w:sz w:val="18"/>
          <w:szCs w:val="28"/>
          <w:lang w:val="sq-AL"/>
        </w:rPr>
        <w:t>Burimi: KESH sh.a.</w:t>
      </w:r>
    </w:p>
    <w:p w:rsidR="00737045" w:rsidRPr="007223E1" w:rsidRDefault="00737045" w:rsidP="00C71069">
      <w:pPr>
        <w:pStyle w:val="Caption"/>
        <w:keepNext/>
        <w:numPr>
          <w:ilvl w:val="0"/>
          <w:numId w:val="42"/>
        </w:numPr>
        <w:spacing w:after="0"/>
        <w:rPr>
          <w:iCs w:val="0"/>
          <w:color w:val="auto"/>
          <w:sz w:val="22"/>
          <w:szCs w:val="24"/>
          <w:lang w:val="sq-AL"/>
        </w:rPr>
      </w:pPr>
      <w:r w:rsidRPr="007223E1">
        <w:rPr>
          <w:iCs w:val="0"/>
          <w:color w:val="auto"/>
          <w:sz w:val="22"/>
          <w:szCs w:val="24"/>
          <w:lang w:val="sq-AL"/>
        </w:rPr>
        <w:lastRenderedPageBreak/>
        <w:t>Performanca financiare e OST sh.a.</w:t>
      </w:r>
    </w:p>
    <w:p w:rsidR="007022F8" w:rsidRPr="00E315BE" w:rsidRDefault="00276062" w:rsidP="007022F8">
      <w:pPr>
        <w:pStyle w:val="Caption"/>
        <w:spacing w:before="0" w:after="0" w:line="240" w:lineRule="auto"/>
        <w:rPr>
          <w:rFonts w:asciiTheme="majorHAnsi" w:hAnsiTheme="majorHAnsi"/>
          <w:i w:val="0"/>
          <w:sz w:val="20"/>
          <w:lang w:val="sq-AL"/>
        </w:rPr>
      </w:pPr>
      <w:bookmarkStart w:id="207" w:name="_Toc136526344"/>
      <w:r>
        <w:t xml:space="preserve">Tabela </w:t>
      </w:r>
      <w:fldSimple w:instr=" SEQ Tabela \* ARABIC ">
        <w:r w:rsidR="008C3E07">
          <w:rPr>
            <w:noProof/>
          </w:rPr>
          <w:t>18</w:t>
        </w:r>
      </w:fldSimple>
      <w:r>
        <w:rPr>
          <w:rFonts w:cs="Calibri"/>
          <w:lang w:val="sq-AL"/>
        </w:rPr>
        <w:t xml:space="preserve"> </w:t>
      </w:r>
      <w:r w:rsidR="00737045" w:rsidRPr="00EE5118">
        <w:rPr>
          <w:rFonts w:cs="Calibri"/>
          <w:lang w:val="sq-AL"/>
        </w:rPr>
        <w:t>Të dhënat financiare 12 mujore për OST Sh.a (në mijë Lekë)</w:t>
      </w:r>
      <w:bookmarkEnd w:id="207"/>
    </w:p>
    <w:tbl>
      <w:tblPr>
        <w:tblW w:w="8484" w:type="dxa"/>
        <w:jc w:val="center"/>
        <w:tblBorders>
          <w:top w:val="single" w:sz="24" w:space="0" w:color="95B3D7"/>
          <w:left w:val="single" w:sz="24" w:space="0" w:color="95B3D7"/>
          <w:bottom w:val="single" w:sz="24" w:space="0" w:color="95B3D7"/>
          <w:right w:val="single" w:sz="24" w:space="0" w:color="95B3D7"/>
        </w:tblBorders>
        <w:tblLook w:val="04A0" w:firstRow="1" w:lastRow="0" w:firstColumn="1" w:lastColumn="0" w:noHBand="0" w:noVBand="1"/>
      </w:tblPr>
      <w:tblGrid>
        <w:gridCol w:w="2632"/>
        <w:gridCol w:w="1960"/>
        <w:gridCol w:w="1946"/>
        <w:gridCol w:w="1946"/>
      </w:tblGrid>
      <w:tr w:rsidR="007022F8" w:rsidRPr="00E315BE" w:rsidTr="001F05DF">
        <w:trPr>
          <w:trHeight w:val="213"/>
          <w:jc w:val="center"/>
        </w:trPr>
        <w:tc>
          <w:tcPr>
            <w:tcW w:w="2632" w:type="dxa"/>
            <w:shd w:val="clear" w:color="auto" w:fill="B3DDF2" w:themeFill="background2" w:themeFillShade="E6"/>
            <w:noWrap/>
            <w:vAlign w:val="center"/>
            <w:hideMark/>
          </w:tcPr>
          <w:p w:rsidR="007022F8" w:rsidRPr="00E315BE" w:rsidRDefault="007022F8" w:rsidP="001F05DF">
            <w:pPr>
              <w:spacing w:before="0" w:line="240" w:lineRule="auto"/>
              <w:jc w:val="center"/>
              <w:rPr>
                <w:rFonts w:asciiTheme="majorHAnsi" w:hAnsiTheme="majorHAnsi" w:cs="Calibri"/>
                <w:color w:val="000000"/>
                <w:sz w:val="20"/>
                <w:szCs w:val="20"/>
                <w:lang w:val="sq-AL"/>
              </w:rPr>
            </w:pPr>
            <w:r w:rsidRPr="00B47B01">
              <w:rPr>
                <w:rFonts w:cs="Calibri"/>
                <w:b/>
                <w:color w:val="C00000"/>
                <w:szCs w:val="22"/>
                <w:lang w:val="sq-AL"/>
              </w:rPr>
              <w:t>Z</w:t>
            </w:r>
            <w:r>
              <w:rPr>
                <w:rFonts w:cs="Calibri"/>
                <w:b/>
                <w:color w:val="C00000"/>
                <w:szCs w:val="22"/>
                <w:lang w:val="sq-AL"/>
              </w:rPr>
              <w:t>ë</w:t>
            </w:r>
            <w:r w:rsidRPr="00B47B01">
              <w:rPr>
                <w:rFonts w:cs="Calibri"/>
                <w:b/>
                <w:color w:val="C00000"/>
                <w:szCs w:val="22"/>
                <w:lang w:val="sq-AL"/>
              </w:rPr>
              <w:t>rat/Periudha</w:t>
            </w:r>
          </w:p>
        </w:tc>
        <w:tc>
          <w:tcPr>
            <w:tcW w:w="1960" w:type="dxa"/>
            <w:shd w:val="clear" w:color="auto" w:fill="B3DDF2" w:themeFill="background2" w:themeFillShade="E6"/>
            <w:noWrap/>
            <w:vAlign w:val="center"/>
            <w:hideMark/>
          </w:tcPr>
          <w:p w:rsidR="007022F8" w:rsidRPr="00E315BE" w:rsidRDefault="007022F8" w:rsidP="001F05DF">
            <w:pPr>
              <w:spacing w:before="0" w:line="240" w:lineRule="auto"/>
              <w:jc w:val="center"/>
              <w:rPr>
                <w:rFonts w:asciiTheme="majorHAnsi" w:hAnsiTheme="majorHAnsi" w:cs="Calibri"/>
                <w:b/>
                <w:bCs/>
                <w:color w:val="000000"/>
                <w:sz w:val="20"/>
                <w:szCs w:val="20"/>
              </w:rPr>
            </w:pPr>
            <w:r>
              <w:rPr>
                <w:rFonts w:cs="Calibri"/>
                <w:b/>
                <w:bCs/>
                <w:color w:val="C00000"/>
                <w:szCs w:val="22"/>
              </w:rPr>
              <w:t xml:space="preserve">12M </w:t>
            </w:r>
            <w:r w:rsidRPr="00B47B01">
              <w:rPr>
                <w:rFonts w:cs="Calibri"/>
                <w:b/>
                <w:bCs/>
                <w:color w:val="C00000"/>
                <w:szCs w:val="22"/>
              </w:rPr>
              <w:t>20</w:t>
            </w:r>
            <w:r>
              <w:rPr>
                <w:rFonts w:cs="Calibri"/>
                <w:b/>
                <w:bCs/>
                <w:color w:val="C00000"/>
                <w:szCs w:val="22"/>
              </w:rPr>
              <w:t>20</w:t>
            </w:r>
          </w:p>
        </w:tc>
        <w:tc>
          <w:tcPr>
            <w:tcW w:w="1946" w:type="dxa"/>
            <w:shd w:val="clear" w:color="auto" w:fill="B3DDF2" w:themeFill="background2" w:themeFillShade="E6"/>
            <w:noWrap/>
            <w:vAlign w:val="center"/>
            <w:hideMark/>
          </w:tcPr>
          <w:p w:rsidR="007022F8" w:rsidRPr="00E315BE" w:rsidRDefault="007022F8" w:rsidP="001F05DF">
            <w:pPr>
              <w:spacing w:before="0" w:line="240" w:lineRule="auto"/>
              <w:jc w:val="center"/>
              <w:rPr>
                <w:rFonts w:asciiTheme="majorHAnsi" w:hAnsiTheme="majorHAnsi" w:cs="Calibri"/>
                <w:b/>
                <w:bCs/>
                <w:color w:val="000000"/>
                <w:sz w:val="20"/>
                <w:szCs w:val="20"/>
              </w:rPr>
            </w:pPr>
            <w:r>
              <w:rPr>
                <w:rFonts w:cs="Calibri"/>
                <w:b/>
                <w:bCs/>
                <w:color w:val="C00000"/>
                <w:szCs w:val="22"/>
              </w:rPr>
              <w:t xml:space="preserve">12M </w:t>
            </w:r>
            <w:r w:rsidRPr="00B47B01">
              <w:rPr>
                <w:rFonts w:cs="Calibri"/>
                <w:b/>
                <w:bCs/>
                <w:color w:val="C00000"/>
                <w:szCs w:val="22"/>
              </w:rPr>
              <w:t>202</w:t>
            </w:r>
            <w:r>
              <w:rPr>
                <w:rFonts w:cs="Calibri"/>
                <w:b/>
                <w:bCs/>
                <w:color w:val="C00000"/>
                <w:szCs w:val="22"/>
              </w:rPr>
              <w:t>1</w:t>
            </w:r>
          </w:p>
        </w:tc>
        <w:tc>
          <w:tcPr>
            <w:tcW w:w="1946" w:type="dxa"/>
            <w:shd w:val="clear" w:color="auto" w:fill="B3DDF2" w:themeFill="background2" w:themeFillShade="E6"/>
            <w:noWrap/>
            <w:vAlign w:val="center"/>
            <w:hideMark/>
          </w:tcPr>
          <w:p w:rsidR="007022F8" w:rsidRPr="00E315BE" w:rsidRDefault="007022F8" w:rsidP="001F05DF">
            <w:pPr>
              <w:spacing w:before="0" w:line="240" w:lineRule="auto"/>
              <w:jc w:val="center"/>
              <w:rPr>
                <w:rFonts w:asciiTheme="majorHAnsi" w:hAnsiTheme="majorHAnsi" w:cs="Calibri"/>
                <w:b/>
                <w:bCs/>
                <w:color w:val="000000"/>
                <w:sz w:val="20"/>
                <w:szCs w:val="20"/>
              </w:rPr>
            </w:pPr>
            <w:r>
              <w:rPr>
                <w:rFonts w:cs="Calibri"/>
                <w:b/>
                <w:bCs/>
                <w:color w:val="C00000"/>
                <w:szCs w:val="22"/>
              </w:rPr>
              <w:t xml:space="preserve">12M </w:t>
            </w:r>
            <w:r w:rsidRPr="00B47B01">
              <w:rPr>
                <w:rFonts w:cs="Calibri"/>
                <w:b/>
                <w:bCs/>
                <w:color w:val="C00000"/>
                <w:szCs w:val="22"/>
              </w:rPr>
              <w:t>202</w:t>
            </w:r>
            <w:r>
              <w:rPr>
                <w:rFonts w:cs="Calibri"/>
                <w:b/>
                <w:bCs/>
                <w:color w:val="C00000"/>
                <w:szCs w:val="22"/>
              </w:rPr>
              <w:t>2</w:t>
            </w:r>
          </w:p>
        </w:tc>
      </w:tr>
      <w:tr w:rsidR="007022F8" w:rsidRPr="00E315BE" w:rsidTr="001F05DF">
        <w:trPr>
          <w:trHeight w:val="213"/>
          <w:jc w:val="center"/>
        </w:trPr>
        <w:tc>
          <w:tcPr>
            <w:tcW w:w="2632"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Të ardhurat</w:t>
            </w:r>
          </w:p>
        </w:tc>
        <w:tc>
          <w:tcPr>
            <w:tcW w:w="1960"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6,897,448</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9,382,818</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12,190,196</w:t>
            </w:r>
          </w:p>
        </w:tc>
      </w:tr>
      <w:tr w:rsidR="007022F8" w:rsidRPr="00E315BE" w:rsidTr="001F05DF">
        <w:trPr>
          <w:trHeight w:val="203"/>
          <w:jc w:val="center"/>
        </w:trPr>
        <w:tc>
          <w:tcPr>
            <w:tcW w:w="2632"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Shpenzimet</w:t>
            </w:r>
          </w:p>
        </w:tc>
        <w:tc>
          <w:tcPr>
            <w:tcW w:w="1960"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6,948,700</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9,274,514</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11,692,087</w:t>
            </w:r>
          </w:p>
        </w:tc>
      </w:tr>
      <w:tr w:rsidR="007022F8" w:rsidRPr="00E315BE" w:rsidTr="001F05DF">
        <w:trPr>
          <w:trHeight w:val="203"/>
          <w:jc w:val="center"/>
        </w:trPr>
        <w:tc>
          <w:tcPr>
            <w:tcW w:w="2632"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Humbje/Fitim</w:t>
            </w:r>
          </w:p>
        </w:tc>
        <w:tc>
          <w:tcPr>
            <w:tcW w:w="1960"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(51,252)</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108,304</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498,109</w:t>
            </w:r>
          </w:p>
        </w:tc>
      </w:tr>
      <w:tr w:rsidR="007022F8" w:rsidRPr="00E315BE" w:rsidTr="001F05DF">
        <w:trPr>
          <w:trHeight w:val="203"/>
          <w:jc w:val="center"/>
        </w:trPr>
        <w:tc>
          <w:tcPr>
            <w:tcW w:w="2632"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Aktivet Afatshkurtra</w:t>
            </w:r>
          </w:p>
        </w:tc>
        <w:tc>
          <w:tcPr>
            <w:tcW w:w="1960"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19,831,028</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16,635,942</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19,236,216</w:t>
            </w:r>
          </w:p>
        </w:tc>
      </w:tr>
      <w:tr w:rsidR="007022F8" w:rsidRPr="00E315BE" w:rsidTr="001F05DF">
        <w:trPr>
          <w:trHeight w:val="203"/>
          <w:jc w:val="center"/>
        </w:trPr>
        <w:tc>
          <w:tcPr>
            <w:tcW w:w="2632"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Aktivet Afatgjata</w:t>
            </w:r>
          </w:p>
        </w:tc>
        <w:tc>
          <w:tcPr>
            <w:tcW w:w="1960"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54,205,009</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64,010,384</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58,068,174</w:t>
            </w:r>
          </w:p>
        </w:tc>
      </w:tr>
      <w:tr w:rsidR="007022F8" w:rsidRPr="00E315BE" w:rsidTr="001F05DF">
        <w:trPr>
          <w:trHeight w:val="203"/>
          <w:jc w:val="center"/>
        </w:trPr>
        <w:tc>
          <w:tcPr>
            <w:tcW w:w="2632"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Total Aktive</w:t>
            </w:r>
          </w:p>
        </w:tc>
        <w:tc>
          <w:tcPr>
            <w:tcW w:w="1960"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74,036,037</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80,646,326</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77,304,390</w:t>
            </w:r>
          </w:p>
        </w:tc>
      </w:tr>
      <w:tr w:rsidR="007022F8" w:rsidRPr="00E315BE" w:rsidTr="001F05DF">
        <w:trPr>
          <w:trHeight w:val="203"/>
          <w:jc w:val="center"/>
        </w:trPr>
        <w:tc>
          <w:tcPr>
            <w:tcW w:w="2632"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Detyrimet Afatshkurtra</w:t>
            </w:r>
          </w:p>
        </w:tc>
        <w:tc>
          <w:tcPr>
            <w:tcW w:w="1960"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23,013,914</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27,005,050</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25,781,732</w:t>
            </w:r>
          </w:p>
        </w:tc>
      </w:tr>
      <w:tr w:rsidR="007022F8" w:rsidRPr="00E315BE" w:rsidTr="001F05DF">
        <w:trPr>
          <w:trHeight w:val="203"/>
          <w:jc w:val="center"/>
        </w:trPr>
        <w:tc>
          <w:tcPr>
            <w:tcW w:w="2632"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Detyrimet Afatgjata</w:t>
            </w:r>
          </w:p>
        </w:tc>
        <w:tc>
          <w:tcPr>
            <w:tcW w:w="1960"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18,701,696</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19,857,749</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i/>
                <w:color w:val="000000"/>
                <w:sz w:val="18"/>
                <w:szCs w:val="18"/>
              </w:rPr>
            </w:pPr>
            <w:r w:rsidRPr="00CF6A7A">
              <w:rPr>
                <w:rFonts w:asciiTheme="majorHAnsi" w:hAnsiTheme="majorHAnsi" w:cs="Calibri"/>
                <w:i/>
                <w:color w:val="000000"/>
                <w:sz w:val="18"/>
                <w:szCs w:val="18"/>
              </w:rPr>
              <w:t>18,799,391</w:t>
            </w:r>
          </w:p>
        </w:tc>
      </w:tr>
      <w:tr w:rsidR="007022F8" w:rsidRPr="00E315BE" w:rsidTr="001F05DF">
        <w:trPr>
          <w:trHeight w:val="203"/>
          <w:jc w:val="center"/>
        </w:trPr>
        <w:tc>
          <w:tcPr>
            <w:tcW w:w="2632"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Total Detyrime</w:t>
            </w:r>
          </w:p>
        </w:tc>
        <w:tc>
          <w:tcPr>
            <w:tcW w:w="1960"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41,715,610</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46,862,799</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44,581,124</w:t>
            </w:r>
          </w:p>
        </w:tc>
      </w:tr>
      <w:tr w:rsidR="007022F8" w:rsidRPr="00E315BE" w:rsidTr="001F05DF">
        <w:trPr>
          <w:trHeight w:val="213"/>
          <w:jc w:val="center"/>
        </w:trPr>
        <w:tc>
          <w:tcPr>
            <w:tcW w:w="2632"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Kapital</w:t>
            </w:r>
          </w:p>
        </w:tc>
        <w:tc>
          <w:tcPr>
            <w:tcW w:w="1960"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32,320,427</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33,783,526</w:t>
            </w:r>
          </w:p>
        </w:tc>
        <w:tc>
          <w:tcPr>
            <w:tcW w:w="1946" w:type="dxa"/>
            <w:shd w:val="clear" w:color="000000" w:fill="FFFFFF"/>
            <w:noWrap/>
            <w:vAlign w:val="center"/>
            <w:hideMark/>
          </w:tcPr>
          <w:p w:rsidR="007022F8" w:rsidRPr="00CF6A7A" w:rsidRDefault="007022F8" w:rsidP="001F05DF">
            <w:pPr>
              <w:spacing w:before="0" w:line="240" w:lineRule="auto"/>
              <w:jc w:val="center"/>
              <w:rPr>
                <w:rFonts w:asciiTheme="majorHAnsi" w:hAnsiTheme="majorHAnsi" w:cs="Calibri"/>
                <w:b/>
                <w:bCs/>
                <w:color w:val="C00000"/>
                <w:sz w:val="18"/>
                <w:szCs w:val="18"/>
              </w:rPr>
            </w:pPr>
            <w:r w:rsidRPr="00CF6A7A">
              <w:rPr>
                <w:rFonts w:asciiTheme="majorHAnsi" w:hAnsiTheme="majorHAnsi" w:cs="Calibri"/>
                <w:b/>
                <w:bCs/>
                <w:color w:val="C00000"/>
                <w:sz w:val="18"/>
                <w:szCs w:val="18"/>
              </w:rPr>
              <w:t>32,723,266</w:t>
            </w:r>
          </w:p>
        </w:tc>
      </w:tr>
    </w:tbl>
    <w:p w:rsidR="00737045" w:rsidRPr="00E315BE" w:rsidRDefault="00737045" w:rsidP="007022F8">
      <w:pPr>
        <w:spacing w:before="240" w:line="240" w:lineRule="auto"/>
        <w:ind w:left="360" w:firstLine="720"/>
        <w:contextualSpacing/>
        <w:rPr>
          <w:rFonts w:asciiTheme="majorHAnsi" w:hAnsiTheme="majorHAnsi"/>
          <w:i/>
          <w:sz w:val="18"/>
          <w:szCs w:val="20"/>
          <w:lang w:val="sq-AL"/>
        </w:rPr>
      </w:pPr>
      <w:r w:rsidRPr="00E315BE">
        <w:rPr>
          <w:rFonts w:asciiTheme="majorHAnsi" w:hAnsiTheme="majorHAnsi"/>
          <w:i/>
          <w:sz w:val="18"/>
          <w:szCs w:val="20"/>
          <w:lang w:val="sq-AL"/>
        </w:rPr>
        <w:t>Burimi: OST Sh.a.</w:t>
      </w:r>
    </w:p>
    <w:p w:rsidR="00737045" w:rsidRDefault="00737045" w:rsidP="00FC729E">
      <w:pPr>
        <w:spacing w:before="240"/>
        <w:contextualSpacing/>
        <w:jc w:val="center"/>
        <w:rPr>
          <w:i/>
          <w:highlight w:val="yellow"/>
          <w:lang w:val="sq-AL"/>
        </w:rPr>
      </w:pPr>
    </w:p>
    <w:p w:rsidR="00497861" w:rsidRPr="003F4C0A" w:rsidRDefault="00497861" w:rsidP="00FC729E">
      <w:pPr>
        <w:spacing w:before="240"/>
        <w:contextualSpacing/>
        <w:jc w:val="center"/>
        <w:rPr>
          <w:i/>
          <w:highlight w:val="yellow"/>
          <w:lang w:val="sq-AL"/>
        </w:rPr>
      </w:pPr>
    </w:p>
    <w:p w:rsidR="00C6090D" w:rsidRPr="00CF6A7A" w:rsidRDefault="00C6090D" w:rsidP="00FC729E">
      <w:pPr>
        <w:pStyle w:val="fiskale3"/>
        <w:rPr>
          <w:rFonts w:ascii="Calibri" w:hAnsi="Calibri" w:cs="Calibri"/>
        </w:rPr>
      </w:pPr>
      <w:bookmarkStart w:id="208" w:name="_Toc104980348"/>
      <w:r w:rsidRPr="00CF6A7A">
        <w:rPr>
          <w:rFonts w:ascii="Calibri" w:hAnsi="Calibri" w:cs="Calibri"/>
        </w:rPr>
        <w:t>Ndërmarrjet e Sektorit të Ujësjellës-Kanalizimeve</w:t>
      </w:r>
      <w:bookmarkEnd w:id="208"/>
    </w:p>
    <w:p w:rsidR="00497861" w:rsidRPr="00497861" w:rsidRDefault="00497861" w:rsidP="00F7775C">
      <w:pPr>
        <w:spacing w:line="240" w:lineRule="auto"/>
        <w:rPr>
          <w:rFonts w:eastAsia="SimSun" w:cs="Calibri"/>
          <w:lang w:val="sq-AL"/>
        </w:rPr>
      </w:pPr>
      <w:r w:rsidRPr="00497861">
        <w:rPr>
          <w:rFonts w:eastAsia="SimSun" w:cs="Calibri"/>
          <w:lang w:val="sq-AL"/>
        </w:rPr>
        <w:t xml:space="preserve">Në kuadër të përmirësimit të monitorimit të ndërmarrjeve shtetërore, Ministria e Financave dhe Ekonomisë, përmes Sektorit të Monitorimit të Risqeve, ka monitoruar disa tregues kryesorë financiarë të ndërmarrjeve të Ujësjellës Kanalizime. Treguesit kryesorë të performancës për 12 mujorin 2022 për ndërmarrjet e U-K të analizuara, tregojnë për një  vijimësi të gjendjes ekzistuese financiare dhe vështirësi në pagimin e detyrimeve dhe mbledhjen e të ardhurave të faturuara korrente dhe të prapambetura, duke sinjalizuar probleme potenciale të likuiditetit në periudhën afashkurtër. Pasojat nga pandemia COVID19 dhe faktorë të tillë si efektet e krizës globale energjetike, lufta në Ukrainë, luhatjet e çmimeve të energjisë, karburanteve dhe inputeve kanë pasur impakt të konsiderueshëm në vështirësitë financiare të ndërmarrjeve U-K. Për rrjedhojë, qeveria nëpërmjet AKUM-it gjatë vitit 2022 i ka shpërndarë shoqërive U-K sh.a një vlerë totale subvencioni prej 360 milion lekë. Ky subvencion shkon kryesisht për ndërmarrjet të cilat nuk arrijnë të mbulojnë koston/shpenzimet e operimit dhe mirëmbajtjes, të cilat u shtuan gjatë periudhës së vështirë ekonomike të shkaktuar nga pandemia dhe krizës aktuale globale financiare. </w:t>
      </w:r>
    </w:p>
    <w:p w:rsidR="00F7775C" w:rsidRDefault="00497861" w:rsidP="00F7775C">
      <w:pPr>
        <w:spacing w:line="240" w:lineRule="auto"/>
        <w:rPr>
          <w:rFonts w:eastAsia="SimSun" w:cs="Calibri"/>
          <w:lang w:val="sq-AL"/>
        </w:rPr>
      </w:pPr>
      <w:r w:rsidRPr="00497861">
        <w:rPr>
          <w:rFonts w:eastAsia="SimSun" w:cs="Calibri"/>
          <w:lang w:val="sq-AL"/>
        </w:rPr>
        <w:t xml:space="preserve">Një problematikë e rëndësishme mbetet edhe stoku i detyrimeve të akumuluara nga ndërmarrjet UK sh.a ndaj sektorit të energjisë. Vlen për t’u theksuar se, në kuadër të reformës në sektorin e energjisë, janë intensifikuar marrëdhëniet dhe bashkëpunimi me institucionet dhe aktorët kryesorë të fushës, Ndërmarrjet UK me Ministrinë e Infrastrukturës dhe Energjisë, si dhe me ndërmarrjet e energjisë. Plani i masave të reduktimit të detyrimeve të prapambetura në sektorin e energjisë elektrike, miratuar me Urdhërin e Përbashkët MIE/MFE nr.304/2020 “Për miratimin e planit të masave të reduktimit të detyrimeve të prapambetura në sektorin e energjisë elektrike”, përfshin në procesin e shlyerjes së detyrimeve të ndërsjella edhe sektorin e ujit. </w:t>
      </w:r>
    </w:p>
    <w:p w:rsidR="00CF6A7A" w:rsidRDefault="00497861" w:rsidP="00F7775C">
      <w:pPr>
        <w:spacing w:line="240" w:lineRule="auto"/>
        <w:rPr>
          <w:rFonts w:eastAsia="SimSun" w:cs="Calibri"/>
          <w:lang w:val="sq-AL"/>
        </w:rPr>
      </w:pPr>
      <w:r w:rsidRPr="00497861">
        <w:rPr>
          <w:rFonts w:eastAsia="SimSun" w:cs="Calibri"/>
          <w:lang w:val="sq-AL"/>
        </w:rPr>
        <w:t>Me qëllim zbatimin me sukses të këtij plani, MIE dhe MFE, bashkëfirmosën Urdhërin e dytë të Përbashkët nr.379/2021 “Mbi zbatimin e planit të masave për reduktimin e detyrimeve të prapambetura në sektorin e energjisë elektrike”. Urdhëri i sipërcituar ngarkon krahas ndërmarrjeve të sektorit energjitik edhe AKUM, për raportimin mujor nga ana e tyre, mbi shlyerjen e detyrimeve të prapambetura dhe statusin e detyrimeve ndërmjet sektorit të energjisë dhe entiteve të tjera publike.</w:t>
      </w:r>
    </w:p>
    <w:p w:rsidR="000B327D" w:rsidRDefault="00497861" w:rsidP="00F7775C">
      <w:pPr>
        <w:spacing w:line="240" w:lineRule="auto"/>
        <w:rPr>
          <w:rFonts w:eastAsia="SimSun" w:cs="Calibri"/>
          <w:bCs/>
          <w:lang w:val="sq-AL"/>
        </w:rPr>
      </w:pPr>
      <w:r w:rsidRPr="00497861">
        <w:rPr>
          <w:rFonts w:eastAsia="SimSun" w:cs="Calibri"/>
          <w:lang w:val="sq-AL"/>
        </w:rPr>
        <w:t>Kështu, për periudhën deri në Dhjetor 2022, Agjencia Kombëtare e Ujësjellës Kanalizime dhe Infrastrukturës së Mbetjeve (AKUM) pas rakordimit të të dhenave me OSHEE Group Sh.a, raporton se detyrimet e akumuluara (principal pa kamata) të ndërmarrjeve të ujësjellës-kanalizimeve rezultojnë të jenë në vlerën 14.01 miliardë Lekë kundrejt rreth 12 miliardë Lekë që ishin në fillim të vitit 2022. Nga totali i detyrimeve principal pa kamata të raportuara, vetëm ndërmarrja e UK Sh.a Durrës ka 4.93 miliard Lekë detyrime të akumuluara në vite. Në tabelën e mëposhtme listohen pesë ndërmarrjet që kanë pjesën më të madhe të detyrimeve ndaj OSHEE Group Sh.a</w:t>
      </w:r>
      <w:r w:rsidR="000B327D" w:rsidRPr="000B327D">
        <w:rPr>
          <w:rFonts w:eastAsia="SimSun" w:cs="Calibri"/>
          <w:bCs/>
          <w:lang w:val="sq-AL"/>
        </w:rPr>
        <w:t xml:space="preserve">. </w:t>
      </w:r>
    </w:p>
    <w:p w:rsidR="00CF6A7A" w:rsidRDefault="00CF6A7A" w:rsidP="00F7775C">
      <w:pPr>
        <w:spacing w:line="240" w:lineRule="auto"/>
        <w:rPr>
          <w:rFonts w:eastAsia="SimSun" w:cs="Calibri"/>
          <w:lang w:val="sq-AL"/>
        </w:rPr>
      </w:pPr>
    </w:p>
    <w:p w:rsidR="00CF6A7A" w:rsidRDefault="00CF6A7A" w:rsidP="00FC729E">
      <w:pPr>
        <w:pStyle w:val="Caption"/>
        <w:spacing w:after="0"/>
      </w:pPr>
      <w:bookmarkStart w:id="209" w:name="_Toc136526494"/>
    </w:p>
    <w:p w:rsidR="000B327D" w:rsidRPr="00DE49E2" w:rsidRDefault="00DE49E2" w:rsidP="00FC729E">
      <w:pPr>
        <w:pStyle w:val="Caption"/>
        <w:spacing w:after="0"/>
      </w:pPr>
      <w:r>
        <w:lastRenderedPageBreak/>
        <w:t xml:space="preserve">Grafiku </w:t>
      </w:r>
      <w:fldSimple w:instr=" SEQ Grafiku \* ARABIC ">
        <w:r w:rsidR="008C3E07">
          <w:rPr>
            <w:noProof/>
          </w:rPr>
          <w:t>49</w:t>
        </w:r>
      </w:fldSimple>
      <w:r>
        <w:t xml:space="preserve"> </w:t>
      </w:r>
      <w:r w:rsidR="000B327D" w:rsidRPr="000B327D">
        <w:rPr>
          <w:rFonts w:cs="Calibri"/>
          <w:color w:val="1F497D"/>
          <w:lang w:val="sq-AL"/>
        </w:rPr>
        <w:t>Stoku i detyrimeve të prapambetura e Sektorit Ujësjellës-Kanalizime ndaj OSHEE Group Sh.a (në ml</w:t>
      </w:r>
      <w:r w:rsidR="003A4E50">
        <w:rPr>
          <w:rFonts w:cs="Calibri"/>
          <w:color w:val="1F497D"/>
          <w:lang w:val="sq-AL"/>
        </w:rPr>
        <w:t>d</w:t>
      </w:r>
      <w:r w:rsidR="000B327D" w:rsidRPr="000B327D">
        <w:rPr>
          <w:rFonts w:cs="Calibri"/>
          <w:color w:val="1F497D"/>
          <w:lang w:val="sq-AL"/>
        </w:rPr>
        <w:t xml:space="preserve"> lekë)</w:t>
      </w:r>
      <w:bookmarkEnd w:id="209"/>
    </w:p>
    <w:tbl>
      <w:tblPr>
        <w:tblStyle w:val="GridTable4-Accent112"/>
        <w:tblpPr w:leftFromText="180" w:rightFromText="180" w:vertAnchor="text" w:horzAnchor="margin" w:tblpXSpec="center" w:tblpY="101"/>
        <w:tblW w:w="8354" w:type="dxa"/>
        <w:tblLook w:val="04A0" w:firstRow="1" w:lastRow="0" w:firstColumn="1" w:lastColumn="0" w:noHBand="0" w:noVBand="1"/>
      </w:tblPr>
      <w:tblGrid>
        <w:gridCol w:w="5141"/>
        <w:gridCol w:w="3213"/>
      </w:tblGrid>
      <w:tr w:rsidR="00A366EC" w:rsidRPr="00F72F5A" w:rsidTr="00B06D74">
        <w:trPr>
          <w:cnfStyle w:val="100000000000" w:firstRow="1" w:lastRow="0" w:firstColumn="0" w:lastColumn="0" w:oddVBand="0" w:evenVBand="0" w:oddHBand="0"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5141" w:type="dxa"/>
            <w:tcBorders>
              <w:bottom w:val="single" w:sz="4" w:space="0" w:color="95B3D7"/>
              <w:right w:val="single" w:sz="4" w:space="0" w:color="95B3D7"/>
            </w:tcBorders>
            <w:shd w:val="clear" w:color="auto" w:fill="548DD4"/>
            <w:noWrap/>
            <w:hideMark/>
          </w:tcPr>
          <w:p w:rsidR="00A366EC" w:rsidRPr="00F72F5A" w:rsidRDefault="00A366EC" w:rsidP="00A366EC">
            <w:pPr>
              <w:spacing w:before="0" w:line="240" w:lineRule="auto"/>
              <w:jc w:val="center"/>
              <w:rPr>
                <w:rFonts w:asciiTheme="majorHAnsi" w:hAnsiTheme="majorHAnsi" w:cstheme="majorHAnsi"/>
                <w:sz w:val="20"/>
                <w:szCs w:val="20"/>
                <w:u w:val="single"/>
                <w:lang w:val="sq-AL"/>
              </w:rPr>
            </w:pPr>
            <w:r w:rsidRPr="00F72F5A">
              <w:rPr>
                <w:rFonts w:asciiTheme="majorHAnsi" w:hAnsiTheme="majorHAnsi" w:cstheme="majorHAnsi"/>
                <w:sz w:val="20"/>
                <w:szCs w:val="20"/>
                <w:u w:val="single"/>
                <w:lang w:val="sq-AL"/>
              </w:rPr>
              <w:t>5 UK kryesore me detyrime ndaj OSHEE Group</w:t>
            </w:r>
          </w:p>
        </w:tc>
        <w:tc>
          <w:tcPr>
            <w:tcW w:w="3213" w:type="dxa"/>
            <w:tcBorders>
              <w:left w:val="single" w:sz="4" w:space="0" w:color="95B3D7"/>
              <w:bottom w:val="single" w:sz="4" w:space="0" w:color="95B3D7"/>
            </w:tcBorders>
            <w:shd w:val="clear" w:color="auto" w:fill="548DD4"/>
            <w:hideMark/>
          </w:tcPr>
          <w:p w:rsidR="00A366EC" w:rsidRPr="00F72F5A" w:rsidRDefault="00A366EC" w:rsidP="00A366EC">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0"/>
                <w:szCs w:val="20"/>
                <w:u w:val="single"/>
                <w:lang w:val="sq-AL"/>
              </w:rPr>
            </w:pPr>
            <w:r w:rsidRPr="006351C8">
              <w:rPr>
                <w:rFonts w:asciiTheme="majorHAnsi" w:hAnsiTheme="majorHAnsi" w:cstheme="majorHAnsi"/>
                <w:sz w:val="20"/>
                <w:szCs w:val="20"/>
                <w:u w:val="single"/>
                <w:lang w:val="sq-AL"/>
              </w:rPr>
              <w:t>8</w:t>
            </w:r>
            <w:r w:rsidRPr="00F72F5A">
              <w:rPr>
                <w:rFonts w:asciiTheme="majorHAnsi" w:hAnsiTheme="majorHAnsi" w:cstheme="majorHAnsi"/>
                <w:sz w:val="20"/>
                <w:szCs w:val="20"/>
                <w:u w:val="single"/>
                <w:lang w:val="sq-AL"/>
              </w:rPr>
              <w:t>.</w:t>
            </w:r>
            <w:r w:rsidRPr="006351C8">
              <w:rPr>
                <w:rFonts w:asciiTheme="majorHAnsi" w:hAnsiTheme="majorHAnsi" w:cstheme="majorHAnsi"/>
                <w:sz w:val="20"/>
                <w:szCs w:val="20"/>
                <w:u w:val="single"/>
                <w:lang w:val="sq-AL"/>
              </w:rPr>
              <w:t>76</w:t>
            </w:r>
          </w:p>
        </w:tc>
      </w:tr>
      <w:tr w:rsidR="00A366EC" w:rsidRPr="00F72F5A" w:rsidTr="00B06D74">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5141" w:type="dxa"/>
            <w:tcBorders>
              <w:top w:val="single" w:sz="4" w:space="0" w:color="95B3D7"/>
              <w:left w:val="single" w:sz="4" w:space="0" w:color="95B3D7"/>
              <w:bottom w:val="nil"/>
              <w:right w:val="single" w:sz="4" w:space="0" w:color="95B3D7"/>
            </w:tcBorders>
            <w:noWrap/>
            <w:hideMark/>
          </w:tcPr>
          <w:p w:rsidR="00A366EC" w:rsidRPr="00F72F5A" w:rsidRDefault="00A366EC" w:rsidP="00A366EC">
            <w:pPr>
              <w:spacing w:before="0" w:line="240" w:lineRule="auto"/>
              <w:jc w:val="center"/>
              <w:rPr>
                <w:rFonts w:asciiTheme="majorHAnsi" w:hAnsiTheme="majorHAnsi" w:cstheme="majorHAnsi"/>
                <w:sz w:val="18"/>
                <w:szCs w:val="20"/>
              </w:rPr>
            </w:pPr>
            <w:r w:rsidRPr="00F72F5A">
              <w:rPr>
                <w:rFonts w:asciiTheme="majorHAnsi" w:hAnsiTheme="majorHAnsi" w:cstheme="majorHAnsi"/>
                <w:sz w:val="18"/>
                <w:szCs w:val="20"/>
              </w:rPr>
              <w:t>Durrës UK Sh.a</w:t>
            </w:r>
          </w:p>
        </w:tc>
        <w:tc>
          <w:tcPr>
            <w:tcW w:w="3213" w:type="dxa"/>
            <w:tcBorders>
              <w:top w:val="single" w:sz="4" w:space="0" w:color="95B3D7"/>
              <w:left w:val="single" w:sz="4" w:space="0" w:color="95B3D7"/>
              <w:bottom w:val="nil"/>
              <w:right w:val="single" w:sz="4" w:space="0" w:color="95B3D7"/>
            </w:tcBorders>
            <w:noWrap/>
            <w:hideMark/>
          </w:tcPr>
          <w:p w:rsidR="00A366EC" w:rsidRPr="00F72F5A" w:rsidRDefault="00A366EC" w:rsidP="00A366EC">
            <w:pPr>
              <w:tabs>
                <w:tab w:val="left" w:pos="1950"/>
                <w:tab w:val="center" w:pos="2152"/>
              </w:tabs>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20"/>
              </w:rPr>
            </w:pPr>
            <w:r w:rsidRPr="006351C8">
              <w:rPr>
                <w:rFonts w:asciiTheme="majorHAnsi" w:hAnsiTheme="majorHAnsi" w:cstheme="majorHAnsi"/>
                <w:sz w:val="18"/>
                <w:szCs w:val="20"/>
              </w:rPr>
              <w:t>4.93</w:t>
            </w:r>
          </w:p>
        </w:tc>
      </w:tr>
      <w:tr w:rsidR="00A366EC" w:rsidRPr="00F72F5A" w:rsidTr="00B06D74">
        <w:trPr>
          <w:trHeight w:val="330"/>
        </w:trPr>
        <w:tc>
          <w:tcPr>
            <w:cnfStyle w:val="001000000000" w:firstRow="0" w:lastRow="0" w:firstColumn="1" w:lastColumn="0" w:oddVBand="0" w:evenVBand="0" w:oddHBand="0" w:evenHBand="0" w:firstRowFirstColumn="0" w:firstRowLastColumn="0" w:lastRowFirstColumn="0" w:lastRowLastColumn="0"/>
            <w:tcW w:w="5141" w:type="dxa"/>
            <w:tcBorders>
              <w:top w:val="nil"/>
              <w:left w:val="single" w:sz="4" w:space="0" w:color="95B3D7"/>
              <w:bottom w:val="nil"/>
              <w:right w:val="single" w:sz="4" w:space="0" w:color="95B3D7"/>
            </w:tcBorders>
            <w:noWrap/>
            <w:hideMark/>
          </w:tcPr>
          <w:p w:rsidR="00A366EC" w:rsidRPr="00F72F5A" w:rsidRDefault="00A366EC" w:rsidP="00A366EC">
            <w:pPr>
              <w:spacing w:before="0" w:line="240" w:lineRule="auto"/>
              <w:jc w:val="center"/>
              <w:rPr>
                <w:rFonts w:asciiTheme="majorHAnsi" w:hAnsiTheme="majorHAnsi" w:cstheme="majorHAnsi"/>
                <w:sz w:val="18"/>
                <w:szCs w:val="20"/>
              </w:rPr>
            </w:pPr>
            <w:r w:rsidRPr="00F72F5A">
              <w:rPr>
                <w:rFonts w:asciiTheme="majorHAnsi" w:hAnsiTheme="majorHAnsi" w:cstheme="majorHAnsi"/>
                <w:sz w:val="18"/>
                <w:szCs w:val="20"/>
              </w:rPr>
              <w:t>Vlorë UK Sh.a</w:t>
            </w:r>
          </w:p>
        </w:tc>
        <w:tc>
          <w:tcPr>
            <w:tcW w:w="3213" w:type="dxa"/>
            <w:tcBorders>
              <w:top w:val="nil"/>
              <w:left w:val="single" w:sz="4" w:space="0" w:color="95B3D7"/>
              <w:bottom w:val="nil"/>
              <w:right w:val="single" w:sz="4" w:space="0" w:color="95B3D7"/>
            </w:tcBorders>
            <w:noWrap/>
            <w:hideMark/>
          </w:tcPr>
          <w:p w:rsidR="00A366EC" w:rsidRPr="00F72F5A" w:rsidRDefault="00A366EC" w:rsidP="00A366EC">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20"/>
              </w:rPr>
            </w:pPr>
            <w:r w:rsidRPr="006351C8">
              <w:rPr>
                <w:rFonts w:asciiTheme="majorHAnsi" w:hAnsiTheme="majorHAnsi" w:cstheme="majorHAnsi"/>
                <w:sz w:val="18"/>
                <w:szCs w:val="20"/>
              </w:rPr>
              <w:t>1.44</w:t>
            </w:r>
          </w:p>
        </w:tc>
      </w:tr>
      <w:tr w:rsidR="00A366EC" w:rsidRPr="00F72F5A" w:rsidTr="00B06D74">
        <w:trPr>
          <w:cnfStyle w:val="000000100000" w:firstRow="0" w:lastRow="0" w:firstColumn="0" w:lastColumn="0" w:oddVBand="0" w:evenVBand="0" w:oddHBand="1" w:evenHBand="0" w:firstRowFirstColumn="0" w:firstRowLastColumn="0" w:lastRowFirstColumn="0" w:lastRowLastColumn="0"/>
          <w:trHeight w:val="306"/>
        </w:trPr>
        <w:tc>
          <w:tcPr>
            <w:cnfStyle w:val="001000000000" w:firstRow="0" w:lastRow="0" w:firstColumn="1" w:lastColumn="0" w:oddVBand="0" w:evenVBand="0" w:oddHBand="0" w:evenHBand="0" w:firstRowFirstColumn="0" w:firstRowLastColumn="0" w:lastRowFirstColumn="0" w:lastRowLastColumn="0"/>
            <w:tcW w:w="5141" w:type="dxa"/>
            <w:tcBorders>
              <w:top w:val="nil"/>
              <w:left w:val="single" w:sz="4" w:space="0" w:color="95B3D7"/>
              <w:bottom w:val="nil"/>
              <w:right w:val="single" w:sz="4" w:space="0" w:color="95B3D7"/>
            </w:tcBorders>
            <w:noWrap/>
            <w:hideMark/>
          </w:tcPr>
          <w:p w:rsidR="00A366EC" w:rsidRPr="00F72F5A" w:rsidRDefault="00A366EC" w:rsidP="00A366EC">
            <w:pPr>
              <w:spacing w:before="0" w:line="240" w:lineRule="auto"/>
              <w:jc w:val="center"/>
              <w:rPr>
                <w:rFonts w:asciiTheme="majorHAnsi" w:hAnsiTheme="majorHAnsi" w:cstheme="majorHAnsi"/>
                <w:sz w:val="18"/>
                <w:szCs w:val="20"/>
              </w:rPr>
            </w:pPr>
            <w:r w:rsidRPr="00F72F5A">
              <w:rPr>
                <w:rFonts w:asciiTheme="majorHAnsi" w:hAnsiTheme="majorHAnsi" w:cstheme="majorHAnsi"/>
                <w:sz w:val="18"/>
                <w:szCs w:val="20"/>
              </w:rPr>
              <w:t>Patos UK Sh.a</w:t>
            </w:r>
          </w:p>
        </w:tc>
        <w:tc>
          <w:tcPr>
            <w:tcW w:w="3213" w:type="dxa"/>
            <w:tcBorders>
              <w:top w:val="nil"/>
              <w:left w:val="single" w:sz="4" w:space="0" w:color="95B3D7"/>
              <w:bottom w:val="nil"/>
              <w:right w:val="single" w:sz="4" w:space="0" w:color="95B3D7"/>
            </w:tcBorders>
            <w:noWrap/>
            <w:hideMark/>
          </w:tcPr>
          <w:p w:rsidR="00A366EC" w:rsidRPr="00F72F5A" w:rsidRDefault="00A366EC" w:rsidP="00A366EC">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20"/>
              </w:rPr>
            </w:pPr>
            <w:r w:rsidRPr="006351C8">
              <w:rPr>
                <w:rFonts w:asciiTheme="majorHAnsi" w:hAnsiTheme="majorHAnsi" w:cstheme="majorHAnsi"/>
                <w:sz w:val="18"/>
                <w:szCs w:val="20"/>
              </w:rPr>
              <w:t>0.86</w:t>
            </w:r>
          </w:p>
        </w:tc>
      </w:tr>
      <w:tr w:rsidR="00A366EC" w:rsidRPr="00F72F5A" w:rsidTr="00B06D74">
        <w:trPr>
          <w:trHeight w:val="330"/>
        </w:trPr>
        <w:tc>
          <w:tcPr>
            <w:cnfStyle w:val="001000000000" w:firstRow="0" w:lastRow="0" w:firstColumn="1" w:lastColumn="0" w:oddVBand="0" w:evenVBand="0" w:oddHBand="0" w:evenHBand="0" w:firstRowFirstColumn="0" w:firstRowLastColumn="0" w:lastRowFirstColumn="0" w:lastRowLastColumn="0"/>
            <w:tcW w:w="5141" w:type="dxa"/>
            <w:tcBorders>
              <w:top w:val="nil"/>
              <w:left w:val="single" w:sz="4" w:space="0" w:color="95B3D7"/>
              <w:bottom w:val="nil"/>
              <w:right w:val="single" w:sz="4" w:space="0" w:color="95B3D7"/>
            </w:tcBorders>
            <w:noWrap/>
            <w:hideMark/>
          </w:tcPr>
          <w:p w:rsidR="00A366EC" w:rsidRPr="00F72F5A" w:rsidRDefault="00A366EC" w:rsidP="00A366EC">
            <w:pPr>
              <w:spacing w:before="0" w:line="240" w:lineRule="auto"/>
              <w:jc w:val="center"/>
              <w:rPr>
                <w:rFonts w:asciiTheme="majorHAnsi" w:hAnsiTheme="majorHAnsi" w:cstheme="majorHAnsi"/>
                <w:sz w:val="18"/>
                <w:szCs w:val="20"/>
              </w:rPr>
            </w:pPr>
            <w:r w:rsidRPr="00F72F5A">
              <w:rPr>
                <w:rFonts w:asciiTheme="majorHAnsi" w:hAnsiTheme="majorHAnsi" w:cstheme="majorHAnsi"/>
                <w:sz w:val="18"/>
                <w:szCs w:val="20"/>
              </w:rPr>
              <w:t>Fier UK Sh.a</w:t>
            </w:r>
          </w:p>
        </w:tc>
        <w:tc>
          <w:tcPr>
            <w:tcW w:w="3213" w:type="dxa"/>
            <w:tcBorders>
              <w:top w:val="nil"/>
              <w:left w:val="single" w:sz="4" w:space="0" w:color="95B3D7"/>
              <w:bottom w:val="nil"/>
              <w:right w:val="single" w:sz="4" w:space="0" w:color="95B3D7"/>
            </w:tcBorders>
            <w:noWrap/>
            <w:hideMark/>
          </w:tcPr>
          <w:p w:rsidR="00A366EC" w:rsidRPr="00F72F5A" w:rsidRDefault="00A366EC" w:rsidP="00A366EC">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18"/>
                <w:szCs w:val="20"/>
              </w:rPr>
            </w:pPr>
            <w:r w:rsidRPr="006351C8">
              <w:rPr>
                <w:rFonts w:asciiTheme="majorHAnsi" w:hAnsiTheme="majorHAnsi" w:cstheme="majorHAnsi"/>
                <w:sz w:val="18"/>
                <w:szCs w:val="20"/>
              </w:rPr>
              <w:t>0.77</w:t>
            </w:r>
          </w:p>
        </w:tc>
      </w:tr>
      <w:tr w:rsidR="00A366EC" w:rsidRPr="00F72F5A" w:rsidTr="00B06D74">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141" w:type="dxa"/>
            <w:tcBorders>
              <w:top w:val="nil"/>
              <w:left w:val="single" w:sz="4" w:space="0" w:color="95B3D7"/>
              <w:bottom w:val="single" w:sz="4" w:space="0" w:color="95B3D7"/>
              <w:right w:val="single" w:sz="4" w:space="0" w:color="95B3D7"/>
            </w:tcBorders>
            <w:noWrap/>
            <w:hideMark/>
          </w:tcPr>
          <w:p w:rsidR="00A366EC" w:rsidRPr="00F72F5A" w:rsidRDefault="00A366EC" w:rsidP="00A366EC">
            <w:pPr>
              <w:spacing w:before="0" w:line="240" w:lineRule="auto"/>
              <w:jc w:val="center"/>
              <w:rPr>
                <w:rFonts w:asciiTheme="majorHAnsi" w:hAnsiTheme="majorHAnsi" w:cstheme="majorHAnsi"/>
                <w:sz w:val="18"/>
                <w:szCs w:val="20"/>
              </w:rPr>
            </w:pPr>
            <w:r w:rsidRPr="00F72F5A">
              <w:rPr>
                <w:rFonts w:asciiTheme="majorHAnsi" w:hAnsiTheme="majorHAnsi" w:cstheme="majorHAnsi"/>
                <w:sz w:val="18"/>
                <w:szCs w:val="20"/>
              </w:rPr>
              <w:t>Kavajë UK Sh.a</w:t>
            </w:r>
          </w:p>
        </w:tc>
        <w:tc>
          <w:tcPr>
            <w:tcW w:w="3213" w:type="dxa"/>
            <w:tcBorders>
              <w:top w:val="nil"/>
              <w:left w:val="single" w:sz="4" w:space="0" w:color="95B3D7"/>
              <w:bottom w:val="single" w:sz="4" w:space="0" w:color="95B3D7"/>
              <w:right w:val="single" w:sz="4" w:space="0" w:color="95B3D7"/>
            </w:tcBorders>
            <w:noWrap/>
            <w:hideMark/>
          </w:tcPr>
          <w:p w:rsidR="00A366EC" w:rsidRPr="00F72F5A" w:rsidRDefault="00A366EC" w:rsidP="00A366EC">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18"/>
                <w:szCs w:val="20"/>
              </w:rPr>
            </w:pPr>
            <w:r w:rsidRPr="006351C8">
              <w:rPr>
                <w:rFonts w:asciiTheme="majorHAnsi" w:hAnsiTheme="majorHAnsi" w:cstheme="majorHAnsi"/>
                <w:sz w:val="18"/>
                <w:szCs w:val="20"/>
              </w:rPr>
              <w:t>0.76</w:t>
            </w:r>
          </w:p>
        </w:tc>
      </w:tr>
    </w:tbl>
    <w:p w:rsidR="000B327D" w:rsidRDefault="000B327D" w:rsidP="00A366EC">
      <w:pPr>
        <w:spacing w:before="0" w:line="240" w:lineRule="auto"/>
        <w:jc w:val="center"/>
        <w:rPr>
          <w:rFonts w:eastAsia="SimSun" w:cs="Calibri"/>
          <w:i/>
          <w:sz w:val="18"/>
          <w:szCs w:val="18"/>
          <w:lang w:val="sq-AL"/>
        </w:rPr>
      </w:pPr>
    </w:p>
    <w:p w:rsidR="000B327D" w:rsidRPr="00136CF9" w:rsidRDefault="000B327D" w:rsidP="00FC729E">
      <w:pPr>
        <w:spacing w:before="0"/>
        <w:ind w:left="720" w:firstLine="720"/>
        <w:rPr>
          <w:rFonts w:eastAsia="SimSun" w:cs="Calibri"/>
          <w:i/>
          <w:sz w:val="18"/>
          <w:szCs w:val="18"/>
          <w:lang w:val="sq-AL"/>
        </w:rPr>
      </w:pPr>
      <w:r w:rsidRPr="00136CF9">
        <w:rPr>
          <w:rFonts w:eastAsia="SimSun" w:cs="Calibri"/>
          <w:i/>
          <w:sz w:val="18"/>
          <w:szCs w:val="18"/>
          <w:lang w:val="sq-AL"/>
        </w:rPr>
        <w:t xml:space="preserve">Burimi: </w:t>
      </w:r>
      <w:r w:rsidR="003A4E50">
        <w:rPr>
          <w:rFonts w:eastAsia="SimSun" w:cs="Calibri"/>
          <w:i/>
          <w:sz w:val="18"/>
          <w:szCs w:val="18"/>
          <w:lang w:val="sq-AL"/>
        </w:rPr>
        <w:t>AKUM</w:t>
      </w:r>
      <w:r w:rsidRPr="00136CF9">
        <w:rPr>
          <w:rFonts w:eastAsia="SimSun" w:cs="Calibri"/>
          <w:i/>
          <w:sz w:val="18"/>
          <w:szCs w:val="18"/>
          <w:lang w:val="sq-AL"/>
        </w:rPr>
        <w:t xml:space="preserve"> (202</w:t>
      </w:r>
      <w:r w:rsidR="00A366EC">
        <w:rPr>
          <w:rFonts w:eastAsia="SimSun" w:cs="Calibri"/>
          <w:i/>
          <w:sz w:val="18"/>
          <w:szCs w:val="18"/>
          <w:lang w:val="sq-AL"/>
        </w:rPr>
        <w:t>3</w:t>
      </w:r>
      <w:r w:rsidRPr="00136CF9">
        <w:rPr>
          <w:rFonts w:eastAsia="SimSun" w:cs="Calibri"/>
          <w:i/>
          <w:sz w:val="18"/>
          <w:szCs w:val="18"/>
          <w:lang w:val="sq-AL"/>
        </w:rPr>
        <w:t>)</w:t>
      </w:r>
    </w:p>
    <w:p w:rsidR="000B327D" w:rsidRDefault="00F7775C" w:rsidP="00F7775C">
      <w:pPr>
        <w:spacing w:after="120" w:line="240" w:lineRule="auto"/>
        <w:rPr>
          <w:rFonts w:eastAsia="SimSun" w:cs="Calibri"/>
          <w:bCs/>
          <w:lang w:val="sq-AL"/>
        </w:rPr>
      </w:pPr>
      <w:r w:rsidRPr="00673467">
        <w:rPr>
          <w:rFonts w:eastAsia="SimSun" w:cs="Calibri"/>
          <w:bCs/>
          <w:lang w:val="sq-AL"/>
        </w:rPr>
        <w:t>Akumulimi i detyrimeve të prapambetura</w:t>
      </w:r>
      <w:r>
        <w:rPr>
          <w:rFonts w:eastAsia="SimSun" w:cs="Calibri"/>
          <w:bCs/>
          <w:lang w:val="sq-AL"/>
        </w:rPr>
        <w:t xml:space="preserve"> vazhdon trendin rritës, </w:t>
      </w:r>
      <w:r w:rsidRPr="00673467">
        <w:rPr>
          <w:rFonts w:eastAsia="SimSun" w:cs="Calibri"/>
          <w:bCs/>
          <w:lang w:val="sq-AL"/>
        </w:rPr>
        <w:t>kryesisht për shkak të performancës së ulët të shumi</w:t>
      </w:r>
      <w:r>
        <w:rPr>
          <w:rFonts w:eastAsia="SimSun" w:cs="Calibri"/>
          <w:bCs/>
          <w:lang w:val="sq-AL"/>
        </w:rPr>
        <w:t>cës së shoqërive UK Sh.a</w:t>
      </w:r>
      <w:r w:rsidRPr="00673467">
        <w:rPr>
          <w:rFonts w:eastAsia="SimSun" w:cs="Calibri"/>
          <w:bCs/>
          <w:lang w:val="sq-AL"/>
        </w:rPr>
        <w:t>.</w:t>
      </w:r>
      <w:r w:rsidRPr="00A40294">
        <w:rPr>
          <w:rFonts w:eastAsia="SimSun" w:cs="Calibri"/>
          <w:bCs/>
          <w:lang w:val="sq-AL"/>
        </w:rPr>
        <w:t xml:space="preserve"> </w:t>
      </w:r>
      <w:r>
        <w:rPr>
          <w:rFonts w:eastAsia="SimSun" w:cs="Calibri"/>
          <w:bCs/>
          <w:lang w:val="sq-AL"/>
        </w:rPr>
        <w:t xml:space="preserve">Nisur nga kjo, ka startuar aktualisht procesi i reformimit dhe riorganizimit të sektorit të Ujit, në përputhje me </w:t>
      </w:r>
      <w:r w:rsidRPr="00A40294">
        <w:rPr>
          <w:rFonts w:eastAsia="SimSun" w:cs="Calibri"/>
          <w:bCs/>
          <w:lang w:val="sq-AL"/>
        </w:rPr>
        <w:t>Strategjin</w:t>
      </w:r>
      <w:r>
        <w:rPr>
          <w:rFonts w:eastAsia="SimSun" w:cs="Calibri"/>
          <w:bCs/>
          <w:lang w:val="sq-AL"/>
        </w:rPr>
        <w:t>ë</w:t>
      </w:r>
      <w:r w:rsidRPr="00A40294">
        <w:rPr>
          <w:rFonts w:eastAsia="SimSun" w:cs="Calibri"/>
          <w:bCs/>
          <w:lang w:val="sq-AL"/>
        </w:rPr>
        <w:t xml:space="preserve"> Kombëtare të Sektorit të Furnizimit me Ujë dhe Kanalizimeve</w:t>
      </w:r>
      <w:r>
        <w:rPr>
          <w:rFonts w:eastAsia="SimSun" w:cs="Calibri"/>
          <w:bCs/>
          <w:lang w:val="sq-AL"/>
        </w:rPr>
        <w:t xml:space="preserve"> </w:t>
      </w:r>
      <w:r w:rsidRPr="00A40294">
        <w:rPr>
          <w:rFonts w:eastAsia="SimSun" w:cs="Calibri"/>
          <w:bCs/>
          <w:lang w:val="sq-AL"/>
        </w:rPr>
        <w:t>2020-2030</w:t>
      </w:r>
      <w:r>
        <w:rPr>
          <w:rFonts w:eastAsia="SimSun" w:cs="Calibri"/>
          <w:bCs/>
          <w:lang w:val="sq-AL"/>
        </w:rPr>
        <w:t>. Synimi është ridimensionimi i 58</w:t>
      </w:r>
      <w:r w:rsidRPr="00A51114">
        <w:rPr>
          <w:rFonts w:eastAsia="SimSun" w:cs="Calibri"/>
          <w:bCs/>
          <w:lang w:val="sq-AL"/>
        </w:rPr>
        <w:t xml:space="preserve"> ndërmarrje</w:t>
      </w:r>
      <w:r>
        <w:rPr>
          <w:rFonts w:eastAsia="SimSun" w:cs="Calibri"/>
          <w:bCs/>
          <w:lang w:val="sq-AL"/>
        </w:rPr>
        <w:t xml:space="preserve">ve UK </w:t>
      </w:r>
      <w:r w:rsidRPr="00A51114">
        <w:rPr>
          <w:rFonts w:eastAsia="SimSun" w:cs="Calibri"/>
          <w:bCs/>
          <w:lang w:val="sq-AL"/>
        </w:rPr>
        <w:t>aktuale</w:t>
      </w:r>
      <w:r>
        <w:rPr>
          <w:rFonts w:eastAsia="SimSun" w:cs="Calibri"/>
          <w:bCs/>
          <w:lang w:val="sq-AL"/>
        </w:rPr>
        <w:t>,</w:t>
      </w:r>
      <w:r w:rsidRPr="00A51114">
        <w:rPr>
          <w:rFonts w:eastAsia="SimSun" w:cs="Calibri"/>
          <w:bCs/>
          <w:lang w:val="sq-AL"/>
        </w:rPr>
        <w:t xml:space="preserve"> </w:t>
      </w:r>
      <w:r>
        <w:rPr>
          <w:rFonts w:eastAsia="SimSun" w:cs="Calibri"/>
          <w:bCs/>
          <w:lang w:val="sq-AL"/>
        </w:rPr>
        <w:t>përmes rigrupimit të tyre në 15 shoqëri SKP-UK rajonale, me qëllim</w:t>
      </w:r>
      <w:r w:rsidRPr="00A51114">
        <w:rPr>
          <w:rFonts w:eastAsia="SimSun" w:cs="Calibri"/>
          <w:bCs/>
          <w:lang w:val="sq-AL"/>
        </w:rPr>
        <w:t xml:space="preserve"> </w:t>
      </w:r>
      <w:r>
        <w:rPr>
          <w:rFonts w:eastAsia="SimSun" w:cs="Calibri"/>
          <w:bCs/>
          <w:lang w:val="sq-AL"/>
        </w:rPr>
        <w:t xml:space="preserve">final </w:t>
      </w:r>
      <w:r w:rsidRPr="00A51114">
        <w:rPr>
          <w:rFonts w:eastAsia="SimSun" w:cs="Calibri"/>
          <w:bCs/>
          <w:lang w:val="sq-AL"/>
        </w:rPr>
        <w:t>menaxhimi</w:t>
      </w:r>
      <w:r>
        <w:rPr>
          <w:rFonts w:eastAsia="SimSun" w:cs="Calibri"/>
          <w:bCs/>
          <w:lang w:val="sq-AL"/>
        </w:rPr>
        <w:t>n optimal</w:t>
      </w:r>
      <w:r w:rsidRPr="00A51114">
        <w:rPr>
          <w:rFonts w:eastAsia="SimSun" w:cs="Calibri"/>
          <w:bCs/>
          <w:lang w:val="sq-AL"/>
        </w:rPr>
        <w:t xml:space="preserve"> dhe rritje</w:t>
      </w:r>
      <w:r>
        <w:rPr>
          <w:rFonts w:eastAsia="SimSun" w:cs="Calibri"/>
          <w:bCs/>
          <w:lang w:val="sq-AL"/>
        </w:rPr>
        <w:t>n</w:t>
      </w:r>
      <w:r w:rsidRPr="00A51114">
        <w:rPr>
          <w:rFonts w:eastAsia="SimSun" w:cs="Calibri"/>
          <w:bCs/>
          <w:lang w:val="sq-AL"/>
        </w:rPr>
        <w:t xml:space="preserve"> </w:t>
      </w:r>
      <w:r>
        <w:rPr>
          <w:rFonts w:eastAsia="SimSun" w:cs="Calibri"/>
          <w:bCs/>
          <w:lang w:val="sq-AL"/>
        </w:rPr>
        <w:t>e</w:t>
      </w:r>
      <w:r w:rsidRPr="00A51114">
        <w:rPr>
          <w:rFonts w:eastAsia="SimSun" w:cs="Calibri"/>
          <w:bCs/>
          <w:lang w:val="sq-AL"/>
        </w:rPr>
        <w:t xml:space="preserve"> performanc</w:t>
      </w:r>
      <w:r>
        <w:rPr>
          <w:rFonts w:eastAsia="SimSun" w:cs="Calibri"/>
          <w:bCs/>
          <w:lang w:val="sq-AL"/>
        </w:rPr>
        <w:t>ë</w:t>
      </w:r>
      <w:r w:rsidRPr="00A51114">
        <w:rPr>
          <w:rFonts w:eastAsia="SimSun" w:cs="Calibri"/>
          <w:bCs/>
          <w:lang w:val="sq-AL"/>
        </w:rPr>
        <w:t>s së tyre financiare</w:t>
      </w:r>
      <w:r>
        <w:rPr>
          <w:rFonts w:eastAsia="SimSun" w:cs="Calibri"/>
          <w:bCs/>
          <w:lang w:val="sq-AL"/>
        </w:rPr>
        <w:t xml:space="preserve"> </w:t>
      </w:r>
      <w:r w:rsidRPr="004D0627">
        <w:rPr>
          <w:rFonts w:eastAsia="SimSun" w:cs="Calibri"/>
          <w:bCs/>
          <w:lang w:val="sq-AL"/>
        </w:rPr>
        <w:t xml:space="preserve">në zbatim të VKM nr. </w:t>
      </w:r>
      <w:r>
        <w:rPr>
          <w:rFonts w:eastAsia="SimSun" w:cs="Calibri"/>
          <w:bCs/>
          <w:lang w:val="sq-AL"/>
        </w:rPr>
        <w:t>302</w:t>
      </w:r>
      <w:r w:rsidRPr="004D0627">
        <w:rPr>
          <w:rFonts w:eastAsia="SimSun" w:cs="Calibri"/>
          <w:bCs/>
          <w:lang w:val="sq-AL"/>
        </w:rPr>
        <w:t xml:space="preserve">, datë </w:t>
      </w:r>
      <w:r>
        <w:rPr>
          <w:rFonts w:eastAsia="SimSun" w:cs="Calibri"/>
          <w:bCs/>
          <w:lang w:val="sq-AL"/>
        </w:rPr>
        <w:t>11</w:t>
      </w:r>
      <w:r w:rsidRPr="004D0627">
        <w:rPr>
          <w:rFonts w:eastAsia="SimSun" w:cs="Calibri"/>
          <w:bCs/>
          <w:lang w:val="sq-AL"/>
        </w:rPr>
        <w:t>.</w:t>
      </w:r>
      <w:r>
        <w:rPr>
          <w:rFonts w:eastAsia="SimSun" w:cs="Calibri"/>
          <w:bCs/>
          <w:lang w:val="sq-AL"/>
        </w:rPr>
        <w:t>05</w:t>
      </w:r>
      <w:r w:rsidRPr="004D0627">
        <w:rPr>
          <w:rFonts w:eastAsia="SimSun" w:cs="Calibri"/>
          <w:bCs/>
          <w:lang w:val="sq-AL"/>
        </w:rPr>
        <w:t>.2022 “</w:t>
      </w:r>
      <w:r w:rsidRPr="008928B4">
        <w:rPr>
          <w:rFonts w:eastAsia="SimSun" w:cs="Calibri"/>
          <w:bCs/>
          <w:i/>
          <w:iCs/>
          <w:lang w:val="sq-AL"/>
        </w:rPr>
        <w:t>Për politikat kombëtare për riorganizimin e sektorit të furnizimit me ujë dhe të largimit, trajtimit dhe përpunimit të ujërave të ndotura</w:t>
      </w:r>
      <w:r w:rsidRPr="004D0627">
        <w:rPr>
          <w:rFonts w:eastAsia="SimSun" w:cs="Calibri"/>
          <w:bCs/>
          <w:lang w:val="sq-AL"/>
        </w:rPr>
        <w:t>”</w:t>
      </w:r>
      <w:r w:rsidR="000B327D" w:rsidRPr="00A51114">
        <w:rPr>
          <w:rFonts w:eastAsia="SimSun" w:cs="Calibri"/>
          <w:bCs/>
          <w:lang w:val="sq-AL"/>
        </w:rPr>
        <w:t xml:space="preserve">. </w:t>
      </w:r>
      <w:r w:rsidR="000B327D">
        <w:rPr>
          <w:rFonts w:eastAsia="SimSun" w:cs="Calibri"/>
          <w:bCs/>
          <w:lang w:val="sq-AL"/>
        </w:rPr>
        <w:t xml:space="preserve"> </w:t>
      </w:r>
    </w:p>
    <w:p w:rsidR="004F4BDA" w:rsidRPr="00A51114" w:rsidRDefault="004F4BDA" w:rsidP="00F7775C">
      <w:pPr>
        <w:spacing w:after="120" w:line="240" w:lineRule="auto"/>
        <w:rPr>
          <w:rFonts w:eastAsia="SimSun" w:cs="Calibri"/>
          <w:bCs/>
          <w:lang w:val="sq-AL"/>
        </w:rPr>
      </w:pPr>
    </w:p>
    <w:p w:rsidR="00474F9D" w:rsidRPr="00476D2E" w:rsidRDefault="00474F9D" w:rsidP="00FC729E">
      <w:pPr>
        <w:spacing w:after="120"/>
        <w:rPr>
          <w:rFonts w:eastAsia="SimSun" w:cs="Calibri"/>
          <w:sz w:val="8"/>
          <w:szCs w:val="8"/>
          <w:lang w:val="sq-AL"/>
        </w:rPr>
      </w:pPr>
    </w:p>
    <w:p w:rsidR="00C6090D" w:rsidRPr="00366408" w:rsidRDefault="002350D2" w:rsidP="00FC729E">
      <w:pPr>
        <w:pStyle w:val="Fiskale2"/>
        <w:rPr>
          <w:rFonts w:ascii="Calibri" w:hAnsi="Calibri" w:cs="Calibri"/>
        </w:rPr>
      </w:pPr>
      <w:bookmarkStart w:id="210" w:name="_Toc466295701"/>
      <w:bookmarkStart w:id="211" w:name="_Toc10033285"/>
      <w:bookmarkStart w:id="212" w:name="_Toc10721422"/>
      <w:bookmarkStart w:id="213" w:name="_Toc104980349"/>
      <w:r w:rsidRPr="00366408">
        <w:rPr>
          <w:rFonts w:ascii="Calibri" w:hAnsi="Calibri" w:cs="Calibri"/>
        </w:rPr>
        <w:t>Detyrime</w:t>
      </w:r>
      <w:bookmarkEnd w:id="210"/>
      <w:r w:rsidRPr="00366408">
        <w:rPr>
          <w:rFonts w:ascii="Calibri" w:hAnsi="Calibri" w:cs="Calibri"/>
        </w:rPr>
        <w:t xml:space="preserve">t e </w:t>
      </w:r>
      <w:r w:rsidR="005C6E2E" w:rsidRPr="00366408">
        <w:rPr>
          <w:rFonts w:ascii="Calibri" w:hAnsi="Calibri" w:cs="Calibri"/>
        </w:rPr>
        <w:t>p</w:t>
      </w:r>
      <w:r w:rsidRPr="00366408">
        <w:rPr>
          <w:rFonts w:ascii="Calibri" w:hAnsi="Calibri" w:cs="Calibri"/>
        </w:rPr>
        <w:t xml:space="preserve">rapambetura </w:t>
      </w:r>
      <w:r w:rsidR="0045266E" w:rsidRPr="00366408">
        <w:rPr>
          <w:rFonts w:ascii="Calibri" w:hAnsi="Calibri" w:cs="Calibri"/>
        </w:rPr>
        <w:t xml:space="preserve">të </w:t>
      </w:r>
      <w:bookmarkEnd w:id="211"/>
      <w:bookmarkEnd w:id="212"/>
      <w:r w:rsidR="001119D4" w:rsidRPr="00366408">
        <w:rPr>
          <w:rFonts w:ascii="Calibri" w:hAnsi="Calibri" w:cs="Calibri"/>
        </w:rPr>
        <w:t>Qeverisjes s</w:t>
      </w:r>
      <w:r w:rsidR="00366408">
        <w:rPr>
          <w:rFonts w:ascii="Calibri" w:hAnsi="Calibri" w:cs="Calibri"/>
        </w:rPr>
        <w:t>ë</w:t>
      </w:r>
      <w:r w:rsidR="001119D4" w:rsidRPr="00366408">
        <w:rPr>
          <w:rFonts w:ascii="Calibri" w:hAnsi="Calibri" w:cs="Calibri"/>
        </w:rPr>
        <w:t xml:space="preserve"> P</w:t>
      </w:r>
      <w:r w:rsidR="00366408">
        <w:rPr>
          <w:rFonts w:ascii="Calibri" w:hAnsi="Calibri" w:cs="Calibri"/>
        </w:rPr>
        <w:t>ë</w:t>
      </w:r>
      <w:r w:rsidR="001119D4" w:rsidRPr="00366408">
        <w:rPr>
          <w:rFonts w:ascii="Calibri" w:hAnsi="Calibri" w:cs="Calibri"/>
        </w:rPr>
        <w:t>rgjithshme</w:t>
      </w:r>
      <w:bookmarkEnd w:id="213"/>
    </w:p>
    <w:p w:rsidR="004F4BDA" w:rsidRDefault="001F05DF" w:rsidP="004F4BDA">
      <w:pPr>
        <w:spacing w:line="240" w:lineRule="auto"/>
        <w:contextualSpacing/>
        <w:rPr>
          <w:rFonts w:eastAsia="SimSun" w:cs="Calibri"/>
          <w:lang w:val="sq-AL"/>
        </w:rPr>
      </w:pPr>
      <w:r w:rsidRPr="00196CD6">
        <w:rPr>
          <w:rFonts w:eastAsia="SimSun" w:cs="Calibri"/>
          <w:lang w:val="sq-AL"/>
        </w:rPr>
        <w:t>Bazuar në VKM nr.50 datë 05.02.2014 “</w:t>
      </w:r>
      <w:r w:rsidRPr="00196CD6">
        <w:rPr>
          <w:rFonts w:eastAsia="SimSun" w:cs="Calibri"/>
          <w:i/>
          <w:lang w:val="sq-AL"/>
        </w:rPr>
        <w:t>Për miratimin e Strategjisë për parandalimin dhe shlyerjen e detyrimeve të prapambetura e të planit të veprimit</w:t>
      </w:r>
      <w:r w:rsidRPr="00196CD6">
        <w:rPr>
          <w:rFonts w:eastAsia="SimSun" w:cs="Calibri"/>
          <w:lang w:val="sq-AL"/>
        </w:rPr>
        <w:t>” dhe Strategjisë së Menaxhimit të Financave Publike 2019-2022, MFE ka ndërmarrë dhe intensifikuar hapat konkretë në drejtim të monitorimit dhe raportimit të detyrimeve të prapambetura. Duke nisur nga viti 2021, ky monitorim dhe raportim gjenerohet automatikisht nga Sistemi Informatik Financiar i Qeverisë (SIFQ) sipas përcaktimeve të Udhëzimit nr.37 të datës 06.10.2020 “</w:t>
      </w:r>
      <w:r w:rsidRPr="00196CD6">
        <w:rPr>
          <w:i/>
          <w:lang w:val="sq-AL"/>
        </w:rPr>
        <w:t>Për monitorimin dhe publikimin periodik të stokut të detyrimeve të perpambetura të Qeverisjes së Përgjithshme</w:t>
      </w:r>
      <w:r w:rsidRPr="00196CD6">
        <w:rPr>
          <w:rFonts w:eastAsia="SimSun" w:cs="Calibri"/>
          <w:lang w:val="sq-AL"/>
        </w:rPr>
        <w:t>”. Ky format i raportimit të detyrimeve të prapambetura përveç se rrit saktësinë dhe siguron të dhënat në kohë, është gjithashtu një format gjithëpërfshirës duke unifikuar raportin për të gjithë njësitë e qeverisjes së përgjithshme</w:t>
      </w:r>
      <w:r w:rsidR="004F4BDA" w:rsidRPr="004F4BDA">
        <w:rPr>
          <w:rFonts w:eastAsia="SimSun" w:cs="Calibri"/>
          <w:lang w:val="sq-AL"/>
        </w:rPr>
        <w:t xml:space="preserve">. </w:t>
      </w:r>
    </w:p>
    <w:p w:rsidR="001F05DF" w:rsidRPr="001F05DF" w:rsidRDefault="001F05DF" w:rsidP="004F4BDA">
      <w:pPr>
        <w:spacing w:line="240" w:lineRule="auto"/>
        <w:contextualSpacing/>
        <w:rPr>
          <w:rFonts w:eastAsia="SimSun" w:cs="Calibri"/>
          <w:sz w:val="8"/>
          <w:szCs w:val="8"/>
          <w:lang w:val="sq-AL"/>
        </w:rPr>
      </w:pPr>
    </w:p>
    <w:p w:rsidR="001F05DF" w:rsidRDefault="001F05DF" w:rsidP="001F05DF">
      <w:pPr>
        <w:spacing w:before="0" w:line="240" w:lineRule="auto"/>
        <w:contextualSpacing/>
        <w:rPr>
          <w:color w:val="000000" w:themeColor="text1"/>
          <w:szCs w:val="22"/>
          <w:lang w:val="sq-AL"/>
        </w:rPr>
      </w:pPr>
      <w:r w:rsidRPr="001F05DF">
        <w:rPr>
          <w:color w:val="000000" w:themeColor="text1"/>
          <w:szCs w:val="22"/>
          <w:lang w:val="sq-AL"/>
        </w:rPr>
        <w:t>Në zbatim të ligjit organik të buxhetit nr.9936 datë 26.</w:t>
      </w:r>
      <w:r>
        <w:rPr>
          <w:color w:val="000000" w:themeColor="text1"/>
          <w:szCs w:val="22"/>
          <w:lang w:val="sq-AL"/>
        </w:rPr>
        <w:t>0</w:t>
      </w:r>
      <w:r w:rsidRPr="001F05DF">
        <w:rPr>
          <w:color w:val="000000" w:themeColor="text1"/>
          <w:szCs w:val="22"/>
          <w:lang w:val="sq-AL"/>
        </w:rPr>
        <w:t>6.2008 “</w:t>
      </w:r>
      <w:r w:rsidRPr="001F05DF">
        <w:rPr>
          <w:i/>
          <w:color w:val="000000" w:themeColor="text1"/>
          <w:szCs w:val="22"/>
          <w:lang w:val="sq-AL"/>
        </w:rPr>
        <w:t>Për menaxhimin e sistemit buxhetor në Republikën e Shqipërisë”, i ndryshuar</w:t>
      </w:r>
      <w:r w:rsidRPr="001F05DF">
        <w:rPr>
          <w:color w:val="000000" w:themeColor="text1"/>
          <w:szCs w:val="22"/>
          <w:lang w:val="sq-AL"/>
        </w:rPr>
        <w:t xml:space="preserve">”, në nenin 52, përcaktohet qartë se: </w:t>
      </w:r>
      <w:r w:rsidRPr="001F05DF">
        <w:rPr>
          <w:i/>
          <w:color w:val="000000" w:themeColor="text1"/>
          <w:szCs w:val="22"/>
          <w:lang w:val="sq-AL"/>
        </w:rPr>
        <w:t>“…Shpenzimet që rrjedhin nga angazhimet e ndërmarra gjatë viteve të mëparshme, në përputhje me dispozitat e veçanta të ligjit të buxhetit vjetor, përfshihen në buxhetin e vitit pasardhës. Shlyerja e angazhimeve, me përfundimin e afatit, kryhet me fondet e miratuara për vitin buxhetor pasardhës..."</w:t>
      </w:r>
      <w:r w:rsidRPr="001F05DF">
        <w:rPr>
          <w:color w:val="000000" w:themeColor="text1"/>
          <w:szCs w:val="22"/>
          <w:lang w:val="sq-AL"/>
        </w:rPr>
        <w:t>. Nisur nga sa më sipër, shlyerja e detyrimeve të prapambetura përbën një detyrim ligjor për të gjitha njësitë e qeverisjes së përgjithshme.</w:t>
      </w:r>
    </w:p>
    <w:p w:rsidR="001F05DF" w:rsidRDefault="001F05DF" w:rsidP="001F05DF">
      <w:pPr>
        <w:spacing w:before="0" w:line="240" w:lineRule="auto"/>
        <w:rPr>
          <w:color w:val="000000" w:themeColor="text1"/>
          <w:szCs w:val="22"/>
          <w:highlight w:val="yellow"/>
          <w:lang w:val="sq-AL"/>
        </w:rPr>
      </w:pPr>
    </w:p>
    <w:p w:rsidR="001F05DF" w:rsidRPr="001F05DF" w:rsidRDefault="001F05DF" w:rsidP="001F05DF">
      <w:pPr>
        <w:spacing w:before="0" w:line="240" w:lineRule="auto"/>
        <w:contextualSpacing/>
        <w:rPr>
          <w:color w:val="000000" w:themeColor="text1"/>
          <w:sz w:val="8"/>
          <w:szCs w:val="8"/>
          <w:lang w:val="sq-AL"/>
        </w:rPr>
      </w:pPr>
    </w:p>
    <w:p w:rsidR="001F05DF" w:rsidRDefault="001F05DF" w:rsidP="001F05DF">
      <w:pPr>
        <w:spacing w:line="240" w:lineRule="auto"/>
        <w:contextualSpacing/>
        <w:rPr>
          <w:i/>
          <w:color w:val="000000" w:themeColor="text1"/>
          <w:szCs w:val="22"/>
          <w:lang w:val="sq-AL"/>
        </w:rPr>
      </w:pPr>
      <w:r w:rsidRPr="004F4BDA">
        <w:rPr>
          <w:rFonts w:eastAsia="SimSun" w:cs="Calibri"/>
          <w:lang w:val="sq-AL"/>
        </w:rPr>
        <w:t>Parë në një aspekt më të gjerë dhe gjithëpërfshirës, Ministria e Financave dhe Ekonomisë i ka sugjeruar të gjitha njësive të auditimit të brendshëm në sektorin publik që në “Planin strategjik dhe vjetor të veprimtarisë audituese për vitet 2021 – 2023” të përfshijnë angazhime auditimi për analizimin dhe vlerësimin e situatës së detyrimeve të prapambetura të njësive publike. Kjo, përsa kohë që detyrimet e prapambetura janë përcaktuar si fushë me risk të lartë dhe duhet të trajtohen me përparësi nga auditimi i brendshëm i njësive publike, për të paraqituar gjendjen aktuale dhe për të dhënë rekomandime sa më të vlefshme për shlyerjen e tyre në afate të përcaktuara</w:t>
      </w:r>
      <w:r w:rsidRPr="0078341E">
        <w:rPr>
          <w:rFonts w:cs="Calibri"/>
          <w:lang w:val="sq-AL"/>
        </w:rPr>
        <w:t>.</w:t>
      </w:r>
      <w:r>
        <w:rPr>
          <w:rFonts w:cs="Calibri"/>
          <w:lang w:val="sq-AL"/>
        </w:rPr>
        <w:t xml:space="preserve"> Njëkohësisht, p</w:t>
      </w:r>
      <w:r w:rsidRPr="001F05DF">
        <w:rPr>
          <w:color w:val="000000" w:themeColor="text1"/>
          <w:szCs w:val="22"/>
          <w:lang w:val="sq-AL"/>
        </w:rPr>
        <w:t xml:space="preserve">ër të parandaluar akumulimin dhe ulur stokun total të detyrimeve të prapambetura ndër vite, si në rastin e detyrimeve të prapambetura nga vendimet gjyqësore, Ministria e Financave dhe Ekonomisë, krahas monitorimit periodik të tyre, apelon edhe tek institucionet buxhetore që të ulin edhe më tej barrën e tyre buxhetore, nëpërmjet aplikimit në kohë të kësteve të pagesave ose implementimin e instrumente të tjera lehtësuese ndaj përfituesve të </w:t>
      </w:r>
      <w:r w:rsidRPr="001F05DF">
        <w:rPr>
          <w:i/>
          <w:color w:val="000000" w:themeColor="text1"/>
          <w:szCs w:val="22"/>
          <w:lang w:val="sq-AL"/>
        </w:rPr>
        <w:t>Vendimeve Gjyqësore</w:t>
      </w:r>
      <w:r>
        <w:rPr>
          <w:i/>
          <w:color w:val="000000" w:themeColor="text1"/>
          <w:szCs w:val="22"/>
          <w:lang w:val="sq-AL"/>
        </w:rPr>
        <w:t>.</w:t>
      </w:r>
    </w:p>
    <w:p w:rsidR="001F05DF" w:rsidRPr="001F05DF" w:rsidRDefault="001F05DF" w:rsidP="001F05DF">
      <w:pPr>
        <w:spacing w:before="0" w:line="240" w:lineRule="auto"/>
        <w:rPr>
          <w:color w:val="000000" w:themeColor="text1"/>
          <w:sz w:val="8"/>
          <w:szCs w:val="8"/>
          <w:lang w:val="sq-AL"/>
        </w:rPr>
      </w:pPr>
    </w:p>
    <w:p w:rsidR="001F05DF" w:rsidRPr="001F05DF" w:rsidRDefault="001F05DF" w:rsidP="001F05DF">
      <w:pPr>
        <w:spacing w:before="0" w:line="240" w:lineRule="auto"/>
        <w:rPr>
          <w:color w:val="000000" w:themeColor="text1"/>
          <w:szCs w:val="22"/>
          <w:lang w:val="sq-AL"/>
        </w:rPr>
      </w:pPr>
      <w:r w:rsidRPr="001F05DF">
        <w:rPr>
          <w:color w:val="000000" w:themeColor="text1"/>
          <w:szCs w:val="22"/>
          <w:lang w:val="sq-AL"/>
        </w:rPr>
        <w:lastRenderedPageBreak/>
        <w:t>Prioriteti kryesor i Ministrisë së Financave dhe Ekonomisë në periudhën afatmesme mbetet reduktimi i stokut të detyrimeve të prapambetura dhe parandalimi i akumulimit të tyre. Përcaktimi i objektivave specifike (p.sh. Treguesi i Performancës për  Mirë</w:t>
      </w:r>
      <w:r>
        <w:rPr>
          <w:color w:val="000000" w:themeColor="text1"/>
          <w:szCs w:val="22"/>
          <w:lang w:val="sq-AL"/>
        </w:rPr>
        <w:t>q</w:t>
      </w:r>
      <w:r w:rsidRPr="001F05DF">
        <w:rPr>
          <w:color w:val="000000" w:themeColor="text1"/>
          <w:szCs w:val="22"/>
          <w:lang w:val="sq-AL"/>
        </w:rPr>
        <w:t xml:space="preserve">everisjen) përgjithësisht ka </w:t>
      </w:r>
      <w:r>
        <w:rPr>
          <w:color w:val="000000" w:themeColor="text1"/>
          <w:szCs w:val="22"/>
          <w:lang w:val="sq-AL"/>
        </w:rPr>
        <w:t>sjellë</w:t>
      </w:r>
      <w:r w:rsidRPr="001F05DF">
        <w:rPr>
          <w:color w:val="000000" w:themeColor="text1"/>
          <w:szCs w:val="22"/>
          <w:lang w:val="sq-AL"/>
        </w:rPr>
        <w:t xml:space="preserve"> në një reduktim </w:t>
      </w:r>
      <w:r>
        <w:rPr>
          <w:color w:val="000000" w:themeColor="text1"/>
          <w:szCs w:val="22"/>
          <w:lang w:val="sq-AL"/>
        </w:rPr>
        <w:t xml:space="preserve">progresiv </w:t>
      </w:r>
      <w:r w:rsidRPr="001F05DF">
        <w:rPr>
          <w:color w:val="000000" w:themeColor="text1"/>
          <w:szCs w:val="22"/>
          <w:lang w:val="sq-AL"/>
        </w:rPr>
        <w:t xml:space="preserve">të stokut total të detyrimeve të prapambetura në vitet e fundit, trend i cili pritet të vazhdojë. </w:t>
      </w:r>
      <w:r>
        <w:rPr>
          <w:color w:val="000000" w:themeColor="text1"/>
          <w:szCs w:val="22"/>
          <w:lang w:val="sq-AL"/>
        </w:rPr>
        <w:t>Në terma të t</w:t>
      </w:r>
      <w:r w:rsidRPr="001F05DF">
        <w:rPr>
          <w:color w:val="000000" w:themeColor="text1"/>
          <w:szCs w:val="22"/>
          <w:lang w:val="sq-AL"/>
        </w:rPr>
        <w:t>argeti</w:t>
      </w:r>
      <w:r>
        <w:rPr>
          <w:color w:val="000000" w:themeColor="text1"/>
          <w:szCs w:val="22"/>
          <w:lang w:val="sq-AL"/>
        </w:rPr>
        <w:t>t të sipërcituar,</w:t>
      </w:r>
      <w:r w:rsidRPr="001F05DF">
        <w:rPr>
          <w:color w:val="000000" w:themeColor="text1"/>
          <w:szCs w:val="22"/>
          <w:lang w:val="sq-AL"/>
        </w:rPr>
        <w:t xml:space="preserve"> </w:t>
      </w:r>
      <w:r>
        <w:rPr>
          <w:color w:val="000000" w:themeColor="text1"/>
          <w:szCs w:val="22"/>
          <w:lang w:val="sq-AL"/>
        </w:rPr>
        <w:t xml:space="preserve">niveli </w:t>
      </w:r>
      <w:r w:rsidRPr="001F05DF">
        <w:rPr>
          <w:color w:val="000000" w:themeColor="text1"/>
          <w:szCs w:val="22"/>
          <w:lang w:val="sq-AL"/>
        </w:rPr>
        <w:t>i detyrimeve të prapambetura të qeveris</w:t>
      </w:r>
      <w:r>
        <w:rPr>
          <w:color w:val="000000" w:themeColor="text1"/>
          <w:szCs w:val="22"/>
          <w:lang w:val="sq-AL"/>
        </w:rPr>
        <w:t>jes</w:t>
      </w:r>
      <w:r w:rsidRPr="001F05DF">
        <w:rPr>
          <w:color w:val="000000" w:themeColor="text1"/>
          <w:szCs w:val="22"/>
          <w:lang w:val="sq-AL"/>
        </w:rPr>
        <w:t xml:space="preserve"> së përgjithshme si përqindje </w:t>
      </w:r>
      <w:r>
        <w:rPr>
          <w:color w:val="000000" w:themeColor="text1"/>
          <w:szCs w:val="22"/>
          <w:lang w:val="sq-AL"/>
        </w:rPr>
        <w:t>ndaj</w:t>
      </w:r>
      <w:r w:rsidRPr="001F05DF">
        <w:rPr>
          <w:color w:val="000000" w:themeColor="text1"/>
          <w:szCs w:val="22"/>
          <w:lang w:val="sq-AL"/>
        </w:rPr>
        <w:t xml:space="preserve"> totalit të shpenzimeve për </w:t>
      </w:r>
      <w:r>
        <w:rPr>
          <w:color w:val="000000" w:themeColor="text1"/>
          <w:szCs w:val="22"/>
          <w:lang w:val="sq-AL"/>
        </w:rPr>
        <w:t xml:space="preserve">vitin buxhetor </w:t>
      </w:r>
      <w:r w:rsidRPr="001F05DF">
        <w:rPr>
          <w:color w:val="000000" w:themeColor="text1"/>
          <w:szCs w:val="22"/>
          <w:lang w:val="sq-AL"/>
        </w:rPr>
        <w:t xml:space="preserve">2022 </w:t>
      </w:r>
      <w:r>
        <w:rPr>
          <w:color w:val="000000" w:themeColor="text1"/>
          <w:szCs w:val="22"/>
          <w:lang w:val="sq-AL"/>
        </w:rPr>
        <w:t xml:space="preserve">duhet të ishte më i vogël se </w:t>
      </w:r>
      <w:r w:rsidRPr="001F05DF">
        <w:rPr>
          <w:color w:val="000000" w:themeColor="text1"/>
          <w:szCs w:val="22"/>
          <w:lang w:val="sq-AL"/>
        </w:rPr>
        <w:t>3%. Ky objektiv është përmbushur</w:t>
      </w:r>
      <w:r>
        <w:rPr>
          <w:color w:val="000000" w:themeColor="text1"/>
          <w:szCs w:val="22"/>
          <w:lang w:val="sq-AL"/>
        </w:rPr>
        <w:t xml:space="preserve"> tërësisht</w:t>
      </w:r>
      <w:r w:rsidRPr="001F05DF">
        <w:rPr>
          <w:color w:val="000000" w:themeColor="text1"/>
          <w:szCs w:val="22"/>
          <w:lang w:val="sq-AL"/>
        </w:rPr>
        <w:t>, duke pasur parasysh se për periudhën 12</w:t>
      </w:r>
      <w:r>
        <w:rPr>
          <w:color w:val="000000" w:themeColor="text1"/>
          <w:szCs w:val="22"/>
          <w:lang w:val="sq-AL"/>
        </w:rPr>
        <w:t xml:space="preserve"> </w:t>
      </w:r>
      <w:r w:rsidRPr="001F05DF">
        <w:rPr>
          <w:color w:val="000000" w:themeColor="text1"/>
          <w:szCs w:val="22"/>
          <w:lang w:val="sq-AL"/>
        </w:rPr>
        <w:t xml:space="preserve">mujore </w:t>
      </w:r>
      <w:r>
        <w:rPr>
          <w:color w:val="000000" w:themeColor="text1"/>
          <w:szCs w:val="22"/>
          <w:lang w:val="sq-AL"/>
        </w:rPr>
        <w:t xml:space="preserve">të vitit </w:t>
      </w:r>
      <w:r w:rsidRPr="001F05DF">
        <w:rPr>
          <w:color w:val="000000" w:themeColor="text1"/>
          <w:szCs w:val="22"/>
          <w:lang w:val="sq-AL"/>
        </w:rPr>
        <w:t>2022, detyrimet e prapambetura rezultuan në 1.87%</w:t>
      </w:r>
      <w:r>
        <w:rPr>
          <w:color w:val="000000" w:themeColor="text1"/>
          <w:szCs w:val="22"/>
          <w:lang w:val="sq-AL"/>
        </w:rPr>
        <w:t xml:space="preserve"> të </w:t>
      </w:r>
      <w:r w:rsidRPr="001F05DF">
        <w:rPr>
          <w:color w:val="000000" w:themeColor="text1"/>
          <w:szCs w:val="22"/>
          <w:lang w:val="sq-AL"/>
        </w:rPr>
        <w:t>totalit të shpenzimeve</w:t>
      </w:r>
      <w:r>
        <w:rPr>
          <w:color w:val="000000" w:themeColor="text1"/>
          <w:szCs w:val="22"/>
          <w:lang w:val="sq-AL"/>
        </w:rPr>
        <w:t>.</w:t>
      </w:r>
      <w:r w:rsidRPr="001F05DF">
        <w:rPr>
          <w:color w:val="000000" w:themeColor="text1"/>
          <w:szCs w:val="22"/>
          <w:lang w:val="sq-AL"/>
        </w:rPr>
        <w:t xml:space="preserve"> </w:t>
      </w:r>
    </w:p>
    <w:p w:rsidR="001F05DF" w:rsidRPr="001F05DF" w:rsidRDefault="001F05DF" w:rsidP="004F4BDA">
      <w:pPr>
        <w:spacing w:line="240" w:lineRule="auto"/>
        <w:contextualSpacing/>
        <w:rPr>
          <w:rFonts w:eastAsia="SimSun" w:cs="Calibri"/>
          <w:sz w:val="8"/>
          <w:szCs w:val="8"/>
          <w:lang w:val="sq-AL"/>
        </w:rPr>
      </w:pPr>
    </w:p>
    <w:p w:rsidR="001F05DF" w:rsidRDefault="001F05DF" w:rsidP="004F4BDA">
      <w:pPr>
        <w:spacing w:line="240" w:lineRule="auto"/>
        <w:contextualSpacing/>
        <w:rPr>
          <w:rFonts w:cs="Calibri"/>
          <w:lang w:val="sq-AL"/>
        </w:rPr>
      </w:pPr>
      <w:r w:rsidRPr="001F05DF">
        <w:rPr>
          <w:color w:val="000000" w:themeColor="text1"/>
          <w:szCs w:val="22"/>
          <w:lang w:val="sq-AL"/>
        </w:rPr>
        <w:t>Këto dhe masa të tjera të ndërmarra nga Ministria e Financave dhe Ekonomisë ka ndihmuar në mbajtjen nën kontroll të stokut të detyrimeve të prapambetura dhe në arritjen e të gjithë objektivave të vendosur në fillim të vitit</w:t>
      </w:r>
      <w:r>
        <w:rPr>
          <w:color w:val="000000" w:themeColor="text1"/>
          <w:szCs w:val="22"/>
          <w:lang w:val="sq-AL"/>
        </w:rPr>
        <w:t xml:space="preserve"> 2022.</w:t>
      </w:r>
    </w:p>
    <w:p w:rsidR="00236222" w:rsidRPr="00476D2E" w:rsidRDefault="00236222" w:rsidP="00FC729E">
      <w:pPr>
        <w:pStyle w:val="Caption"/>
        <w:keepNext/>
        <w:spacing w:after="0"/>
        <w:rPr>
          <w:rFonts w:cs="Calibri"/>
          <w:lang w:val="sq-AL"/>
        </w:rPr>
      </w:pPr>
      <w:bookmarkStart w:id="214" w:name="_Toc495672777"/>
      <w:bookmarkStart w:id="215" w:name="_Toc136526495"/>
      <w:bookmarkEnd w:id="214"/>
      <w:r w:rsidRPr="00476D2E">
        <w:rPr>
          <w:rFonts w:cs="Calibri"/>
          <w:lang w:val="sq-AL"/>
        </w:rPr>
        <w:t xml:space="preserve">Grafiku </w:t>
      </w:r>
      <w:r w:rsidRPr="00476D2E">
        <w:rPr>
          <w:rFonts w:cs="Calibri"/>
          <w:lang w:val="sq-AL"/>
        </w:rPr>
        <w:fldChar w:fldCharType="begin"/>
      </w:r>
      <w:r w:rsidRPr="00476D2E">
        <w:rPr>
          <w:rFonts w:cs="Calibri"/>
          <w:lang w:val="sq-AL"/>
        </w:rPr>
        <w:instrText xml:space="preserve"> SEQ Grafiku \* ARABIC </w:instrText>
      </w:r>
      <w:r w:rsidRPr="00476D2E">
        <w:rPr>
          <w:rFonts w:cs="Calibri"/>
          <w:lang w:val="sq-AL"/>
        </w:rPr>
        <w:fldChar w:fldCharType="separate"/>
      </w:r>
      <w:r w:rsidR="008C3E07">
        <w:rPr>
          <w:rFonts w:cs="Calibri"/>
          <w:noProof/>
          <w:lang w:val="sq-AL"/>
        </w:rPr>
        <w:t>50</w:t>
      </w:r>
      <w:r w:rsidRPr="00476D2E">
        <w:rPr>
          <w:rFonts w:cs="Calibri"/>
          <w:lang w:val="sq-AL"/>
        </w:rPr>
        <w:fldChar w:fldCharType="end"/>
      </w:r>
      <w:r w:rsidR="002051A5" w:rsidRPr="00476D2E">
        <w:rPr>
          <w:rFonts w:cs="Calibri"/>
          <w:lang w:val="sq-AL"/>
        </w:rPr>
        <w:t xml:space="preserve"> Stoku i</w:t>
      </w:r>
      <w:r w:rsidRPr="00476D2E">
        <w:rPr>
          <w:rFonts w:cs="Calibri"/>
          <w:lang w:val="sq-AL"/>
        </w:rPr>
        <w:t xml:space="preserve"> detyrimeve t</w:t>
      </w:r>
      <w:r w:rsidR="00C33B16" w:rsidRPr="00476D2E">
        <w:rPr>
          <w:rFonts w:cs="Calibri"/>
          <w:lang w:val="sq-AL"/>
        </w:rPr>
        <w:t>ë</w:t>
      </w:r>
      <w:r w:rsidRPr="00476D2E">
        <w:rPr>
          <w:rFonts w:cs="Calibri"/>
          <w:lang w:val="sq-AL"/>
        </w:rPr>
        <w:t xml:space="preserve"> prapambetura </w:t>
      </w:r>
      <w:r w:rsidR="00474F9D">
        <w:rPr>
          <w:rFonts w:cs="Calibri"/>
          <w:lang w:val="sq-AL"/>
        </w:rPr>
        <w:t>t</w:t>
      </w:r>
      <w:r w:rsidR="002111DF">
        <w:rPr>
          <w:rFonts w:cs="Calibri"/>
          <w:lang w:val="sq-AL"/>
        </w:rPr>
        <w:t>ë</w:t>
      </w:r>
      <w:r w:rsidR="00474F9D">
        <w:rPr>
          <w:rFonts w:cs="Calibri"/>
          <w:lang w:val="sq-AL"/>
        </w:rPr>
        <w:t xml:space="preserve"> qeverisjes s</w:t>
      </w:r>
      <w:r w:rsidR="002111DF">
        <w:rPr>
          <w:rFonts w:cs="Calibri"/>
          <w:lang w:val="sq-AL"/>
        </w:rPr>
        <w:t>ë</w:t>
      </w:r>
      <w:r w:rsidR="00474F9D">
        <w:rPr>
          <w:rFonts w:cs="Calibri"/>
          <w:lang w:val="sq-AL"/>
        </w:rPr>
        <w:t xml:space="preserve"> p</w:t>
      </w:r>
      <w:r w:rsidR="002111DF">
        <w:rPr>
          <w:rFonts w:cs="Calibri"/>
          <w:lang w:val="sq-AL"/>
        </w:rPr>
        <w:t>ë</w:t>
      </w:r>
      <w:r w:rsidR="00474F9D">
        <w:rPr>
          <w:rFonts w:cs="Calibri"/>
          <w:lang w:val="sq-AL"/>
        </w:rPr>
        <w:t>rgjithshme, n</w:t>
      </w:r>
      <w:r w:rsidR="002111DF">
        <w:rPr>
          <w:rFonts w:cs="Calibri"/>
          <w:lang w:val="sq-AL"/>
        </w:rPr>
        <w:t>ë</w:t>
      </w:r>
      <w:r w:rsidR="00474F9D">
        <w:rPr>
          <w:rFonts w:cs="Calibri"/>
          <w:lang w:val="sq-AL"/>
        </w:rPr>
        <w:t xml:space="preserve"> </w:t>
      </w:r>
      <w:r w:rsidR="00DB1E60" w:rsidRPr="00476D2E">
        <w:rPr>
          <w:rFonts w:cs="Calibri"/>
          <w:lang w:val="sq-AL"/>
        </w:rPr>
        <w:t>mln lekë</w:t>
      </w:r>
      <w:bookmarkEnd w:id="215"/>
    </w:p>
    <w:p w:rsidR="00C6090D" w:rsidRPr="00476D2E" w:rsidRDefault="004F4BDA" w:rsidP="00FC729E">
      <w:pPr>
        <w:spacing w:before="0"/>
        <w:jc w:val="center"/>
        <w:rPr>
          <w:rFonts w:cs="Calibri"/>
          <w:sz w:val="12"/>
          <w:szCs w:val="12"/>
          <w:lang w:val="sq-AL"/>
        </w:rPr>
      </w:pPr>
      <w:r w:rsidRPr="00017DE1">
        <w:rPr>
          <w:noProof/>
          <w:u w:val="single"/>
        </w:rPr>
        <w:drawing>
          <wp:inline distT="0" distB="0" distL="0" distR="0" wp14:anchorId="328B5F8F" wp14:editId="27DDC28C">
            <wp:extent cx="6515100" cy="2545080"/>
            <wp:effectExtent l="0" t="0" r="0" b="762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6E055E" w:rsidRPr="00476D2E" w:rsidRDefault="00474F9D" w:rsidP="00153CD6">
      <w:pPr>
        <w:spacing w:before="0" w:line="360" w:lineRule="auto"/>
        <w:rPr>
          <w:rFonts w:eastAsia="SimSun" w:cs="Calibri"/>
          <w:i/>
          <w:sz w:val="18"/>
          <w:szCs w:val="18"/>
          <w:lang w:val="sq-AL"/>
        </w:rPr>
      </w:pPr>
      <w:r>
        <w:rPr>
          <w:rFonts w:eastAsia="SimSun" w:cs="Calibri"/>
          <w:i/>
          <w:sz w:val="18"/>
          <w:szCs w:val="18"/>
          <w:lang w:val="sq-AL"/>
        </w:rPr>
        <w:tab/>
      </w:r>
      <w:r w:rsidR="00153CD6">
        <w:rPr>
          <w:rFonts w:eastAsia="SimSun" w:cs="Calibri"/>
          <w:i/>
          <w:sz w:val="18"/>
          <w:szCs w:val="18"/>
          <w:lang w:val="sq-AL"/>
        </w:rPr>
        <w:t>Burimi: Ministria e Financave dhe Ekonomisë (2023)</w:t>
      </w:r>
    </w:p>
    <w:p w:rsidR="004F4BDA" w:rsidRPr="008C2682" w:rsidRDefault="004F4BDA" w:rsidP="004F4BDA">
      <w:pPr>
        <w:spacing w:line="240" w:lineRule="auto"/>
        <w:rPr>
          <w:lang w:val="sq-AL"/>
        </w:rPr>
      </w:pPr>
      <w:r>
        <w:rPr>
          <w:lang w:val="sq-AL"/>
        </w:rPr>
        <w:t>Konkretisht, d</w:t>
      </w:r>
      <w:r w:rsidRPr="008C2682">
        <w:rPr>
          <w:lang w:val="sq-AL"/>
        </w:rPr>
        <w:t>eri në fund të muajit Dhjetor 202</w:t>
      </w:r>
      <w:r>
        <w:rPr>
          <w:lang w:val="sq-AL"/>
        </w:rPr>
        <w:t>2</w:t>
      </w:r>
      <w:r w:rsidRPr="008C2682">
        <w:rPr>
          <w:lang w:val="sq-AL"/>
        </w:rPr>
        <w:t xml:space="preserve"> </w:t>
      </w:r>
      <w:r>
        <w:rPr>
          <w:lang w:val="sq-AL"/>
        </w:rPr>
        <w:t>u regjistrua</w:t>
      </w:r>
      <w:r w:rsidRPr="008C2682">
        <w:rPr>
          <w:lang w:val="sq-AL"/>
        </w:rPr>
        <w:t xml:space="preserve"> një stok kumulativ prej 1</w:t>
      </w:r>
      <w:r>
        <w:rPr>
          <w:lang w:val="sq-AL"/>
        </w:rPr>
        <w:t>2</w:t>
      </w:r>
      <w:r w:rsidRPr="008C2682">
        <w:rPr>
          <w:lang w:val="sq-AL"/>
        </w:rPr>
        <w:t>.2</w:t>
      </w:r>
      <w:r>
        <w:rPr>
          <w:lang w:val="sq-AL"/>
        </w:rPr>
        <w:t>0</w:t>
      </w:r>
      <w:r w:rsidRPr="008C2682">
        <w:rPr>
          <w:lang w:val="sq-AL"/>
        </w:rPr>
        <w:t xml:space="preserve"> miliardë lekë</w:t>
      </w:r>
      <w:r w:rsidRPr="008C2682">
        <w:rPr>
          <w:vertAlign w:val="superscript"/>
          <w:lang w:val="sq-AL"/>
        </w:rPr>
        <w:footnoteReference w:id="5"/>
      </w:r>
      <w:r w:rsidRPr="008C2682">
        <w:rPr>
          <w:lang w:val="sq-AL"/>
        </w:rPr>
        <w:t xml:space="preserve"> </w:t>
      </w:r>
      <w:r>
        <w:rPr>
          <w:lang w:val="sq-AL"/>
        </w:rPr>
        <w:t xml:space="preserve">i </w:t>
      </w:r>
      <w:r w:rsidRPr="008C2682">
        <w:rPr>
          <w:lang w:val="sq-AL"/>
        </w:rPr>
        <w:t>detyrime</w:t>
      </w:r>
      <w:r>
        <w:rPr>
          <w:lang w:val="sq-AL"/>
        </w:rPr>
        <w:t>ve</w:t>
      </w:r>
      <w:r w:rsidRPr="008C2682">
        <w:rPr>
          <w:lang w:val="sq-AL"/>
        </w:rPr>
        <w:t xml:space="preserve"> të prapambetura nga njësitë e qeverisjes së përgjithshme</w:t>
      </w:r>
      <w:r>
        <w:rPr>
          <w:lang w:val="sq-AL"/>
        </w:rPr>
        <w:t>, nga të cilat:</w:t>
      </w:r>
    </w:p>
    <w:p w:rsidR="004F4BDA" w:rsidRPr="006B7133" w:rsidRDefault="004F4BDA" w:rsidP="00C71069">
      <w:pPr>
        <w:numPr>
          <w:ilvl w:val="0"/>
          <w:numId w:val="34"/>
        </w:numPr>
        <w:spacing w:before="0" w:line="240" w:lineRule="auto"/>
        <w:contextualSpacing/>
        <w:rPr>
          <w:i/>
          <w:lang w:val="sq-AL"/>
        </w:rPr>
      </w:pPr>
      <w:r w:rsidRPr="006B7133">
        <w:rPr>
          <w:i/>
          <w:lang w:val="sq-AL"/>
        </w:rPr>
        <w:t>Totali detyrimeve të qeverisë qendrore rreth 6.</w:t>
      </w:r>
      <w:r>
        <w:rPr>
          <w:i/>
          <w:lang w:val="sq-AL"/>
        </w:rPr>
        <w:t>77</w:t>
      </w:r>
      <w:r w:rsidRPr="006B7133">
        <w:rPr>
          <w:i/>
          <w:lang w:val="sq-AL"/>
        </w:rPr>
        <w:t xml:space="preserve"> miliardë lekë</w:t>
      </w:r>
    </w:p>
    <w:p w:rsidR="004F4BDA" w:rsidRPr="006B7133" w:rsidRDefault="004F4BDA" w:rsidP="00C71069">
      <w:pPr>
        <w:numPr>
          <w:ilvl w:val="0"/>
          <w:numId w:val="34"/>
        </w:numPr>
        <w:spacing w:before="0" w:line="240" w:lineRule="auto"/>
        <w:contextualSpacing/>
        <w:rPr>
          <w:i/>
          <w:lang w:val="sq-AL"/>
        </w:rPr>
      </w:pPr>
      <w:r w:rsidRPr="006B7133">
        <w:rPr>
          <w:i/>
          <w:lang w:val="sq-AL"/>
        </w:rPr>
        <w:t xml:space="preserve">Totali </w:t>
      </w:r>
      <w:bookmarkStart w:id="216" w:name="_Hlk132283142"/>
      <w:r w:rsidRPr="006B7133">
        <w:rPr>
          <w:i/>
          <w:lang w:val="sq-AL"/>
        </w:rPr>
        <w:t xml:space="preserve">detyrimeve të qeverisë vendore </w:t>
      </w:r>
      <w:bookmarkEnd w:id="216"/>
      <w:r w:rsidRPr="006B7133">
        <w:rPr>
          <w:i/>
          <w:lang w:val="sq-AL"/>
        </w:rPr>
        <w:t xml:space="preserve">rreth </w:t>
      </w:r>
      <w:r>
        <w:rPr>
          <w:i/>
          <w:lang w:val="sq-AL"/>
        </w:rPr>
        <w:t>5</w:t>
      </w:r>
      <w:r w:rsidRPr="006B7133">
        <w:rPr>
          <w:i/>
          <w:lang w:val="sq-AL"/>
        </w:rPr>
        <w:t>.</w:t>
      </w:r>
      <w:r>
        <w:rPr>
          <w:i/>
          <w:lang w:val="sq-AL"/>
        </w:rPr>
        <w:t>43</w:t>
      </w:r>
      <w:r w:rsidRPr="006B7133">
        <w:rPr>
          <w:i/>
          <w:lang w:val="sq-AL"/>
        </w:rPr>
        <w:t xml:space="preserve"> miliardë lekë.</w:t>
      </w:r>
    </w:p>
    <w:p w:rsidR="004F4BDA" w:rsidRPr="008C2682" w:rsidRDefault="004F4BDA" w:rsidP="004F4BDA">
      <w:pPr>
        <w:spacing w:line="240" w:lineRule="auto"/>
        <w:rPr>
          <w:lang w:val="sq-AL"/>
        </w:rPr>
      </w:pPr>
      <w:r w:rsidRPr="008C2682">
        <w:rPr>
          <w:lang w:val="sq-AL"/>
        </w:rPr>
        <w:t>Krahasuar me stokun e detyrimeve të prapambetura të raportuara për të njëjtën periudhë të vitit 202</w:t>
      </w:r>
      <w:r>
        <w:rPr>
          <w:lang w:val="sq-AL"/>
        </w:rPr>
        <w:t>1</w:t>
      </w:r>
      <w:r w:rsidRPr="008C2682">
        <w:rPr>
          <w:lang w:val="sq-AL"/>
        </w:rPr>
        <w:t>, rezulton se:</w:t>
      </w:r>
    </w:p>
    <w:p w:rsidR="004F4BDA" w:rsidRPr="000B7F2A" w:rsidRDefault="004F4BDA" w:rsidP="00C71069">
      <w:pPr>
        <w:numPr>
          <w:ilvl w:val="0"/>
          <w:numId w:val="34"/>
        </w:numPr>
        <w:spacing w:before="0" w:line="240" w:lineRule="auto"/>
        <w:contextualSpacing/>
        <w:rPr>
          <w:i/>
          <w:lang w:val="sq-AL"/>
        </w:rPr>
      </w:pPr>
      <w:r w:rsidRPr="000B7F2A">
        <w:rPr>
          <w:i/>
          <w:lang w:val="sq-AL"/>
        </w:rPr>
        <w:t>Niveli i përgjithshëm i detyrimeve të prapambetura është rreth 1.</w:t>
      </w:r>
      <w:r>
        <w:rPr>
          <w:i/>
          <w:lang w:val="sq-AL"/>
        </w:rPr>
        <w:t>03mld</w:t>
      </w:r>
      <w:r w:rsidRPr="000B7F2A">
        <w:rPr>
          <w:i/>
          <w:lang w:val="sq-AL"/>
        </w:rPr>
        <w:t xml:space="preserve"> lekë më i ulët, ose një rënie me </w:t>
      </w:r>
      <w:r>
        <w:rPr>
          <w:i/>
          <w:lang w:val="sq-AL"/>
        </w:rPr>
        <w:t>7</w:t>
      </w:r>
      <w:r w:rsidRPr="000B7F2A">
        <w:rPr>
          <w:i/>
          <w:lang w:val="sq-AL"/>
        </w:rPr>
        <w:t>.</w:t>
      </w:r>
      <w:r>
        <w:rPr>
          <w:i/>
          <w:lang w:val="sq-AL"/>
        </w:rPr>
        <w:t>8</w:t>
      </w:r>
      <w:r w:rsidRPr="000B7F2A">
        <w:rPr>
          <w:i/>
          <w:lang w:val="sq-AL"/>
        </w:rPr>
        <w:t xml:space="preserve">%. </w:t>
      </w:r>
    </w:p>
    <w:p w:rsidR="004F4BDA" w:rsidRPr="000B7F2A" w:rsidRDefault="004F4BDA" w:rsidP="00C71069">
      <w:pPr>
        <w:numPr>
          <w:ilvl w:val="0"/>
          <w:numId w:val="34"/>
        </w:numPr>
        <w:spacing w:before="0" w:line="240" w:lineRule="auto"/>
        <w:contextualSpacing/>
        <w:rPr>
          <w:i/>
          <w:lang w:val="sq-AL"/>
        </w:rPr>
      </w:pPr>
      <w:r w:rsidRPr="000B7F2A">
        <w:rPr>
          <w:i/>
          <w:lang w:val="sq-AL"/>
        </w:rPr>
        <w:t xml:space="preserve">Konkretisht, detyrimet e prapambetura nga qeverisja qendrore janë </w:t>
      </w:r>
      <w:r>
        <w:rPr>
          <w:i/>
          <w:lang w:val="sq-AL"/>
        </w:rPr>
        <w:t>rritur</w:t>
      </w:r>
      <w:r w:rsidRPr="000B7F2A">
        <w:rPr>
          <w:i/>
          <w:lang w:val="sq-AL"/>
        </w:rPr>
        <w:t xml:space="preserve"> me rreth 0.</w:t>
      </w:r>
      <w:r>
        <w:rPr>
          <w:i/>
          <w:lang w:val="sq-AL"/>
        </w:rPr>
        <w:t>62</w:t>
      </w:r>
      <w:r w:rsidRPr="000B7F2A">
        <w:rPr>
          <w:i/>
          <w:lang w:val="sq-AL"/>
        </w:rPr>
        <w:t xml:space="preserve"> miliardë lekë dhe detyrimet e prapambetura nga qeverisja vendore janë ulur me rreth 1.</w:t>
      </w:r>
      <w:r>
        <w:rPr>
          <w:i/>
          <w:lang w:val="sq-AL"/>
        </w:rPr>
        <w:t>18</w:t>
      </w:r>
      <w:r w:rsidRPr="000B7F2A">
        <w:rPr>
          <w:i/>
          <w:lang w:val="sq-AL"/>
        </w:rPr>
        <w:t xml:space="preserve"> miliardë lekë, krahasuar me të njëjtën periudhë të një viti më parë.</w:t>
      </w:r>
    </w:p>
    <w:p w:rsidR="004F4BDA" w:rsidRDefault="004F4BDA" w:rsidP="00C71069">
      <w:pPr>
        <w:numPr>
          <w:ilvl w:val="0"/>
          <w:numId w:val="34"/>
        </w:numPr>
        <w:spacing w:before="0" w:line="240" w:lineRule="auto"/>
        <w:contextualSpacing/>
        <w:rPr>
          <w:i/>
          <w:lang w:val="sq-AL"/>
        </w:rPr>
      </w:pPr>
      <w:r w:rsidRPr="000B7F2A">
        <w:rPr>
          <w:i/>
          <w:lang w:val="sq-AL"/>
        </w:rPr>
        <w:t xml:space="preserve">Për periudhën </w:t>
      </w:r>
      <w:r>
        <w:rPr>
          <w:i/>
          <w:lang w:val="sq-AL"/>
        </w:rPr>
        <w:t>12</w:t>
      </w:r>
      <w:r w:rsidRPr="000B7F2A">
        <w:rPr>
          <w:i/>
          <w:lang w:val="sq-AL"/>
        </w:rPr>
        <w:t>M 202</w:t>
      </w:r>
      <w:r>
        <w:rPr>
          <w:i/>
          <w:lang w:val="sq-AL"/>
        </w:rPr>
        <w:t>2</w:t>
      </w:r>
      <w:r w:rsidRPr="000B7F2A">
        <w:rPr>
          <w:i/>
          <w:lang w:val="sq-AL"/>
        </w:rPr>
        <w:t xml:space="preserve">, detyrimet e prapambetura të rimbursimit të TVSH-së janë zeruar, krahasuar me 0.48 miliardë lekë, të regjistruara në </w:t>
      </w:r>
      <w:r>
        <w:rPr>
          <w:i/>
          <w:lang w:val="sq-AL"/>
        </w:rPr>
        <w:t>12</w:t>
      </w:r>
      <w:r w:rsidRPr="000B7F2A">
        <w:rPr>
          <w:i/>
          <w:lang w:val="sq-AL"/>
        </w:rPr>
        <w:t>M 202</w:t>
      </w:r>
      <w:r>
        <w:rPr>
          <w:i/>
          <w:lang w:val="sq-AL"/>
        </w:rPr>
        <w:t>1</w:t>
      </w:r>
      <w:r w:rsidRPr="000B7F2A">
        <w:rPr>
          <w:i/>
          <w:lang w:val="sq-AL"/>
        </w:rPr>
        <w:t>.</w:t>
      </w:r>
    </w:p>
    <w:p w:rsidR="0043521D" w:rsidRPr="0043521D" w:rsidRDefault="004F4BDA" w:rsidP="004F4BDA">
      <w:pPr>
        <w:spacing w:line="240" w:lineRule="auto"/>
        <w:rPr>
          <w:rFonts w:cs="Calibri"/>
          <w:lang w:val="sq-AL"/>
        </w:rPr>
      </w:pPr>
      <w:r w:rsidRPr="00360691">
        <w:rPr>
          <w:rFonts w:cs="Calibri"/>
          <w:lang w:val="sq-AL"/>
        </w:rPr>
        <w:t>Për vitin 2022,</w:t>
      </w:r>
      <w:r w:rsidRPr="000642C5">
        <w:rPr>
          <w:lang w:val="sq-AL"/>
        </w:rPr>
        <w:t xml:space="preserve"> </w:t>
      </w:r>
      <w:r w:rsidRPr="00360691">
        <w:rPr>
          <w:rFonts w:cs="Calibri"/>
          <w:lang w:val="sq-AL"/>
        </w:rPr>
        <w:t>efektet e krizës globale energjitike, lufta në Ukrainë, rritja e kostove të mallrave të konsumit, kanë ndikuar negativisht në rënien e nivelit të përgjithshëm të stokut e detyrimeve të prapambetura. Megjithatë ky nivel u mbajt nën kontroll dhe Ministria e Financave dhe Ekonomisë ka monitoruar ecurinë e shlyerjeve së stokut mbi bazë tremujore. Në total, gjatë vitit 2022, janë shlyer rreth 1.03 miliardë lekë detyrime të prapambetura nga periudhat e mëparshme. Duke konsideruar që procesi i shlyerjes së detyrimeve nga ana e institucioneve kryhet në respektim të parimit FIFO, rezulton se detyrimet që mbeten për t’u shlyer gjatë vitit 2022 karakterizohen nga një “</w:t>
      </w:r>
      <w:r w:rsidRPr="00360691">
        <w:rPr>
          <w:rFonts w:cs="Calibri"/>
          <w:i/>
          <w:lang w:val="sq-AL"/>
        </w:rPr>
        <w:t>moshë mesatare</w:t>
      </w:r>
      <w:r w:rsidRPr="00360691">
        <w:rPr>
          <w:rFonts w:cs="Calibri"/>
          <w:lang w:val="sq-AL"/>
        </w:rPr>
        <w:t>” e re e krijimit të tyre</w:t>
      </w:r>
      <w:r w:rsidR="0043521D" w:rsidRPr="0043521D">
        <w:rPr>
          <w:rFonts w:cs="Calibri"/>
          <w:lang w:val="sq-AL"/>
        </w:rPr>
        <w:t xml:space="preserve">.  </w:t>
      </w:r>
    </w:p>
    <w:p w:rsidR="00C6090D" w:rsidRPr="0043521D" w:rsidRDefault="00C6090D" w:rsidP="00FC729E">
      <w:pPr>
        <w:pStyle w:val="fiskale3"/>
        <w:rPr>
          <w:rFonts w:ascii="Calibri" w:hAnsi="Calibri" w:cs="Calibri"/>
          <w:i/>
        </w:rPr>
      </w:pPr>
      <w:bookmarkStart w:id="217" w:name="_Toc104980350"/>
      <w:r w:rsidRPr="0043521D">
        <w:rPr>
          <w:rFonts w:ascii="Calibri" w:hAnsi="Calibri" w:cs="Calibri"/>
          <w:i/>
        </w:rPr>
        <w:lastRenderedPageBreak/>
        <w:t xml:space="preserve">Detyrimet e prapambetura </w:t>
      </w:r>
      <w:r w:rsidR="001119D4" w:rsidRPr="0043521D">
        <w:rPr>
          <w:rFonts w:ascii="Calibri" w:hAnsi="Calibri" w:cs="Calibri"/>
          <w:i/>
        </w:rPr>
        <w:t>për njësitë e Qeverisjes Qendrore</w:t>
      </w:r>
      <w:bookmarkEnd w:id="217"/>
    </w:p>
    <w:p w:rsidR="00C6090D" w:rsidRPr="00476D2E" w:rsidRDefault="00C6090D" w:rsidP="00FC729E">
      <w:pPr>
        <w:spacing w:before="0"/>
        <w:contextualSpacing/>
        <w:rPr>
          <w:rFonts w:eastAsia="Calibri" w:cs="Calibri"/>
          <w:bCs/>
          <w:lang w:val="sq-AL" w:eastAsia="sq-AL"/>
        </w:rPr>
      </w:pPr>
      <w:r w:rsidRPr="00476D2E">
        <w:rPr>
          <w:rFonts w:eastAsia="Calibri" w:cs="Calibri"/>
          <w:bCs/>
          <w:lang w:val="sq-AL" w:eastAsia="sq-AL"/>
        </w:rPr>
        <w:t xml:space="preserve">Në grafikun e mëposhtëm jepet ecuria e stokut të detyrimeve </w:t>
      </w:r>
      <w:r w:rsidR="005E343F" w:rsidRPr="00476D2E">
        <w:rPr>
          <w:rFonts w:eastAsia="Calibri" w:cs="Calibri"/>
          <w:bCs/>
          <w:lang w:val="sq-AL" w:eastAsia="sq-AL"/>
        </w:rPr>
        <w:t>të prapambetura për secilin tre</w:t>
      </w:r>
      <w:r w:rsidRPr="00476D2E">
        <w:rPr>
          <w:rFonts w:eastAsia="Calibri" w:cs="Calibri"/>
          <w:bCs/>
          <w:lang w:val="sq-AL" w:eastAsia="sq-AL"/>
        </w:rPr>
        <w:t>mujor të vitit 202</w:t>
      </w:r>
      <w:r w:rsidR="004F4BDA">
        <w:rPr>
          <w:rFonts w:eastAsia="Calibri" w:cs="Calibri"/>
          <w:bCs/>
          <w:lang w:val="sq-AL" w:eastAsia="sq-AL"/>
        </w:rPr>
        <w:t>2</w:t>
      </w:r>
      <w:r w:rsidRPr="00476D2E">
        <w:rPr>
          <w:rFonts w:eastAsia="Calibri" w:cs="Calibri"/>
          <w:bCs/>
          <w:lang w:val="sq-AL" w:eastAsia="sq-AL"/>
        </w:rPr>
        <w:t xml:space="preserve">. </w:t>
      </w:r>
    </w:p>
    <w:p w:rsidR="00C6090D" w:rsidRPr="00476D2E" w:rsidRDefault="00C6090D" w:rsidP="004F4BDA">
      <w:pPr>
        <w:pStyle w:val="Caption"/>
        <w:keepNext/>
        <w:spacing w:before="0" w:after="0" w:line="240" w:lineRule="auto"/>
        <w:rPr>
          <w:rFonts w:cs="Calibri"/>
        </w:rPr>
      </w:pPr>
      <w:bookmarkStart w:id="218" w:name="_Toc136526496"/>
      <w:r w:rsidRPr="00017DE1">
        <w:rPr>
          <w:rFonts w:cs="Calibri"/>
        </w:rPr>
        <w:t xml:space="preserve">Grafiku </w:t>
      </w:r>
      <w:r w:rsidRPr="00017DE1">
        <w:rPr>
          <w:rFonts w:cs="Calibri"/>
        </w:rPr>
        <w:fldChar w:fldCharType="begin"/>
      </w:r>
      <w:r w:rsidRPr="00017DE1">
        <w:rPr>
          <w:rFonts w:cs="Calibri"/>
        </w:rPr>
        <w:instrText xml:space="preserve"> SEQ Grafiku \* ARABIC </w:instrText>
      </w:r>
      <w:r w:rsidRPr="00017DE1">
        <w:rPr>
          <w:rFonts w:cs="Calibri"/>
        </w:rPr>
        <w:fldChar w:fldCharType="separate"/>
      </w:r>
      <w:r w:rsidR="008C3E07">
        <w:rPr>
          <w:rFonts w:cs="Calibri"/>
          <w:noProof/>
        </w:rPr>
        <w:t>51</w:t>
      </w:r>
      <w:r w:rsidRPr="00017DE1">
        <w:rPr>
          <w:rFonts w:cs="Calibri"/>
        </w:rPr>
        <w:fldChar w:fldCharType="end"/>
      </w:r>
      <w:r w:rsidR="001364FD" w:rsidRPr="00017DE1">
        <w:rPr>
          <w:rFonts w:cs="Calibri"/>
        </w:rPr>
        <w:t xml:space="preserve"> Stoku i</w:t>
      </w:r>
      <w:r w:rsidRPr="00017DE1">
        <w:rPr>
          <w:rFonts w:cs="Calibri"/>
        </w:rPr>
        <w:t xml:space="preserve"> detyrimeve t</w:t>
      </w:r>
      <w:r w:rsidR="00086626" w:rsidRPr="00017DE1">
        <w:rPr>
          <w:rFonts w:cs="Calibri"/>
        </w:rPr>
        <w:t>ë</w:t>
      </w:r>
      <w:r w:rsidRPr="00017DE1">
        <w:rPr>
          <w:rFonts w:cs="Calibri"/>
        </w:rPr>
        <w:t xml:space="preserve"> Ministris</w:t>
      </w:r>
      <w:r w:rsidR="00086626" w:rsidRPr="00017DE1">
        <w:rPr>
          <w:rFonts w:cs="Calibri"/>
        </w:rPr>
        <w:t>ë</w:t>
      </w:r>
      <w:r w:rsidRPr="00017DE1">
        <w:rPr>
          <w:rFonts w:cs="Calibri"/>
        </w:rPr>
        <w:t xml:space="preserve"> s</w:t>
      </w:r>
      <w:r w:rsidR="00086626" w:rsidRPr="00017DE1">
        <w:rPr>
          <w:rFonts w:cs="Calibri"/>
        </w:rPr>
        <w:t>ë</w:t>
      </w:r>
      <w:r w:rsidRPr="00017DE1">
        <w:rPr>
          <w:rFonts w:cs="Calibri"/>
        </w:rPr>
        <w:t xml:space="preserve"> Energjis</w:t>
      </w:r>
      <w:r w:rsidR="00086626" w:rsidRPr="00017DE1">
        <w:rPr>
          <w:rFonts w:cs="Calibri"/>
        </w:rPr>
        <w:t>ë</w:t>
      </w:r>
      <w:r w:rsidRPr="00017DE1">
        <w:rPr>
          <w:rFonts w:cs="Calibri"/>
        </w:rPr>
        <w:t xml:space="preserve"> dhe Infrastruktur</w:t>
      </w:r>
      <w:r w:rsidR="00086626" w:rsidRPr="00017DE1">
        <w:rPr>
          <w:rFonts w:cs="Calibri"/>
        </w:rPr>
        <w:t>ë</w:t>
      </w:r>
      <w:r w:rsidRPr="00017DE1">
        <w:rPr>
          <w:rFonts w:cs="Calibri"/>
        </w:rPr>
        <w:t>s dhe ministrive t</w:t>
      </w:r>
      <w:r w:rsidR="00086626" w:rsidRPr="00017DE1">
        <w:rPr>
          <w:rFonts w:cs="Calibri"/>
        </w:rPr>
        <w:t>ë</w:t>
      </w:r>
      <w:r w:rsidRPr="00017DE1">
        <w:rPr>
          <w:rFonts w:cs="Calibri"/>
        </w:rPr>
        <w:t xml:space="preserve"> tjera</w:t>
      </w:r>
      <w:bookmarkEnd w:id="218"/>
    </w:p>
    <w:p w:rsidR="00C6090D" w:rsidRPr="00476D2E" w:rsidRDefault="004F4BDA" w:rsidP="004F4BDA">
      <w:pPr>
        <w:spacing w:before="0" w:line="240" w:lineRule="auto"/>
        <w:contextualSpacing/>
        <w:jc w:val="center"/>
        <w:rPr>
          <w:rFonts w:eastAsia="Calibri" w:cs="Calibri"/>
          <w:bCs/>
          <w:i/>
          <w:u w:val="single"/>
          <w:lang w:val="sq-AL" w:eastAsia="sq-AL"/>
        </w:rPr>
      </w:pPr>
      <w:r w:rsidRPr="00716C10">
        <w:rPr>
          <w:noProof/>
        </w:rPr>
        <w:drawing>
          <wp:inline distT="0" distB="0" distL="0" distR="0" wp14:anchorId="017D4749" wp14:editId="3E246781">
            <wp:extent cx="6210300" cy="1454150"/>
            <wp:effectExtent l="0" t="0" r="0" b="1270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6E055E" w:rsidRPr="00476D2E" w:rsidRDefault="00153CD6" w:rsidP="004F4BDA">
      <w:pPr>
        <w:spacing w:before="0" w:line="240" w:lineRule="auto"/>
        <w:ind w:firstLine="720"/>
        <w:rPr>
          <w:rFonts w:eastAsia="SimSun" w:cs="Calibri"/>
          <w:i/>
          <w:sz w:val="18"/>
          <w:szCs w:val="18"/>
          <w:lang w:val="sq-AL"/>
        </w:rPr>
      </w:pPr>
      <w:r>
        <w:rPr>
          <w:rFonts w:eastAsia="SimSun" w:cs="Calibri"/>
          <w:i/>
          <w:sz w:val="18"/>
          <w:szCs w:val="18"/>
          <w:lang w:val="sq-AL"/>
        </w:rPr>
        <w:t>Burimi: Ministria e Financave dhe Ekonomisë (2023)</w:t>
      </w:r>
    </w:p>
    <w:p w:rsidR="00175F54" w:rsidRPr="001F026B" w:rsidRDefault="00175F54" w:rsidP="00175F54">
      <w:pPr>
        <w:spacing w:before="0" w:line="240" w:lineRule="auto"/>
        <w:rPr>
          <w:lang w:val="sq-AL"/>
        </w:rPr>
      </w:pPr>
      <w:r w:rsidRPr="007E0576">
        <w:rPr>
          <w:lang w:val="sq-AL"/>
        </w:rPr>
        <w:t>Sipas informacionit të gjeneruar nga Sistemi Informatik Financiar i Qeverisë</w:t>
      </w:r>
      <w:r>
        <w:rPr>
          <w:lang w:val="sq-AL"/>
        </w:rPr>
        <w:t xml:space="preserve"> (SIFQ) </w:t>
      </w:r>
      <w:r w:rsidRPr="007E0576">
        <w:rPr>
          <w:lang w:val="sq-AL"/>
        </w:rPr>
        <w:t>për periudhën der</w:t>
      </w:r>
      <w:r>
        <w:rPr>
          <w:lang w:val="sq-AL"/>
        </w:rPr>
        <w:t>i në Dhjetor 2022, rezulton se s</w:t>
      </w:r>
      <w:r w:rsidRPr="000F2D01">
        <w:rPr>
          <w:lang w:val="sq-AL"/>
        </w:rPr>
        <w:t xml:space="preserve">toku i detyrimeve të prapambetura </w:t>
      </w:r>
      <w:r>
        <w:rPr>
          <w:lang w:val="sq-AL"/>
        </w:rPr>
        <w:t>të</w:t>
      </w:r>
      <w:r w:rsidRPr="007E0576">
        <w:rPr>
          <w:lang w:val="sq-AL"/>
        </w:rPr>
        <w:t xml:space="preserve"> njësive të qeverisjes qendrore, </w:t>
      </w:r>
      <w:r w:rsidRPr="000F2D01">
        <w:rPr>
          <w:lang w:val="sq-AL"/>
        </w:rPr>
        <w:t xml:space="preserve">është rreth </w:t>
      </w:r>
      <w:r w:rsidRPr="001F026B">
        <w:rPr>
          <w:lang w:val="sq-AL"/>
        </w:rPr>
        <w:t>6.</w:t>
      </w:r>
      <w:r>
        <w:rPr>
          <w:lang w:val="sq-AL"/>
        </w:rPr>
        <w:t>77</w:t>
      </w:r>
      <w:r w:rsidR="00CF6A7A">
        <w:rPr>
          <w:lang w:val="sq-AL"/>
        </w:rPr>
        <w:t>mld</w:t>
      </w:r>
      <w:r w:rsidRPr="001F026B">
        <w:rPr>
          <w:lang w:val="sq-AL"/>
        </w:rPr>
        <w:t xml:space="preserve"> lekë</w:t>
      </w:r>
      <w:r>
        <w:rPr>
          <w:lang w:val="sq-AL"/>
        </w:rPr>
        <w:t xml:space="preserve">, ose </w:t>
      </w:r>
      <w:r w:rsidRPr="001F026B">
        <w:rPr>
          <w:lang w:val="sq-AL"/>
        </w:rPr>
        <w:t xml:space="preserve">rreth </w:t>
      </w:r>
      <w:r>
        <w:rPr>
          <w:lang w:val="sq-AL"/>
        </w:rPr>
        <w:t>620</w:t>
      </w:r>
      <w:r w:rsidR="00CF6A7A">
        <w:rPr>
          <w:lang w:val="sq-AL"/>
        </w:rPr>
        <w:t>mln</w:t>
      </w:r>
      <w:r w:rsidRPr="001F026B">
        <w:rPr>
          <w:lang w:val="sq-AL"/>
        </w:rPr>
        <w:t xml:space="preserve"> lekë më i l</w:t>
      </w:r>
      <w:r>
        <w:rPr>
          <w:lang w:val="sq-AL"/>
        </w:rPr>
        <w:t>art</w:t>
      </w:r>
      <w:r w:rsidRPr="001F026B">
        <w:rPr>
          <w:lang w:val="sq-AL"/>
        </w:rPr>
        <w:t>ë</w:t>
      </w:r>
      <w:r>
        <w:rPr>
          <w:lang w:val="sq-AL"/>
        </w:rPr>
        <w:t xml:space="preserve"> </w:t>
      </w:r>
      <w:bookmarkStart w:id="219" w:name="_Hlk132289557"/>
      <w:r>
        <w:rPr>
          <w:lang w:val="sq-AL"/>
        </w:rPr>
        <w:t>k</w:t>
      </w:r>
      <w:r w:rsidRPr="001F026B">
        <w:rPr>
          <w:lang w:val="sq-AL"/>
        </w:rPr>
        <w:t xml:space="preserve">rahasuar me stokun e </w:t>
      </w:r>
      <w:r>
        <w:rPr>
          <w:lang w:val="sq-AL"/>
        </w:rPr>
        <w:t>regjistruar në Dhjetor</w:t>
      </w:r>
      <w:r w:rsidRPr="001F026B">
        <w:rPr>
          <w:lang w:val="sq-AL"/>
        </w:rPr>
        <w:t xml:space="preserve"> 202</w:t>
      </w:r>
      <w:r>
        <w:rPr>
          <w:lang w:val="sq-AL"/>
        </w:rPr>
        <w:t>1</w:t>
      </w:r>
      <w:bookmarkEnd w:id="219"/>
      <w:r w:rsidRPr="001F026B">
        <w:rPr>
          <w:lang w:val="sq-AL"/>
        </w:rPr>
        <w:t xml:space="preserve">. Sipas kategorive të shpenzimeve rezulton: </w:t>
      </w:r>
    </w:p>
    <w:p w:rsidR="00175F54" w:rsidRDefault="00175F54" w:rsidP="00C71069">
      <w:pPr>
        <w:pStyle w:val="ListParagraph"/>
        <w:numPr>
          <w:ilvl w:val="0"/>
          <w:numId w:val="43"/>
        </w:numPr>
        <w:spacing w:before="0" w:line="240" w:lineRule="auto"/>
        <w:rPr>
          <w:i/>
          <w:sz w:val="20"/>
          <w:szCs w:val="20"/>
          <w:lang w:val="sq-AL"/>
        </w:rPr>
      </w:pPr>
      <w:bookmarkStart w:id="220" w:name="_Hlk132290459"/>
      <w:r w:rsidRPr="00461AA7">
        <w:rPr>
          <w:i/>
          <w:sz w:val="20"/>
          <w:szCs w:val="20"/>
          <w:lang w:val="sq-AL"/>
        </w:rPr>
        <w:t xml:space="preserve">Vendimet Gjyqësore zënë peshën më të madhe të stokut të detyrimit rreth </w:t>
      </w:r>
      <w:r>
        <w:rPr>
          <w:i/>
          <w:sz w:val="20"/>
          <w:szCs w:val="20"/>
          <w:lang w:val="sq-AL"/>
        </w:rPr>
        <w:t>47</w:t>
      </w:r>
      <w:r w:rsidRPr="00461AA7">
        <w:rPr>
          <w:i/>
          <w:sz w:val="20"/>
          <w:szCs w:val="20"/>
          <w:lang w:val="sq-AL"/>
        </w:rPr>
        <w:t>.</w:t>
      </w:r>
      <w:r>
        <w:rPr>
          <w:i/>
          <w:sz w:val="20"/>
          <w:szCs w:val="20"/>
          <w:lang w:val="sq-AL"/>
        </w:rPr>
        <w:t>9</w:t>
      </w:r>
      <w:r w:rsidRPr="00461AA7">
        <w:rPr>
          <w:i/>
          <w:sz w:val="20"/>
          <w:szCs w:val="20"/>
          <w:lang w:val="sq-AL"/>
        </w:rPr>
        <w:t>%,</w:t>
      </w:r>
    </w:p>
    <w:p w:rsidR="00175F54" w:rsidRDefault="00175F54" w:rsidP="00C71069">
      <w:pPr>
        <w:pStyle w:val="ListParagraph"/>
        <w:numPr>
          <w:ilvl w:val="0"/>
          <w:numId w:val="43"/>
        </w:numPr>
        <w:spacing w:before="0" w:line="240" w:lineRule="auto"/>
        <w:rPr>
          <w:i/>
          <w:sz w:val="20"/>
          <w:szCs w:val="20"/>
          <w:lang w:val="sq-AL"/>
        </w:rPr>
      </w:pPr>
      <w:r w:rsidRPr="00461AA7">
        <w:rPr>
          <w:i/>
          <w:sz w:val="20"/>
          <w:szCs w:val="20"/>
          <w:lang w:val="sq-AL"/>
        </w:rPr>
        <w:t>Investimet zënë rreth 3</w:t>
      </w:r>
      <w:r>
        <w:rPr>
          <w:i/>
          <w:sz w:val="20"/>
          <w:szCs w:val="20"/>
          <w:lang w:val="sq-AL"/>
        </w:rPr>
        <w:t>5</w:t>
      </w:r>
      <w:r w:rsidRPr="00461AA7">
        <w:rPr>
          <w:i/>
          <w:sz w:val="20"/>
          <w:szCs w:val="20"/>
          <w:lang w:val="sq-AL"/>
        </w:rPr>
        <w:t>.</w:t>
      </w:r>
      <w:r>
        <w:rPr>
          <w:i/>
          <w:sz w:val="20"/>
          <w:szCs w:val="20"/>
          <w:lang w:val="sq-AL"/>
        </w:rPr>
        <w:t>5</w:t>
      </w:r>
      <w:r w:rsidRPr="00461AA7">
        <w:rPr>
          <w:i/>
          <w:sz w:val="20"/>
          <w:szCs w:val="20"/>
          <w:lang w:val="sq-AL"/>
        </w:rPr>
        <w:t>%,</w:t>
      </w:r>
    </w:p>
    <w:p w:rsidR="00175F54" w:rsidRDefault="00175F54" w:rsidP="00C71069">
      <w:pPr>
        <w:pStyle w:val="ListParagraph"/>
        <w:numPr>
          <w:ilvl w:val="0"/>
          <w:numId w:val="43"/>
        </w:numPr>
        <w:spacing w:before="0" w:line="240" w:lineRule="auto"/>
        <w:rPr>
          <w:i/>
          <w:sz w:val="20"/>
          <w:szCs w:val="20"/>
          <w:lang w:val="sq-AL"/>
        </w:rPr>
      </w:pPr>
      <w:r w:rsidRPr="00461AA7">
        <w:rPr>
          <w:i/>
          <w:sz w:val="20"/>
          <w:szCs w:val="20"/>
          <w:lang w:val="sq-AL"/>
        </w:rPr>
        <w:t xml:space="preserve">Detyrime të prapambetura të tjera zënë rreth </w:t>
      </w:r>
      <w:r>
        <w:rPr>
          <w:i/>
          <w:sz w:val="20"/>
          <w:szCs w:val="20"/>
          <w:lang w:val="sq-AL"/>
        </w:rPr>
        <w:t>9</w:t>
      </w:r>
      <w:r w:rsidRPr="00461AA7">
        <w:rPr>
          <w:i/>
          <w:sz w:val="20"/>
          <w:szCs w:val="20"/>
          <w:lang w:val="sq-AL"/>
        </w:rPr>
        <w:t>.</w:t>
      </w:r>
      <w:r>
        <w:rPr>
          <w:i/>
          <w:sz w:val="20"/>
          <w:szCs w:val="20"/>
          <w:lang w:val="sq-AL"/>
        </w:rPr>
        <w:t>5</w:t>
      </w:r>
      <w:r w:rsidRPr="00461AA7">
        <w:rPr>
          <w:i/>
          <w:sz w:val="20"/>
          <w:szCs w:val="20"/>
          <w:lang w:val="sq-AL"/>
        </w:rPr>
        <w:t xml:space="preserve">%, </w:t>
      </w:r>
    </w:p>
    <w:p w:rsidR="00175F54" w:rsidRDefault="00175F54" w:rsidP="00C71069">
      <w:pPr>
        <w:pStyle w:val="ListParagraph"/>
        <w:numPr>
          <w:ilvl w:val="0"/>
          <w:numId w:val="43"/>
        </w:numPr>
        <w:spacing w:before="0" w:line="240" w:lineRule="auto"/>
        <w:rPr>
          <w:i/>
          <w:sz w:val="20"/>
          <w:szCs w:val="20"/>
          <w:lang w:val="sq-AL"/>
        </w:rPr>
      </w:pPr>
      <w:r w:rsidRPr="00461AA7">
        <w:rPr>
          <w:i/>
          <w:sz w:val="20"/>
          <w:szCs w:val="20"/>
          <w:lang w:val="sq-AL"/>
        </w:rPr>
        <w:t>Detyrimet për sigurimet shoqërore me rreth 2.</w:t>
      </w:r>
      <w:r>
        <w:rPr>
          <w:i/>
          <w:sz w:val="20"/>
          <w:szCs w:val="20"/>
          <w:lang w:val="sq-AL"/>
        </w:rPr>
        <w:t>3</w:t>
      </w:r>
      <w:r w:rsidRPr="00461AA7">
        <w:rPr>
          <w:i/>
          <w:sz w:val="20"/>
          <w:szCs w:val="20"/>
          <w:lang w:val="sq-AL"/>
        </w:rPr>
        <w:t>%,</w:t>
      </w:r>
    </w:p>
    <w:p w:rsidR="00175F54" w:rsidRDefault="00175F54" w:rsidP="00C71069">
      <w:pPr>
        <w:pStyle w:val="ListParagraph"/>
        <w:numPr>
          <w:ilvl w:val="0"/>
          <w:numId w:val="43"/>
        </w:numPr>
        <w:spacing w:before="0" w:line="240" w:lineRule="auto"/>
        <w:rPr>
          <w:i/>
          <w:sz w:val="20"/>
          <w:szCs w:val="20"/>
          <w:lang w:val="sq-AL"/>
        </w:rPr>
      </w:pPr>
      <w:r w:rsidRPr="00461AA7">
        <w:rPr>
          <w:i/>
          <w:sz w:val="20"/>
          <w:szCs w:val="20"/>
          <w:lang w:val="sq-AL"/>
        </w:rPr>
        <w:t>Mirëmbajtje me rreth 1.</w:t>
      </w:r>
      <w:r>
        <w:rPr>
          <w:i/>
          <w:sz w:val="20"/>
          <w:szCs w:val="20"/>
          <w:lang w:val="sq-AL"/>
        </w:rPr>
        <w:t>8</w:t>
      </w:r>
      <w:r w:rsidRPr="00461AA7">
        <w:rPr>
          <w:i/>
          <w:sz w:val="20"/>
          <w:szCs w:val="20"/>
          <w:lang w:val="sq-AL"/>
        </w:rPr>
        <w:t>%,</w:t>
      </w:r>
    </w:p>
    <w:p w:rsidR="00175F54" w:rsidRDefault="00175F54" w:rsidP="00C71069">
      <w:pPr>
        <w:pStyle w:val="ListParagraph"/>
        <w:numPr>
          <w:ilvl w:val="0"/>
          <w:numId w:val="43"/>
        </w:numPr>
        <w:spacing w:before="0" w:line="240" w:lineRule="auto"/>
        <w:rPr>
          <w:i/>
          <w:sz w:val="20"/>
          <w:szCs w:val="20"/>
          <w:lang w:val="sq-AL"/>
        </w:rPr>
      </w:pPr>
      <w:r w:rsidRPr="00461AA7">
        <w:rPr>
          <w:i/>
          <w:sz w:val="20"/>
          <w:szCs w:val="20"/>
          <w:lang w:val="sq-AL"/>
        </w:rPr>
        <w:t>Rimbursimi i TVSH-së 0.8%,</w:t>
      </w:r>
    </w:p>
    <w:p w:rsidR="00175F54" w:rsidRDefault="00175F54" w:rsidP="00C71069">
      <w:pPr>
        <w:pStyle w:val="ListParagraph"/>
        <w:numPr>
          <w:ilvl w:val="0"/>
          <w:numId w:val="43"/>
        </w:numPr>
        <w:spacing w:before="0" w:line="240" w:lineRule="auto"/>
        <w:rPr>
          <w:i/>
          <w:sz w:val="20"/>
          <w:szCs w:val="20"/>
          <w:lang w:val="sq-AL"/>
        </w:rPr>
      </w:pPr>
      <w:r w:rsidRPr="00461AA7">
        <w:rPr>
          <w:i/>
          <w:sz w:val="20"/>
          <w:szCs w:val="20"/>
          <w:lang w:val="sq-AL"/>
        </w:rPr>
        <w:t>Mallra me rreth 0.8%,</w:t>
      </w:r>
    </w:p>
    <w:p w:rsidR="00175F54" w:rsidRDefault="00175F54" w:rsidP="00C71069">
      <w:pPr>
        <w:pStyle w:val="ListParagraph"/>
        <w:numPr>
          <w:ilvl w:val="0"/>
          <w:numId w:val="43"/>
        </w:numPr>
        <w:spacing w:before="0" w:line="240" w:lineRule="auto"/>
        <w:rPr>
          <w:i/>
          <w:sz w:val="20"/>
          <w:szCs w:val="20"/>
          <w:lang w:val="sq-AL"/>
        </w:rPr>
      </w:pPr>
      <w:r w:rsidRPr="00461AA7">
        <w:rPr>
          <w:i/>
          <w:sz w:val="20"/>
          <w:szCs w:val="20"/>
          <w:lang w:val="sq-AL"/>
        </w:rPr>
        <w:t>Të Ardhurat Personale me rreth 0.</w:t>
      </w:r>
      <w:r>
        <w:rPr>
          <w:i/>
          <w:sz w:val="20"/>
          <w:szCs w:val="20"/>
          <w:lang w:val="sq-AL"/>
        </w:rPr>
        <w:t>6</w:t>
      </w:r>
      <w:r w:rsidRPr="00461AA7">
        <w:rPr>
          <w:i/>
          <w:sz w:val="20"/>
          <w:szCs w:val="20"/>
          <w:lang w:val="sq-AL"/>
        </w:rPr>
        <w:t>%,</w:t>
      </w:r>
    </w:p>
    <w:p w:rsidR="00175F54" w:rsidRDefault="00175F54" w:rsidP="00C71069">
      <w:pPr>
        <w:pStyle w:val="ListParagraph"/>
        <w:numPr>
          <w:ilvl w:val="0"/>
          <w:numId w:val="43"/>
        </w:numPr>
        <w:spacing w:before="0" w:line="240" w:lineRule="auto"/>
        <w:rPr>
          <w:i/>
          <w:sz w:val="20"/>
          <w:szCs w:val="20"/>
          <w:lang w:val="sq-AL"/>
        </w:rPr>
      </w:pPr>
      <w:r w:rsidRPr="00461AA7">
        <w:rPr>
          <w:i/>
          <w:sz w:val="20"/>
          <w:szCs w:val="20"/>
          <w:lang w:val="sq-AL"/>
        </w:rPr>
        <w:t>Shërbimet me rreth 0.6%,</w:t>
      </w:r>
    </w:p>
    <w:p w:rsidR="00175F54" w:rsidRPr="00461AA7" w:rsidRDefault="00175F54" w:rsidP="00C71069">
      <w:pPr>
        <w:pStyle w:val="ListParagraph"/>
        <w:numPr>
          <w:ilvl w:val="0"/>
          <w:numId w:val="43"/>
        </w:numPr>
        <w:spacing w:before="0" w:line="240" w:lineRule="auto"/>
        <w:rPr>
          <w:i/>
          <w:sz w:val="20"/>
          <w:szCs w:val="20"/>
          <w:lang w:val="sq-AL"/>
        </w:rPr>
      </w:pPr>
      <w:r w:rsidRPr="00461AA7">
        <w:rPr>
          <w:i/>
          <w:sz w:val="20"/>
          <w:szCs w:val="20"/>
          <w:lang w:val="sq-AL"/>
        </w:rPr>
        <w:t>Detyrimet për sigurimet shëndetsore me rreth 0.3%.</w:t>
      </w:r>
    </w:p>
    <w:bookmarkEnd w:id="220"/>
    <w:p w:rsidR="0043521D" w:rsidRPr="0078341E" w:rsidRDefault="0043521D" w:rsidP="00FC729E">
      <w:pPr>
        <w:spacing w:before="0"/>
        <w:ind w:left="1080"/>
        <w:contextualSpacing/>
        <w:rPr>
          <w:i/>
          <w:sz w:val="20"/>
          <w:szCs w:val="20"/>
        </w:rPr>
      </w:pPr>
    </w:p>
    <w:p w:rsidR="001F026B" w:rsidRPr="0043521D" w:rsidRDefault="001F026B" w:rsidP="00FC729E">
      <w:pPr>
        <w:pStyle w:val="Caption"/>
        <w:keepNext/>
        <w:spacing w:before="0" w:after="0"/>
        <w:rPr>
          <w:rFonts w:cs="Calibri"/>
        </w:rPr>
      </w:pPr>
      <w:bookmarkStart w:id="221" w:name="_Toc136526497"/>
      <w:r w:rsidRPr="0043521D">
        <w:rPr>
          <w:rFonts w:cs="Calibri"/>
        </w:rPr>
        <w:t xml:space="preserve">Grafiku </w:t>
      </w:r>
      <w:r w:rsidRPr="0043521D">
        <w:rPr>
          <w:rFonts w:cs="Calibri"/>
        </w:rPr>
        <w:fldChar w:fldCharType="begin"/>
      </w:r>
      <w:r w:rsidRPr="0043521D">
        <w:rPr>
          <w:rFonts w:cs="Calibri"/>
        </w:rPr>
        <w:instrText xml:space="preserve"> SEQ Grafiku \* ARABIC </w:instrText>
      </w:r>
      <w:r w:rsidRPr="0043521D">
        <w:rPr>
          <w:rFonts w:cs="Calibri"/>
        </w:rPr>
        <w:fldChar w:fldCharType="separate"/>
      </w:r>
      <w:r w:rsidR="008C3E07">
        <w:rPr>
          <w:rFonts w:cs="Calibri"/>
          <w:noProof/>
        </w:rPr>
        <w:t>52</w:t>
      </w:r>
      <w:r w:rsidRPr="0043521D">
        <w:rPr>
          <w:rFonts w:cs="Calibri"/>
        </w:rPr>
        <w:fldChar w:fldCharType="end"/>
      </w:r>
      <w:r w:rsidRPr="0043521D">
        <w:rPr>
          <w:rFonts w:cs="Calibri"/>
        </w:rPr>
        <w:t xml:space="preserve"> Stoku i detyrimeve të prapambetura qendrore sipas zërave kryesorë</w:t>
      </w:r>
      <w:bookmarkEnd w:id="221"/>
    </w:p>
    <w:p w:rsidR="001F026B" w:rsidRPr="00793F5A" w:rsidRDefault="00175F54" w:rsidP="00175F54">
      <w:pPr>
        <w:spacing w:before="0" w:line="240" w:lineRule="auto"/>
        <w:contextualSpacing/>
        <w:jc w:val="center"/>
        <w:rPr>
          <w:i/>
          <w:lang w:val="sq-AL"/>
        </w:rPr>
      </w:pPr>
      <w:r w:rsidRPr="006D69CC">
        <w:rPr>
          <w:noProof/>
          <w:shd w:val="clear" w:color="auto" w:fill="E4F4DF" w:themeFill="accent5" w:themeFillTint="33"/>
        </w:rPr>
        <w:drawing>
          <wp:inline distT="0" distB="0" distL="0" distR="0" wp14:anchorId="15A38B3F" wp14:editId="3E21A47D">
            <wp:extent cx="4711700" cy="1805940"/>
            <wp:effectExtent l="0" t="0" r="0" b="381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1F026B" w:rsidRPr="00904889" w:rsidRDefault="001F026B" w:rsidP="00153CD6">
      <w:pPr>
        <w:spacing w:before="0" w:line="360" w:lineRule="auto"/>
        <w:contextualSpacing/>
        <w:rPr>
          <w:i/>
          <w:sz w:val="18"/>
          <w:lang w:val="sq-AL"/>
        </w:rPr>
      </w:pPr>
      <w:r w:rsidRPr="00904889">
        <w:rPr>
          <w:i/>
          <w:sz w:val="20"/>
          <w:lang w:val="sq-AL"/>
        </w:rPr>
        <w:t xml:space="preserve">                  </w:t>
      </w:r>
      <w:r w:rsidR="001F05DF">
        <w:rPr>
          <w:i/>
          <w:sz w:val="20"/>
          <w:lang w:val="sq-AL"/>
        </w:rPr>
        <w:tab/>
      </w:r>
      <w:r w:rsidR="00153CD6">
        <w:rPr>
          <w:i/>
          <w:sz w:val="18"/>
          <w:lang w:val="sq-AL"/>
        </w:rPr>
        <w:t>Burimi: Ministria e Financave dhe Ekonomisë (2023)</w:t>
      </w:r>
    </w:p>
    <w:p w:rsidR="00175F54" w:rsidRPr="00716C10" w:rsidRDefault="00175F54" w:rsidP="00175F54">
      <w:pPr>
        <w:spacing w:line="240" w:lineRule="auto"/>
        <w:contextualSpacing/>
        <w:rPr>
          <w:rFonts w:eastAsia="Calibri" w:cs="Calibri"/>
          <w:bCs/>
          <w:lang w:val="sq-AL" w:eastAsia="sq-AL"/>
        </w:rPr>
      </w:pPr>
      <w:r>
        <w:rPr>
          <w:rFonts w:eastAsia="Calibri" w:cs="Calibri"/>
          <w:bCs/>
          <w:lang w:val="sq-AL" w:eastAsia="sq-AL"/>
        </w:rPr>
        <w:t xml:space="preserve">Siç vërehet, </w:t>
      </w:r>
      <w:r w:rsidRPr="00716C10">
        <w:rPr>
          <w:rFonts w:eastAsia="Calibri" w:cs="Calibri"/>
          <w:bCs/>
          <w:lang w:val="sq-AL" w:eastAsia="sq-AL"/>
        </w:rPr>
        <w:t xml:space="preserve">zë me peshë </w:t>
      </w:r>
      <w:r>
        <w:rPr>
          <w:rFonts w:eastAsia="Calibri" w:cs="Calibri"/>
          <w:bCs/>
          <w:lang w:val="sq-AL" w:eastAsia="sq-AL"/>
        </w:rPr>
        <w:t xml:space="preserve">të konsiderueshme </w:t>
      </w:r>
      <w:r w:rsidRPr="00716C10">
        <w:rPr>
          <w:rFonts w:eastAsia="Calibri" w:cs="Calibri"/>
          <w:bCs/>
          <w:lang w:val="sq-AL" w:eastAsia="sq-AL"/>
        </w:rPr>
        <w:t>në ecurinë e detyrimeve të prapambetura mbetet ai i vendimeve gjyqësore administrative të formës së prerë</w:t>
      </w:r>
      <w:r>
        <w:rPr>
          <w:rFonts w:eastAsia="Calibri" w:cs="Calibri"/>
          <w:bCs/>
          <w:lang w:val="sq-AL" w:eastAsia="sq-AL"/>
        </w:rPr>
        <w:t>, të cilat</w:t>
      </w:r>
      <w:r w:rsidRPr="00716C10">
        <w:rPr>
          <w:rFonts w:eastAsia="Calibri" w:cs="Calibri"/>
          <w:bCs/>
          <w:lang w:val="sq-AL" w:eastAsia="sq-AL"/>
        </w:rPr>
        <w:t>:</w:t>
      </w:r>
    </w:p>
    <w:p w:rsidR="00175F54" w:rsidRPr="0078341E" w:rsidRDefault="00175F54" w:rsidP="00C71069">
      <w:pPr>
        <w:numPr>
          <w:ilvl w:val="0"/>
          <w:numId w:val="33"/>
        </w:numPr>
        <w:spacing w:before="0" w:line="240" w:lineRule="auto"/>
        <w:ind w:left="540"/>
        <w:contextualSpacing/>
        <w:rPr>
          <w:rFonts w:eastAsia="Calibri" w:cs="Calibri"/>
          <w:bCs/>
          <w:i/>
          <w:lang w:val="sq-AL" w:eastAsia="sq-AL"/>
        </w:rPr>
      </w:pPr>
      <w:r w:rsidRPr="0078341E">
        <w:rPr>
          <w:rFonts w:eastAsia="Calibri" w:cs="Calibri"/>
          <w:bCs/>
          <w:i/>
          <w:lang w:val="sq-AL" w:eastAsia="sq-AL"/>
        </w:rPr>
        <w:t>Kanë kryesisht në sfond largimet e padrejta nga puna të ish-punonjësve, të cilat në çdo rast implikojnë kosto buxhetore të paparashikuara. Këto detyrime monitorohen dhe raportohen nga Ministria e Financave dhe Ekonomisë, në kuadër të monitorimit të përgjithshëm të detyrimeve të prapambetura. Për vitin 202</w:t>
      </w:r>
      <w:r>
        <w:rPr>
          <w:rFonts w:eastAsia="Calibri" w:cs="Calibri"/>
          <w:bCs/>
          <w:i/>
          <w:lang w:val="sq-AL" w:eastAsia="sq-AL"/>
        </w:rPr>
        <w:t>2</w:t>
      </w:r>
      <w:r w:rsidRPr="0078341E">
        <w:rPr>
          <w:rFonts w:eastAsia="Calibri" w:cs="Calibri"/>
          <w:bCs/>
          <w:i/>
          <w:lang w:val="sq-AL" w:eastAsia="sq-AL"/>
        </w:rPr>
        <w:t>, detyrimet e prapambetura për vendime gjyqësore për njësitë e qeverisje qendrore rezultuan në rreth 3.</w:t>
      </w:r>
      <w:r>
        <w:rPr>
          <w:rFonts w:eastAsia="Calibri" w:cs="Calibri"/>
          <w:bCs/>
          <w:i/>
          <w:lang w:val="sq-AL" w:eastAsia="sq-AL"/>
        </w:rPr>
        <w:t>24</w:t>
      </w:r>
      <w:r w:rsidRPr="0078341E">
        <w:rPr>
          <w:rFonts w:eastAsia="Calibri" w:cs="Calibri"/>
          <w:bCs/>
          <w:i/>
          <w:lang w:val="sq-AL" w:eastAsia="sq-AL"/>
        </w:rPr>
        <w:t xml:space="preserve"> mld lekë ose rreth </w:t>
      </w:r>
      <w:r>
        <w:rPr>
          <w:rFonts w:eastAsia="Calibri" w:cs="Calibri"/>
          <w:bCs/>
          <w:i/>
          <w:lang w:val="sq-AL" w:eastAsia="sq-AL"/>
        </w:rPr>
        <w:t>47</w:t>
      </w:r>
      <w:r w:rsidRPr="0078341E">
        <w:rPr>
          <w:rFonts w:eastAsia="Calibri" w:cs="Calibri"/>
          <w:bCs/>
          <w:i/>
          <w:lang w:val="sq-AL" w:eastAsia="sq-AL"/>
        </w:rPr>
        <w:t>.</w:t>
      </w:r>
      <w:r>
        <w:rPr>
          <w:rFonts w:eastAsia="Calibri" w:cs="Calibri"/>
          <w:bCs/>
          <w:i/>
          <w:lang w:val="sq-AL" w:eastAsia="sq-AL"/>
        </w:rPr>
        <w:t>9</w:t>
      </w:r>
      <w:r w:rsidRPr="0078341E">
        <w:rPr>
          <w:rFonts w:eastAsia="Calibri" w:cs="Calibri"/>
          <w:bCs/>
          <w:i/>
          <w:lang w:val="sq-AL" w:eastAsia="sq-AL"/>
        </w:rPr>
        <w:t>% e stokut total të detyrimeve të prapambetura të njësive të qeverisjes qendrore.</w:t>
      </w:r>
    </w:p>
    <w:p w:rsidR="00175F54" w:rsidRDefault="00175F54" w:rsidP="00C71069">
      <w:pPr>
        <w:numPr>
          <w:ilvl w:val="0"/>
          <w:numId w:val="33"/>
        </w:numPr>
        <w:spacing w:before="0" w:line="240" w:lineRule="auto"/>
        <w:ind w:left="540"/>
        <w:contextualSpacing/>
        <w:rPr>
          <w:rFonts w:eastAsia="Calibri" w:cs="Calibri"/>
          <w:bCs/>
          <w:i/>
          <w:lang w:val="sq-AL" w:eastAsia="sq-AL"/>
        </w:rPr>
      </w:pPr>
      <w:r w:rsidRPr="0078341E">
        <w:rPr>
          <w:rFonts w:eastAsia="Calibri" w:cs="Calibri"/>
          <w:bCs/>
          <w:i/>
          <w:lang w:val="sq-AL" w:eastAsia="sq-AL"/>
        </w:rPr>
        <w:t>Ministria e Financave dhe Ekonomisë, për t’i paraprirë akumulimit të tyre në kohë, përveç një monitorimi periodik, vazhdimisht i ka bërë apel aftësisë menaxhuese të vetë institucioneve buxhetore, përmes aplikimit me këste të pagesës për përfituesit apo instrumenteve të tjerë të lehtësimit dhe/ose zhvendosjes në kohë të të barrës së tyre buxhetore.</w:t>
      </w:r>
    </w:p>
    <w:p w:rsidR="00F20CE9" w:rsidRPr="00CF6A7A" w:rsidRDefault="00F20CE9" w:rsidP="00FC729E">
      <w:pPr>
        <w:pStyle w:val="fiskale3"/>
        <w:rPr>
          <w:rFonts w:ascii="Calibri" w:hAnsi="Calibri" w:cs="Calibri"/>
          <w:i/>
        </w:rPr>
      </w:pPr>
      <w:bookmarkStart w:id="222" w:name="_Toc104980351"/>
      <w:bookmarkStart w:id="223" w:name="_Hlk135830342"/>
      <w:r w:rsidRPr="00CF6A7A">
        <w:rPr>
          <w:rFonts w:ascii="Calibri" w:hAnsi="Calibri" w:cs="Calibri"/>
          <w:i/>
        </w:rPr>
        <w:lastRenderedPageBreak/>
        <w:t>Detyrimet e prapambetura për njësitë e Vet</w:t>
      </w:r>
      <w:r w:rsidR="00366408" w:rsidRPr="00CF6A7A">
        <w:rPr>
          <w:rFonts w:ascii="Calibri" w:hAnsi="Calibri" w:cs="Calibri"/>
          <w:i/>
        </w:rPr>
        <w:t>ë</w:t>
      </w:r>
      <w:r w:rsidRPr="00CF6A7A">
        <w:rPr>
          <w:rFonts w:ascii="Calibri" w:hAnsi="Calibri" w:cs="Calibri"/>
          <w:i/>
        </w:rPr>
        <w:t>qeverisjes Vendore (NJVQV)</w:t>
      </w:r>
      <w:bookmarkEnd w:id="222"/>
    </w:p>
    <w:p w:rsidR="00E02348" w:rsidRPr="00E02348" w:rsidRDefault="00E02348" w:rsidP="00371EF3">
      <w:pPr>
        <w:spacing w:before="0" w:line="240" w:lineRule="auto"/>
        <w:contextualSpacing/>
        <w:rPr>
          <w:rFonts w:cs="Calibri"/>
          <w:lang w:val="sq-AL"/>
        </w:rPr>
      </w:pPr>
      <w:r w:rsidRPr="00E02348">
        <w:rPr>
          <w:rFonts w:cs="Calibri"/>
          <w:lang w:val="sq-AL"/>
        </w:rPr>
        <w:t>Stoku i detyrimeve të prapambetura në fund të muajit dhjetor 2022, i cili parashikohet të shlyhet në një periudhë afatmesme, bazuar në planin e shlyerjes së dërguar nga të gjitha bashkitë në Ministrinë e Financave dhe Ekonomisë është rreth 5.4 miliard lekë. Vlera e stokut të detyrimeve të prapambetura është ulur me rreth 1.3 milard lekë krahasuar me stokun e detyrimit në fund të tremujorit të tretë të vitit 2022, që ishte rreth 6.7 miliard lekë, dhe është ulur me rreth 1.2 milard lekë krahasuar me stokun e detyrimit në fund të vitit 2021, që ishte rreth 6.6 miliard lekë.</w:t>
      </w:r>
    </w:p>
    <w:p w:rsidR="00371EF3" w:rsidRPr="00371EF3" w:rsidRDefault="00371EF3" w:rsidP="00371EF3">
      <w:pPr>
        <w:spacing w:before="0" w:line="240" w:lineRule="auto"/>
        <w:contextualSpacing/>
        <w:rPr>
          <w:rFonts w:cs="Calibri"/>
          <w:sz w:val="8"/>
          <w:szCs w:val="8"/>
          <w:lang w:val="sq-AL"/>
        </w:rPr>
      </w:pPr>
    </w:p>
    <w:p w:rsidR="009475E3" w:rsidRPr="0043521D" w:rsidRDefault="00E02348" w:rsidP="00371EF3">
      <w:pPr>
        <w:spacing w:before="0" w:line="240" w:lineRule="auto"/>
        <w:contextualSpacing/>
        <w:rPr>
          <w:i/>
          <w:sz w:val="8"/>
          <w:szCs w:val="8"/>
          <w:lang w:val="sq-AL"/>
        </w:rPr>
      </w:pPr>
      <w:r w:rsidRPr="00E02348">
        <w:rPr>
          <w:rFonts w:cs="Calibri"/>
          <w:lang w:val="sq-AL"/>
        </w:rPr>
        <w:t>Stokun më të lartë të detyrimeve e ka bashkia Tiranë në vlerën rreth 1.2</w:t>
      </w:r>
      <w:r w:rsidR="00371EF3">
        <w:rPr>
          <w:rFonts w:cs="Calibri"/>
          <w:lang w:val="sq-AL"/>
        </w:rPr>
        <w:t>mld</w:t>
      </w:r>
      <w:r w:rsidRPr="00E02348">
        <w:rPr>
          <w:rFonts w:cs="Calibri"/>
          <w:lang w:val="sq-AL"/>
        </w:rPr>
        <w:t xml:space="preserve"> lekë</w:t>
      </w:r>
      <w:r w:rsidR="00371EF3">
        <w:rPr>
          <w:rFonts w:cs="Calibri"/>
          <w:lang w:val="sq-AL"/>
        </w:rPr>
        <w:t xml:space="preserve"> ose</w:t>
      </w:r>
      <w:r w:rsidRPr="00E02348">
        <w:rPr>
          <w:rFonts w:cs="Calibri"/>
          <w:lang w:val="sq-AL"/>
        </w:rPr>
        <w:t xml:space="preserve"> 22.1% të totalit të detyrimeve. Më pas, bashkia Kavajë </w:t>
      </w:r>
      <w:r w:rsidR="00371EF3">
        <w:rPr>
          <w:rFonts w:cs="Calibri"/>
          <w:lang w:val="sq-AL"/>
        </w:rPr>
        <w:t>me</w:t>
      </w:r>
      <w:r w:rsidRPr="00E02348">
        <w:rPr>
          <w:rFonts w:cs="Calibri"/>
          <w:lang w:val="sq-AL"/>
        </w:rPr>
        <w:t xml:space="preserve"> rreth 837.5</w:t>
      </w:r>
      <w:r w:rsidR="00371EF3">
        <w:rPr>
          <w:rFonts w:cs="Calibri"/>
          <w:lang w:val="sq-AL"/>
        </w:rPr>
        <w:t>mln</w:t>
      </w:r>
      <w:r w:rsidRPr="00E02348">
        <w:rPr>
          <w:rFonts w:cs="Calibri"/>
          <w:lang w:val="sq-AL"/>
        </w:rPr>
        <w:t xml:space="preserve"> lekë, e cila përbën 15.7% të totalit të detyrimeve; bashkia Vorë në vlerën e pandryshuar rreth 413</w:t>
      </w:r>
      <w:r w:rsidR="00371EF3">
        <w:rPr>
          <w:rFonts w:cs="Calibri"/>
          <w:lang w:val="sq-AL"/>
        </w:rPr>
        <w:t>mln</w:t>
      </w:r>
      <w:r w:rsidRPr="00E02348">
        <w:rPr>
          <w:rFonts w:cs="Calibri"/>
          <w:lang w:val="sq-AL"/>
        </w:rPr>
        <w:t xml:space="preserve"> lekë, e cila përbën 7.8% të totalit të detyrimeve; bashkia Pogradec në vlerën rreth 278</w:t>
      </w:r>
      <w:r w:rsidR="00371EF3">
        <w:rPr>
          <w:rFonts w:cs="Calibri"/>
          <w:lang w:val="sq-AL"/>
        </w:rPr>
        <w:t>mln</w:t>
      </w:r>
      <w:r w:rsidRPr="00E02348">
        <w:rPr>
          <w:rFonts w:cs="Calibri"/>
          <w:lang w:val="sq-AL"/>
        </w:rPr>
        <w:t xml:space="preserve"> lekë, e cila përbën 5.2% të totalit të detyrimeve. Më pas renditen bashkia Kamëz dhe Dibër.</w:t>
      </w:r>
    </w:p>
    <w:p w:rsidR="00F20CE9" w:rsidRPr="00DE49E2" w:rsidRDefault="00DE49E2" w:rsidP="00FC729E">
      <w:pPr>
        <w:pStyle w:val="Caption"/>
        <w:spacing w:after="0"/>
      </w:pPr>
      <w:bookmarkStart w:id="224" w:name="_Toc136526498"/>
      <w:r>
        <w:t xml:space="preserve">Grafiku </w:t>
      </w:r>
      <w:fldSimple w:instr=" SEQ Grafiku \* ARABIC ">
        <w:r w:rsidR="008C3E07">
          <w:rPr>
            <w:noProof/>
          </w:rPr>
          <w:t>53</w:t>
        </w:r>
      </w:fldSimple>
      <w:r w:rsidR="00F20CE9" w:rsidRPr="0043521D">
        <w:rPr>
          <w:rFonts w:cs="Calibri"/>
        </w:rPr>
        <w:t xml:space="preserve"> Stoku i detyrimeve të prapambetura vendore sipas zërave kryesorë</w:t>
      </w:r>
      <w:bookmarkEnd w:id="224"/>
    </w:p>
    <w:p w:rsidR="00D654BF" w:rsidRPr="00F20CE9" w:rsidRDefault="00397741" w:rsidP="00397741">
      <w:pPr>
        <w:pStyle w:val="ListParagraph"/>
        <w:spacing w:before="0" w:line="240" w:lineRule="auto"/>
        <w:ind w:left="360"/>
        <w:jc w:val="center"/>
        <w:rPr>
          <w:rFonts w:cs="Calibri"/>
          <w:lang w:val="sq-AL"/>
        </w:rPr>
      </w:pPr>
      <w:r>
        <w:rPr>
          <w:noProof/>
        </w:rPr>
        <w:drawing>
          <wp:inline distT="0" distB="0" distL="0" distR="0" wp14:anchorId="2BB01685" wp14:editId="1D5CAE41">
            <wp:extent cx="4565650" cy="1935480"/>
            <wp:effectExtent l="0" t="0" r="6350" b="762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017DE1" w:rsidRDefault="00017DE1" w:rsidP="00153CD6">
      <w:pPr>
        <w:spacing w:before="0" w:line="360" w:lineRule="auto"/>
        <w:contextualSpacing/>
        <w:rPr>
          <w:i/>
          <w:sz w:val="18"/>
          <w:lang w:val="sq-AL"/>
        </w:rPr>
      </w:pPr>
      <w:r w:rsidRPr="00904889">
        <w:rPr>
          <w:i/>
          <w:sz w:val="20"/>
          <w:lang w:val="sq-AL"/>
        </w:rPr>
        <w:t xml:space="preserve">                  </w:t>
      </w:r>
      <w:r w:rsidR="00397741">
        <w:rPr>
          <w:i/>
          <w:sz w:val="20"/>
          <w:lang w:val="sq-AL"/>
        </w:rPr>
        <w:tab/>
      </w:r>
      <w:r w:rsidR="00397741">
        <w:rPr>
          <w:i/>
          <w:sz w:val="20"/>
          <w:lang w:val="sq-AL"/>
        </w:rPr>
        <w:tab/>
      </w:r>
      <w:r w:rsidR="00153CD6">
        <w:rPr>
          <w:i/>
          <w:sz w:val="18"/>
          <w:lang w:val="sq-AL"/>
        </w:rPr>
        <w:t>Burimi: Ministria e Financave dhe Ekonomisë (2023)</w:t>
      </w:r>
    </w:p>
    <w:p w:rsidR="009475E3" w:rsidRPr="00F20CE9" w:rsidRDefault="009475E3" w:rsidP="00FC729E">
      <w:pPr>
        <w:contextualSpacing/>
        <w:rPr>
          <w:lang w:val="sq-AL"/>
        </w:rPr>
      </w:pPr>
      <w:r w:rsidRPr="00F20CE9">
        <w:rPr>
          <w:lang w:val="sq-AL"/>
        </w:rPr>
        <w:t xml:space="preserve">Sipas kategorive, rezulton që: </w:t>
      </w:r>
    </w:p>
    <w:p w:rsidR="00397741" w:rsidRPr="0078341E" w:rsidRDefault="00397741" w:rsidP="00C71069">
      <w:pPr>
        <w:pStyle w:val="ListParagraph"/>
        <w:numPr>
          <w:ilvl w:val="0"/>
          <w:numId w:val="43"/>
        </w:numPr>
        <w:spacing w:before="0" w:line="240" w:lineRule="auto"/>
        <w:rPr>
          <w:i/>
          <w:lang w:val="sq-AL"/>
        </w:rPr>
      </w:pPr>
      <w:r w:rsidRPr="0078341E">
        <w:rPr>
          <w:i/>
          <w:lang w:val="sq-AL"/>
        </w:rPr>
        <w:t xml:space="preserve">Investimet zënë peshën më të madhe të stokut të detyrimit me rreth </w:t>
      </w:r>
      <w:r>
        <w:rPr>
          <w:i/>
          <w:lang w:val="sq-AL"/>
        </w:rPr>
        <w:t>44</w:t>
      </w:r>
      <w:r w:rsidRPr="0078341E">
        <w:rPr>
          <w:i/>
          <w:lang w:val="sq-AL"/>
        </w:rPr>
        <w:t>%,</w:t>
      </w:r>
    </w:p>
    <w:p w:rsidR="00397741" w:rsidRPr="0078341E" w:rsidRDefault="00397741" w:rsidP="00C71069">
      <w:pPr>
        <w:pStyle w:val="ListParagraph"/>
        <w:numPr>
          <w:ilvl w:val="0"/>
          <w:numId w:val="43"/>
        </w:numPr>
        <w:spacing w:before="0" w:line="240" w:lineRule="auto"/>
        <w:rPr>
          <w:i/>
          <w:lang w:val="sq-AL"/>
        </w:rPr>
      </w:pPr>
      <w:r w:rsidRPr="0078341E">
        <w:rPr>
          <w:i/>
          <w:lang w:val="sq-AL"/>
        </w:rPr>
        <w:t xml:space="preserve">Detyrime të prapambetura të tjera me rreth </w:t>
      </w:r>
      <w:r>
        <w:rPr>
          <w:i/>
          <w:lang w:val="sq-AL"/>
        </w:rPr>
        <w:t>28</w:t>
      </w:r>
      <w:r w:rsidRPr="0078341E">
        <w:rPr>
          <w:i/>
          <w:lang w:val="sq-AL"/>
        </w:rPr>
        <w:t>%,</w:t>
      </w:r>
    </w:p>
    <w:p w:rsidR="00397741" w:rsidRPr="0078341E" w:rsidRDefault="00397741" w:rsidP="00C71069">
      <w:pPr>
        <w:pStyle w:val="ListParagraph"/>
        <w:numPr>
          <w:ilvl w:val="0"/>
          <w:numId w:val="43"/>
        </w:numPr>
        <w:spacing w:before="0" w:line="240" w:lineRule="auto"/>
        <w:rPr>
          <w:i/>
          <w:lang w:val="sq-AL"/>
        </w:rPr>
      </w:pPr>
      <w:r w:rsidRPr="0078341E">
        <w:rPr>
          <w:i/>
          <w:lang w:val="sq-AL"/>
        </w:rPr>
        <w:t xml:space="preserve">Shërbimet rreth </w:t>
      </w:r>
      <w:r>
        <w:rPr>
          <w:i/>
          <w:lang w:val="sq-AL"/>
        </w:rPr>
        <w:t>11</w:t>
      </w:r>
      <w:r w:rsidRPr="0078341E">
        <w:rPr>
          <w:i/>
          <w:lang w:val="sq-AL"/>
        </w:rPr>
        <w:t>%,</w:t>
      </w:r>
    </w:p>
    <w:p w:rsidR="00397741" w:rsidRPr="0078341E" w:rsidRDefault="00397741" w:rsidP="00C71069">
      <w:pPr>
        <w:pStyle w:val="ListParagraph"/>
        <w:numPr>
          <w:ilvl w:val="0"/>
          <w:numId w:val="43"/>
        </w:numPr>
        <w:spacing w:before="0" w:line="240" w:lineRule="auto"/>
        <w:rPr>
          <w:i/>
          <w:lang w:val="sq-AL"/>
        </w:rPr>
      </w:pPr>
      <w:r w:rsidRPr="0078341E">
        <w:rPr>
          <w:i/>
          <w:lang w:val="sq-AL"/>
        </w:rPr>
        <w:t xml:space="preserve">Vendimet Gjyqësore rreth </w:t>
      </w:r>
      <w:r>
        <w:rPr>
          <w:i/>
          <w:lang w:val="sq-AL"/>
        </w:rPr>
        <w:t>10</w:t>
      </w:r>
      <w:r w:rsidRPr="0078341E">
        <w:rPr>
          <w:i/>
          <w:lang w:val="sq-AL"/>
        </w:rPr>
        <w:t>%,</w:t>
      </w:r>
    </w:p>
    <w:p w:rsidR="00397741" w:rsidRPr="0078341E" w:rsidRDefault="00397741" w:rsidP="00C71069">
      <w:pPr>
        <w:pStyle w:val="ListParagraph"/>
        <w:numPr>
          <w:ilvl w:val="0"/>
          <w:numId w:val="43"/>
        </w:numPr>
        <w:spacing w:before="0" w:line="240" w:lineRule="auto"/>
        <w:rPr>
          <w:i/>
          <w:lang w:val="sq-AL"/>
        </w:rPr>
      </w:pPr>
      <w:r w:rsidRPr="0078341E">
        <w:rPr>
          <w:i/>
          <w:lang w:val="sq-AL"/>
        </w:rPr>
        <w:t xml:space="preserve">Mallra me rreth </w:t>
      </w:r>
      <w:r>
        <w:rPr>
          <w:i/>
          <w:lang w:val="sq-AL"/>
        </w:rPr>
        <w:t>4</w:t>
      </w:r>
      <w:r w:rsidRPr="0078341E">
        <w:rPr>
          <w:i/>
          <w:lang w:val="sq-AL"/>
        </w:rPr>
        <w:t xml:space="preserve">%, </w:t>
      </w:r>
    </w:p>
    <w:p w:rsidR="00397741" w:rsidRPr="0078341E" w:rsidRDefault="00397741" w:rsidP="00C71069">
      <w:pPr>
        <w:pStyle w:val="ListParagraph"/>
        <w:numPr>
          <w:ilvl w:val="0"/>
          <w:numId w:val="43"/>
        </w:numPr>
        <w:spacing w:before="0" w:line="240" w:lineRule="auto"/>
        <w:rPr>
          <w:i/>
          <w:lang w:val="sq-AL"/>
        </w:rPr>
      </w:pPr>
      <w:r w:rsidRPr="0078341E">
        <w:rPr>
          <w:i/>
          <w:lang w:val="sq-AL"/>
        </w:rPr>
        <w:t xml:space="preserve">Mirëmbajtje rreth </w:t>
      </w:r>
      <w:r>
        <w:rPr>
          <w:i/>
          <w:lang w:val="sq-AL"/>
        </w:rPr>
        <w:t>2</w:t>
      </w:r>
      <w:r w:rsidRPr="0078341E">
        <w:rPr>
          <w:i/>
          <w:lang w:val="sq-AL"/>
        </w:rPr>
        <w:t>%,</w:t>
      </w:r>
      <w:r>
        <w:rPr>
          <w:i/>
          <w:lang w:val="sq-AL"/>
        </w:rPr>
        <w:t xml:space="preserve"> etj.</w:t>
      </w:r>
    </w:p>
    <w:p w:rsidR="009475E3" w:rsidRDefault="009475E3" w:rsidP="00FC729E">
      <w:pPr>
        <w:pStyle w:val="Caption"/>
        <w:keepNext/>
        <w:spacing w:after="0"/>
        <w:rPr>
          <w:rFonts w:cs="Calibri"/>
          <w:i w:val="0"/>
          <w:iCs w:val="0"/>
          <w:lang w:val="sq-AL"/>
        </w:rPr>
      </w:pPr>
      <w:bookmarkStart w:id="225" w:name="_Toc136526345"/>
      <w:r w:rsidRPr="00476D2E">
        <w:t xml:space="preserve">Tabela </w:t>
      </w:r>
      <w:r w:rsidRPr="00476D2E">
        <w:rPr>
          <w:noProof/>
        </w:rPr>
        <w:fldChar w:fldCharType="begin"/>
      </w:r>
      <w:r w:rsidRPr="00476D2E">
        <w:rPr>
          <w:noProof/>
        </w:rPr>
        <w:instrText xml:space="preserve"> SEQ Tabela \* ARABIC </w:instrText>
      </w:r>
      <w:r w:rsidRPr="00476D2E">
        <w:rPr>
          <w:noProof/>
        </w:rPr>
        <w:fldChar w:fldCharType="separate"/>
      </w:r>
      <w:r w:rsidR="008C3E07">
        <w:rPr>
          <w:noProof/>
        </w:rPr>
        <w:t>19</w:t>
      </w:r>
      <w:r w:rsidRPr="00476D2E">
        <w:rPr>
          <w:noProof/>
        </w:rPr>
        <w:fldChar w:fldCharType="end"/>
      </w:r>
      <w:r w:rsidR="00276062">
        <w:rPr>
          <w:noProof/>
        </w:rPr>
        <w:t xml:space="preserve"> </w:t>
      </w:r>
      <w:r w:rsidRPr="00476D2E">
        <w:rPr>
          <w:rFonts w:cs="Calibri"/>
          <w:i w:val="0"/>
          <w:iCs w:val="0"/>
          <w:lang w:val="sq-AL"/>
        </w:rPr>
        <w:t>Detyrimet e prapambetura në nivel vendor sipas kategorive</w:t>
      </w:r>
      <w:bookmarkEnd w:id="225"/>
    </w:p>
    <w:tbl>
      <w:tblPr>
        <w:tblStyle w:val="ListTable3-Accent12"/>
        <w:tblW w:w="4718" w:type="pct"/>
        <w:jc w:val="center"/>
        <w:tblLook w:val="04A0" w:firstRow="1" w:lastRow="0" w:firstColumn="1" w:lastColumn="0" w:noHBand="0" w:noVBand="1"/>
      </w:tblPr>
      <w:tblGrid>
        <w:gridCol w:w="1703"/>
        <w:gridCol w:w="2063"/>
        <w:gridCol w:w="1416"/>
        <w:gridCol w:w="1267"/>
        <w:gridCol w:w="1753"/>
        <w:gridCol w:w="1725"/>
      </w:tblGrid>
      <w:tr w:rsidR="00397741" w:rsidRPr="00341B3C" w:rsidTr="00B06D74">
        <w:trPr>
          <w:cnfStyle w:val="100000000000" w:firstRow="1" w:lastRow="0" w:firstColumn="0" w:lastColumn="0" w:oddVBand="0" w:evenVBand="0" w:oddHBand="0" w:evenHBand="0" w:firstRowFirstColumn="0" w:firstRowLastColumn="0" w:lastRowFirstColumn="0" w:lastRowLastColumn="0"/>
          <w:trHeight w:val="374"/>
          <w:jc w:val="center"/>
        </w:trPr>
        <w:tc>
          <w:tcPr>
            <w:cnfStyle w:val="001000000100" w:firstRow="0" w:lastRow="0" w:firstColumn="1" w:lastColumn="0" w:oddVBand="0" w:evenVBand="0" w:oddHBand="0" w:evenHBand="0" w:firstRowFirstColumn="1" w:firstRowLastColumn="0" w:lastRowFirstColumn="0" w:lastRowLastColumn="0"/>
            <w:tcW w:w="858" w:type="pct"/>
            <w:tcBorders>
              <w:top w:val="single" w:sz="4" w:space="0" w:color="0F6FC6" w:themeColor="accent1"/>
              <w:bottom w:val="single" w:sz="4" w:space="0" w:color="0F6FC6" w:themeColor="accent1"/>
            </w:tcBorders>
            <w:shd w:val="clear" w:color="auto" w:fill="90C5F6" w:themeFill="accent1" w:themeFillTint="66"/>
            <w:hideMark/>
          </w:tcPr>
          <w:p w:rsidR="00397741" w:rsidRPr="00341B3C" w:rsidRDefault="00397741" w:rsidP="00397741">
            <w:pPr>
              <w:spacing w:before="0" w:line="240" w:lineRule="auto"/>
              <w:jc w:val="center"/>
              <w:rPr>
                <w:rFonts w:asciiTheme="majorHAnsi" w:hAnsiTheme="majorHAnsi" w:cstheme="minorHAnsi"/>
                <w:color w:val="auto"/>
                <w:sz w:val="19"/>
                <w:szCs w:val="19"/>
                <w:lang w:val="sq-AL"/>
              </w:rPr>
            </w:pPr>
            <w:r w:rsidRPr="00341B3C">
              <w:rPr>
                <w:rFonts w:asciiTheme="majorHAnsi" w:hAnsiTheme="majorHAnsi" w:cstheme="minorHAnsi"/>
                <w:color w:val="auto"/>
                <w:sz w:val="19"/>
                <w:szCs w:val="19"/>
                <w:lang w:val="sq-AL"/>
              </w:rPr>
              <w:t>Llog. Ekonomike</w:t>
            </w:r>
          </w:p>
        </w:tc>
        <w:tc>
          <w:tcPr>
            <w:tcW w:w="1039" w:type="pct"/>
            <w:tcBorders>
              <w:top w:val="single" w:sz="4" w:space="0" w:color="0F6FC6" w:themeColor="accent1"/>
              <w:bottom w:val="single" w:sz="4" w:space="0" w:color="0F6FC6" w:themeColor="accent1"/>
            </w:tcBorders>
            <w:shd w:val="clear" w:color="auto" w:fill="90C5F6" w:themeFill="accent1" w:themeFillTint="66"/>
            <w:hideMark/>
          </w:tcPr>
          <w:p w:rsidR="00397741" w:rsidRPr="00341B3C" w:rsidRDefault="00397741" w:rsidP="0039774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color w:val="auto"/>
                <w:sz w:val="19"/>
                <w:szCs w:val="19"/>
                <w:lang w:val="sq-AL"/>
              </w:rPr>
            </w:pPr>
            <w:r w:rsidRPr="00341B3C">
              <w:rPr>
                <w:rFonts w:asciiTheme="majorHAnsi" w:hAnsiTheme="majorHAnsi" w:cstheme="minorHAnsi"/>
                <w:color w:val="auto"/>
                <w:sz w:val="19"/>
                <w:szCs w:val="19"/>
                <w:lang w:val="sq-AL"/>
              </w:rPr>
              <w:t>Kategoria</w:t>
            </w:r>
          </w:p>
        </w:tc>
        <w:tc>
          <w:tcPr>
            <w:tcW w:w="713" w:type="pct"/>
            <w:tcBorders>
              <w:top w:val="single" w:sz="4" w:space="0" w:color="0F6FC6" w:themeColor="accent1"/>
              <w:bottom w:val="single" w:sz="4" w:space="0" w:color="0F6FC6" w:themeColor="accent1"/>
            </w:tcBorders>
            <w:shd w:val="clear" w:color="auto" w:fill="90C5F6" w:themeFill="accent1" w:themeFillTint="66"/>
            <w:hideMark/>
          </w:tcPr>
          <w:p w:rsidR="00397741" w:rsidRPr="00341B3C" w:rsidRDefault="00397741" w:rsidP="0039774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color w:val="auto"/>
                <w:sz w:val="19"/>
                <w:szCs w:val="19"/>
                <w:lang w:val="sq-AL"/>
              </w:rPr>
            </w:pPr>
            <w:r w:rsidRPr="00341B3C">
              <w:rPr>
                <w:rFonts w:asciiTheme="majorHAnsi" w:hAnsiTheme="majorHAnsi" w:cstheme="minorHAnsi"/>
                <w:color w:val="auto"/>
                <w:sz w:val="19"/>
                <w:szCs w:val="19"/>
                <w:lang w:val="sq-AL"/>
              </w:rPr>
              <w:t>Bashki</w:t>
            </w:r>
          </w:p>
        </w:tc>
        <w:tc>
          <w:tcPr>
            <w:tcW w:w="638" w:type="pct"/>
            <w:tcBorders>
              <w:top w:val="single" w:sz="4" w:space="0" w:color="0F6FC6" w:themeColor="accent1"/>
              <w:bottom w:val="single" w:sz="4" w:space="0" w:color="0F6FC6" w:themeColor="accent1"/>
            </w:tcBorders>
            <w:shd w:val="clear" w:color="auto" w:fill="90C5F6" w:themeFill="accent1" w:themeFillTint="66"/>
            <w:hideMark/>
          </w:tcPr>
          <w:p w:rsidR="00397741" w:rsidRPr="00341B3C" w:rsidRDefault="00397741" w:rsidP="0039774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color w:val="auto"/>
                <w:sz w:val="19"/>
                <w:szCs w:val="19"/>
                <w:lang w:val="sq-AL"/>
              </w:rPr>
            </w:pPr>
            <w:r w:rsidRPr="00341B3C">
              <w:rPr>
                <w:rFonts w:asciiTheme="majorHAnsi" w:hAnsiTheme="majorHAnsi" w:cstheme="minorHAnsi"/>
                <w:color w:val="auto"/>
                <w:sz w:val="19"/>
                <w:szCs w:val="19"/>
                <w:lang w:val="sq-AL"/>
              </w:rPr>
              <w:t>Qarqe</w:t>
            </w:r>
          </w:p>
        </w:tc>
        <w:tc>
          <w:tcPr>
            <w:tcW w:w="883" w:type="pct"/>
            <w:tcBorders>
              <w:top w:val="single" w:sz="4" w:space="0" w:color="0F6FC6" w:themeColor="accent1"/>
              <w:bottom w:val="single" w:sz="4" w:space="0" w:color="0F6FC6" w:themeColor="accent1"/>
            </w:tcBorders>
            <w:shd w:val="clear" w:color="auto" w:fill="90C5F6" w:themeFill="accent1" w:themeFillTint="66"/>
            <w:hideMark/>
          </w:tcPr>
          <w:p w:rsidR="00397741" w:rsidRPr="00341B3C" w:rsidRDefault="00397741" w:rsidP="0039774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color w:val="auto"/>
                <w:sz w:val="19"/>
                <w:szCs w:val="19"/>
                <w:lang w:val="sq-AL"/>
              </w:rPr>
            </w:pPr>
            <w:r w:rsidRPr="00341B3C">
              <w:rPr>
                <w:rFonts w:asciiTheme="majorHAnsi" w:hAnsiTheme="majorHAnsi" w:cstheme="minorHAnsi"/>
                <w:color w:val="auto"/>
                <w:sz w:val="19"/>
                <w:szCs w:val="19"/>
                <w:lang w:val="sq-AL"/>
              </w:rPr>
              <w:t>Pesha ne % Bashki</w:t>
            </w:r>
          </w:p>
        </w:tc>
        <w:tc>
          <w:tcPr>
            <w:tcW w:w="869" w:type="pct"/>
            <w:tcBorders>
              <w:top w:val="single" w:sz="4" w:space="0" w:color="0F6FC6" w:themeColor="accent1"/>
              <w:bottom w:val="single" w:sz="4" w:space="0" w:color="0F6FC6" w:themeColor="accent1"/>
            </w:tcBorders>
            <w:shd w:val="clear" w:color="auto" w:fill="90C5F6" w:themeFill="accent1" w:themeFillTint="66"/>
            <w:hideMark/>
          </w:tcPr>
          <w:p w:rsidR="00397741" w:rsidRPr="00341B3C" w:rsidRDefault="00397741" w:rsidP="0039774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color w:val="auto"/>
                <w:sz w:val="19"/>
                <w:szCs w:val="19"/>
                <w:lang w:val="sq-AL"/>
              </w:rPr>
            </w:pPr>
            <w:r w:rsidRPr="00341B3C">
              <w:rPr>
                <w:rFonts w:asciiTheme="majorHAnsi" w:hAnsiTheme="majorHAnsi" w:cstheme="minorHAnsi"/>
                <w:color w:val="auto"/>
                <w:sz w:val="19"/>
                <w:szCs w:val="19"/>
                <w:lang w:val="sq-AL"/>
              </w:rPr>
              <w:t>Pesha ne % Qarqe</w:t>
            </w:r>
          </w:p>
        </w:tc>
      </w:tr>
      <w:tr w:rsidR="00397741" w:rsidRPr="00341B3C" w:rsidTr="00B06D74">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4864100</w:t>
            </w:r>
          </w:p>
        </w:tc>
        <w:tc>
          <w:tcPr>
            <w:tcW w:w="103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Vendime Gjyqesore</w:t>
            </w:r>
          </w:p>
        </w:tc>
        <w:tc>
          <w:tcPr>
            <w:tcW w:w="71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423,056,705</w:t>
            </w:r>
          </w:p>
        </w:tc>
        <w:tc>
          <w:tcPr>
            <w:tcW w:w="638"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98,763,752</w:t>
            </w:r>
          </w:p>
        </w:tc>
        <w:tc>
          <w:tcPr>
            <w:tcW w:w="88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7.9</w:t>
            </w:r>
            <w:r w:rsidRPr="00341B3C">
              <w:rPr>
                <w:rFonts w:asciiTheme="majorHAnsi" w:hAnsiTheme="majorHAnsi" w:cstheme="minorHAnsi"/>
                <w:sz w:val="18"/>
                <w:szCs w:val="18"/>
                <w:lang w:val="sq-AL"/>
              </w:rPr>
              <w:t>%</w:t>
            </w:r>
          </w:p>
        </w:tc>
        <w:tc>
          <w:tcPr>
            <w:tcW w:w="86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95.9</w:t>
            </w:r>
            <w:r w:rsidRPr="00341B3C">
              <w:rPr>
                <w:rFonts w:asciiTheme="majorHAnsi" w:hAnsiTheme="majorHAnsi" w:cstheme="minorHAnsi"/>
                <w:sz w:val="18"/>
                <w:szCs w:val="18"/>
                <w:lang w:val="sq-AL"/>
              </w:rPr>
              <w:t>%</w:t>
            </w:r>
          </w:p>
        </w:tc>
      </w:tr>
      <w:tr w:rsidR="00397741" w:rsidRPr="00341B3C" w:rsidTr="00B06D74">
        <w:trPr>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4864200</w:t>
            </w:r>
          </w:p>
        </w:tc>
        <w:tc>
          <w:tcPr>
            <w:tcW w:w="103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Det.Prap. Sherbime</w:t>
            </w:r>
          </w:p>
        </w:tc>
        <w:tc>
          <w:tcPr>
            <w:tcW w:w="71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592,613,671</w:t>
            </w:r>
          </w:p>
        </w:tc>
        <w:tc>
          <w:tcPr>
            <w:tcW w:w="638"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1,347,121</w:t>
            </w:r>
          </w:p>
        </w:tc>
        <w:tc>
          <w:tcPr>
            <w:tcW w:w="88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11.1%</w:t>
            </w:r>
          </w:p>
        </w:tc>
        <w:tc>
          <w:tcPr>
            <w:tcW w:w="86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1.</w:t>
            </w:r>
            <w:r>
              <w:rPr>
                <w:rFonts w:asciiTheme="majorHAnsi" w:hAnsiTheme="majorHAnsi" w:cstheme="minorHAnsi"/>
                <w:sz w:val="18"/>
                <w:szCs w:val="18"/>
                <w:lang w:val="sq-AL"/>
              </w:rPr>
              <w:t>3</w:t>
            </w:r>
            <w:r w:rsidRPr="00341B3C">
              <w:rPr>
                <w:rFonts w:asciiTheme="majorHAnsi" w:hAnsiTheme="majorHAnsi" w:cstheme="minorHAnsi"/>
                <w:sz w:val="18"/>
                <w:szCs w:val="18"/>
                <w:lang w:val="sq-AL"/>
              </w:rPr>
              <w:t>%</w:t>
            </w:r>
          </w:p>
        </w:tc>
      </w:tr>
      <w:tr w:rsidR="00397741" w:rsidRPr="00341B3C" w:rsidTr="00B06D74">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4864300</w:t>
            </w:r>
          </w:p>
        </w:tc>
        <w:tc>
          <w:tcPr>
            <w:tcW w:w="103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Det.Prap.Mirembajtje</w:t>
            </w:r>
          </w:p>
        </w:tc>
        <w:tc>
          <w:tcPr>
            <w:tcW w:w="71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119,664,679</w:t>
            </w:r>
          </w:p>
        </w:tc>
        <w:tc>
          <w:tcPr>
            <w:tcW w:w="638"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w:t>
            </w:r>
          </w:p>
        </w:tc>
        <w:tc>
          <w:tcPr>
            <w:tcW w:w="88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2</w:t>
            </w:r>
            <w:r>
              <w:rPr>
                <w:rFonts w:asciiTheme="majorHAnsi" w:hAnsiTheme="majorHAnsi" w:cstheme="minorHAnsi"/>
                <w:sz w:val="18"/>
                <w:szCs w:val="18"/>
                <w:lang w:val="sq-AL"/>
              </w:rPr>
              <w:t>.2</w:t>
            </w:r>
            <w:r w:rsidRPr="00341B3C">
              <w:rPr>
                <w:rFonts w:asciiTheme="majorHAnsi" w:hAnsiTheme="majorHAnsi" w:cstheme="minorHAnsi"/>
                <w:sz w:val="18"/>
                <w:szCs w:val="18"/>
                <w:lang w:val="sq-AL"/>
              </w:rPr>
              <w:t>%</w:t>
            </w:r>
          </w:p>
        </w:tc>
        <w:tc>
          <w:tcPr>
            <w:tcW w:w="86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0.0%</w:t>
            </w:r>
          </w:p>
        </w:tc>
      </w:tr>
      <w:tr w:rsidR="00397741" w:rsidRPr="00341B3C" w:rsidTr="00B06D74">
        <w:trPr>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4864400</w:t>
            </w:r>
          </w:p>
        </w:tc>
        <w:tc>
          <w:tcPr>
            <w:tcW w:w="103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Det.Prap. Investime</w:t>
            </w:r>
          </w:p>
        </w:tc>
        <w:tc>
          <w:tcPr>
            <w:tcW w:w="71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2,377,556,094</w:t>
            </w:r>
          </w:p>
        </w:tc>
        <w:tc>
          <w:tcPr>
            <w:tcW w:w="638"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576,220</w:t>
            </w:r>
          </w:p>
        </w:tc>
        <w:tc>
          <w:tcPr>
            <w:tcW w:w="88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44.6</w:t>
            </w:r>
            <w:r w:rsidRPr="00341B3C">
              <w:rPr>
                <w:rFonts w:asciiTheme="majorHAnsi" w:hAnsiTheme="majorHAnsi" w:cstheme="minorHAnsi"/>
                <w:sz w:val="18"/>
                <w:szCs w:val="18"/>
                <w:lang w:val="sq-AL"/>
              </w:rPr>
              <w:t>%</w:t>
            </w:r>
          </w:p>
        </w:tc>
        <w:tc>
          <w:tcPr>
            <w:tcW w:w="86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0.6%</w:t>
            </w:r>
          </w:p>
        </w:tc>
      </w:tr>
      <w:tr w:rsidR="00397741" w:rsidRPr="00341B3C" w:rsidTr="00B06D74">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4864500</w:t>
            </w:r>
          </w:p>
        </w:tc>
        <w:tc>
          <w:tcPr>
            <w:tcW w:w="103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Det.Prap.Rimbursi.TVSH</w:t>
            </w:r>
          </w:p>
        </w:tc>
        <w:tc>
          <w:tcPr>
            <w:tcW w:w="71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758,305</w:t>
            </w:r>
          </w:p>
        </w:tc>
        <w:tc>
          <w:tcPr>
            <w:tcW w:w="638"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0</w:t>
            </w:r>
          </w:p>
        </w:tc>
        <w:tc>
          <w:tcPr>
            <w:tcW w:w="88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0.0%</w:t>
            </w:r>
          </w:p>
        </w:tc>
        <w:tc>
          <w:tcPr>
            <w:tcW w:w="86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0.0%</w:t>
            </w:r>
          </w:p>
        </w:tc>
      </w:tr>
      <w:tr w:rsidR="00397741" w:rsidRPr="00341B3C" w:rsidTr="00B06D74">
        <w:trPr>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4864600</w:t>
            </w:r>
          </w:p>
        </w:tc>
        <w:tc>
          <w:tcPr>
            <w:tcW w:w="103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Mallra</w:t>
            </w:r>
          </w:p>
        </w:tc>
        <w:tc>
          <w:tcPr>
            <w:tcW w:w="71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228,343,695</w:t>
            </w:r>
          </w:p>
        </w:tc>
        <w:tc>
          <w:tcPr>
            <w:tcW w:w="638"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522,662</w:t>
            </w:r>
          </w:p>
        </w:tc>
        <w:tc>
          <w:tcPr>
            <w:tcW w:w="88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4.3</w:t>
            </w:r>
            <w:r w:rsidRPr="00341B3C">
              <w:rPr>
                <w:rFonts w:asciiTheme="majorHAnsi" w:hAnsiTheme="majorHAnsi" w:cstheme="minorHAnsi"/>
                <w:sz w:val="18"/>
                <w:szCs w:val="18"/>
                <w:lang w:val="sq-AL"/>
              </w:rPr>
              <w:t>%</w:t>
            </w:r>
          </w:p>
        </w:tc>
        <w:tc>
          <w:tcPr>
            <w:tcW w:w="86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w:t>
            </w:r>
            <w:r>
              <w:rPr>
                <w:rFonts w:asciiTheme="majorHAnsi" w:hAnsiTheme="majorHAnsi" w:cstheme="minorHAnsi"/>
                <w:sz w:val="18"/>
                <w:szCs w:val="18"/>
                <w:lang w:val="sq-AL"/>
              </w:rPr>
              <w:t>5</w:t>
            </w:r>
            <w:r w:rsidRPr="00341B3C">
              <w:rPr>
                <w:rFonts w:asciiTheme="majorHAnsi" w:hAnsiTheme="majorHAnsi" w:cstheme="minorHAnsi"/>
                <w:sz w:val="18"/>
                <w:szCs w:val="18"/>
                <w:lang w:val="sq-AL"/>
              </w:rPr>
              <w:t>%</w:t>
            </w:r>
          </w:p>
        </w:tc>
      </w:tr>
      <w:tr w:rsidR="00397741" w:rsidRPr="00341B3C" w:rsidTr="00B06D74">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4864900</w:t>
            </w:r>
          </w:p>
        </w:tc>
        <w:tc>
          <w:tcPr>
            <w:tcW w:w="103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Det.Prap.Te Tjera</w:t>
            </w:r>
          </w:p>
        </w:tc>
        <w:tc>
          <w:tcPr>
            <w:tcW w:w="71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1,504,087,917</w:t>
            </w:r>
          </w:p>
        </w:tc>
        <w:tc>
          <w:tcPr>
            <w:tcW w:w="638"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1,829,694</w:t>
            </w:r>
          </w:p>
        </w:tc>
        <w:tc>
          <w:tcPr>
            <w:tcW w:w="88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28.2</w:t>
            </w:r>
            <w:r w:rsidRPr="00341B3C">
              <w:rPr>
                <w:rFonts w:asciiTheme="majorHAnsi" w:hAnsiTheme="majorHAnsi" w:cstheme="minorHAnsi"/>
                <w:sz w:val="18"/>
                <w:szCs w:val="18"/>
                <w:lang w:val="sq-AL"/>
              </w:rPr>
              <w:t>%</w:t>
            </w:r>
          </w:p>
        </w:tc>
        <w:tc>
          <w:tcPr>
            <w:tcW w:w="86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1.</w:t>
            </w:r>
            <w:r>
              <w:rPr>
                <w:rFonts w:asciiTheme="majorHAnsi" w:hAnsiTheme="majorHAnsi" w:cstheme="minorHAnsi"/>
                <w:sz w:val="18"/>
                <w:szCs w:val="18"/>
                <w:lang w:val="sq-AL"/>
              </w:rPr>
              <w:t>8</w:t>
            </w:r>
            <w:r w:rsidRPr="00341B3C">
              <w:rPr>
                <w:rFonts w:asciiTheme="majorHAnsi" w:hAnsiTheme="majorHAnsi" w:cstheme="minorHAnsi"/>
                <w:sz w:val="18"/>
                <w:szCs w:val="18"/>
                <w:lang w:val="sq-AL"/>
              </w:rPr>
              <w:t>%</w:t>
            </w:r>
          </w:p>
        </w:tc>
      </w:tr>
      <w:tr w:rsidR="00397741" w:rsidRPr="00341B3C" w:rsidTr="00B06D74">
        <w:trPr>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4864601</w:t>
            </w:r>
          </w:p>
        </w:tc>
        <w:tc>
          <w:tcPr>
            <w:tcW w:w="103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Det.Prap.Sig.Shoqerore</w:t>
            </w:r>
          </w:p>
        </w:tc>
        <w:tc>
          <w:tcPr>
            <w:tcW w:w="71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50,544,616</w:t>
            </w:r>
          </w:p>
        </w:tc>
        <w:tc>
          <w:tcPr>
            <w:tcW w:w="638"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w:t>
            </w:r>
          </w:p>
        </w:tc>
        <w:tc>
          <w:tcPr>
            <w:tcW w:w="88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w:t>
            </w:r>
            <w:r>
              <w:rPr>
                <w:rFonts w:asciiTheme="majorHAnsi" w:hAnsiTheme="majorHAnsi" w:cstheme="minorHAnsi"/>
                <w:sz w:val="18"/>
                <w:szCs w:val="18"/>
                <w:lang w:val="sq-AL"/>
              </w:rPr>
              <w:t>9</w:t>
            </w:r>
            <w:r w:rsidRPr="00341B3C">
              <w:rPr>
                <w:rFonts w:asciiTheme="majorHAnsi" w:hAnsiTheme="majorHAnsi" w:cstheme="minorHAnsi"/>
                <w:sz w:val="18"/>
                <w:szCs w:val="18"/>
                <w:lang w:val="sq-AL"/>
              </w:rPr>
              <w:t>%</w:t>
            </w:r>
          </w:p>
        </w:tc>
        <w:tc>
          <w:tcPr>
            <w:tcW w:w="86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0.0%</w:t>
            </w:r>
          </w:p>
        </w:tc>
      </w:tr>
      <w:tr w:rsidR="00397741" w:rsidRPr="00341B3C" w:rsidTr="00B06D74">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4864602</w:t>
            </w:r>
          </w:p>
        </w:tc>
        <w:tc>
          <w:tcPr>
            <w:tcW w:w="103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Det.Prap.Sig.Shendet</w:t>
            </w:r>
          </w:p>
        </w:tc>
        <w:tc>
          <w:tcPr>
            <w:tcW w:w="71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3,395,985</w:t>
            </w:r>
          </w:p>
        </w:tc>
        <w:tc>
          <w:tcPr>
            <w:tcW w:w="638"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w:t>
            </w:r>
          </w:p>
        </w:tc>
        <w:tc>
          <w:tcPr>
            <w:tcW w:w="88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0.1%</w:t>
            </w:r>
          </w:p>
        </w:tc>
        <w:tc>
          <w:tcPr>
            <w:tcW w:w="86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0.0%</w:t>
            </w:r>
          </w:p>
        </w:tc>
      </w:tr>
      <w:tr w:rsidR="00397741" w:rsidRPr="00341B3C" w:rsidTr="00B06D74">
        <w:trPr>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4864603</w:t>
            </w:r>
          </w:p>
        </w:tc>
        <w:tc>
          <w:tcPr>
            <w:tcW w:w="103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Det.Prap.Ardh.Personal</w:t>
            </w:r>
          </w:p>
        </w:tc>
        <w:tc>
          <w:tcPr>
            <w:tcW w:w="71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19,912,806</w:t>
            </w:r>
          </w:p>
        </w:tc>
        <w:tc>
          <w:tcPr>
            <w:tcW w:w="638"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w:t>
            </w:r>
          </w:p>
        </w:tc>
        <w:tc>
          <w:tcPr>
            <w:tcW w:w="88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w:t>
            </w:r>
            <w:r>
              <w:rPr>
                <w:rFonts w:asciiTheme="majorHAnsi" w:hAnsiTheme="majorHAnsi" w:cstheme="minorHAnsi"/>
                <w:sz w:val="18"/>
                <w:szCs w:val="18"/>
                <w:lang w:val="sq-AL"/>
              </w:rPr>
              <w:t>4</w:t>
            </w:r>
            <w:r w:rsidRPr="00341B3C">
              <w:rPr>
                <w:rFonts w:asciiTheme="majorHAnsi" w:hAnsiTheme="majorHAnsi" w:cstheme="minorHAnsi"/>
                <w:sz w:val="18"/>
                <w:szCs w:val="18"/>
                <w:lang w:val="sq-AL"/>
              </w:rPr>
              <w:t>%</w:t>
            </w:r>
          </w:p>
        </w:tc>
        <w:tc>
          <w:tcPr>
            <w:tcW w:w="86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0.0%</w:t>
            </w:r>
          </w:p>
        </w:tc>
      </w:tr>
      <w:tr w:rsidR="00397741" w:rsidRPr="00341B3C" w:rsidTr="00B06D74">
        <w:trPr>
          <w:cnfStyle w:val="000000100000" w:firstRow="0" w:lastRow="0" w:firstColumn="0" w:lastColumn="0" w:oddVBand="0" w:evenVBand="0" w:oddHBand="1" w:evenHBand="0" w:firstRowFirstColumn="0" w:firstRowLastColumn="0" w:lastRowFirstColumn="0" w:lastRowLastColumn="0"/>
          <w:trHeight w:val="303"/>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8"/>
                <w:szCs w:val="18"/>
                <w:lang w:val="sq-AL"/>
              </w:rPr>
            </w:pPr>
            <w:r w:rsidRPr="00341B3C">
              <w:rPr>
                <w:rFonts w:asciiTheme="majorHAnsi" w:hAnsiTheme="majorHAnsi" w:cstheme="minorHAnsi"/>
                <w:sz w:val="18"/>
                <w:szCs w:val="18"/>
                <w:lang w:val="sq-AL"/>
              </w:rPr>
              <w:t>4864604</w:t>
            </w:r>
          </w:p>
        </w:tc>
        <w:tc>
          <w:tcPr>
            <w:tcW w:w="103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Det.Prap.Tatime Tjera</w:t>
            </w:r>
          </w:p>
        </w:tc>
        <w:tc>
          <w:tcPr>
            <w:tcW w:w="71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Pr>
                <w:rFonts w:asciiTheme="majorHAnsi" w:hAnsiTheme="majorHAnsi" w:cstheme="minorHAnsi"/>
                <w:sz w:val="18"/>
                <w:szCs w:val="18"/>
                <w:lang w:val="sq-AL"/>
              </w:rPr>
              <w:t>5,975,340</w:t>
            </w:r>
          </w:p>
        </w:tc>
        <w:tc>
          <w:tcPr>
            <w:tcW w:w="638"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w:t>
            </w:r>
          </w:p>
        </w:tc>
        <w:tc>
          <w:tcPr>
            <w:tcW w:w="883"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0.1%</w:t>
            </w:r>
          </w:p>
        </w:tc>
        <w:tc>
          <w:tcPr>
            <w:tcW w:w="869" w:type="pct"/>
            <w:noWrap/>
            <w:hideMark/>
          </w:tcPr>
          <w:p w:rsidR="00397741" w:rsidRPr="00341B3C" w:rsidRDefault="00397741" w:rsidP="00397741">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 w:val="18"/>
                <w:szCs w:val="18"/>
                <w:lang w:val="sq-AL"/>
              </w:rPr>
            </w:pPr>
            <w:r w:rsidRPr="00341B3C">
              <w:rPr>
                <w:rFonts w:asciiTheme="majorHAnsi" w:hAnsiTheme="majorHAnsi" w:cstheme="minorHAnsi"/>
                <w:sz w:val="18"/>
                <w:szCs w:val="18"/>
                <w:lang w:val="sq-AL"/>
              </w:rPr>
              <w:t>0.0%</w:t>
            </w:r>
          </w:p>
        </w:tc>
      </w:tr>
      <w:tr w:rsidR="00397741" w:rsidRPr="00341B3C" w:rsidTr="00B06D74">
        <w:trPr>
          <w:trHeight w:val="319"/>
          <w:jc w:val="center"/>
        </w:trPr>
        <w:tc>
          <w:tcPr>
            <w:cnfStyle w:val="001000000000" w:firstRow="0" w:lastRow="0" w:firstColumn="1" w:lastColumn="0" w:oddVBand="0" w:evenVBand="0" w:oddHBand="0" w:evenHBand="0" w:firstRowFirstColumn="0" w:firstRowLastColumn="0" w:lastRowFirstColumn="0" w:lastRowLastColumn="0"/>
            <w:tcW w:w="858" w:type="pct"/>
            <w:noWrap/>
            <w:hideMark/>
          </w:tcPr>
          <w:p w:rsidR="00397741" w:rsidRPr="00341B3C" w:rsidRDefault="00397741" w:rsidP="00397741">
            <w:pPr>
              <w:spacing w:before="0" w:line="240" w:lineRule="auto"/>
              <w:jc w:val="center"/>
              <w:rPr>
                <w:rFonts w:asciiTheme="majorHAnsi" w:hAnsiTheme="majorHAnsi" w:cstheme="minorHAnsi"/>
                <w:sz w:val="19"/>
                <w:szCs w:val="19"/>
                <w:lang w:val="sq-AL"/>
              </w:rPr>
            </w:pPr>
          </w:p>
        </w:tc>
        <w:tc>
          <w:tcPr>
            <w:tcW w:w="103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
                <w:sz w:val="19"/>
                <w:szCs w:val="19"/>
                <w:lang w:val="sq-AL"/>
              </w:rPr>
            </w:pPr>
            <w:r w:rsidRPr="00341B3C">
              <w:rPr>
                <w:rFonts w:asciiTheme="majorHAnsi" w:hAnsiTheme="majorHAnsi" w:cstheme="minorHAnsi"/>
                <w:b/>
                <w:sz w:val="19"/>
                <w:szCs w:val="19"/>
                <w:lang w:val="sq-AL"/>
              </w:rPr>
              <w:t>TOTAL</w:t>
            </w:r>
          </w:p>
        </w:tc>
        <w:tc>
          <w:tcPr>
            <w:tcW w:w="71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
                <w:sz w:val="19"/>
                <w:szCs w:val="19"/>
                <w:lang w:val="sq-AL"/>
              </w:rPr>
            </w:pPr>
            <w:r>
              <w:rPr>
                <w:rFonts w:asciiTheme="majorHAnsi" w:hAnsiTheme="majorHAnsi" w:cstheme="minorHAnsi"/>
                <w:b/>
                <w:sz w:val="19"/>
                <w:szCs w:val="19"/>
                <w:lang w:val="sq-AL"/>
              </w:rPr>
              <w:t>5,325,909,813</w:t>
            </w:r>
          </w:p>
        </w:tc>
        <w:tc>
          <w:tcPr>
            <w:tcW w:w="638"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
                <w:sz w:val="19"/>
                <w:szCs w:val="19"/>
                <w:lang w:val="sq-AL"/>
              </w:rPr>
            </w:pPr>
            <w:r>
              <w:rPr>
                <w:rFonts w:asciiTheme="majorHAnsi" w:hAnsiTheme="majorHAnsi" w:cstheme="minorHAnsi"/>
                <w:b/>
                <w:sz w:val="19"/>
                <w:szCs w:val="19"/>
                <w:lang w:val="sq-AL"/>
              </w:rPr>
              <w:t>103,039,449</w:t>
            </w:r>
          </w:p>
        </w:tc>
        <w:tc>
          <w:tcPr>
            <w:tcW w:w="883"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
                <w:sz w:val="19"/>
                <w:szCs w:val="19"/>
                <w:lang w:val="sq-AL"/>
              </w:rPr>
            </w:pPr>
            <w:r w:rsidRPr="00341B3C">
              <w:rPr>
                <w:rFonts w:asciiTheme="majorHAnsi" w:hAnsiTheme="majorHAnsi" w:cstheme="minorHAnsi"/>
                <w:b/>
                <w:sz w:val="19"/>
                <w:szCs w:val="19"/>
                <w:lang w:val="sq-AL"/>
              </w:rPr>
              <w:t>100.0%</w:t>
            </w:r>
          </w:p>
        </w:tc>
        <w:tc>
          <w:tcPr>
            <w:tcW w:w="869" w:type="pct"/>
            <w:noWrap/>
            <w:hideMark/>
          </w:tcPr>
          <w:p w:rsidR="00397741" w:rsidRPr="00341B3C" w:rsidRDefault="00397741" w:rsidP="00397741">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b/>
                <w:sz w:val="19"/>
                <w:szCs w:val="19"/>
                <w:lang w:val="sq-AL"/>
              </w:rPr>
            </w:pPr>
            <w:r w:rsidRPr="00341B3C">
              <w:rPr>
                <w:rFonts w:asciiTheme="majorHAnsi" w:hAnsiTheme="majorHAnsi" w:cstheme="minorHAnsi"/>
                <w:b/>
                <w:sz w:val="19"/>
                <w:szCs w:val="19"/>
                <w:lang w:val="sq-AL"/>
              </w:rPr>
              <w:t>100.0%</w:t>
            </w:r>
          </w:p>
        </w:tc>
      </w:tr>
    </w:tbl>
    <w:p w:rsidR="009475E3" w:rsidRDefault="00153CD6" w:rsidP="00397741">
      <w:pPr>
        <w:spacing w:before="0" w:line="360" w:lineRule="auto"/>
        <w:ind w:firstLine="360"/>
        <w:rPr>
          <w:rFonts w:eastAsia="SimSun" w:cs="Calibri"/>
          <w:i/>
          <w:sz w:val="18"/>
          <w:lang w:val="sq-AL"/>
        </w:rPr>
      </w:pPr>
      <w:r>
        <w:rPr>
          <w:rFonts w:eastAsia="SimSun" w:cs="Calibri"/>
          <w:i/>
          <w:sz w:val="18"/>
          <w:lang w:val="sq-AL"/>
        </w:rPr>
        <w:t>Burimi: Ministria e Financave dhe Ekonomisë (2023)</w:t>
      </w:r>
    </w:p>
    <w:p w:rsidR="00A555E0" w:rsidRPr="003D1D3B" w:rsidRDefault="00483CF6" w:rsidP="00FC729E">
      <w:pPr>
        <w:pStyle w:val="Fiskale2"/>
        <w:rPr>
          <w:rFonts w:ascii="Calibri" w:hAnsi="Calibri" w:cs="Calibri"/>
        </w:rPr>
      </w:pPr>
      <w:bookmarkStart w:id="226" w:name="_Toc104980352"/>
      <w:bookmarkEnd w:id="223"/>
      <w:r w:rsidRPr="003D1D3B">
        <w:rPr>
          <w:rFonts w:ascii="Calibri" w:hAnsi="Calibri" w:cs="Calibri"/>
        </w:rPr>
        <w:lastRenderedPageBreak/>
        <w:t>Koncesionet/PPP-t</w:t>
      </w:r>
      <w:r w:rsidR="00086626" w:rsidRPr="003D1D3B">
        <w:rPr>
          <w:rFonts w:ascii="Calibri" w:hAnsi="Calibri" w:cs="Calibri"/>
        </w:rPr>
        <w:t>ë</w:t>
      </w:r>
      <w:bookmarkEnd w:id="226"/>
    </w:p>
    <w:p w:rsidR="004832C9" w:rsidRDefault="004832C9" w:rsidP="00CF6A7A">
      <w:pPr>
        <w:rPr>
          <w:rFonts w:cs="Calibri"/>
          <w:lang w:val="sq-AL"/>
        </w:rPr>
      </w:pPr>
      <w:r w:rsidRPr="00B172B1">
        <w:rPr>
          <w:rFonts w:cs="Calibri"/>
          <w:lang w:val="sq-AL"/>
        </w:rPr>
        <w:t xml:space="preserve">Ministria e Financave dhe Ekonomisë (MFE) vlerëson dhe miraton paraprakisht të gjitha projektet koncesionare dhe të partneritetit publik privat (PPP), si edhe çdo ndryshim të tyre, nga pikëpamja e implikimeve individuale apo në grup, për shpenzimet buxhetore, deficitin buxhetor, qëndrueshmërinë e borxhit publik dhe detyrimet kontigjente eventuale. </w:t>
      </w:r>
    </w:p>
    <w:p w:rsidR="004832C9" w:rsidRDefault="004832C9" w:rsidP="00CF6A7A">
      <w:pPr>
        <w:rPr>
          <w:rFonts w:cs="Calibri"/>
          <w:lang w:val="sq-AL"/>
        </w:rPr>
      </w:pPr>
      <w:r w:rsidRPr="00B172B1">
        <w:rPr>
          <w:rFonts w:cs="Calibri"/>
          <w:lang w:val="sq-AL"/>
        </w:rPr>
        <w:t xml:space="preserve">Gjatë vitit 2022, MFE ka vijuar monitorimin e performancës së kontratave koncesionare/PPP-ve me mbështetje buxhetore, duke monitoruar ecurinë e pagesave faktike buxhetore dhe treguesit e performancës të planifikuar/realizuar, për secilën kontratë koncesionare/PPP. </w:t>
      </w:r>
    </w:p>
    <w:p w:rsidR="004E5E8E" w:rsidRDefault="004832C9" w:rsidP="00CF6A7A">
      <w:pPr>
        <w:rPr>
          <w:rFonts w:cs="Calibri"/>
          <w:lang w:val="sq-AL"/>
        </w:rPr>
      </w:pPr>
      <w:r w:rsidRPr="00B172B1">
        <w:rPr>
          <w:rFonts w:cs="Calibri"/>
          <w:lang w:val="sq-AL"/>
        </w:rPr>
        <w:t>Monitorimi dhe raportimi mbi kontratat koncesionare/PPP është institucionalizuar përmes përfshirjes në Udhëzimin Plotësues nr.1 datë 10.01.2022 “</w:t>
      </w:r>
      <w:r w:rsidRPr="00B172B1">
        <w:rPr>
          <w:rFonts w:cs="Calibri"/>
          <w:i/>
          <w:lang w:val="sq-AL"/>
        </w:rPr>
        <w:t>Për zbatimin e buxhetit të vitit 2022</w:t>
      </w:r>
      <w:r w:rsidRPr="00B172B1">
        <w:rPr>
          <w:rFonts w:cs="Calibri"/>
          <w:lang w:val="sq-AL"/>
        </w:rPr>
        <w:t xml:space="preserve">”, të skedulit të detyrueshëm kohor të raportimit të tyre nga çdo autoritet kontraktor dhe të formateve standarde respektive, me qëllim thellimin e analizës dhe rritjen e transparencës. Ky monitorim kryhet në bazë mujore, me qëllim identifikimin dhe monitorimin hap pas hapi të risqeve potenciale që mund të materializohen nga implementimi i tyre. </w:t>
      </w:r>
    </w:p>
    <w:p w:rsidR="004832C9" w:rsidRPr="00B172B1" w:rsidRDefault="004832C9" w:rsidP="00CF6A7A">
      <w:pPr>
        <w:rPr>
          <w:rFonts w:cs="Calibri"/>
          <w:lang w:val="sq-AL"/>
        </w:rPr>
      </w:pPr>
      <w:r>
        <w:rPr>
          <w:rFonts w:cs="Calibri"/>
          <w:lang w:val="sq-AL"/>
        </w:rPr>
        <w:t>N</w:t>
      </w:r>
      <w:r w:rsidRPr="00B172B1">
        <w:rPr>
          <w:rFonts w:cs="Calibri"/>
          <w:lang w:val="sq-AL"/>
        </w:rPr>
        <w:t>ë nivel total rezulto</w:t>
      </w:r>
      <w:r>
        <w:rPr>
          <w:rFonts w:cs="Calibri"/>
          <w:lang w:val="sq-AL"/>
        </w:rPr>
        <w:t>n</w:t>
      </w:r>
      <w:r w:rsidRPr="00B172B1">
        <w:rPr>
          <w:rFonts w:cs="Calibri"/>
          <w:lang w:val="sq-AL"/>
        </w:rPr>
        <w:t xml:space="preserve"> se: </w:t>
      </w:r>
    </w:p>
    <w:p w:rsidR="004832C9" w:rsidRDefault="004832C9" w:rsidP="004E5E8E">
      <w:pPr>
        <w:numPr>
          <w:ilvl w:val="0"/>
          <w:numId w:val="33"/>
        </w:numPr>
        <w:ind w:left="540"/>
        <w:contextualSpacing/>
        <w:rPr>
          <w:rFonts w:eastAsia="Calibri" w:cs="Calibri"/>
          <w:bCs/>
          <w:i/>
          <w:lang w:val="sq-AL" w:eastAsia="sq-AL"/>
        </w:rPr>
      </w:pPr>
      <w:r>
        <w:rPr>
          <w:rFonts w:eastAsia="Calibri" w:cs="Calibri"/>
          <w:bCs/>
          <w:i/>
          <w:lang w:val="sq-AL" w:eastAsia="sq-AL"/>
        </w:rPr>
        <w:t>Për vitin 2022 rezultojnë 11 kontrata koncesionare/PPP me mbështetje buxhetore.</w:t>
      </w:r>
    </w:p>
    <w:p w:rsidR="004832C9" w:rsidRPr="00B172B1" w:rsidRDefault="004832C9" w:rsidP="004E5E8E">
      <w:pPr>
        <w:numPr>
          <w:ilvl w:val="0"/>
          <w:numId w:val="33"/>
        </w:numPr>
        <w:ind w:left="540"/>
        <w:contextualSpacing/>
        <w:rPr>
          <w:rFonts w:eastAsia="Calibri" w:cs="Calibri"/>
          <w:bCs/>
          <w:i/>
          <w:lang w:val="sq-AL" w:eastAsia="sq-AL"/>
        </w:rPr>
      </w:pPr>
      <w:r>
        <w:rPr>
          <w:rFonts w:eastAsia="Calibri" w:cs="Calibri"/>
          <w:bCs/>
          <w:i/>
          <w:lang w:val="sq-AL" w:eastAsia="sq-AL"/>
        </w:rPr>
        <w:t>P</w:t>
      </w:r>
      <w:r w:rsidRPr="00BD22F4">
        <w:rPr>
          <w:rFonts w:eastAsia="Calibri" w:cs="Calibri"/>
          <w:bCs/>
          <w:i/>
          <w:lang w:val="sq-AL" w:eastAsia="sq-AL"/>
        </w:rPr>
        <w:t>ër të gjitha kontratat koncesionare/PPP me mbështetje buxhetore janë realizuar pagesa faktike.</w:t>
      </w:r>
    </w:p>
    <w:p w:rsidR="004832C9" w:rsidRPr="00B172B1" w:rsidRDefault="004832C9" w:rsidP="004E5E8E">
      <w:pPr>
        <w:numPr>
          <w:ilvl w:val="0"/>
          <w:numId w:val="33"/>
        </w:numPr>
        <w:ind w:left="540"/>
        <w:contextualSpacing/>
        <w:rPr>
          <w:rFonts w:eastAsia="Calibri" w:cs="Calibri"/>
          <w:bCs/>
          <w:i/>
          <w:lang w:val="sq-AL" w:eastAsia="sq-AL"/>
        </w:rPr>
      </w:pPr>
      <w:r w:rsidRPr="00B172B1">
        <w:rPr>
          <w:rFonts w:eastAsia="Calibri" w:cs="Calibri"/>
          <w:bCs/>
          <w:i/>
          <w:lang w:val="sq-AL" w:eastAsia="sq-AL"/>
        </w:rPr>
        <w:t xml:space="preserve">Fondet buxhetore të planifikuara për vitin 2022, sipas planit vjetor të ndryshuar, me destinacion mbështetjen nga buxheti për kontratat konçesionare/PPP, </w:t>
      </w:r>
      <w:r>
        <w:rPr>
          <w:rFonts w:eastAsia="Calibri" w:cs="Calibri"/>
          <w:bCs/>
          <w:i/>
          <w:lang w:val="sq-AL" w:eastAsia="sq-AL"/>
        </w:rPr>
        <w:t>rezultojnë</w:t>
      </w:r>
      <w:r w:rsidRPr="00B172B1">
        <w:rPr>
          <w:rFonts w:eastAsia="Calibri" w:cs="Calibri"/>
          <w:bCs/>
          <w:i/>
          <w:lang w:val="sq-AL" w:eastAsia="sq-AL"/>
        </w:rPr>
        <w:t xml:space="preserve"> rreth 12.71 miliardë lekë. </w:t>
      </w:r>
    </w:p>
    <w:p w:rsidR="004832C9" w:rsidRPr="00B172B1" w:rsidRDefault="004832C9" w:rsidP="004E5E8E">
      <w:pPr>
        <w:numPr>
          <w:ilvl w:val="0"/>
          <w:numId w:val="33"/>
        </w:numPr>
        <w:ind w:left="540"/>
        <w:contextualSpacing/>
        <w:rPr>
          <w:rFonts w:eastAsia="Calibri" w:cs="Calibri"/>
          <w:bCs/>
          <w:i/>
          <w:lang w:val="sq-AL" w:eastAsia="sq-AL"/>
        </w:rPr>
      </w:pPr>
      <w:r w:rsidRPr="00B172B1">
        <w:rPr>
          <w:rFonts w:eastAsia="Calibri" w:cs="Calibri"/>
          <w:bCs/>
          <w:i/>
          <w:lang w:val="sq-AL" w:eastAsia="sq-AL"/>
        </w:rPr>
        <w:t>Pagesat faktike për vitin 2022, në total rezultuan në rreth 12.64 m</w:t>
      </w:r>
      <w:r>
        <w:rPr>
          <w:rFonts w:eastAsia="Calibri" w:cs="Calibri"/>
          <w:bCs/>
          <w:i/>
          <w:lang w:val="sq-AL" w:eastAsia="sq-AL"/>
        </w:rPr>
        <w:t>iliardë</w:t>
      </w:r>
      <w:r w:rsidRPr="00B172B1">
        <w:rPr>
          <w:rFonts w:eastAsia="Calibri" w:cs="Calibri"/>
          <w:bCs/>
          <w:i/>
          <w:lang w:val="sq-AL" w:eastAsia="sq-AL"/>
        </w:rPr>
        <w:t xml:space="preserve"> lekë ose 99.5% e planit </w:t>
      </w:r>
      <w:r>
        <w:rPr>
          <w:rFonts w:eastAsia="Calibri" w:cs="Calibri"/>
          <w:bCs/>
          <w:i/>
          <w:lang w:val="sq-AL" w:eastAsia="sq-AL"/>
        </w:rPr>
        <w:t>vjetor</w:t>
      </w:r>
      <w:r w:rsidRPr="00B172B1">
        <w:rPr>
          <w:rFonts w:eastAsia="Calibri" w:cs="Calibri"/>
          <w:bCs/>
          <w:i/>
          <w:lang w:val="sq-AL" w:eastAsia="sq-AL"/>
        </w:rPr>
        <w:t xml:space="preserve"> 2022</w:t>
      </w:r>
      <w:r>
        <w:rPr>
          <w:rFonts w:eastAsia="Calibri" w:cs="Calibri"/>
          <w:bCs/>
          <w:i/>
          <w:lang w:val="sq-AL" w:eastAsia="sq-AL"/>
        </w:rPr>
        <w:t>, të ndryshuar</w:t>
      </w:r>
      <w:r w:rsidRPr="00B172B1">
        <w:rPr>
          <w:rFonts w:eastAsia="Calibri" w:cs="Calibri"/>
          <w:bCs/>
          <w:i/>
          <w:lang w:val="sq-AL" w:eastAsia="sq-AL"/>
        </w:rPr>
        <w:t>.</w:t>
      </w:r>
    </w:p>
    <w:p w:rsidR="004832C9" w:rsidRPr="00B172B1" w:rsidRDefault="004832C9" w:rsidP="00CF6A7A">
      <w:pPr>
        <w:rPr>
          <w:rFonts w:cs="Calibri"/>
          <w:lang w:val="sq-AL"/>
        </w:rPr>
      </w:pPr>
      <w:r w:rsidRPr="00B172B1">
        <w:rPr>
          <w:rFonts w:cs="Calibri"/>
          <w:lang w:val="sq-AL"/>
        </w:rPr>
        <w:t>Respektimi i rregullit fiskal, për vitin 2022:</w:t>
      </w:r>
    </w:p>
    <w:p w:rsidR="004832C9" w:rsidRPr="00CF6A7A" w:rsidRDefault="004832C9" w:rsidP="004E5E8E">
      <w:pPr>
        <w:numPr>
          <w:ilvl w:val="0"/>
          <w:numId w:val="33"/>
        </w:numPr>
        <w:ind w:left="540"/>
        <w:contextualSpacing/>
        <w:rPr>
          <w:rFonts w:eastAsia="Calibri" w:cs="Calibri"/>
          <w:bCs/>
          <w:lang w:val="sq-AL" w:eastAsia="sq-AL"/>
        </w:rPr>
      </w:pPr>
      <w:r w:rsidRPr="00CF6A7A">
        <w:rPr>
          <w:rFonts w:eastAsia="Calibri" w:cs="Calibri"/>
          <w:bCs/>
          <w:lang w:val="sq-AL" w:eastAsia="sq-AL"/>
        </w:rPr>
        <w:t>Kufiri i lejuar i pagesave neto për kontratat koncesionare/PPP, prej 5% i të ardhurave tatimore faktike të vitit 2021, përllogaritet në rreth 23.78 miliardë lekë.</w:t>
      </w:r>
    </w:p>
    <w:p w:rsidR="004832C9" w:rsidRPr="00CF6A7A" w:rsidRDefault="004832C9" w:rsidP="004E5E8E">
      <w:pPr>
        <w:numPr>
          <w:ilvl w:val="0"/>
          <w:numId w:val="33"/>
        </w:numPr>
        <w:ind w:left="540"/>
        <w:contextualSpacing/>
        <w:rPr>
          <w:rFonts w:eastAsia="Calibri" w:cs="Calibri"/>
          <w:bCs/>
          <w:lang w:val="sq-AL" w:eastAsia="sq-AL"/>
        </w:rPr>
      </w:pPr>
      <w:r w:rsidRPr="00CF6A7A">
        <w:rPr>
          <w:rFonts w:eastAsia="Calibri" w:cs="Calibri"/>
          <w:bCs/>
          <w:lang w:val="sq-AL" w:eastAsia="sq-AL"/>
        </w:rPr>
        <w:t>Referuar tabelës së mëposhtme, pagesat vjetore neto të realizuara (faktike) nga njësitë e qeverisjes së përgjithshme, për kontratat koncesionare/PPP me mbështetje buxhetore, rezultuan në rreth 12.64 miliardë lekë.</w:t>
      </w:r>
    </w:p>
    <w:p w:rsidR="004832C9" w:rsidRPr="00B172B1" w:rsidRDefault="004832C9" w:rsidP="00CF6A7A">
      <w:pPr>
        <w:numPr>
          <w:ilvl w:val="1"/>
          <w:numId w:val="5"/>
        </w:numPr>
        <w:spacing w:before="0"/>
        <w:ind w:left="1170"/>
        <w:contextualSpacing/>
        <w:rPr>
          <w:rFonts w:cs="Calibri"/>
          <w:i/>
          <w:lang w:val="sq-AL"/>
        </w:rPr>
      </w:pPr>
      <w:r w:rsidRPr="00B172B1">
        <w:rPr>
          <w:rFonts w:cs="Calibri"/>
          <w:i/>
          <w:lang w:val="sq-AL"/>
        </w:rPr>
        <w:t>Rrjedhimisht, në buxhetin 2022 është respektuar kufizimin ligjor i sipërcituar në zbatim të rregullit fiskal respektiv, pasi  vlera e realizuar prej rreth 12.64 miliardë lekë, për pagesat vjetore neto të kontratave koncesionare apo PPP, për vitin 2022, përbën vetëm 2.66 përqind të totalit të të ardhurave tatimore faktike të vitit 2021, prej rreth 475.61 miliardë lekë.</w:t>
      </w:r>
    </w:p>
    <w:p w:rsidR="00610215" w:rsidRPr="0005367A" w:rsidRDefault="00F97AB9" w:rsidP="00FC729E">
      <w:pPr>
        <w:pStyle w:val="Caption"/>
        <w:keepNext/>
        <w:spacing w:before="0" w:after="0"/>
        <w:rPr>
          <w:rFonts w:cs="Calibri"/>
        </w:rPr>
      </w:pPr>
      <w:bookmarkStart w:id="227" w:name="_Toc136526346"/>
      <w:r w:rsidRPr="0005367A">
        <w:rPr>
          <w:rFonts w:cs="Calibri"/>
        </w:rPr>
        <w:lastRenderedPageBreak/>
        <w:t xml:space="preserve">Tabela </w:t>
      </w:r>
      <w:r w:rsidRPr="0005367A">
        <w:rPr>
          <w:rFonts w:cs="Calibri"/>
        </w:rPr>
        <w:fldChar w:fldCharType="begin"/>
      </w:r>
      <w:r w:rsidRPr="0005367A">
        <w:rPr>
          <w:rFonts w:cs="Calibri"/>
        </w:rPr>
        <w:instrText xml:space="preserve"> SEQ Tabela \* ARABIC </w:instrText>
      </w:r>
      <w:r w:rsidRPr="0005367A">
        <w:rPr>
          <w:rFonts w:cs="Calibri"/>
        </w:rPr>
        <w:fldChar w:fldCharType="separate"/>
      </w:r>
      <w:r w:rsidR="008C3E07">
        <w:rPr>
          <w:rFonts w:cs="Calibri"/>
          <w:noProof/>
        </w:rPr>
        <w:t>20</w:t>
      </w:r>
      <w:r w:rsidRPr="0005367A">
        <w:rPr>
          <w:rFonts w:cs="Calibri"/>
        </w:rPr>
        <w:fldChar w:fldCharType="end"/>
      </w:r>
      <w:r w:rsidRPr="0005367A">
        <w:rPr>
          <w:rFonts w:cs="Calibri"/>
        </w:rPr>
        <w:t xml:space="preserve"> Koncesionet/PP</w:t>
      </w:r>
      <w:r w:rsidR="00610215" w:rsidRPr="0005367A">
        <w:rPr>
          <w:rFonts w:cs="Calibri"/>
        </w:rPr>
        <w:t>P</w:t>
      </w:r>
      <w:r w:rsidRPr="0005367A">
        <w:rPr>
          <w:rFonts w:cs="Calibri"/>
        </w:rPr>
        <w:t>-të aktive me mbështetje nga buxheti i shtetit (në mijë lekë)</w:t>
      </w:r>
      <w:bookmarkEnd w:id="227"/>
    </w:p>
    <w:p w:rsidR="00610215" w:rsidRDefault="00700EA3" w:rsidP="00FC729E">
      <w:pPr>
        <w:spacing w:before="0"/>
        <w:ind w:left="-360"/>
        <w:jc w:val="center"/>
        <w:rPr>
          <w:rFonts w:cs="Calibri"/>
          <w:lang w:val="sq-AL"/>
        </w:rPr>
      </w:pPr>
      <w:r w:rsidRPr="004F7E1B">
        <w:rPr>
          <w:noProof/>
        </w:rPr>
        <w:drawing>
          <wp:inline distT="0" distB="0" distL="0" distR="0" wp14:anchorId="0795C776" wp14:editId="1811B729">
            <wp:extent cx="6686550" cy="7051816"/>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86550" cy="7051816"/>
                    </a:xfrm>
                    <a:prstGeom prst="rect">
                      <a:avLst/>
                    </a:prstGeom>
                    <a:noFill/>
                    <a:ln>
                      <a:noFill/>
                    </a:ln>
                  </pic:spPr>
                </pic:pic>
              </a:graphicData>
            </a:graphic>
          </wp:inline>
        </w:drawing>
      </w:r>
    </w:p>
    <w:p w:rsidR="00F97AB9" w:rsidRDefault="00153CD6" w:rsidP="00700EA3">
      <w:pPr>
        <w:spacing w:before="0" w:line="360" w:lineRule="auto"/>
        <w:ind w:left="-360" w:firstLine="360"/>
        <w:rPr>
          <w:rFonts w:eastAsia="SimSun" w:cs="Calibri"/>
          <w:i/>
          <w:sz w:val="18"/>
          <w:szCs w:val="18"/>
          <w:lang w:val="sq-AL"/>
        </w:rPr>
      </w:pPr>
      <w:r>
        <w:rPr>
          <w:rFonts w:eastAsia="SimSun" w:cs="Calibri"/>
          <w:i/>
          <w:sz w:val="18"/>
          <w:szCs w:val="18"/>
          <w:lang w:val="sq-AL"/>
        </w:rPr>
        <w:t>Burimi: Ministria e Financave dhe Ekonomisë (2023)</w:t>
      </w:r>
    </w:p>
    <w:p w:rsidR="002111DF" w:rsidRPr="001D35B2" w:rsidRDefault="002111DF" w:rsidP="00FC729E">
      <w:pPr>
        <w:spacing w:before="0"/>
        <w:ind w:left="-360"/>
        <w:rPr>
          <w:rFonts w:eastAsia="SimSun" w:cs="Calibri"/>
          <w:i/>
          <w:sz w:val="8"/>
          <w:szCs w:val="18"/>
          <w:lang w:val="sq-AL"/>
        </w:rPr>
      </w:pPr>
    </w:p>
    <w:p w:rsidR="00CC1C5C" w:rsidRPr="001D35B2" w:rsidRDefault="001D35B2" w:rsidP="00FC729E">
      <w:pPr>
        <w:spacing w:before="0"/>
        <w:rPr>
          <w:rFonts w:cs="Calibri"/>
          <w:lang w:val="sq-AL"/>
        </w:rPr>
      </w:pPr>
      <w:r w:rsidRPr="001D35B2">
        <w:rPr>
          <w:rFonts w:cs="Calibri"/>
          <w:lang w:val="sq-AL"/>
        </w:rPr>
        <w:t xml:space="preserve">Informacion </w:t>
      </w:r>
      <w:r>
        <w:rPr>
          <w:rFonts w:cs="Calibri"/>
          <w:lang w:val="sq-AL"/>
        </w:rPr>
        <w:t xml:space="preserve">më të detajuar dhe </w:t>
      </w:r>
      <w:r w:rsidRPr="001D35B2">
        <w:rPr>
          <w:rFonts w:cs="Calibri"/>
          <w:lang w:val="sq-AL"/>
        </w:rPr>
        <w:t>gjith</w:t>
      </w:r>
      <w:r>
        <w:rPr>
          <w:rFonts w:cs="Calibri"/>
          <w:lang w:val="sq-AL"/>
        </w:rPr>
        <w:t>ë</w:t>
      </w:r>
      <w:r w:rsidRPr="001D35B2">
        <w:rPr>
          <w:rFonts w:cs="Calibri"/>
          <w:lang w:val="sq-AL"/>
        </w:rPr>
        <w:t>p</w:t>
      </w:r>
      <w:r>
        <w:rPr>
          <w:rFonts w:cs="Calibri"/>
          <w:lang w:val="sq-AL"/>
        </w:rPr>
        <w:t>ë</w:t>
      </w:r>
      <w:r w:rsidRPr="001D35B2">
        <w:rPr>
          <w:rFonts w:cs="Calibri"/>
          <w:lang w:val="sq-AL"/>
        </w:rPr>
        <w:t>rfshir</w:t>
      </w:r>
      <w:r>
        <w:rPr>
          <w:rFonts w:cs="Calibri"/>
          <w:lang w:val="sq-AL"/>
        </w:rPr>
        <w:t>ë</w:t>
      </w:r>
      <w:r w:rsidRPr="001D35B2">
        <w:rPr>
          <w:rFonts w:cs="Calibri"/>
          <w:lang w:val="sq-AL"/>
        </w:rPr>
        <w:t>s</w:t>
      </w:r>
      <w:r>
        <w:rPr>
          <w:rFonts w:cs="Calibri"/>
          <w:lang w:val="sq-AL"/>
        </w:rPr>
        <w:t xml:space="preserve"> për këtë qëllim, do të gjeni në </w:t>
      </w:r>
      <w:r w:rsidRPr="001D35B2">
        <w:rPr>
          <w:rFonts w:cs="Calibri"/>
          <w:b/>
          <w:lang w:val="sq-AL"/>
        </w:rPr>
        <w:t>“</w:t>
      </w:r>
      <w:r w:rsidRPr="00700EA3">
        <w:rPr>
          <w:rFonts w:cs="Calibri"/>
          <w:b/>
          <w:highlight w:val="yellow"/>
          <w:lang w:val="sq-AL"/>
        </w:rPr>
        <w:t>Raportin e kontratave PPP, për vitin 202</w:t>
      </w:r>
      <w:r w:rsidR="00700EA3">
        <w:rPr>
          <w:rFonts w:cs="Calibri"/>
          <w:b/>
          <w:highlight w:val="yellow"/>
          <w:lang w:val="sq-AL"/>
        </w:rPr>
        <w:t>2</w:t>
      </w:r>
      <w:r w:rsidRPr="001D35B2">
        <w:rPr>
          <w:rFonts w:cs="Calibri"/>
          <w:b/>
          <w:lang w:val="sq-AL"/>
        </w:rPr>
        <w:t>”</w:t>
      </w:r>
      <w:r>
        <w:rPr>
          <w:rFonts w:cs="Calibri"/>
          <w:lang w:val="sq-AL"/>
        </w:rPr>
        <w:t xml:space="preserve"> që i bashkëlidhet këtij relacioni.</w:t>
      </w:r>
      <w:r w:rsidRPr="001D35B2">
        <w:rPr>
          <w:rFonts w:cs="Calibri"/>
          <w:lang w:val="sq-AL"/>
        </w:rPr>
        <w:t xml:space="preserve"> </w:t>
      </w:r>
    </w:p>
    <w:p w:rsidR="001D35B2" w:rsidRDefault="001D35B2" w:rsidP="00FC729E">
      <w:pPr>
        <w:spacing w:before="0"/>
        <w:ind w:left="-360"/>
        <w:rPr>
          <w:rFonts w:cs="Calibri"/>
          <w:sz w:val="24"/>
          <w:lang w:val="sq-AL"/>
        </w:rPr>
      </w:pPr>
    </w:p>
    <w:p w:rsidR="001D35B2" w:rsidRPr="005A5874" w:rsidRDefault="001D35B2" w:rsidP="00FC729E">
      <w:pPr>
        <w:spacing w:before="0"/>
        <w:ind w:left="-360"/>
        <w:rPr>
          <w:rFonts w:cs="Calibri"/>
          <w:sz w:val="24"/>
          <w:lang w:val="sq-AL"/>
        </w:rPr>
      </w:pPr>
    </w:p>
    <w:p w:rsidR="002350D2" w:rsidRPr="003D1D3B" w:rsidRDefault="002350D2" w:rsidP="00700EA3">
      <w:pPr>
        <w:pStyle w:val="Fiskale2"/>
        <w:spacing w:line="240" w:lineRule="auto"/>
        <w:rPr>
          <w:rFonts w:ascii="Calibri" w:hAnsi="Calibri" w:cs="Calibri"/>
        </w:rPr>
      </w:pPr>
      <w:bookmarkStart w:id="228" w:name="_Toc374447187"/>
      <w:bookmarkStart w:id="229" w:name="_Toc374620506"/>
      <w:bookmarkStart w:id="230" w:name="_Toc495672782"/>
      <w:bookmarkStart w:id="231" w:name="_Toc10033287"/>
      <w:bookmarkStart w:id="232" w:name="_Toc10721424"/>
      <w:bookmarkStart w:id="233" w:name="_Toc104980353"/>
      <w:bookmarkEnd w:id="228"/>
      <w:bookmarkEnd w:id="229"/>
      <w:bookmarkEnd w:id="230"/>
      <w:r w:rsidRPr="003D1D3B">
        <w:rPr>
          <w:rFonts w:ascii="Calibri" w:hAnsi="Calibri" w:cs="Calibri"/>
        </w:rPr>
        <w:lastRenderedPageBreak/>
        <w:t>Detyrime</w:t>
      </w:r>
      <w:r w:rsidR="00EF1EEE" w:rsidRPr="003D1D3B">
        <w:rPr>
          <w:rFonts w:ascii="Calibri" w:hAnsi="Calibri" w:cs="Calibri"/>
        </w:rPr>
        <w:t xml:space="preserve"> të </w:t>
      </w:r>
      <w:r w:rsidRPr="003D1D3B">
        <w:rPr>
          <w:rFonts w:ascii="Calibri" w:hAnsi="Calibri" w:cs="Calibri"/>
        </w:rPr>
        <w:t>t</w:t>
      </w:r>
      <w:r w:rsidR="00EF1EEE" w:rsidRPr="003D1D3B">
        <w:rPr>
          <w:rFonts w:ascii="Calibri" w:hAnsi="Calibri" w:cs="Calibri"/>
        </w:rPr>
        <w:t>jera</w:t>
      </w:r>
      <w:r w:rsidRPr="003D1D3B">
        <w:rPr>
          <w:rFonts w:ascii="Calibri" w:hAnsi="Calibri" w:cs="Calibri"/>
        </w:rPr>
        <w:t xml:space="preserve"> Kontigjente:</w:t>
      </w:r>
      <w:bookmarkEnd w:id="231"/>
      <w:bookmarkEnd w:id="232"/>
      <w:bookmarkEnd w:id="233"/>
    </w:p>
    <w:p w:rsidR="00CC1C5C" w:rsidRPr="00700EA3" w:rsidRDefault="00CC1C5C" w:rsidP="00FC729E">
      <w:pPr>
        <w:pStyle w:val="Fiskale2"/>
        <w:numPr>
          <w:ilvl w:val="0"/>
          <w:numId w:val="0"/>
        </w:numPr>
        <w:ind w:left="720"/>
        <w:rPr>
          <w:rFonts w:ascii="Calibri" w:hAnsi="Calibri" w:cs="Calibri"/>
          <w:sz w:val="8"/>
        </w:rPr>
      </w:pPr>
    </w:p>
    <w:p w:rsidR="002350D2" w:rsidRPr="00700EA3" w:rsidRDefault="002350D2" w:rsidP="00700EA3">
      <w:pPr>
        <w:pStyle w:val="fiskale3"/>
        <w:spacing w:before="0" w:line="240" w:lineRule="auto"/>
        <w:rPr>
          <w:rFonts w:ascii="Calibri" w:hAnsi="Calibri" w:cs="Calibri"/>
          <w:i/>
        </w:rPr>
      </w:pPr>
      <w:bookmarkStart w:id="234" w:name="_Toc104980354"/>
      <w:r w:rsidRPr="00700EA3">
        <w:rPr>
          <w:rFonts w:ascii="Calibri" w:hAnsi="Calibri" w:cs="Calibri"/>
          <w:i/>
        </w:rPr>
        <w:t>Vendimet e Gjykatës së të Drejtave të Njeriut në Strasburg (GJEDNJ)</w:t>
      </w:r>
      <w:bookmarkEnd w:id="234"/>
      <w:r w:rsidRPr="00700EA3">
        <w:rPr>
          <w:rFonts w:ascii="Calibri" w:hAnsi="Calibri" w:cs="Calibri"/>
          <w:i/>
        </w:rPr>
        <w:t xml:space="preserve"> </w:t>
      </w:r>
    </w:p>
    <w:p w:rsidR="00700EA3" w:rsidRPr="00700EA3" w:rsidRDefault="00700EA3" w:rsidP="00700EA3">
      <w:pPr>
        <w:spacing w:before="0" w:line="240" w:lineRule="auto"/>
        <w:contextualSpacing/>
        <w:rPr>
          <w:lang w:val="sq-AL"/>
        </w:rPr>
      </w:pPr>
      <w:r w:rsidRPr="00476D2E">
        <w:rPr>
          <w:rFonts w:cs="Calibri"/>
          <w:lang w:val="sq-AL"/>
        </w:rPr>
        <w:t xml:space="preserve">Këto vendime kanë të bëjnë kryesisht me çështje që lidhen me kthimin dhe kompensimin e pronave tek ish-pronarët. </w:t>
      </w:r>
      <w:r w:rsidRPr="00476D2E">
        <w:rPr>
          <w:lang w:val="sq-AL"/>
        </w:rPr>
        <w:t xml:space="preserve">Ministria e Financave dhe Ekonomisë ka respektuar në vazhdimësi të gjitha vendimet e miratuara nga GJEDNJ, përmes likujdimit të VKM-ve respektive miratuar në mbështetje të tyre, me përpikmëri dhe brenda afateve strikte të përcaktuara prej këtij organi. Kjo, duke konsideruar faktin se kur pagesat nuk kryhen brenda afatit tre mujor nga data kur vendimi përkatës merr formën e prerë, shteti shqiptar ngarkohet me pagesën e një kamatë-vonese për çdo ditë vonesë. Sidoqoftë, për garantimin e shlyerjes në kohë të këtyre vendimeve, MFE ka rekomanduar vazhdimisht përdorimin e të gjitha kanaleve të mundshme institucionale dhe proceduriale, brenda hapësirave që siguron kuadri ligjor në fuqi, duke sugjeruar skedulimin e detyrimit financiar, sipas mundësive të buxhetit të shtetit me këste, në negocim me përfituesit. </w:t>
      </w:r>
      <w:r w:rsidRPr="00700EA3">
        <w:rPr>
          <w:rFonts w:cs="Calibri"/>
          <w:lang w:val="sq-AL"/>
        </w:rPr>
        <w:t>Ndërkohë, hyrja në fuqi më datë 30.12.2018 e ndryshimeve në ligjin “</w:t>
      </w:r>
      <w:r w:rsidRPr="00700EA3">
        <w:rPr>
          <w:rFonts w:cs="Calibri"/>
          <w:i/>
          <w:lang w:val="sq-AL"/>
        </w:rPr>
        <w:t>Për Avokaturën e Shtetit</w:t>
      </w:r>
      <w:r w:rsidRPr="00700EA3">
        <w:rPr>
          <w:rFonts w:cs="Calibri"/>
          <w:lang w:val="sq-AL"/>
        </w:rPr>
        <w:t>”, përmban një kre të veçantë dedikuar ekzekutimit të vendimeve të GJEDNJ-së, ku specifikisht në nenin 19/5 përcaktohen 2 mënyra ekzekutimi të shpërblimit:</w:t>
      </w:r>
    </w:p>
    <w:p w:rsidR="00700EA3" w:rsidRPr="006442C9" w:rsidRDefault="00700EA3" w:rsidP="00C71069">
      <w:pPr>
        <w:pStyle w:val="ListParagraph"/>
        <w:numPr>
          <w:ilvl w:val="0"/>
          <w:numId w:val="35"/>
        </w:numPr>
        <w:spacing w:before="0" w:line="240" w:lineRule="auto"/>
        <w:rPr>
          <w:rFonts w:cs="Calibri"/>
          <w:i/>
          <w:lang w:val="sq-AL"/>
        </w:rPr>
      </w:pPr>
      <w:r w:rsidRPr="006442C9">
        <w:rPr>
          <w:rFonts w:cs="Calibri"/>
          <w:i/>
          <w:lang w:val="sq-AL"/>
        </w:rPr>
        <w:t>Detyrimet financiare  që burojnë nga vendimet e GJEDNJ</w:t>
      </w:r>
      <w:r>
        <w:rPr>
          <w:rFonts w:cs="Calibri"/>
          <w:i/>
          <w:lang w:val="sq-AL"/>
        </w:rPr>
        <w:t>-</w:t>
      </w:r>
      <w:r w:rsidRPr="006442C9">
        <w:rPr>
          <w:rFonts w:cs="Calibri"/>
          <w:i/>
          <w:lang w:val="sq-AL"/>
        </w:rPr>
        <w:t xml:space="preserve">së mbulohen nga buxheti i shtetit, sipas  përcaktimeve  të  parashikuara  në  </w:t>
      </w:r>
      <w:r>
        <w:rPr>
          <w:rFonts w:cs="Calibri"/>
          <w:i/>
          <w:lang w:val="sq-AL"/>
        </w:rPr>
        <w:t>VKM përkatëse</w:t>
      </w:r>
      <w:r w:rsidRPr="006442C9">
        <w:rPr>
          <w:rFonts w:cs="Calibri"/>
          <w:i/>
          <w:lang w:val="sq-AL"/>
        </w:rPr>
        <w:t xml:space="preserve"> për ekzekutimin  e</w:t>
      </w:r>
      <w:r>
        <w:rPr>
          <w:rFonts w:cs="Calibri"/>
          <w:i/>
          <w:lang w:val="sq-AL"/>
        </w:rPr>
        <w:t xml:space="preserve"> </w:t>
      </w:r>
      <w:r w:rsidRPr="006442C9">
        <w:rPr>
          <w:rFonts w:cs="Calibri"/>
          <w:i/>
          <w:lang w:val="sq-AL"/>
        </w:rPr>
        <w:t xml:space="preserve">vendimit të GJEDNJ.   </w:t>
      </w:r>
    </w:p>
    <w:p w:rsidR="00700EA3" w:rsidRPr="006442C9" w:rsidRDefault="00700EA3" w:rsidP="00C71069">
      <w:pPr>
        <w:pStyle w:val="ListParagraph"/>
        <w:numPr>
          <w:ilvl w:val="0"/>
          <w:numId w:val="35"/>
        </w:numPr>
        <w:spacing w:before="0" w:line="240" w:lineRule="auto"/>
        <w:rPr>
          <w:rFonts w:cs="Calibri"/>
          <w:i/>
          <w:lang w:val="sq-AL"/>
        </w:rPr>
      </w:pPr>
      <w:r w:rsidRPr="006442C9">
        <w:rPr>
          <w:rFonts w:cs="Calibri"/>
          <w:i/>
          <w:lang w:val="sq-AL"/>
        </w:rPr>
        <w:t xml:space="preserve">Përjashtimisht, për detyrimet financiare deri në 10 000 (dhjetë mijë) euro, pagesa ekzekutohet në mënyrë të drejtpërdrejtë nga ministria përgjegjëse për financat, pas njoftimit nga Avokatura e Shtetit.   </w:t>
      </w:r>
    </w:p>
    <w:p w:rsidR="00700EA3" w:rsidRDefault="00700EA3" w:rsidP="00700EA3">
      <w:pPr>
        <w:spacing w:line="240" w:lineRule="auto"/>
        <w:rPr>
          <w:rFonts w:cs="Calibri"/>
          <w:bCs/>
          <w:lang w:val="sq-AL"/>
        </w:rPr>
      </w:pPr>
      <w:r w:rsidRPr="009954A8">
        <w:rPr>
          <w:rFonts w:cs="Calibri"/>
          <w:lang w:val="sq-AL"/>
        </w:rPr>
        <w:t>Gjatë vitit 202</w:t>
      </w:r>
      <w:r>
        <w:rPr>
          <w:rFonts w:cs="Calibri"/>
          <w:lang w:val="sq-AL"/>
        </w:rPr>
        <w:t>2</w:t>
      </w:r>
      <w:r w:rsidRPr="009954A8">
        <w:rPr>
          <w:rFonts w:cs="Calibri"/>
          <w:bCs/>
          <w:lang w:val="sq-AL"/>
        </w:rPr>
        <w:t>,</w:t>
      </w:r>
      <w:r>
        <w:rPr>
          <w:rFonts w:cs="Calibri"/>
          <w:bCs/>
          <w:lang w:val="sq-AL"/>
        </w:rPr>
        <w:t>rezultoi se:</w:t>
      </w:r>
    </w:p>
    <w:p w:rsidR="00700EA3" w:rsidRPr="004F3FC9" w:rsidRDefault="00700EA3" w:rsidP="00C71069">
      <w:pPr>
        <w:pStyle w:val="ListParagraph"/>
        <w:numPr>
          <w:ilvl w:val="0"/>
          <w:numId w:val="36"/>
        </w:numPr>
        <w:spacing w:before="0" w:line="240" w:lineRule="auto"/>
        <w:rPr>
          <w:rFonts w:cs="Calibri"/>
          <w:lang w:val="sq-AL"/>
        </w:rPr>
      </w:pPr>
      <w:r w:rsidRPr="004F3FC9">
        <w:rPr>
          <w:rFonts w:cs="Calibri"/>
          <w:lang w:val="sq-AL"/>
        </w:rPr>
        <w:t>Këshilli i Ministrave ka miratuar 7 (shtatë) VKM me një vlerë totale prej 103.150 EUR (rreth 12.37 milionë lekë) të cilat janë përballuar nga Fondi Rezervë i buxheti i shtetit, i miratuar për vitin 2022, konkretisht:</w:t>
      </w:r>
    </w:p>
    <w:p w:rsidR="00700EA3" w:rsidRDefault="00700EA3" w:rsidP="00700EA3">
      <w:pPr>
        <w:numPr>
          <w:ilvl w:val="1"/>
          <w:numId w:val="5"/>
        </w:numPr>
        <w:spacing w:before="0" w:line="240" w:lineRule="auto"/>
        <w:ind w:left="1170"/>
        <w:contextualSpacing/>
        <w:rPr>
          <w:rFonts w:cs="Calibri"/>
          <w:i/>
          <w:lang w:val="sq-AL"/>
        </w:rPr>
      </w:pPr>
      <w:r>
        <w:rPr>
          <w:rFonts w:cs="Calibri"/>
          <w:i/>
          <w:lang w:val="sq-AL"/>
        </w:rPr>
        <w:t>VKM nr.29, datë 19.01.2022 “Për ekzekutimin e vendimit të GJEDNJ-së, datë 12.1.2021, për çështjen ‘Budo kundër Shqipërisë’” (kërkesa nr.75763/17), në vlerën 10.700 EUR.</w:t>
      </w:r>
    </w:p>
    <w:p w:rsidR="00700EA3" w:rsidRPr="008203FD" w:rsidRDefault="00700EA3" w:rsidP="00700EA3">
      <w:pPr>
        <w:numPr>
          <w:ilvl w:val="1"/>
          <w:numId w:val="5"/>
        </w:numPr>
        <w:spacing w:before="0" w:line="240" w:lineRule="auto"/>
        <w:ind w:left="1170"/>
        <w:contextualSpacing/>
        <w:rPr>
          <w:rFonts w:cs="Calibri"/>
          <w:i/>
          <w:lang w:val="sq-AL"/>
        </w:rPr>
      </w:pPr>
      <w:r>
        <w:rPr>
          <w:rFonts w:cs="Calibri"/>
          <w:i/>
          <w:lang w:val="sq-AL"/>
        </w:rPr>
        <w:t>VKM nr. 290, datë 11.5.2022</w:t>
      </w:r>
      <w:r w:rsidRPr="008203FD">
        <w:rPr>
          <w:rFonts w:cs="Calibri"/>
          <w:i/>
          <w:lang w:val="sq-AL"/>
        </w:rPr>
        <w:t xml:space="preserve"> </w:t>
      </w:r>
      <w:r>
        <w:rPr>
          <w:rFonts w:cs="Calibri"/>
          <w:i/>
          <w:lang w:val="sq-AL"/>
        </w:rPr>
        <w:t>“Për ekzekutimin e vendimit të GJEDNJ-së, datë 19.10.2021, për çështjen ‘Laçi kundër Shqipërisë’” (kërkesa nr.281422/17), në vlerën 10.500 EUR.</w:t>
      </w:r>
    </w:p>
    <w:p w:rsidR="00700EA3" w:rsidRDefault="00700EA3" w:rsidP="00700EA3">
      <w:pPr>
        <w:numPr>
          <w:ilvl w:val="1"/>
          <w:numId w:val="5"/>
        </w:numPr>
        <w:spacing w:before="0" w:line="240" w:lineRule="auto"/>
        <w:ind w:left="1170"/>
        <w:contextualSpacing/>
        <w:rPr>
          <w:rFonts w:cs="Calibri"/>
          <w:i/>
          <w:lang w:val="sq-AL"/>
        </w:rPr>
      </w:pPr>
      <w:r>
        <w:rPr>
          <w:rFonts w:cs="Calibri"/>
          <w:i/>
          <w:lang w:val="sq-AL"/>
        </w:rPr>
        <w:t>VKM nr.</w:t>
      </w:r>
      <w:r w:rsidRPr="00700EA3">
        <w:rPr>
          <w:rFonts w:cs="Calibri"/>
          <w:i/>
          <w:lang w:val="sq-AL"/>
        </w:rPr>
        <w:t xml:space="preserve"> </w:t>
      </w:r>
      <w:r w:rsidRPr="002B0D02">
        <w:rPr>
          <w:rFonts w:cs="Calibri"/>
          <w:i/>
          <w:lang w:val="sq-AL"/>
        </w:rPr>
        <w:t>369</w:t>
      </w:r>
      <w:r>
        <w:rPr>
          <w:rFonts w:cs="Calibri"/>
          <w:i/>
          <w:lang w:val="sq-AL"/>
        </w:rPr>
        <w:t>, datë 01.06.2022 “Për ekzekutimin e vendimit të GJEDNJ-së, datë 9.12.2021, për çështjen ‘Fotaq Zaharia kundër Shqipërisë’” (kërkesa nr.45022/16), në vlerën 15.000 EUR.</w:t>
      </w:r>
    </w:p>
    <w:p w:rsidR="00700EA3" w:rsidRDefault="00700EA3" w:rsidP="00700EA3">
      <w:pPr>
        <w:numPr>
          <w:ilvl w:val="1"/>
          <w:numId w:val="5"/>
        </w:numPr>
        <w:spacing w:before="0" w:line="240" w:lineRule="auto"/>
        <w:ind w:left="1170"/>
        <w:contextualSpacing/>
        <w:rPr>
          <w:rFonts w:cs="Calibri"/>
          <w:i/>
          <w:lang w:val="sq-AL"/>
        </w:rPr>
      </w:pPr>
      <w:r>
        <w:rPr>
          <w:rFonts w:cs="Calibri"/>
          <w:i/>
          <w:lang w:val="sq-AL"/>
        </w:rPr>
        <w:t>VKM nr.</w:t>
      </w:r>
      <w:r w:rsidRPr="00700EA3">
        <w:rPr>
          <w:rFonts w:cs="Calibri"/>
          <w:i/>
          <w:lang w:val="sq-AL"/>
        </w:rPr>
        <w:t xml:space="preserve"> </w:t>
      </w:r>
      <w:r>
        <w:rPr>
          <w:rFonts w:cs="Calibri"/>
          <w:i/>
          <w:lang w:val="sq-AL"/>
        </w:rPr>
        <w:t>586, datë 7.9.2022 “Për ekzekutimin e vendimit të GJEDNJ-së, datë 14.06.2022, për çështjen ‘Balkasi dhe të tjerë kundër Shqipërisë’” (kërkesa nr.14800/18), në vlerën 13.500 EUR.</w:t>
      </w:r>
    </w:p>
    <w:p w:rsidR="00700EA3" w:rsidRDefault="00700EA3" w:rsidP="00700EA3">
      <w:pPr>
        <w:numPr>
          <w:ilvl w:val="1"/>
          <w:numId w:val="5"/>
        </w:numPr>
        <w:spacing w:before="0" w:line="240" w:lineRule="auto"/>
        <w:ind w:left="1170"/>
        <w:contextualSpacing/>
        <w:rPr>
          <w:rFonts w:cs="Calibri"/>
          <w:i/>
          <w:lang w:val="sq-AL"/>
        </w:rPr>
      </w:pPr>
      <w:r>
        <w:rPr>
          <w:rFonts w:cs="Calibri"/>
          <w:i/>
          <w:lang w:val="sq-AL"/>
        </w:rPr>
        <w:t>VKM nr.760, datë 12.12.2022 “Për ekzekutimin e vendimit të GJEDNJ-së, datë 31.05.2022, për çështjen ‘X dhe të tjerë kundër Shqipërisë’” (kërkesat nr.73548/17 dhe nr.45521/19), në vlerën 22.500 EUR.</w:t>
      </w:r>
    </w:p>
    <w:p w:rsidR="00700EA3" w:rsidRDefault="00700EA3" w:rsidP="00700EA3">
      <w:pPr>
        <w:numPr>
          <w:ilvl w:val="1"/>
          <w:numId w:val="5"/>
        </w:numPr>
        <w:spacing w:before="0" w:line="240" w:lineRule="auto"/>
        <w:ind w:left="1170"/>
        <w:contextualSpacing/>
        <w:rPr>
          <w:rFonts w:cs="Calibri"/>
          <w:i/>
          <w:lang w:val="sq-AL"/>
        </w:rPr>
      </w:pPr>
      <w:r>
        <w:rPr>
          <w:rFonts w:cs="Calibri"/>
          <w:i/>
          <w:lang w:val="sq-AL"/>
        </w:rPr>
        <w:t>VKM nr.819, datë 19.12.2022 ““Për ekzekutimin e vendimit të GJEDNJ-së, datë 21.01.2020, për çështjen ‘Strazimiri kundër Shqipërisë’” (kërkesa nr.34602/16), në vlerën 17.500 EUR.</w:t>
      </w:r>
    </w:p>
    <w:p w:rsidR="00700EA3" w:rsidRDefault="00700EA3" w:rsidP="00700EA3">
      <w:pPr>
        <w:numPr>
          <w:ilvl w:val="1"/>
          <w:numId w:val="5"/>
        </w:numPr>
        <w:spacing w:before="0" w:line="240" w:lineRule="auto"/>
        <w:ind w:left="1170"/>
        <w:contextualSpacing/>
        <w:rPr>
          <w:rFonts w:cs="Calibri"/>
          <w:i/>
          <w:lang w:val="sq-AL"/>
        </w:rPr>
      </w:pPr>
      <w:r>
        <w:rPr>
          <w:rFonts w:cs="Calibri"/>
          <w:i/>
          <w:lang w:val="sq-AL"/>
        </w:rPr>
        <w:t>VKM nr.860, datë 27.12.2022 ““Për ekzekutimin e vendimit të GJEDNJ-së, datë 11.06.2019, për çështjen ‘Prizreni kundër Shqipërisë’” (kërkesa nr.29309/16), në vlerën 13.450 EUR.</w:t>
      </w:r>
    </w:p>
    <w:p w:rsidR="00700EA3" w:rsidRPr="00700EA3" w:rsidRDefault="00700EA3" w:rsidP="00700EA3">
      <w:pPr>
        <w:pStyle w:val="ListParagraph"/>
        <w:spacing w:before="0" w:line="240" w:lineRule="auto"/>
        <w:ind w:left="1080"/>
        <w:rPr>
          <w:rFonts w:cs="Calibri"/>
          <w:i/>
          <w:sz w:val="4"/>
          <w:lang w:val="sq-AL"/>
        </w:rPr>
      </w:pPr>
    </w:p>
    <w:p w:rsidR="00700EA3" w:rsidRPr="006746FA" w:rsidRDefault="00700EA3" w:rsidP="00C71069">
      <w:pPr>
        <w:pStyle w:val="ListParagraph"/>
        <w:numPr>
          <w:ilvl w:val="0"/>
          <w:numId w:val="36"/>
        </w:numPr>
        <w:spacing w:before="0" w:line="240" w:lineRule="auto"/>
        <w:rPr>
          <w:rFonts w:cs="Calibri"/>
          <w:lang w:val="sq-AL"/>
        </w:rPr>
      </w:pPr>
      <w:r w:rsidRPr="006746FA">
        <w:rPr>
          <w:rFonts w:cs="Calibri"/>
          <w:lang w:val="sq-AL"/>
        </w:rPr>
        <w:t>Ndërkohë, Ministria e Financave dhe Ekonomisë ka ekzekutuar edhe 13 (trembëdhjetë) vendime të GJEDNJ, me vlera nën 10.000 EUR, me një vlerë totale 40.200 EUR (rreth 4.92 milionë lekë).</w:t>
      </w:r>
    </w:p>
    <w:p w:rsidR="00700EA3" w:rsidRPr="00700EA3" w:rsidRDefault="00700EA3" w:rsidP="00700EA3">
      <w:pPr>
        <w:spacing w:before="0" w:line="240" w:lineRule="auto"/>
        <w:rPr>
          <w:rFonts w:cs="Calibri"/>
          <w:sz w:val="8"/>
          <w:lang w:val="sq-AL"/>
        </w:rPr>
      </w:pPr>
    </w:p>
    <w:p w:rsidR="00700EA3" w:rsidRDefault="00700EA3" w:rsidP="00700EA3">
      <w:pPr>
        <w:spacing w:before="0" w:line="240" w:lineRule="auto"/>
        <w:rPr>
          <w:rFonts w:cs="Calibri"/>
          <w:lang w:val="sq-AL"/>
        </w:rPr>
      </w:pPr>
      <w:r w:rsidRPr="00700EA3">
        <w:rPr>
          <w:rFonts w:cs="Calibri"/>
          <w:lang w:val="sq-AL"/>
        </w:rPr>
        <w:t>Deri në fund të vitit 2022, detyrimet faktike dhe kontigjente për vendimet e GJEDNJ-së paraqiten mëposhtë:</w:t>
      </w:r>
    </w:p>
    <w:p w:rsidR="00700EA3" w:rsidRPr="00700EA3" w:rsidRDefault="00700EA3" w:rsidP="00700EA3">
      <w:pPr>
        <w:spacing w:before="0" w:line="240" w:lineRule="auto"/>
        <w:rPr>
          <w:rFonts w:cs="Calibri"/>
          <w:sz w:val="4"/>
          <w:lang w:val="sq-AL"/>
        </w:rPr>
      </w:pPr>
    </w:p>
    <w:p w:rsidR="00700EA3" w:rsidRPr="00700EA3" w:rsidRDefault="00CD52E9" w:rsidP="00700EA3">
      <w:pPr>
        <w:pStyle w:val="Caption"/>
        <w:keepNext/>
        <w:spacing w:before="0" w:after="0" w:line="240" w:lineRule="auto"/>
        <w:rPr>
          <w:rFonts w:cs="Calibri"/>
        </w:rPr>
      </w:pPr>
      <w:bookmarkStart w:id="235" w:name="_Toc107496764"/>
      <w:bookmarkStart w:id="236" w:name="_Toc136526347"/>
      <w:r w:rsidRPr="0005367A">
        <w:rPr>
          <w:rFonts w:cs="Calibri"/>
        </w:rPr>
        <w:t xml:space="preserve">Tabela </w:t>
      </w:r>
      <w:r w:rsidRPr="0005367A">
        <w:rPr>
          <w:rFonts w:cs="Calibri"/>
        </w:rPr>
        <w:fldChar w:fldCharType="begin"/>
      </w:r>
      <w:r w:rsidRPr="0005367A">
        <w:rPr>
          <w:rFonts w:cs="Calibri"/>
        </w:rPr>
        <w:instrText xml:space="preserve"> SEQ Tabela \* ARABIC </w:instrText>
      </w:r>
      <w:r w:rsidRPr="0005367A">
        <w:rPr>
          <w:rFonts w:cs="Calibri"/>
        </w:rPr>
        <w:fldChar w:fldCharType="separate"/>
      </w:r>
      <w:r w:rsidR="008C3E07">
        <w:rPr>
          <w:rFonts w:cs="Calibri"/>
          <w:noProof/>
        </w:rPr>
        <w:t>21</w:t>
      </w:r>
      <w:r w:rsidRPr="0005367A">
        <w:rPr>
          <w:rFonts w:cs="Calibri"/>
        </w:rPr>
        <w:fldChar w:fldCharType="end"/>
      </w:r>
      <w:r w:rsidR="00700EA3" w:rsidRPr="00700EA3">
        <w:rPr>
          <w:rFonts w:cs="Calibri"/>
        </w:rPr>
        <w:t xml:space="preserve"> Detyrimet faktike dhe kontigjente nga vendimet e GJEDNJ-së (në E</w:t>
      </w:r>
      <w:bookmarkEnd w:id="235"/>
      <w:r w:rsidR="00700EA3" w:rsidRPr="00700EA3">
        <w:rPr>
          <w:rFonts w:cs="Calibri"/>
        </w:rPr>
        <w:t>UR)</w:t>
      </w:r>
      <w:bookmarkEnd w:id="236"/>
    </w:p>
    <w:p w:rsidR="00083EB3" w:rsidRDefault="00700EA3" w:rsidP="00700EA3">
      <w:pPr>
        <w:spacing w:before="0" w:line="240" w:lineRule="auto"/>
        <w:contextualSpacing/>
        <w:jc w:val="center"/>
        <w:rPr>
          <w:rFonts w:eastAsia="Calibri" w:cs="Calibri"/>
          <w:i/>
          <w:sz w:val="8"/>
          <w:lang w:val="sq-AL"/>
        </w:rPr>
      </w:pPr>
      <w:r w:rsidRPr="00C95E4B">
        <w:rPr>
          <w:noProof/>
        </w:rPr>
        <w:drawing>
          <wp:inline distT="0" distB="0" distL="0" distR="0" wp14:anchorId="7AAC69B2" wp14:editId="435FCEA5">
            <wp:extent cx="4445324" cy="1546860"/>
            <wp:effectExtent l="19050" t="19050" r="12700" b="152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594952" cy="1598927"/>
                    </a:xfrm>
                    <a:prstGeom prst="rect">
                      <a:avLst/>
                    </a:prstGeom>
                    <a:noFill/>
                    <a:ln>
                      <a:solidFill>
                        <a:schemeClr val="accent1"/>
                      </a:solidFill>
                    </a:ln>
                  </pic:spPr>
                </pic:pic>
              </a:graphicData>
            </a:graphic>
          </wp:inline>
        </w:drawing>
      </w:r>
    </w:p>
    <w:p w:rsidR="00700EA3" w:rsidRPr="00B172B1" w:rsidRDefault="00700EA3" w:rsidP="00700EA3">
      <w:pPr>
        <w:spacing w:before="0" w:line="240" w:lineRule="auto"/>
        <w:ind w:left="1440" w:firstLine="720"/>
        <w:rPr>
          <w:rFonts w:eastAsia="SimSun" w:cs="Calibri"/>
          <w:i/>
          <w:sz w:val="18"/>
          <w:szCs w:val="18"/>
          <w:lang w:val="sq-AL"/>
        </w:rPr>
      </w:pPr>
      <w:r w:rsidRPr="00B172B1">
        <w:rPr>
          <w:rFonts w:eastAsia="SimSun" w:cs="Calibri"/>
          <w:i/>
          <w:sz w:val="18"/>
          <w:szCs w:val="18"/>
          <w:lang w:val="sq-AL"/>
        </w:rPr>
        <w:t>Burimi: Ministria e Financave dhe Ekonomisë</w:t>
      </w:r>
      <w:r>
        <w:rPr>
          <w:rFonts w:eastAsia="SimSun" w:cs="Calibri"/>
          <w:i/>
          <w:sz w:val="18"/>
          <w:szCs w:val="18"/>
          <w:lang w:val="sq-AL"/>
        </w:rPr>
        <w:t>, Avokatura e Shtetit</w:t>
      </w:r>
      <w:r w:rsidRPr="00B172B1">
        <w:rPr>
          <w:rFonts w:eastAsia="SimSun" w:cs="Calibri"/>
          <w:i/>
          <w:sz w:val="18"/>
          <w:szCs w:val="18"/>
          <w:lang w:val="sq-AL"/>
        </w:rPr>
        <w:t xml:space="preserve"> (2023)</w:t>
      </w:r>
    </w:p>
    <w:p w:rsidR="00700EA3" w:rsidRDefault="00700EA3" w:rsidP="00700EA3">
      <w:pPr>
        <w:spacing w:before="0" w:line="240" w:lineRule="auto"/>
        <w:contextualSpacing/>
        <w:jc w:val="center"/>
        <w:rPr>
          <w:rFonts w:eastAsia="Calibri" w:cs="Calibri"/>
          <w:i/>
          <w:sz w:val="8"/>
          <w:lang w:val="sq-AL"/>
        </w:rPr>
      </w:pPr>
    </w:p>
    <w:p w:rsidR="002350D2" w:rsidRPr="00700EA3" w:rsidRDefault="002350D2" w:rsidP="00700EA3">
      <w:pPr>
        <w:pStyle w:val="fiskale3"/>
        <w:spacing w:before="0" w:line="240" w:lineRule="auto"/>
        <w:rPr>
          <w:rFonts w:ascii="Calibri" w:hAnsi="Calibri" w:cs="Calibri"/>
          <w:i/>
        </w:rPr>
      </w:pPr>
      <w:bookmarkStart w:id="237" w:name="_Toc104980355"/>
      <w:r w:rsidRPr="00700EA3">
        <w:rPr>
          <w:rFonts w:ascii="Calibri" w:hAnsi="Calibri" w:cs="Calibri"/>
          <w:i/>
        </w:rPr>
        <w:t>Vendimet e Gjykatës Ndërkombëtare të A</w:t>
      </w:r>
      <w:r w:rsidR="00EC33B8" w:rsidRPr="00700EA3">
        <w:rPr>
          <w:rFonts w:ascii="Calibri" w:hAnsi="Calibri" w:cs="Calibri"/>
          <w:i/>
        </w:rPr>
        <w:t>rbitrazhit</w:t>
      </w:r>
      <w:bookmarkEnd w:id="237"/>
      <w:r w:rsidRPr="00700EA3">
        <w:rPr>
          <w:rFonts w:ascii="Calibri" w:hAnsi="Calibri" w:cs="Calibri"/>
          <w:i/>
        </w:rPr>
        <w:t xml:space="preserve"> </w:t>
      </w:r>
    </w:p>
    <w:p w:rsidR="00004DA4" w:rsidRDefault="00700EA3" w:rsidP="00004DA4">
      <w:pPr>
        <w:rPr>
          <w:rFonts w:eastAsia="Calibri" w:cs="Calibri"/>
          <w:bCs/>
          <w:lang w:val="sq-AL" w:eastAsia="sq-AL"/>
        </w:rPr>
      </w:pPr>
      <w:bookmarkStart w:id="238" w:name="_Toc10033288"/>
      <w:bookmarkStart w:id="239" w:name="_Toc10721425"/>
      <w:bookmarkStart w:id="240" w:name="_Toc104980356"/>
      <w:r w:rsidRPr="009954A8">
        <w:rPr>
          <w:rFonts w:cs="Calibri"/>
          <w:lang w:val="sq-AL"/>
        </w:rPr>
        <w:t xml:space="preserve">Vendimet e Gjykatës Ndërkombëtare të Arbitrazhit kanë të </w:t>
      </w:r>
      <w:r w:rsidRPr="009954A8">
        <w:rPr>
          <w:lang w:val="sq-AL"/>
        </w:rPr>
        <w:t>bëjnë</w:t>
      </w:r>
      <w:r w:rsidRPr="009954A8">
        <w:rPr>
          <w:rFonts w:cs="Calibri"/>
          <w:lang w:val="sq-AL"/>
        </w:rPr>
        <w:t xml:space="preserve"> me vendimet e formës së prerë për zgjidhjen e konflikteve në mosmarrëveshjet dy ose </w:t>
      </w:r>
      <w:r w:rsidRPr="009954A8">
        <w:rPr>
          <w:lang w:val="sq-AL"/>
        </w:rPr>
        <w:t>shumëpalëshe</w:t>
      </w:r>
      <w:r w:rsidRPr="009954A8">
        <w:rPr>
          <w:rFonts w:cs="Calibri"/>
          <w:lang w:val="sq-AL"/>
        </w:rPr>
        <w:t xml:space="preserve">, në ngarkim të shtetit shqiptar. Duke patur parasysh efektet e qënësishme financiare që rëndom shoqërojnë këto vendime, ato vlerësohen me risk të konsiderueshëm për buxhetin e shtetit. </w:t>
      </w:r>
      <w:r w:rsidRPr="009954A8">
        <w:rPr>
          <w:rFonts w:eastAsia="Calibri" w:cs="Calibri"/>
          <w:bCs/>
          <w:lang w:val="sq-AL" w:eastAsia="sq-AL"/>
        </w:rPr>
        <w:t xml:space="preserve">Në pjesën më të madhe, efektet financiare që rrjedhin nga zbatimi i këtyre vendimeve janë përballuar nga buxheti i vetë </w:t>
      </w:r>
      <w:r w:rsidRPr="009954A8">
        <w:rPr>
          <w:lang w:val="sq-AL"/>
        </w:rPr>
        <w:t>institucioneve</w:t>
      </w:r>
      <w:r w:rsidRPr="009954A8">
        <w:rPr>
          <w:rFonts w:eastAsia="Calibri" w:cs="Calibri"/>
          <w:bCs/>
          <w:lang w:val="sq-AL" w:eastAsia="sq-AL"/>
        </w:rPr>
        <w:t xml:space="preserve"> buxhetore (kryesisht ministri linje), të cilat kanë qenë edhe palë e paditur në gjykimet </w:t>
      </w:r>
      <w:r w:rsidRPr="009954A8">
        <w:rPr>
          <w:rFonts w:cs="Calibri"/>
          <w:lang w:val="sq-AL"/>
        </w:rPr>
        <w:t>respektive</w:t>
      </w:r>
      <w:r w:rsidRPr="009954A8">
        <w:rPr>
          <w:rFonts w:eastAsia="Calibri" w:cs="Calibri"/>
          <w:bCs/>
          <w:lang w:val="sq-AL" w:eastAsia="sq-AL"/>
        </w:rPr>
        <w:t xml:space="preserve">. Ndërkohë që, në rastet kur palë e paditur cilësohet ‘shteti shqiptar’ apo ‘qeveria shqiptare’, këto vendime likujdohen përmes buxhetit të Ministrisë së Financave dhe Ekonomisë dhe/ose Fondit rezervë të buxhetit të shtetit, nëse lind nevoja. </w:t>
      </w:r>
    </w:p>
    <w:p w:rsidR="00004DA4" w:rsidRDefault="00004DA4" w:rsidP="00004DA4">
      <w:pPr>
        <w:rPr>
          <w:rFonts w:eastAsia="Calibri" w:cs="Calibri"/>
          <w:bCs/>
          <w:lang w:val="sq-AL" w:eastAsia="sq-AL"/>
        </w:rPr>
      </w:pPr>
      <w:r w:rsidRPr="009B7ACD">
        <w:rPr>
          <w:rFonts w:eastAsia="Calibri"/>
          <w:lang w:val="sq-AL" w:eastAsia="sq-AL"/>
        </w:rPr>
        <w:t>Ministria e Financave dhe Ekonomisë, në vazhdimësi ka rekomanduar forcimin e rolit negociues të institucioneve buxhetore dhe Avokaturës së Shtetit në çështjet e kësaj natyre, si edhe disiplinimin e proçesit të shlyerjes financiare të përfituesve. Kjo, me qëllim final lehtësimi</w:t>
      </w:r>
      <w:r>
        <w:rPr>
          <w:rFonts w:eastAsia="Calibri"/>
          <w:lang w:val="sq-AL" w:eastAsia="sq-AL"/>
        </w:rPr>
        <w:t>n</w:t>
      </w:r>
      <w:r w:rsidRPr="009B7ACD">
        <w:rPr>
          <w:rFonts w:eastAsia="Calibri"/>
          <w:lang w:val="sq-AL" w:eastAsia="sq-AL"/>
        </w:rPr>
        <w:t>, reduktimi</w:t>
      </w:r>
      <w:r>
        <w:rPr>
          <w:rFonts w:eastAsia="Calibri"/>
          <w:lang w:val="sq-AL" w:eastAsia="sq-AL"/>
        </w:rPr>
        <w:t>n</w:t>
      </w:r>
      <w:r w:rsidRPr="009B7ACD">
        <w:rPr>
          <w:rFonts w:eastAsia="Calibri"/>
          <w:lang w:val="sq-AL" w:eastAsia="sq-AL"/>
        </w:rPr>
        <w:t xml:space="preserve"> dhe shmangie</w:t>
      </w:r>
      <w:r>
        <w:rPr>
          <w:rFonts w:eastAsia="Calibri"/>
          <w:lang w:val="sq-AL" w:eastAsia="sq-AL"/>
        </w:rPr>
        <w:t>n</w:t>
      </w:r>
      <w:r w:rsidRPr="009B7ACD">
        <w:rPr>
          <w:rFonts w:eastAsia="Calibri"/>
          <w:lang w:val="sq-AL" w:eastAsia="sq-AL"/>
        </w:rPr>
        <w:t xml:space="preserve"> </w:t>
      </w:r>
      <w:r>
        <w:rPr>
          <w:rFonts w:eastAsia="Calibri"/>
          <w:lang w:val="sq-AL" w:eastAsia="sq-AL"/>
        </w:rPr>
        <w:t>e</w:t>
      </w:r>
      <w:r w:rsidRPr="009B7ACD">
        <w:rPr>
          <w:rFonts w:eastAsia="Calibri"/>
          <w:lang w:val="sq-AL" w:eastAsia="sq-AL"/>
        </w:rPr>
        <w:t xml:space="preserve"> barrës financiare mbi buxhetin e shtetit</w:t>
      </w:r>
    </w:p>
    <w:p w:rsidR="00700EA3" w:rsidRPr="00700EA3" w:rsidRDefault="00700EA3" w:rsidP="00004DA4">
      <w:pPr>
        <w:rPr>
          <w:rFonts w:eastAsia="Calibri" w:cs="Calibri"/>
          <w:bCs/>
          <w:lang w:val="sq-AL" w:eastAsia="sq-AL"/>
        </w:rPr>
      </w:pPr>
      <w:r w:rsidRPr="00A22644">
        <w:rPr>
          <w:rFonts w:eastAsia="Calibri" w:cs="Calibri"/>
          <w:bCs/>
          <w:lang w:val="sq-AL" w:eastAsia="sq-AL"/>
        </w:rPr>
        <w:t xml:space="preserve">Në vitin 2022, vlera totale e kostove ligjore, të përfaqësimit, mbrojtjes, shpenzimeve gjyqësore apo kostove të tjera lidhura me vendime të arbitrazhit ndërkombëtar, të paguara nga buxheti i shtetit rezultoi në masën rreth </w:t>
      </w:r>
      <w:r w:rsidR="00004DA4">
        <w:rPr>
          <w:rFonts w:eastAsia="Calibri" w:cs="Calibri"/>
          <w:bCs/>
          <w:lang w:val="sq-AL" w:eastAsia="sq-AL"/>
        </w:rPr>
        <w:t xml:space="preserve">                       </w:t>
      </w:r>
      <w:r w:rsidR="004E4AF0">
        <w:rPr>
          <w:rFonts w:eastAsia="Calibri" w:cs="Calibri"/>
          <w:bCs/>
          <w:lang w:val="sq-AL" w:eastAsia="sq-AL"/>
        </w:rPr>
        <w:t>940.25</w:t>
      </w:r>
      <w:r w:rsidRPr="00A22644">
        <w:rPr>
          <w:rFonts w:eastAsia="Calibri" w:cs="Calibri"/>
          <w:bCs/>
          <w:lang w:val="sq-AL" w:eastAsia="sq-AL"/>
        </w:rPr>
        <w:t xml:space="preserve"> milionë lekë. Nga këto:</w:t>
      </w:r>
      <w:r w:rsidRPr="009954A8">
        <w:rPr>
          <w:rFonts w:eastAsia="Calibri" w:cs="Calibri"/>
          <w:bCs/>
          <w:lang w:val="sq-AL" w:eastAsia="sq-AL"/>
        </w:rPr>
        <w:t xml:space="preserve"> </w:t>
      </w:r>
    </w:p>
    <w:p w:rsidR="00700EA3" w:rsidRDefault="00700EA3" w:rsidP="00C71069">
      <w:pPr>
        <w:pStyle w:val="ListParagraph"/>
        <w:numPr>
          <w:ilvl w:val="0"/>
          <w:numId w:val="35"/>
        </w:numPr>
        <w:spacing w:before="0"/>
        <w:rPr>
          <w:rFonts w:cs="Calibri"/>
          <w:i/>
          <w:lang w:val="sq-AL"/>
        </w:rPr>
      </w:pPr>
      <w:r w:rsidRPr="00C83BC8">
        <w:rPr>
          <w:rFonts w:cs="Calibri"/>
          <w:i/>
          <w:lang w:val="sq-AL"/>
        </w:rPr>
        <w:t>Rreth 198 milionë lekë Ministria e Financave dhe Ekonomisë, për pagesën e kostove paraprake, shërbimeve juridike dhe kosto të tjera ligjore për përfaqësimin dhe mbrojtjen e Republikës së Shqipërisë në vendime të arbitrazhit ndërkombëtar</w:t>
      </w:r>
      <w:r>
        <w:rPr>
          <w:rFonts w:cs="Calibri"/>
          <w:i/>
          <w:lang w:val="sq-AL"/>
        </w:rPr>
        <w:t>.</w:t>
      </w:r>
    </w:p>
    <w:p w:rsidR="00700EA3" w:rsidRPr="00C83BC8" w:rsidRDefault="00700EA3" w:rsidP="00C71069">
      <w:pPr>
        <w:pStyle w:val="ListParagraph"/>
        <w:numPr>
          <w:ilvl w:val="0"/>
          <w:numId w:val="35"/>
        </w:numPr>
        <w:spacing w:before="0"/>
        <w:rPr>
          <w:rFonts w:cs="Calibri"/>
          <w:i/>
          <w:lang w:val="sq-AL"/>
        </w:rPr>
      </w:pPr>
      <w:r w:rsidRPr="00C83BC8">
        <w:rPr>
          <w:rFonts w:cs="Calibri"/>
          <w:i/>
          <w:lang w:val="sq-AL"/>
        </w:rPr>
        <w:t>Rreth 79.2 milionë lekë Ministria e Turizmit dhe Mjedisit, për pagesën e shërbimeve juridike lidhur me procesin e anulimit të një vendimi të arbitrazhit ndërkombëtar.</w:t>
      </w:r>
    </w:p>
    <w:p w:rsidR="00700EA3" w:rsidRDefault="00700EA3" w:rsidP="00C71069">
      <w:pPr>
        <w:pStyle w:val="ListParagraph"/>
        <w:numPr>
          <w:ilvl w:val="0"/>
          <w:numId w:val="35"/>
        </w:numPr>
        <w:spacing w:before="0"/>
        <w:rPr>
          <w:rFonts w:cs="Calibri"/>
          <w:i/>
          <w:lang w:val="sq-AL"/>
        </w:rPr>
      </w:pPr>
      <w:r w:rsidRPr="00C83BC8">
        <w:rPr>
          <w:rFonts w:cs="Calibri"/>
          <w:i/>
          <w:lang w:val="sq-AL"/>
        </w:rPr>
        <w:t>Rreth 81.4 milionë lekë</w:t>
      </w:r>
      <w:r>
        <w:rPr>
          <w:rFonts w:cs="Calibri"/>
          <w:i/>
          <w:lang w:val="sq-AL"/>
        </w:rPr>
        <w:t xml:space="preserve"> </w:t>
      </w:r>
      <w:r w:rsidRPr="00C83BC8">
        <w:rPr>
          <w:rFonts w:cs="Calibri"/>
          <w:i/>
          <w:lang w:val="sq-AL"/>
        </w:rPr>
        <w:t xml:space="preserve">Ministria e Bujqësisë dhe Zhvillimit Rural, për pagesën e kostove ligjore dhe administrative të Gjykatës lidhur me një vendim të arbitrazhit ndërkombëtar. </w:t>
      </w:r>
    </w:p>
    <w:p w:rsidR="00700EA3" w:rsidRPr="00BA0D81" w:rsidRDefault="00700EA3" w:rsidP="00C71069">
      <w:pPr>
        <w:pStyle w:val="ListParagraph"/>
        <w:numPr>
          <w:ilvl w:val="0"/>
          <w:numId w:val="35"/>
        </w:numPr>
        <w:spacing w:before="0"/>
        <w:rPr>
          <w:rFonts w:cs="Calibri"/>
          <w:i/>
          <w:lang w:val="sq-AL"/>
        </w:rPr>
      </w:pPr>
      <w:r w:rsidRPr="00C83BC8">
        <w:rPr>
          <w:rFonts w:cs="Calibri"/>
          <w:i/>
          <w:lang w:val="sq-AL"/>
        </w:rPr>
        <w:t>Rreth 155 milionë lekë nga Ministria e Infrastrukturës dhe Energjisë</w:t>
      </w:r>
      <w:r>
        <w:rPr>
          <w:rFonts w:cs="Calibri"/>
          <w:i/>
          <w:lang w:val="sq-AL"/>
        </w:rPr>
        <w:t>,</w:t>
      </w:r>
      <w:r w:rsidRPr="00C83BC8">
        <w:rPr>
          <w:rFonts w:cs="Calibri"/>
          <w:i/>
          <w:lang w:val="sq-AL"/>
        </w:rPr>
        <w:t xml:space="preserve"> për </w:t>
      </w:r>
      <w:r>
        <w:rPr>
          <w:rFonts w:cs="Calibri"/>
          <w:i/>
          <w:lang w:val="sq-AL"/>
        </w:rPr>
        <w:t xml:space="preserve">pagesën e </w:t>
      </w:r>
      <w:r w:rsidRPr="00C83BC8">
        <w:rPr>
          <w:rFonts w:cs="Calibri"/>
          <w:i/>
          <w:lang w:val="sq-AL"/>
        </w:rPr>
        <w:t>kosto</w:t>
      </w:r>
      <w:r>
        <w:rPr>
          <w:rFonts w:cs="Calibri"/>
          <w:i/>
          <w:lang w:val="sq-AL"/>
        </w:rPr>
        <w:t>ve</w:t>
      </w:r>
      <w:r w:rsidRPr="00C83BC8">
        <w:rPr>
          <w:rFonts w:cs="Calibri"/>
          <w:i/>
          <w:lang w:val="sq-AL"/>
        </w:rPr>
        <w:t xml:space="preserve"> ligjore për përfaqësim dhe mbrojtje</w:t>
      </w:r>
      <w:r>
        <w:rPr>
          <w:rFonts w:cs="Calibri"/>
          <w:i/>
          <w:lang w:val="sq-AL"/>
        </w:rPr>
        <w:t xml:space="preserve"> si dhe </w:t>
      </w:r>
      <w:r w:rsidRPr="00C83BC8">
        <w:rPr>
          <w:rFonts w:cs="Calibri"/>
          <w:i/>
          <w:lang w:val="sq-AL"/>
        </w:rPr>
        <w:t xml:space="preserve">për </w:t>
      </w:r>
      <w:r>
        <w:rPr>
          <w:rFonts w:cs="Calibri"/>
          <w:i/>
          <w:lang w:val="sq-AL"/>
        </w:rPr>
        <w:t xml:space="preserve">pagesën e kostove ligjore në </w:t>
      </w:r>
      <w:r w:rsidRPr="00C83BC8">
        <w:rPr>
          <w:rFonts w:cs="Calibri"/>
          <w:i/>
          <w:lang w:val="sq-AL"/>
        </w:rPr>
        <w:t xml:space="preserve">procedura </w:t>
      </w:r>
      <w:r>
        <w:rPr>
          <w:rFonts w:cs="Calibri"/>
          <w:i/>
          <w:lang w:val="sq-AL"/>
        </w:rPr>
        <w:t>të</w:t>
      </w:r>
      <w:r w:rsidRPr="00C83BC8">
        <w:rPr>
          <w:rFonts w:cs="Calibri"/>
          <w:i/>
          <w:lang w:val="sq-AL"/>
        </w:rPr>
        <w:t xml:space="preserve"> anulimit të vendim</w:t>
      </w:r>
      <w:r>
        <w:rPr>
          <w:rFonts w:cs="Calibri"/>
          <w:i/>
          <w:lang w:val="sq-AL"/>
        </w:rPr>
        <w:t>eve</w:t>
      </w:r>
      <w:r w:rsidRPr="00C83BC8">
        <w:rPr>
          <w:rFonts w:cs="Calibri"/>
          <w:i/>
          <w:lang w:val="sq-AL"/>
        </w:rPr>
        <w:t xml:space="preserve"> të arbitrazhit ndërkombëtar</w:t>
      </w:r>
      <w:r>
        <w:rPr>
          <w:rFonts w:cs="Calibri"/>
          <w:i/>
          <w:lang w:val="sq-AL"/>
        </w:rPr>
        <w:t>.</w:t>
      </w:r>
    </w:p>
    <w:p w:rsidR="00700EA3" w:rsidRPr="00C83BC8" w:rsidRDefault="00700EA3" w:rsidP="00C71069">
      <w:pPr>
        <w:pStyle w:val="ListParagraph"/>
        <w:numPr>
          <w:ilvl w:val="0"/>
          <w:numId w:val="35"/>
        </w:numPr>
        <w:spacing w:before="0"/>
        <w:rPr>
          <w:rFonts w:cs="Calibri"/>
          <w:i/>
          <w:lang w:val="sq-AL"/>
        </w:rPr>
      </w:pPr>
      <w:r w:rsidRPr="00C83BC8">
        <w:rPr>
          <w:rFonts w:cs="Calibri"/>
          <w:i/>
          <w:lang w:val="sq-AL"/>
        </w:rPr>
        <w:t>Rreth 126.7 milionë lekë Agjencia Kombëtare e Ujësjellës Kanalizimeve dhe Infrastrukturës së Mbetjeve (AKUM)</w:t>
      </w:r>
      <w:r>
        <w:rPr>
          <w:rFonts w:cs="Calibri"/>
          <w:i/>
          <w:lang w:val="sq-AL"/>
        </w:rPr>
        <w:t>,</w:t>
      </w:r>
      <w:r w:rsidRPr="00C83BC8">
        <w:rPr>
          <w:rFonts w:cs="Calibri"/>
          <w:i/>
          <w:lang w:val="sq-AL"/>
        </w:rPr>
        <w:t xml:space="preserve"> për pagesën e</w:t>
      </w:r>
      <w:r w:rsidRPr="00882A95">
        <w:rPr>
          <w:rFonts w:cs="Calibri"/>
          <w:i/>
          <w:lang w:val="sq-AL"/>
        </w:rPr>
        <w:t xml:space="preserve"> </w:t>
      </w:r>
      <w:r w:rsidRPr="00C83BC8">
        <w:rPr>
          <w:rFonts w:cs="Calibri"/>
          <w:i/>
          <w:lang w:val="sq-AL"/>
        </w:rPr>
        <w:t>kosto</w:t>
      </w:r>
      <w:r>
        <w:rPr>
          <w:rFonts w:cs="Calibri"/>
          <w:i/>
          <w:lang w:val="sq-AL"/>
        </w:rPr>
        <w:t>ve</w:t>
      </w:r>
      <w:r w:rsidRPr="00C83BC8">
        <w:rPr>
          <w:rFonts w:cs="Calibri"/>
          <w:i/>
          <w:lang w:val="sq-AL"/>
        </w:rPr>
        <w:t xml:space="preserve"> ligjore për shërbime konsulence</w:t>
      </w:r>
      <w:r>
        <w:rPr>
          <w:rFonts w:cs="Calibri"/>
          <w:i/>
          <w:lang w:val="sq-AL"/>
        </w:rPr>
        <w:t>,</w:t>
      </w:r>
      <w:r w:rsidRPr="00C83BC8">
        <w:rPr>
          <w:rFonts w:cs="Calibri"/>
          <w:i/>
          <w:lang w:val="sq-AL"/>
        </w:rPr>
        <w:t xml:space="preserve"> shërbime juridike për përfaqësim dhe mbrojtje</w:t>
      </w:r>
      <w:r>
        <w:rPr>
          <w:rFonts w:cs="Calibri"/>
          <w:i/>
          <w:lang w:val="sq-AL"/>
        </w:rPr>
        <w:t xml:space="preserve"> </w:t>
      </w:r>
      <w:r w:rsidRPr="00C83BC8">
        <w:rPr>
          <w:rFonts w:cs="Calibri"/>
          <w:i/>
          <w:lang w:val="sq-AL"/>
        </w:rPr>
        <w:t xml:space="preserve">për çështje </w:t>
      </w:r>
      <w:r>
        <w:rPr>
          <w:rFonts w:cs="Calibri"/>
          <w:i/>
          <w:lang w:val="sq-AL"/>
        </w:rPr>
        <w:t xml:space="preserve">të </w:t>
      </w:r>
      <w:r w:rsidRPr="00C83BC8">
        <w:rPr>
          <w:rFonts w:cs="Calibri"/>
          <w:i/>
          <w:lang w:val="sq-AL"/>
        </w:rPr>
        <w:t>arbitrazhit ndërkombëtar</w:t>
      </w:r>
      <w:r>
        <w:rPr>
          <w:rFonts w:cs="Calibri"/>
          <w:i/>
          <w:lang w:val="sq-AL"/>
        </w:rPr>
        <w:t>.</w:t>
      </w:r>
    </w:p>
    <w:p w:rsidR="00700EA3" w:rsidRPr="00C83BC8" w:rsidRDefault="00700EA3" w:rsidP="00C71069">
      <w:pPr>
        <w:pStyle w:val="ListParagraph"/>
        <w:numPr>
          <w:ilvl w:val="0"/>
          <w:numId w:val="35"/>
        </w:numPr>
        <w:spacing w:before="0"/>
        <w:rPr>
          <w:rFonts w:cs="Calibri"/>
          <w:i/>
          <w:lang w:val="sq-AL"/>
        </w:rPr>
      </w:pPr>
      <w:r w:rsidRPr="00C83BC8">
        <w:rPr>
          <w:rFonts w:cs="Calibri"/>
          <w:i/>
          <w:lang w:val="sq-AL"/>
        </w:rPr>
        <w:t>Rreth 11.4 milionë lekë Autoriteti Rrugor Shqiptar, për pagesën e shërbimeve juridike për përfaqësimin në procedurat e anullimit të një vendimi të arbitrazhit ndërkombëtar.</w:t>
      </w:r>
      <w:r w:rsidRPr="00491465">
        <w:rPr>
          <w:lang w:val="sq-AL"/>
        </w:rPr>
        <w:t xml:space="preserve"> </w:t>
      </w:r>
    </w:p>
    <w:p w:rsidR="00700EA3" w:rsidRPr="00300834" w:rsidRDefault="00700EA3" w:rsidP="00C71069">
      <w:pPr>
        <w:pStyle w:val="ListParagraph"/>
        <w:numPr>
          <w:ilvl w:val="0"/>
          <w:numId w:val="35"/>
        </w:numPr>
        <w:spacing w:before="0"/>
        <w:rPr>
          <w:rFonts w:cs="Calibri"/>
          <w:i/>
          <w:lang w:val="sq-AL"/>
        </w:rPr>
      </w:pPr>
      <w:r w:rsidRPr="00C83BC8">
        <w:rPr>
          <w:rFonts w:cs="Calibri"/>
          <w:i/>
          <w:lang w:val="sq-AL"/>
        </w:rPr>
        <w:t>Rreth 63.5 milion lekë Albpetrol Sh.a</w:t>
      </w:r>
      <w:r>
        <w:rPr>
          <w:rFonts w:cs="Calibri"/>
          <w:i/>
          <w:lang w:val="sq-AL"/>
        </w:rPr>
        <w:t xml:space="preserve">, </w:t>
      </w:r>
      <w:r w:rsidRPr="00C83BC8">
        <w:rPr>
          <w:rFonts w:cs="Calibri"/>
          <w:i/>
          <w:lang w:val="sq-AL"/>
        </w:rPr>
        <w:t>për pagesën e shpenzimeve gjyqësore</w:t>
      </w:r>
      <w:r>
        <w:rPr>
          <w:rFonts w:cs="Calibri"/>
          <w:i/>
          <w:lang w:val="sq-AL"/>
        </w:rPr>
        <w:t xml:space="preserve">, </w:t>
      </w:r>
      <w:r w:rsidRPr="00C83BC8">
        <w:rPr>
          <w:rFonts w:cs="Calibri"/>
          <w:i/>
          <w:lang w:val="sq-AL"/>
        </w:rPr>
        <w:t>kosto</w:t>
      </w:r>
      <w:r>
        <w:rPr>
          <w:rFonts w:cs="Calibri"/>
          <w:i/>
          <w:lang w:val="sq-AL"/>
        </w:rPr>
        <w:t>ve</w:t>
      </w:r>
      <w:r w:rsidRPr="00C83BC8">
        <w:rPr>
          <w:rFonts w:cs="Calibri"/>
          <w:i/>
          <w:lang w:val="sq-AL"/>
        </w:rPr>
        <w:t xml:space="preserve"> administrative/ligjore për përfaqësim dhe mbrojtje për çështje </w:t>
      </w:r>
      <w:r>
        <w:rPr>
          <w:rFonts w:cs="Calibri"/>
          <w:i/>
          <w:lang w:val="sq-AL"/>
        </w:rPr>
        <w:t xml:space="preserve">të </w:t>
      </w:r>
      <w:r w:rsidRPr="00C83BC8">
        <w:rPr>
          <w:rFonts w:cs="Calibri"/>
          <w:i/>
          <w:lang w:val="sq-AL"/>
        </w:rPr>
        <w:t>arbitrazhit ndërkombëtar</w:t>
      </w:r>
      <w:r>
        <w:rPr>
          <w:rFonts w:cs="Calibri"/>
          <w:i/>
          <w:lang w:val="sq-AL"/>
        </w:rPr>
        <w:t>.</w:t>
      </w:r>
    </w:p>
    <w:p w:rsidR="00341932" w:rsidRPr="00341932" w:rsidRDefault="00341932" w:rsidP="00341932">
      <w:pPr>
        <w:pStyle w:val="ListParagraph"/>
        <w:numPr>
          <w:ilvl w:val="0"/>
          <w:numId w:val="35"/>
        </w:numPr>
        <w:spacing w:before="0"/>
        <w:rPr>
          <w:rFonts w:cs="Calibri"/>
          <w:i/>
          <w:lang w:val="sq-AL"/>
        </w:rPr>
      </w:pPr>
      <w:r w:rsidRPr="00341932">
        <w:rPr>
          <w:rFonts w:cs="Calibri"/>
          <w:i/>
          <w:lang w:val="sq-AL"/>
        </w:rPr>
        <w:t>Rreth 140.1 milion lekë Albpetrol Sh.a, për pagesën e shpenzimeve gjyqësore, kostove administrative/ligjore për përfaqësim dhe mbrojtje për çështje të arbitrazhit ndërkombëtar.</w:t>
      </w:r>
    </w:p>
    <w:p w:rsidR="00700EA3" w:rsidRPr="00C83BC8" w:rsidRDefault="00700EA3" w:rsidP="00C71069">
      <w:pPr>
        <w:pStyle w:val="ListParagraph"/>
        <w:numPr>
          <w:ilvl w:val="0"/>
          <w:numId w:val="35"/>
        </w:numPr>
        <w:spacing w:before="0"/>
        <w:rPr>
          <w:rFonts w:cs="Calibri"/>
          <w:i/>
          <w:lang w:val="sq-AL"/>
        </w:rPr>
      </w:pPr>
      <w:r w:rsidRPr="00C83BC8">
        <w:rPr>
          <w:rFonts w:cs="Calibri"/>
          <w:i/>
          <w:lang w:val="sq-AL"/>
        </w:rPr>
        <w:t xml:space="preserve"> Rreth 31.75 milion lekë Agjencia Kombëtare e Burimeve Natyrore</w:t>
      </w:r>
      <w:r>
        <w:rPr>
          <w:rFonts w:cs="Calibri"/>
          <w:i/>
          <w:lang w:val="sq-AL"/>
        </w:rPr>
        <w:t>,</w:t>
      </w:r>
      <w:r w:rsidRPr="00C83BC8">
        <w:rPr>
          <w:rFonts w:cs="Calibri"/>
          <w:i/>
          <w:lang w:val="sq-AL"/>
        </w:rPr>
        <w:t xml:space="preserve"> për </w:t>
      </w:r>
      <w:r>
        <w:rPr>
          <w:rFonts w:cs="Calibri"/>
          <w:i/>
          <w:lang w:val="sq-AL"/>
        </w:rPr>
        <w:t xml:space="preserve">pagesën e </w:t>
      </w:r>
      <w:r w:rsidRPr="00C83BC8">
        <w:rPr>
          <w:rFonts w:cs="Calibri"/>
          <w:i/>
          <w:lang w:val="sq-AL"/>
        </w:rPr>
        <w:t>kosto</w:t>
      </w:r>
      <w:r>
        <w:rPr>
          <w:rFonts w:cs="Calibri"/>
          <w:i/>
          <w:lang w:val="sq-AL"/>
        </w:rPr>
        <w:t>ve</w:t>
      </w:r>
      <w:r w:rsidRPr="00C83BC8">
        <w:rPr>
          <w:rFonts w:cs="Calibri"/>
          <w:i/>
          <w:lang w:val="sq-AL"/>
        </w:rPr>
        <w:t xml:space="preserve"> ligjore për përfaqësim dhe mbrojtje për çështje </w:t>
      </w:r>
      <w:r>
        <w:rPr>
          <w:rFonts w:cs="Calibri"/>
          <w:i/>
          <w:lang w:val="sq-AL"/>
        </w:rPr>
        <w:t xml:space="preserve">të </w:t>
      </w:r>
      <w:r w:rsidRPr="00C83BC8">
        <w:rPr>
          <w:rFonts w:cs="Calibri"/>
          <w:i/>
          <w:lang w:val="sq-AL"/>
        </w:rPr>
        <w:t>arbitrazhit ndërkombëtar</w:t>
      </w:r>
      <w:r>
        <w:rPr>
          <w:rFonts w:cs="Calibri"/>
          <w:i/>
          <w:lang w:val="sq-AL"/>
        </w:rPr>
        <w:t>.</w:t>
      </w:r>
    </w:p>
    <w:p w:rsidR="00700EA3" w:rsidRPr="00341932" w:rsidRDefault="00700EA3" w:rsidP="00C71069">
      <w:pPr>
        <w:pStyle w:val="ListParagraph"/>
        <w:numPr>
          <w:ilvl w:val="0"/>
          <w:numId w:val="35"/>
        </w:numPr>
        <w:spacing w:before="0"/>
        <w:rPr>
          <w:rFonts w:asciiTheme="majorHAnsi" w:hAnsiTheme="majorHAnsi" w:cs="Calibri"/>
          <w:i/>
          <w:szCs w:val="22"/>
          <w:lang w:val="sq-AL"/>
        </w:rPr>
      </w:pPr>
      <w:r w:rsidRPr="005F189D">
        <w:rPr>
          <w:rFonts w:asciiTheme="majorHAnsi" w:hAnsiTheme="majorHAnsi" w:cs="Calibri"/>
          <w:i/>
          <w:szCs w:val="22"/>
          <w:lang w:val="sq-AL"/>
        </w:rPr>
        <w:t xml:space="preserve">Rreth 116.7 milionë lekë </w:t>
      </w:r>
      <w:r w:rsidRPr="005F189D">
        <w:rPr>
          <w:rFonts w:asciiTheme="majorHAnsi" w:eastAsia="SimSun" w:hAnsiTheme="majorHAnsi"/>
          <w:i/>
          <w:szCs w:val="22"/>
          <w:lang w:val="sq-AL"/>
        </w:rPr>
        <w:t xml:space="preserve">Autoriteti Portual Durrës, për konsulencë ligjore dhe financiare si dhe për kosto </w:t>
      </w:r>
      <w:r w:rsidRPr="00341932">
        <w:rPr>
          <w:rFonts w:asciiTheme="majorHAnsi" w:eastAsia="SimSun" w:hAnsiTheme="majorHAnsi"/>
          <w:i/>
          <w:szCs w:val="22"/>
          <w:lang w:val="sq-AL"/>
        </w:rPr>
        <w:t xml:space="preserve">administrative dhe ligjore </w:t>
      </w:r>
      <w:r w:rsidRPr="00341932">
        <w:rPr>
          <w:rFonts w:asciiTheme="majorHAnsi" w:hAnsiTheme="majorHAnsi" w:cs="Calibri"/>
          <w:i/>
          <w:szCs w:val="22"/>
          <w:lang w:val="sq-AL"/>
        </w:rPr>
        <w:t>për çështje të arbitrazhit ndërkombëtar.</w:t>
      </w:r>
    </w:p>
    <w:p w:rsidR="00700EA3" w:rsidRPr="00700EA3" w:rsidRDefault="00700EA3" w:rsidP="00004DA4">
      <w:pPr>
        <w:pStyle w:val="ListParagraph"/>
        <w:spacing w:before="0"/>
        <w:rPr>
          <w:rFonts w:cs="Calibri"/>
          <w:i/>
          <w:sz w:val="12"/>
          <w:lang w:val="sq-AL"/>
        </w:rPr>
      </w:pPr>
    </w:p>
    <w:p w:rsidR="00004DA4" w:rsidRDefault="00004DA4" w:rsidP="00004DA4">
      <w:pPr>
        <w:spacing w:before="0"/>
        <w:rPr>
          <w:rFonts w:eastAsia="Calibri"/>
          <w:lang w:val="sq-AL" w:eastAsia="sq-AL"/>
        </w:rPr>
      </w:pPr>
    </w:p>
    <w:p w:rsidR="00700EA3" w:rsidRDefault="00004DA4" w:rsidP="00004DA4">
      <w:pPr>
        <w:spacing w:before="0"/>
        <w:rPr>
          <w:rFonts w:eastAsia="Calibri"/>
          <w:lang w:val="sq-AL" w:eastAsia="sq-AL"/>
        </w:rPr>
      </w:pPr>
      <w:r>
        <w:rPr>
          <w:rFonts w:eastAsia="Calibri"/>
          <w:lang w:val="sq-AL" w:eastAsia="sq-AL"/>
        </w:rPr>
        <w:t>N</w:t>
      </w:r>
      <w:r w:rsidR="00700EA3" w:rsidRPr="00952F89">
        <w:rPr>
          <w:rFonts w:eastAsia="Calibri"/>
          <w:lang w:val="sq-AL" w:eastAsia="sq-AL"/>
        </w:rPr>
        <w:t xml:space="preserve">ë </w:t>
      </w:r>
      <w:r>
        <w:rPr>
          <w:rFonts w:eastAsia="Calibri"/>
          <w:lang w:val="sq-AL" w:eastAsia="sq-AL"/>
        </w:rPr>
        <w:t xml:space="preserve">vijim </w:t>
      </w:r>
      <w:r w:rsidR="00700EA3" w:rsidRPr="00952F89">
        <w:rPr>
          <w:rFonts w:eastAsia="Calibri"/>
          <w:lang w:val="sq-AL" w:eastAsia="sq-AL"/>
        </w:rPr>
        <w:t>paraqite</w:t>
      </w:r>
      <w:r w:rsidR="00700EA3">
        <w:rPr>
          <w:rFonts w:eastAsia="Calibri"/>
          <w:lang w:val="sq-AL" w:eastAsia="sq-AL"/>
        </w:rPr>
        <w:t>n</w:t>
      </w:r>
      <w:r w:rsidR="00700EA3" w:rsidRPr="00952F89">
        <w:rPr>
          <w:rFonts w:eastAsia="Calibri"/>
          <w:lang w:val="sq-AL" w:eastAsia="sq-AL"/>
        </w:rPr>
        <w:t xml:space="preserve"> </w:t>
      </w:r>
      <w:r w:rsidR="00700EA3">
        <w:rPr>
          <w:rFonts w:eastAsia="Calibri"/>
          <w:lang w:val="sq-AL" w:eastAsia="sq-AL"/>
        </w:rPr>
        <w:t xml:space="preserve">të dhënat </w:t>
      </w:r>
      <w:r w:rsidR="00700EA3" w:rsidRPr="00952F89">
        <w:rPr>
          <w:rFonts w:eastAsia="Calibri"/>
          <w:lang w:val="sq-AL" w:eastAsia="sq-AL"/>
        </w:rPr>
        <w:t xml:space="preserve">përmbledhëse </w:t>
      </w:r>
      <w:r w:rsidR="00700EA3">
        <w:rPr>
          <w:rFonts w:eastAsia="Calibri"/>
          <w:lang w:val="sq-AL" w:eastAsia="sq-AL"/>
        </w:rPr>
        <w:t>të</w:t>
      </w:r>
      <w:r w:rsidR="00700EA3" w:rsidRPr="00952F89">
        <w:rPr>
          <w:rFonts w:eastAsia="Calibri"/>
          <w:lang w:val="sq-AL" w:eastAsia="sq-AL"/>
        </w:rPr>
        <w:t xml:space="preserve"> detyrimeve për vendimet e Arbitrazhit Ndërkombëtar</w:t>
      </w:r>
      <w:r w:rsidR="00700EA3">
        <w:rPr>
          <w:rFonts w:eastAsia="Calibri"/>
          <w:lang w:val="sq-AL" w:eastAsia="sq-AL"/>
        </w:rPr>
        <w:t>:</w:t>
      </w:r>
    </w:p>
    <w:p w:rsidR="00700EA3" w:rsidRPr="00700EA3" w:rsidRDefault="00CD52E9" w:rsidP="00700EA3">
      <w:pPr>
        <w:pStyle w:val="Caption"/>
        <w:keepNext/>
        <w:spacing w:after="0" w:line="240" w:lineRule="auto"/>
        <w:rPr>
          <w:rFonts w:cs="Calibri"/>
        </w:rPr>
      </w:pPr>
      <w:bookmarkStart w:id="241" w:name="_Toc136526348"/>
      <w:r w:rsidRPr="0005367A">
        <w:rPr>
          <w:rFonts w:cs="Calibri"/>
        </w:rPr>
        <w:lastRenderedPageBreak/>
        <w:t xml:space="preserve">Tabela </w:t>
      </w:r>
      <w:r w:rsidRPr="0005367A">
        <w:rPr>
          <w:rFonts w:cs="Calibri"/>
        </w:rPr>
        <w:fldChar w:fldCharType="begin"/>
      </w:r>
      <w:r w:rsidRPr="0005367A">
        <w:rPr>
          <w:rFonts w:cs="Calibri"/>
        </w:rPr>
        <w:instrText xml:space="preserve"> SEQ Tabela \* ARABIC </w:instrText>
      </w:r>
      <w:r w:rsidRPr="0005367A">
        <w:rPr>
          <w:rFonts w:cs="Calibri"/>
        </w:rPr>
        <w:fldChar w:fldCharType="separate"/>
      </w:r>
      <w:r w:rsidR="008C3E07">
        <w:rPr>
          <w:rFonts w:cs="Calibri"/>
          <w:noProof/>
        </w:rPr>
        <w:t>22</w:t>
      </w:r>
      <w:r w:rsidRPr="0005367A">
        <w:rPr>
          <w:rFonts w:cs="Calibri"/>
        </w:rPr>
        <w:fldChar w:fldCharType="end"/>
      </w:r>
      <w:r w:rsidR="00700EA3" w:rsidRPr="00700EA3">
        <w:rPr>
          <w:rFonts w:cs="Calibri"/>
        </w:rPr>
        <w:t xml:space="preserve"> Detyrime për vendimet e Arbitrazhit Ndërkombëtar (në EUR)</w:t>
      </w:r>
      <w:bookmarkEnd w:id="241"/>
      <w:r w:rsidR="00700EA3" w:rsidRPr="00700EA3">
        <w:rPr>
          <w:rFonts w:cs="Calibri"/>
        </w:rPr>
        <w:t xml:space="preserve">                                                       </w:t>
      </w:r>
    </w:p>
    <w:p w:rsidR="00700EA3" w:rsidRDefault="00341932" w:rsidP="00700EA3">
      <w:pPr>
        <w:spacing w:before="0" w:line="240" w:lineRule="auto"/>
        <w:jc w:val="center"/>
        <w:rPr>
          <w:rFonts w:eastAsia="Calibri"/>
          <w:lang w:val="sq-AL" w:eastAsia="sq-AL"/>
        </w:rPr>
      </w:pPr>
      <w:r w:rsidRPr="002E0B3B">
        <w:rPr>
          <w:rFonts w:eastAsia="Calibri"/>
          <w:noProof/>
        </w:rPr>
        <w:drawing>
          <wp:inline distT="0" distB="0" distL="0" distR="0" wp14:anchorId="3DFC69E0" wp14:editId="17769038">
            <wp:extent cx="6636385" cy="65684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40076" cy="6572093"/>
                    </a:xfrm>
                    <a:prstGeom prst="rect">
                      <a:avLst/>
                    </a:prstGeom>
                    <a:noFill/>
                    <a:ln>
                      <a:noFill/>
                    </a:ln>
                  </pic:spPr>
                </pic:pic>
              </a:graphicData>
            </a:graphic>
          </wp:inline>
        </w:drawing>
      </w:r>
    </w:p>
    <w:p w:rsidR="004E5E8E" w:rsidRDefault="004E5E8E" w:rsidP="00700EA3">
      <w:pPr>
        <w:spacing w:before="0" w:line="240" w:lineRule="auto"/>
        <w:jc w:val="center"/>
        <w:rPr>
          <w:rFonts w:eastAsia="Calibri"/>
          <w:lang w:val="sq-AL" w:eastAsia="sq-AL"/>
        </w:rPr>
      </w:pPr>
    </w:p>
    <w:p w:rsidR="004E5E8E" w:rsidRDefault="004E5E8E" w:rsidP="00700EA3">
      <w:pPr>
        <w:spacing w:before="0" w:line="240" w:lineRule="auto"/>
        <w:jc w:val="center"/>
        <w:rPr>
          <w:rFonts w:eastAsia="Calibri"/>
          <w:lang w:val="sq-AL" w:eastAsia="sq-AL"/>
        </w:rPr>
      </w:pPr>
    </w:p>
    <w:p w:rsidR="004E5E8E" w:rsidRDefault="004E5E8E" w:rsidP="004E5E8E">
      <w:pPr>
        <w:ind w:left="2880" w:firstLine="720"/>
        <w:rPr>
          <w:rFonts w:eastAsia="SimSun" w:cs="Calibri"/>
          <w:b/>
          <w:sz w:val="28"/>
          <w:lang w:val="sq-AL"/>
        </w:rPr>
      </w:pPr>
      <w:r w:rsidRPr="00476D2E">
        <w:rPr>
          <w:rFonts w:eastAsia="SimSun" w:cs="Calibri"/>
          <w:b/>
          <w:sz w:val="28"/>
          <w:lang w:val="sq-AL"/>
        </w:rPr>
        <w:t>MINISTRI I FINANCAVE DHE EKONOMISË</w:t>
      </w:r>
    </w:p>
    <w:p w:rsidR="004E5E8E" w:rsidRPr="004E5E8E" w:rsidRDefault="004E5E8E" w:rsidP="004E5E8E">
      <w:pPr>
        <w:ind w:left="3600" w:firstLine="720"/>
        <w:rPr>
          <w:rFonts w:eastAsia="SimSun" w:cs="Calibri"/>
          <w:b/>
          <w:sz w:val="4"/>
          <w:lang w:val="sq-AL"/>
        </w:rPr>
      </w:pPr>
    </w:p>
    <w:p w:rsidR="004E5E8E" w:rsidRPr="00001FA5" w:rsidRDefault="004E5E8E" w:rsidP="004E5E8E">
      <w:pPr>
        <w:ind w:left="3600" w:firstLine="720"/>
        <w:rPr>
          <w:rFonts w:eastAsia="SimSun" w:cs="Calibri"/>
          <w:sz w:val="18"/>
          <w:lang w:val="sq-AL"/>
        </w:rPr>
      </w:pPr>
      <w:r>
        <w:rPr>
          <w:rFonts w:eastAsia="SimSun" w:cs="Calibri"/>
          <w:b/>
          <w:sz w:val="28"/>
          <w:lang w:val="sq-AL"/>
        </w:rPr>
        <w:t xml:space="preserve">      DELINA IBRAHIMAJ</w:t>
      </w:r>
    </w:p>
    <w:p w:rsidR="004E5E8E" w:rsidRDefault="004E5E8E" w:rsidP="004E5E8E">
      <w:pPr>
        <w:spacing w:before="0" w:line="240" w:lineRule="auto"/>
        <w:rPr>
          <w:rFonts w:ascii="Times New Roman" w:hAnsi="Times New Roman"/>
          <w:i/>
          <w:sz w:val="16"/>
          <w:szCs w:val="18"/>
          <w:lang w:val="it-IT" w:eastAsia="it-IT"/>
        </w:rPr>
      </w:pPr>
    </w:p>
    <w:p w:rsidR="004E5E8E" w:rsidRDefault="004E5E8E" w:rsidP="004E5E8E">
      <w:pPr>
        <w:spacing w:before="0" w:line="240" w:lineRule="auto"/>
        <w:rPr>
          <w:rFonts w:ascii="Times New Roman" w:hAnsi="Times New Roman"/>
          <w:i/>
          <w:sz w:val="16"/>
          <w:szCs w:val="18"/>
          <w:lang w:val="it-IT" w:eastAsia="it-IT"/>
        </w:rPr>
      </w:pPr>
    </w:p>
    <w:p w:rsidR="004E5E8E" w:rsidRPr="00F55284" w:rsidRDefault="004E5E8E" w:rsidP="004E5E8E">
      <w:pPr>
        <w:spacing w:before="0" w:line="240" w:lineRule="auto"/>
        <w:rPr>
          <w:rFonts w:ascii="Times New Roman" w:hAnsi="Times New Roman"/>
          <w:color w:val="FFFFFF" w:themeColor="background1"/>
          <w:sz w:val="16"/>
          <w:szCs w:val="18"/>
          <w:lang w:val="it-IT" w:eastAsia="it-IT"/>
        </w:rPr>
      </w:pPr>
      <w:r w:rsidRPr="00F55284">
        <w:rPr>
          <w:rFonts w:ascii="Times New Roman" w:hAnsi="Times New Roman"/>
          <w:i/>
          <w:color w:val="FFFFFF" w:themeColor="background1"/>
          <w:sz w:val="16"/>
          <w:szCs w:val="18"/>
          <w:lang w:val="it-IT" w:eastAsia="it-IT"/>
        </w:rPr>
        <w:t>Pranoi:</w:t>
      </w:r>
      <w:r w:rsidRPr="00F55284">
        <w:rPr>
          <w:rFonts w:ascii="Times New Roman" w:hAnsi="Times New Roman"/>
          <w:i/>
          <w:color w:val="FFFFFF" w:themeColor="background1"/>
          <w:sz w:val="16"/>
          <w:szCs w:val="18"/>
          <w:lang w:val="it-IT" w:eastAsia="it-IT"/>
        </w:rPr>
        <w:tab/>
        <w:t xml:space="preserve"> </w:t>
      </w:r>
      <w:r w:rsidRPr="00F55284">
        <w:rPr>
          <w:rFonts w:ascii="Times New Roman" w:hAnsi="Times New Roman"/>
          <w:i/>
          <w:color w:val="FFFFFF" w:themeColor="background1"/>
          <w:sz w:val="16"/>
          <w:szCs w:val="18"/>
          <w:lang w:val="it-IT" w:eastAsia="it-IT"/>
        </w:rPr>
        <w:tab/>
      </w:r>
      <w:r w:rsidRPr="00F55284">
        <w:rPr>
          <w:rFonts w:ascii="Times New Roman" w:hAnsi="Times New Roman"/>
          <w:color w:val="FFFFFF" w:themeColor="background1"/>
          <w:sz w:val="16"/>
          <w:szCs w:val="18"/>
          <w:lang w:val="it-IT" w:eastAsia="it-IT"/>
        </w:rPr>
        <w:t>Xh.Agolli, E.Lami, M.Peço, F.Brahimi, E.Llazi, D.Fino</w:t>
      </w:r>
    </w:p>
    <w:p w:rsidR="004E5E8E" w:rsidRPr="00F55284" w:rsidRDefault="004E5E8E" w:rsidP="004E5E8E">
      <w:pPr>
        <w:spacing w:before="0" w:line="240" w:lineRule="auto"/>
        <w:rPr>
          <w:rFonts w:ascii="Times New Roman" w:hAnsi="Times New Roman"/>
          <w:color w:val="FFFFFF" w:themeColor="background1"/>
          <w:sz w:val="16"/>
          <w:szCs w:val="18"/>
          <w:lang w:val="it-IT" w:eastAsia="it-IT"/>
        </w:rPr>
      </w:pPr>
      <w:r w:rsidRPr="00F55284">
        <w:rPr>
          <w:rFonts w:ascii="Times New Roman" w:hAnsi="Times New Roman"/>
          <w:i/>
          <w:color w:val="FFFFFF" w:themeColor="background1"/>
          <w:sz w:val="16"/>
          <w:szCs w:val="18"/>
          <w:lang w:val="it-IT" w:eastAsia="it-IT"/>
        </w:rPr>
        <w:t>Miratoi:</w:t>
      </w:r>
      <w:r w:rsidRPr="00F55284">
        <w:rPr>
          <w:rFonts w:ascii="Times New Roman" w:hAnsi="Times New Roman"/>
          <w:i/>
          <w:color w:val="FFFFFF" w:themeColor="background1"/>
          <w:sz w:val="16"/>
          <w:szCs w:val="18"/>
          <w:lang w:val="it-IT" w:eastAsia="it-IT"/>
        </w:rPr>
        <w:tab/>
      </w:r>
      <w:r w:rsidRPr="00F55284">
        <w:rPr>
          <w:rFonts w:ascii="Times New Roman" w:hAnsi="Times New Roman"/>
          <w:i/>
          <w:color w:val="FFFFFF" w:themeColor="background1"/>
          <w:sz w:val="16"/>
          <w:szCs w:val="18"/>
          <w:lang w:val="it-IT" w:eastAsia="it-IT"/>
        </w:rPr>
        <w:tab/>
      </w:r>
      <w:r w:rsidRPr="00F55284">
        <w:rPr>
          <w:rFonts w:ascii="Times New Roman" w:hAnsi="Times New Roman"/>
          <w:color w:val="FFFFFF" w:themeColor="background1"/>
          <w:sz w:val="16"/>
          <w:szCs w:val="18"/>
          <w:lang w:val="it-IT" w:eastAsia="it-IT"/>
        </w:rPr>
        <w:t>M.Dhëmbi, N.Lera, A.Velo, E.Angjeli</w:t>
      </w:r>
    </w:p>
    <w:p w:rsidR="004E5E8E" w:rsidRPr="00F55284" w:rsidRDefault="004E5E8E" w:rsidP="004E5E8E">
      <w:pPr>
        <w:spacing w:before="0" w:line="240" w:lineRule="auto"/>
        <w:rPr>
          <w:rFonts w:ascii="Times New Roman" w:hAnsi="Times New Roman"/>
          <w:color w:val="FFFFFF" w:themeColor="background1"/>
        </w:rPr>
      </w:pPr>
      <w:r w:rsidRPr="00F55284">
        <w:rPr>
          <w:rFonts w:ascii="Times New Roman" w:hAnsi="Times New Roman"/>
          <w:i/>
          <w:color w:val="FFFFFF" w:themeColor="background1"/>
          <w:sz w:val="16"/>
          <w:szCs w:val="18"/>
          <w:lang w:val="it-IT" w:eastAsia="it-IT"/>
        </w:rPr>
        <w:t>Konfirmoi:</w:t>
      </w:r>
      <w:r w:rsidRPr="00F55284">
        <w:rPr>
          <w:rFonts w:ascii="Times New Roman" w:hAnsi="Times New Roman"/>
          <w:i/>
          <w:color w:val="FFFFFF" w:themeColor="background1"/>
          <w:sz w:val="16"/>
          <w:szCs w:val="18"/>
          <w:lang w:val="it-IT" w:eastAsia="it-IT"/>
        </w:rPr>
        <w:tab/>
      </w:r>
      <w:r w:rsidRPr="00F55284">
        <w:rPr>
          <w:rFonts w:ascii="Times New Roman" w:hAnsi="Times New Roman"/>
          <w:i/>
          <w:color w:val="FFFFFF" w:themeColor="background1"/>
          <w:sz w:val="16"/>
          <w:szCs w:val="18"/>
          <w:lang w:val="it-IT" w:eastAsia="it-IT"/>
        </w:rPr>
        <w:tab/>
      </w:r>
      <w:r w:rsidRPr="00F55284">
        <w:rPr>
          <w:rFonts w:ascii="Times New Roman" w:hAnsi="Times New Roman"/>
          <w:color w:val="FFFFFF" w:themeColor="background1"/>
          <w:sz w:val="16"/>
          <w:szCs w:val="18"/>
          <w:lang w:val="it-IT" w:eastAsia="it-IT"/>
        </w:rPr>
        <w:t>R.Xhaja, A.Xhemali</w:t>
      </w:r>
      <w:r w:rsidRPr="00F55284">
        <w:rPr>
          <w:rFonts w:ascii="Times New Roman" w:hAnsi="Times New Roman"/>
          <w:i/>
          <w:color w:val="FFFFFF" w:themeColor="background1"/>
          <w:sz w:val="16"/>
          <w:szCs w:val="18"/>
          <w:lang w:val="it-IT" w:eastAsia="it-IT"/>
        </w:rPr>
        <w:tab/>
      </w:r>
    </w:p>
    <w:p w:rsidR="00777EB2" w:rsidRPr="00476D2E" w:rsidRDefault="00083EB3" w:rsidP="000D25D8">
      <w:pPr>
        <w:pStyle w:val="Fiskale1"/>
        <w:spacing w:after="240" w:line="240" w:lineRule="auto"/>
        <w:rPr>
          <w:rFonts w:ascii="Calibri" w:hAnsi="Calibri" w:cs="Calibri"/>
        </w:rPr>
      </w:pPr>
      <w:r w:rsidRPr="00476D2E">
        <w:rPr>
          <w:rFonts w:ascii="Calibri" w:hAnsi="Calibri" w:cs="Calibri"/>
        </w:rPr>
        <w:lastRenderedPageBreak/>
        <w:t>SHTOJCAT</w:t>
      </w:r>
      <w:bookmarkStart w:id="242" w:name="_Toc10033289"/>
      <w:bookmarkStart w:id="243" w:name="_Toc10721426"/>
      <w:bookmarkEnd w:id="238"/>
      <w:bookmarkEnd w:id="239"/>
      <w:bookmarkEnd w:id="240"/>
    </w:p>
    <w:p w:rsidR="00A94670" w:rsidRPr="003D1D3B" w:rsidRDefault="00A94670" w:rsidP="00FC729E">
      <w:pPr>
        <w:pStyle w:val="Fiskale2"/>
        <w:rPr>
          <w:rFonts w:ascii="Calibri" w:hAnsi="Calibri" w:cs="Calibri"/>
        </w:rPr>
      </w:pPr>
      <w:bookmarkStart w:id="244" w:name="_Toc104980357"/>
      <w:r w:rsidRPr="003D1D3B">
        <w:rPr>
          <w:rFonts w:ascii="Calibri" w:hAnsi="Calibri" w:cs="Calibri"/>
        </w:rPr>
        <w:t>Shtojca</w:t>
      </w:r>
      <w:r w:rsidR="00DC2B59" w:rsidRPr="003D1D3B">
        <w:rPr>
          <w:rFonts w:ascii="Calibri" w:hAnsi="Calibri" w:cs="Calibri"/>
        </w:rPr>
        <w:t xml:space="preserve"> 1 - Zbatimi dhe monitorimi i parimeve dhe rregullave fiskale</w:t>
      </w:r>
      <w:bookmarkEnd w:id="242"/>
      <w:bookmarkEnd w:id="243"/>
      <w:bookmarkEnd w:id="244"/>
    </w:p>
    <w:p w:rsidR="00751B54" w:rsidRPr="005C109B" w:rsidRDefault="00751B54" w:rsidP="00F1746C">
      <w:pPr>
        <w:spacing w:line="240" w:lineRule="auto"/>
        <w:rPr>
          <w:rFonts w:cs="Calibri"/>
          <w:lang w:val="sq-AL"/>
        </w:rPr>
      </w:pPr>
      <w:r w:rsidRPr="005C109B">
        <w:rPr>
          <w:rFonts w:cs="Calibri"/>
          <w:lang w:val="sq-AL"/>
        </w:rPr>
        <w:t>Ligji Nr.57 datë 02.06.2016 “Për disa ndryshime dhe shtesa në ligjin Nr.9936, datë 26.06.2008 “Për menaxhimin e sistemit buxhetor në Republikën e Shqipërisë, të ndryshuar” (referuar në vijim si Ligji Organik i Buxhetit - LOB), në nenin 4/1 sanksionon disa parime dhe rregulla fiskale për mirëmenaxhimin e financave publike në Shqipëri. Ky seksion paraqet zbatueshmërinë e këtyre parimeve dhe rregullave fiskale përgjatë vitit 202</w:t>
      </w:r>
      <w:r w:rsidR="00974A19">
        <w:rPr>
          <w:rFonts w:cs="Calibri"/>
          <w:lang w:val="sq-AL"/>
        </w:rPr>
        <w:t>2</w:t>
      </w:r>
      <w:r w:rsidRPr="005C109B">
        <w:rPr>
          <w:rFonts w:cs="Calibri"/>
          <w:lang w:val="sq-AL"/>
        </w:rPr>
        <w:t>.</w:t>
      </w:r>
    </w:p>
    <w:p w:rsidR="00654365" w:rsidRPr="00476D2E" w:rsidRDefault="00654365" w:rsidP="000D25D8">
      <w:pPr>
        <w:spacing w:line="240" w:lineRule="auto"/>
        <w:ind w:firstLine="720"/>
        <w:rPr>
          <w:rFonts w:cs="Calibri"/>
          <w:b/>
          <w:i/>
          <w:lang w:val="sq-AL"/>
        </w:rPr>
      </w:pPr>
      <w:r w:rsidRPr="00476D2E">
        <w:rPr>
          <w:rFonts w:cs="Calibri"/>
          <w:b/>
          <w:i/>
          <w:lang w:val="sq-AL"/>
        </w:rPr>
        <w:t>Përcaktimi ligjor (1):</w:t>
      </w:r>
    </w:p>
    <w:p w:rsidR="00751B54" w:rsidRPr="005C109B" w:rsidRDefault="00751B54" w:rsidP="00F35311">
      <w:pPr>
        <w:spacing w:before="0" w:after="120" w:line="240" w:lineRule="auto"/>
        <w:rPr>
          <w:rFonts w:cs="Calibri"/>
          <w:lang w:val="sq-AL"/>
        </w:rPr>
      </w:pPr>
      <w:r w:rsidRPr="005C109B">
        <w:rPr>
          <w:rFonts w:cs="Calibri"/>
          <w:lang w:val="sq-AL"/>
        </w:rPr>
        <w:t xml:space="preserve">Neni 4/1, pika (1.a) i LOB sanksionon që në çdo ligj vjetor të buxhetit, fillestar apo të rishikuar, si dhe në planifikimet e buxhetit afatmesëm, raporti i borxhit publik ndaj Produktit të Brendshëm Bruto do të planifikohet më i ulët se niveli i vlerësuar për vitin pararendës, deri atëherë kur niveli i borxhit të arrijë dhe qendrojë poshtë nivelit 45 </w:t>
      </w:r>
      <w:r w:rsidR="008136C0">
        <w:rPr>
          <w:rFonts w:cs="Calibri"/>
          <w:lang w:val="sq-AL"/>
        </w:rPr>
        <w:t>%</w:t>
      </w:r>
      <w:r w:rsidRPr="005C109B">
        <w:rPr>
          <w:rFonts w:cs="Calibri"/>
          <w:lang w:val="sq-AL"/>
        </w:rPr>
        <w:t xml:space="preserve"> të Produktit të Brendshëm Bruto.</w:t>
      </w:r>
    </w:p>
    <w:p w:rsidR="00751B54" w:rsidRPr="005C109B" w:rsidRDefault="00751B54" w:rsidP="00F1746C">
      <w:pPr>
        <w:spacing w:line="240" w:lineRule="auto"/>
        <w:ind w:firstLine="720"/>
        <w:rPr>
          <w:rFonts w:cs="Calibri"/>
          <w:i/>
          <w:lang w:val="sq-AL"/>
        </w:rPr>
      </w:pPr>
      <w:r w:rsidRPr="005C109B">
        <w:rPr>
          <w:rFonts w:cs="Calibri"/>
          <w:i/>
          <w:lang w:val="sq-AL"/>
        </w:rPr>
        <w:t>Zbatimi i ligjit (1):</w:t>
      </w:r>
    </w:p>
    <w:p w:rsidR="00751B54" w:rsidRPr="005C109B" w:rsidRDefault="00974A19" w:rsidP="00F1746C">
      <w:pPr>
        <w:spacing w:before="0" w:line="240" w:lineRule="auto"/>
        <w:rPr>
          <w:rFonts w:cs="Calibri"/>
          <w:lang w:val="sq-AL"/>
        </w:rPr>
      </w:pPr>
      <w:r w:rsidRPr="001438E8">
        <w:rPr>
          <w:rFonts w:cs="Calibri"/>
          <w:lang w:val="sq-AL"/>
        </w:rPr>
        <w:t>Ligji fillestar i buxhetit vjetor 2022 (Ligj nr. 115,2021, dt. 25.11.2021) ka qenë në përputhje të plotë me këtë përcaktim ligjor. Më specifikisht, raporti i borxhit ndaj PBB për vitin 2021, i vlerësuar në kohën e hartimit dhe miratimit të ligjit fillestar të buxhetit vjetor 2021, ishte 80.1% e PBB. Ndërsa niveli i borxhit që planifikohej në ligjin fillestar të vitit 2022 ishte 78.8% e PBB, pra më i ulët se sa niveli i vlerësuar për vitin 2021</w:t>
      </w:r>
      <w:r w:rsidR="00751B54" w:rsidRPr="005C109B">
        <w:rPr>
          <w:rFonts w:cs="Calibri"/>
          <w:lang w:val="sq-AL"/>
        </w:rPr>
        <w:t>.</w:t>
      </w:r>
    </w:p>
    <w:p w:rsidR="00751B54" w:rsidRPr="00F1746C" w:rsidRDefault="00751B54" w:rsidP="002903DC">
      <w:pPr>
        <w:spacing w:before="0" w:line="240" w:lineRule="auto"/>
        <w:rPr>
          <w:rFonts w:cs="Calibri"/>
          <w:i/>
          <w:sz w:val="18"/>
          <w:szCs w:val="18"/>
          <w:lang w:val="sq-AL"/>
        </w:rPr>
      </w:pPr>
      <w:r w:rsidRPr="00F1746C">
        <w:rPr>
          <w:rFonts w:cs="Calibri"/>
          <w:b/>
          <w:bCs/>
          <w:i/>
          <w:sz w:val="18"/>
          <w:szCs w:val="18"/>
          <w:u w:val="single"/>
          <w:lang w:val="sq-AL"/>
        </w:rPr>
        <w:t>Shënim</w:t>
      </w:r>
      <w:r w:rsidRPr="00F1746C">
        <w:rPr>
          <w:rFonts w:cs="Calibri"/>
          <w:i/>
          <w:sz w:val="18"/>
          <w:szCs w:val="18"/>
          <w:lang w:val="sq-AL"/>
        </w:rPr>
        <w:t>:</w:t>
      </w:r>
      <w:r w:rsidRPr="00F1746C">
        <w:rPr>
          <w:rFonts w:cs="Calibri"/>
          <w:sz w:val="18"/>
          <w:szCs w:val="18"/>
          <w:lang w:val="sq-AL"/>
        </w:rPr>
        <w:t xml:space="preserve"> </w:t>
      </w:r>
      <w:r w:rsidR="00974A19" w:rsidRPr="00F1746C">
        <w:rPr>
          <w:rFonts w:cs="Calibri"/>
          <w:i/>
          <w:sz w:val="18"/>
          <w:szCs w:val="18"/>
          <w:lang w:val="sq-AL"/>
        </w:rPr>
        <w:t>Niveli i borxhit faktik i rezultuar në fund të 2022 nuk është relevant për sa i përket zbatueshmërisë ligjore të këtij neni/pike të LOB. Ky nen sanksionon vetëm nivelin e planifikuar të borxhit për 2022 dhe jo atë të rezultuar faktikisht në fund të vitit. Niveli faktik i rezultuar në fund të vitit është informues mbi efektshmërinë e LOB sa i takon uljes faktike të borxhit, por nuk është relevant sa i takon zbatueshmërisë/përputhshmërisë me ligjin</w:t>
      </w:r>
      <w:r w:rsidRPr="00F1746C">
        <w:rPr>
          <w:rFonts w:cs="Calibri"/>
          <w:i/>
          <w:sz w:val="18"/>
          <w:szCs w:val="18"/>
          <w:lang w:val="sq-AL"/>
        </w:rPr>
        <w:t>.</w:t>
      </w:r>
    </w:p>
    <w:p w:rsidR="00654365" w:rsidRDefault="000D25D8" w:rsidP="000D25D8">
      <w:pPr>
        <w:pStyle w:val="ListParagraph"/>
        <w:spacing w:before="0" w:after="120" w:line="240" w:lineRule="auto"/>
        <w:ind w:left="0"/>
        <w:contextualSpacing w:val="0"/>
        <w:rPr>
          <w:rFonts w:cs="Calibri"/>
          <w:lang w:val="sq-AL"/>
        </w:rPr>
      </w:pPr>
      <w:r w:rsidRPr="001438E8">
        <w:rPr>
          <w:rFonts w:cs="Calibri"/>
          <w:lang w:val="sq-AL"/>
        </w:rPr>
        <w:t xml:space="preserve">Sa i takon vlerësimit të borxhit faktik gjatë vitit 2022 (sipas shifrave të disponueshme deri në momentin e hartimit të këtij raporti) rezulton 64.6% e PBB. Kjo konsiston në një </w:t>
      </w:r>
      <w:r w:rsidRPr="000D25D8">
        <w:rPr>
          <w:rFonts w:cs="Calibri"/>
          <w:lang w:val="sq-AL"/>
        </w:rPr>
        <w:t>rënie prej 9.9 pikë</w:t>
      </w:r>
      <w:r w:rsidRPr="001438E8">
        <w:rPr>
          <w:rFonts w:cs="Calibri"/>
          <w:lang w:val="sq-AL"/>
        </w:rPr>
        <w:t xml:space="preserve"> </w:t>
      </w:r>
      <w:r>
        <w:rPr>
          <w:rFonts w:cs="Calibri"/>
          <w:lang w:val="sq-AL"/>
        </w:rPr>
        <w:t>%</w:t>
      </w:r>
      <w:r w:rsidRPr="001438E8">
        <w:rPr>
          <w:rFonts w:cs="Calibri"/>
          <w:lang w:val="sq-AL"/>
        </w:rPr>
        <w:t>je të borxhit publik total nga niveli faktik prej 74.5% që ishte në 2021</w:t>
      </w:r>
      <w:r w:rsidRPr="00996998">
        <w:rPr>
          <w:rFonts w:cs="Calibri"/>
          <w:lang w:val="sq-AL"/>
        </w:rPr>
        <w:t xml:space="preserve">. Ndёrsa, nёse nё konsideratё do merrej treguesi i borxhit publik total </w:t>
      </w:r>
      <w:r w:rsidRPr="00996998">
        <w:rPr>
          <w:rFonts w:cs="Calibri"/>
          <w:i/>
          <w:lang w:val="sq-AL"/>
        </w:rPr>
        <w:t>neto</w:t>
      </w:r>
      <w:r w:rsidRPr="00996998">
        <w:rPr>
          <w:rFonts w:cs="Calibri"/>
          <w:lang w:val="sq-AL"/>
        </w:rPr>
        <w:t xml:space="preserve"> nga gjendja e depozitёs sё qeverisё nё Bankёn e Shqipёrisё (Llogarisё unike tё thesarit), atёherё rënia e borxhit sipas kёtij treguesi (borxhi neto) rezulton me 6.7 pikё pёrqindje, nga 70.6% nё 2021, nё 63.9% nё 2022</w:t>
      </w:r>
      <w:r w:rsidR="00654365" w:rsidRPr="002903DC">
        <w:rPr>
          <w:rFonts w:cs="Calibri"/>
          <w:lang w:val="sq-AL"/>
        </w:rPr>
        <w:t>.</w:t>
      </w:r>
    </w:p>
    <w:p w:rsidR="00654365" w:rsidRPr="00476D2E" w:rsidRDefault="00654365" w:rsidP="000D25D8">
      <w:pPr>
        <w:pStyle w:val="ListParagraph"/>
        <w:spacing w:line="240" w:lineRule="auto"/>
        <w:ind w:left="0" w:firstLine="720"/>
        <w:contextualSpacing w:val="0"/>
        <w:rPr>
          <w:rFonts w:cs="Calibri"/>
          <w:b/>
          <w:i/>
          <w:lang w:val="sq-AL"/>
        </w:rPr>
      </w:pPr>
      <w:r w:rsidRPr="00476D2E">
        <w:rPr>
          <w:rFonts w:cs="Calibri"/>
          <w:b/>
          <w:i/>
          <w:lang w:val="sq-AL"/>
        </w:rPr>
        <w:t>Përcaktimi ligjor (2):</w:t>
      </w:r>
    </w:p>
    <w:p w:rsidR="00751B54" w:rsidRPr="005C109B" w:rsidRDefault="00751B54" w:rsidP="00F35311">
      <w:pPr>
        <w:spacing w:before="0" w:after="120" w:line="240" w:lineRule="auto"/>
        <w:rPr>
          <w:rFonts w:cs="Calibri"/>
          <w:lang w:val="sq-AL"/>
        </w:rPr>
      </w:pPr>
      <w:r w:rsidRPr="005C109B">
        <w:rPr>
          <w:rFonts w:cs="Calibri"/>
          <w:lang w:val="sq-AL"/>
        </w:rPr>
        <w:t>Neni 4/1, pika (1.b) i LOB përcakton që përjashtim nga sanksionet e pikës së mësipërme të këtij neni (pikës ''a'') mund të bëhet vetëm në rastet e rrethanave të jashtëzakonshme, të përcaktuara në nenin 4/4 të këtij LOB.</w:t>
      </w:r>
    </w:p>
    <w:p w:rsidR="00751B54" w:rsidRPr="005C109B" w:rsidRDefault="00751B54" w:rsidP="00F1746C">
      <w:pPr>
        <w:spacing w:line="240" w:lineRule="auto"/>
        <w:ind w:firstLine="720"/>
        <w:contextualSpacing/>
        <w:rPr>
          <w:rFonts w:cs="Calibri"/>
          <w:i/>
          <w:lang w:val="sq-AL"/>
        </w:rPr>
      </w:pPr>
      <w:r w:rsidRPr="005C109B">
        <w:rPr>
          <w:rFonts w:cs="Calibri"/>
          <w:i/>
          <w:lang w:val="sq-AL"/>
        </w:rPr>
        <w:t>Zbatimi i ligjit (2):</w:t>
      </w:r>
    </w:p>
    <w:p w:rsidR="00F34DE2" w:rsidRDefault="00751B54" w:rsidP="00F1746C">
      <w:pPr>
        <w:pStyle w:val="ListParagraph"/>
        <w:spacing w:before="0" w:after="120" w:line="240" w:lineRule="auto"/>
        <w:ind w:left="0"/>
        <w:contextualSpacing w:val="0"/>
        <w:rPr>
          <w:rFonts w:cs="Calibri"/>
          <w:lang w:val="sq-AL"/>
        </w:rPr>
      </w:pPr>
      <w:r w:rsidRPr="005C109B">
        <w:rPr>
          <w:rFonts w:cs="Calibri"/>
          <w:lang w:val="sq-AL"/>
        </w:rPr>
        <w:t>Gjatë vitit 202</w:t>
      </w:r>
      <w:r w:rsidR="00F34DE2">
        <w:rPr>
          <w:rFonts w:cs="Calibri"/>
          <w:lang w:val="sq-AL"/>
        </w:rPr>
        <w:t>2</w:t>
      </w:r>
      <w:r w:rsidRPr="005C109B">
        <w:rPr>
          <w:rFonts w:cs="Calibri"/>
          <w:lang w:val="sq-AL"/>
        </w:rPr>
        <w:t xml:space="preserve"> nuk ka qenë rasti i aplikimit të kësaj klauzole përjashtuese</w:t>
      </w:r>
      <w:r w:rsidR="00654365" w:rsidRPr="00476D2E">
        <w:rPr>
          <w:rFonts w:cs="Calibri"/>
          <w:lang w:val="sq-AL"/>
        </w:rPr>
        <w:t>.</w:t>
      </w:r>
    </w:p>
    <w:p w:rsidR="00654365" w:rsidRPr="00476D2E" w:rsidRDefault="00654365" w:rsidP="000D25D8">
      <w:pPr>
        <w:pStyle w:val="ListParagraph"/>
        <w:spacing w:line="240" w:lineRule="auto"/>
        <w:ind w:left="0" w:firstLine="720"/>
        <w:contextualSpacing w:val="0"/>
        <w:rPr>
          <w:rFonts w:cs="Calibri"/>
          <w:b/>
          <w:i/>
          <w:lang w:val="sq-AL"/>
        </w:rPr>
      </w:pPr>
      <w:r w:rsidRPr="00476D2E">
        <w:rPr>
          <w:rFonts w:cs="Calibri"/>
          <w:b/>
          <w:i/>
          <w:lang w:val="sq-AL"/>
        </w:rPr>
        <w:t>Përcaktimi ligjor (3):</w:t>
      </w:r>
    </w:p>
    <w:p w:rsidR="00751B54" w:rsidRPr="005C109B" w:rsidRDefault="00751B54" w:rsidP="00F35311">
      <w:pPr>
        <w:spacing w:before="0" w:after="120" w:line="240" w:lineRule="auto"/>
        <w:rPr>
          <w:rFonts w:cs="Calibri"/>
          <w:color w:val="7CCA62"/>
          <w:lang w:val="sq-AL"/>
        </w:rPr>
      </w:pPr>
      <w:r w:rsidRPr="005C109B">
        <w:rPr>
          <w:rFonts w:cs="Calibri"/>
          <w:lang w:val="sq-AL"/>
        </w:rPr>
        <w:t>Neni 4/1, pika (1.c) i LOB sanksionon që vlera e Produktit të Brendshëm Bruto, nominale në lekë, e cila do të përdoret për llogaritjen e raportit të borxhit publik ndaj Produktit të Brendshëm Bruto për vitet buxhetore që planifikohen dhe vitin pararendës, nuk mund të jetë më e lartë se vlera respektive e parashikuar ose vlerësuar në raportin “</w:t>
      </w:r>
      <w:r w:rsidRPr="00F34DE2">
        <w:rPr>
          <w:rFonts w:cs="Calibri"/>
          <w:lang w:val="sq-AL"/>
        </w:rPr>
        <w:t>Perspektiva Ekonomike Botërore</w:t>
      </w:r>
      <w:r w:rsidRPr="005C109B">
        <w:rPr>
          <w:rFonts w:cs="Calibri"/>
          <w:lang w:val="sq-AL"/>
        </w:rPr>
        <w:t>” (</w:t>
      </w:r>
      <w:r w:rsidR="00D65C9E">
        <w:rPr>
          <w:rFonts w:cs="Calibri"/>
          <w:i/>
          <w:sz w:val="20"/>
          <w:lang w:val="sq-AL"/>
        </w:rPr>
        <w:t>Ë</w:t>
      </w:r>
      <w:r w:rsidRPr="00F34DE2">
        <w:rPr>
          <w:rFonts w:cs="Calibri"/>
          <w:i/>
          <w:sz w:val="20"/>
          <w:lang w:val="sq-AL"/>
        </w:rPr>
        <w:t>orld Economic Outlook</w:t>
      </w:r>
      <w:r w:rsidRPr="005C109B">
        <w:rPr>
          <w:rFonts w:cs="Calibri"/>
          <w:lang w:val="sq-AL"/>
        </w:rPr>
        <w:t>) të Fondit Monetar Ndërkombëtar më i fundit i publikuar në kohën kur ligji vjetor i buxhetit dorëzohet për miratim në Kuvend. Kjo dokumentohet qartësisht në relacionin shoqërues të ligjit vjetor të buxhetit.</w:t>
      </w:r>
      <w:r w:rsidRPr="005C109B">
        <w:rPr>
          <w:rFonts w:cs="Calibri"/>
          <w:color w:val="7CCA62"/>
          <w:lang w:val="sq-AL"/>
        </w:rPr>
        <w:t xml:space="preserve"> </w:t>
      </w:r>
    </w:p>
    <w:p w:rsidR="00751B54" w:rsidRPr="005C109B" w:rsidRDefault="00751B54" w:rsidP="00F1746C">
      <w:pPr>
        <w:spacing w:line="240" w:lineRule="auto"/>
        <w:ind w:firstLine="720"/>
        <w:rPr>
          <w:rFonts w:cs="Calibri"/>
          <w:i/>
          <w:lang w:val="sq-AL"/>
        </w:rPr>
      </w:pPr>
      <w:r w:rsidRPr="005C109B">
        <w:rPr>
          <w:rFonts w:cs="Calibri"/>
          <w:i/>
          <w:lang w:val="sq-AL"/>
        </w:rPr>
        <w:t>Zbatimi i ligjit (3):</w:t>
      </w:r>
    </w:p>
    <w:p w:rsidR="00751B54" w:rsidRPr="005C109B" w:rsidRDefault="00751B54" w:rsidP="00F1746C">
      <w:pPr>
        <w:spacing w:before="0" w:line="240" w:lineRule="auto"/>
        <w:rPr>
          <w:rFonts w:cs="Calibri"/>
          <w:lang w:val="sq-AL"/>
        </w:rPr>
      </w:pPr>
      <w:r w:rsidRPr="005C109B">
        <w:rPr>
          <w:rFonts w:cs="Calibri"/>
          <w:lang w:val="sq-AL"/>
        </w:rPr>
        <w:t>Çdo ligj vjetor i buxhetit 202</w:t>
      </w:r>
      <w:r w:rsidR="00F34DE2">
        <w:rPr>
          <w:rFonts w:cs="Calibri"/>
          <w:lang w:val="sq-AL"/>
        </w:rPr>
        <w:t>2</w:t>
      </w:r>
      <w:r w:rsidRPr="005C109B">
        <w:rPr>
          <w:rFonts w:cs="Calibri"/>
          <w:lang w:val="sq-AL"/>
        </w:rPr>
        <w:t xml:space="preserve"> hartuar dhe miratuar për vitin 202</w:t>
      </w:r>
      <w:r w:rsidR="00F34DE2">
        <w:rPr>
          <w:rFonts w:cs="Calibri"/>
          <w:lang w:val="sq-AL"/>
        </w:rPr>
        <w:t>2</w:t>
      </w:r>
      <w:r w:rsidRPr="005C109B">
        <w:rPr>
          <w:rFonts w:cs="Calibri"/>
          <w:lang w:val="sq-AL"/>
        </w:rPr>
        <w:t xml:space="preserve"> (ligj fillestar ose i ndryshuar) ka qenë në përputhje të plotë me përcaktimet ligjore të LOB. </w:t>
      </w:r>
    </w:p>
    <w:p w:rsidR="00751B54" w:rsidRPr="00F1746C" w:rsidRDefault="00751B54" w:rsidP="002903DC">
      <w:pPr>
        <w:spacing w:before="0" w:line="240" w:lineRule="auto"/>
        <w:rPr>
          <w:rFonts w:cs="Calibri"/>
          <w:i/>
          <w:sz w:val="18"/>
          <w:szCs w:val="18"/>
          <w:lang w:val="sq-AL"/>
        </w:rPr>
      </w:pPr>
      <w:r w:rsidRPr="00F1746C">
        <w:rPr>
          <w:rFonts w:cs="Calibri"/>
          <w:b/>
          <w:bCs/>
          <w:i/>
          <w:sz w:val="18"/>
          <w:szCs w:val="18"/>
          <w:u w:val="single"/>
          <w:lang w:val="sq-AL"/>
        </w:rPr>
        <w:t>Shënim:</w:t>
      </w:r>
      <w:r w:rsidRPr="00F1746C">
        <w:rPr>
          <w:rFonts w:cs="Calibri"/>
          <w:i/>
          <w:sz w:val="18"/>
          <w:szCs w:val="18"/>
          <w:lang w:val="sq-AL"/>
        </w:rPr>
        <w:t xml:space="preserve"> </w:t>
      </w:r>
      <w:r w:rsidR="00F34DE2" w:rsidRPr="00F1746C">
        <w:rPr>
          <w:rFonts w:cs="Calibri"/>
          <w:i/>
          <w:sz w:val="18"/>
          <w:szCs w:val="18"/>
          <w:lang w:val="sq-AL"/>
        </w:rPr>
        <w:t xml:space="preserve">Në ndryshimin e fundit të ligjit të buxhetit 2022 me anë të AN 17 dhe AN 19, si vlera referencë të projeksioneve të FMN janë marrë ato të misionit më të fundit të FMN në atë kohë (projeksionet më të rifreskuara dhe relevante) në vend të projeksioneve që gjendeshin në </w:t>
      </w:r>
      <w:r w:rsidR="00D65C9E" w:rsidRPr="00F1746C">
        <w:rPr>
          <w:rFonts w:cs="Calibri"/>
          <w:i/>
          <w:sz w:val="18"/>
          <w:szCs w:val="18"/>
          <w:lang w:val="sq-AL"/>
        </w:rPr>
        <w:t>Ë</w:t>
      </w:r>
      <w:r w:rsidR="00F34DE2" w:rsidRPr="00F1746C">
        <w:rPr>
          <w:rFonts w:cs="Calibri"/>
          <w:i/>
          <w:sz w:val="18"/>
          <w:szCs w:val="18"/>
          <w:lang w:val="sq-AL"/>
        </w:rPr>
        <w:t xml:space="preserve">EO në atë kohë. Sipas shënimit të bërë në </w:t>
      </w:r>
      <w:r w:rsidR="00D65C9E" w:rsidRPr="00F1746C">
        <w:rPr>
          <w:rFonts w:cs="Calibri"/>
          <w:i/>
          <w:sz w:val="18"/>
          <w:szCs w:val="18"/>
          <w:lang w:val="sq-AL"/>
        </w:rPr>
        <w:t>Ë</w:t>
      </w:r>
      <w:r w:rsidR="00F34DE2" w:rsidRPr="00F1746C">
        <w:rPr>
          <w:rFonts w:cs="Calibri"/>
          <w:i/>
          <w:sz w:val="18"/>
          <w:szCs w:val="18"/>
          <w:lang w:val="sq-AL"/>
        </w:rPr>
        <w:t>EO më të fundit të publikuar në muajin Tetor 2022</w:t>
      </w:r>
      <w:r w:rsidR="00F34DE2" w:rsidRPr="00F1746C">
        <w:rPr>
          <w:rStyle w:val="FootnoteReference"/>
          <w:rFonts w:cs="Calibri"/>
          <w:i/>
          <w:sz w:val="18"/>
          <w:szCs w:val="18"/>
          <w:lang w:val="sq-AL"/>
        </w:rPr>
        <w:footnoteReference w:id="6"/>
      </w:r>
      <w:r w:rsidR="00F34DE2" w:rsidRPr="00F1746C">
        <w:rPr>
          <w:rFonts w:cs="Calibri"/>
          <w:i/>
          <w:sz w:val="18"/>
          <w:szCs w:val="18"/>
          <w:lang w:val="sq-AL"/>
        </w:rPr>
        <w:t xml:space="preserve">, thuhet se “Projeksionet e </w:t>
      </w:r>
      <w:r w:rsidR="00D65C9E" w:rsidRPr="00F1746C">
        <w:rPr>
          <w:rFonts w:cs="Calibri"/>
          <w:i/>
          <w:sz w:val="18"/>
          <w:szCs w:val="18"/>
          <w:lang w:val="sq-AL"/>
        </w:rPr>
        <w:t>Ë</w:t>
      </w:r>
      <w:r w:rsidR="00F34DE2" w:rsidRPr="00F1746C">
        <w:rPr>
          <w:rFonts w:cs="Calibri"/>
          <w:i/>
          <w:sz w:val="18"/>
          <w:szCs w:val="18"/>
          <w:lang w:val="sq-AL"/>
        </w:rPr>
        <w:t>EO u përgatitën përpara fillimit të misionit të Artikullit IV që përfundoi më datë 10 Tetor 2022 dhe kështu nuk pasqyrojnë përditësimet e bëra gjatë misionit”</w:t>
      </w:r>
      <w:r w:rsidRPr="00F1746C">
        <w:rPr>
          <w:rFonts w:cs="Calibri"/>
          <w:i/>
          <w:sz w:val="18"/>
          <w:szCs w:val="18"/>
          <w:lang w:val="sq-AL"/>
        </w:rPr>
        <w:t xml:space="preserve">. </w:t>
      </w:r>
    </w:p>
    <w:p w:rsidR="00751B54" w:rsidRPr="005C109B" w:rsidRDefault="00751B54" w:rsidP="00F1746C">
      <w:pPr>
        <w:spacing w:after="120" w:line="240" w:lineRule="auto"/>
        <w:rPr>
          <w:rFonts w:cs="Calibri"/>
          <w:lang w:val="sq-AL"/>
        </w:rPr>
      </w:pPr>
      <w:r w:rsidRPr="005C109B">
        <w:rPr>
          <w:rFonts w:cs="Calibri"/>
          <w:lang w:val="sq-AL"/>
        </w:rPr>
        <w:lastRenderedPageBreak/>
        <w:t>Tabela më poshtë paraqet shifrat konkrete në kohën e hartimit dhe miratimit të lligjit fillestar dhe secilit ndryshim pasues përgjatë 202</w:t>
      </w:r>
      <w:r w:rsidR="00921530">
        <w:rPr>
          <w:rFonts w:cs="Calibri"/>
          <w:lang w:val="sq-AL"/>
        </w:rPr>
        <w:t>2</w:t>
      </w:r>
      <w:r w:rsidRPr="005C109B">
        <w:rPr>
          <w:rFonts w:cs="Calibri"/>
          <w:lang w:val="sq-AL"/>
        </w:rPr>
        <w:t xml:space="preserve"> dhe përputheshmërinë respektive me këtë përcaktim të LOB. </w:t>
      </w:r>
    </w:p>
    <w:p w:rsidR="00751B54" w:rsidRPr="005C109B" w:rsidRDefault="00921530" w:rsidP="00F1746C">
      <w:pPr>
        <w:spacing w:before="0" w:line="240" w:lineRule="auto"/>
        <w:jc w:val="center"/>
        <w:rPr>
          <w:rFonts w:cs="Calibri"/>
          <w:lang w:val="sq-AL"/>
        </w:rPr>
      </w:pPr>
      <w:r w:rsidRPr="001438E8">
        <w:rPr>
          <w:noProof/>
        </w:rPr>
        <w:drawing>
          <wp:inline distT="0" distB="0" distL="0" distR="0" wp14:anchorId="572A4C37" wp14:editId="0CBACA14">
            <wp:extent cx="6582533" cy="1347470"/>
            <wp:effectExtent l="0" t="0" r="889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84608" cy="1347895"/>
                    </a:xfrm>
                    <a:prstGeom prst="rect">
                      <a:avLst/>
                    </a:prstGeom>
                    <a:noFill/>
                    <a:ln>
                      <a:noFill/>
                    </a:ln>
                  </pic:spPr>
                </pic:pic>
              </a:graphicData>
            </a:graphic>
          </wp:inline>
        </w:drawing>
      </w:r>
    </w:p>
    <w:p w:rsidR="00921530" w:rsidRPr="00921530" w:rsidRDefault="00921530" w:rsidP="00F1746C">
      <w:pPr>
        <w:pStyle w:val="ListParagraph"/>
        <w:spacing w:before="0" w:line="240" w:lineRule="auto"/>
        <w:ind w:left="0"/>
        <w:rPr>
          <w:rFonts w:cs="Calibri"/>
          <w:b/>
          <w:i/>
          <w:sz w:val="4"/>
          <w:u w:val="single"/>
          <w:lang w:val="sq-AL"/>
        </w:rPr>
      </w:pPr>
    </w:p>
    <w:p w:rsidR="001A5183" w:rsidRPr="00F1746C" w:rsidRDefault="001A5183" w:rsidP="00F1746C">
      <w:pPr>
        <w:pStyle w:val="ListParagraph"/>
        <w:spacing w:before="0" w:line="240" w:lineRule="auto"/>
        <w:ind w:left="0"/>
        <w:rPr>
          <w:rFonts w:cs="Calibri"/>
          <w:i/>
          <w:sz w:val="18"/>
          <w:szCs w:val="20"/>
          <w:lang w:val="sq-AL"/>
        </w:rPr>
      </w:pPr>
      <w:r w:rsidRPr="00F1746C">
        <w:rPr>
          <w:rFonts w:cs="Calibri"/>
          <w:b/>
          <w:i/>
          <w:sz w:val="18"/>
          <w:szCs w:val="20"/>
          <w:u w:val="single"/>
          <w:lang w:val="sq-AL"/>
        </w:rPr>
        <w:t>Shënim</w:t>
      </w:r>
      <w:r w:rsidRPr="00F1746C">
        <w:rPr>
          <w:rFonts w:cs="Calibri"/>
          <w:i/>
          <w:sz w:val="18"/>
          <w:szCs w:val="20"/>
          <w:lang w:val="sq-AL"/>
        </w:rPr>
        <w:t xml:space="preserve">: </w:t>
      </w:r>
      <w:r w:rsidR="00921530" w:rsidRPr="00F1746C">
        <w:rPr>
          <w:rFonts w:cs="Calibri"/>
          <w:i/>
          <w:sz w:val="18"/>
          <w:szCs w:val="20"/>
          <w:lang w:val="sq-AL"/>
        </w:rPr>
        <w:t>Vlerat faktike të PBB të vitit 2022 të vlerësuara dhe publikuara nga INSTAT nuk janë relevante për sa i përket zbatueshmërisë ligjore të këtij neni/pike të LOB. Ky nen/pikë sanksionon vetëm limitin e sipërm sa i takon PBB të parashikuar dhe përdorur gjatë planifikimeve të çdo ligji vjetor buxheti (pra, jo më i lartë se sa parashikmi respektiv i FMN). Ndërkohë që PBB faktike (pra, sipas INSTAT) e rezultuar në fund të vitit është informuese sa i takon efektshmërisë së LOB lidhur me ''realizmin'' e parashikimeve të PBB, dhe veçanërisht elemiminin e devijimeve ''optimiste'' sistematike (të përsëritura disa vite rresht)</w:t>
      </w:r>
      <w:r w:rsidRPr="00F1746C">
        <w:rPr>
          <w:rFonts w:cs="Calibri"/>
          <w:i/>
          <w:sz w:val="18"/>
          <w:szCs w:val="20"/>
          <w:lang w:val="sq-AL"/>
        </w:rPr>
        <w:t xml:space="preserve">. </w:t>
      </w:r>
    </w:p>
    <w:p w:rsidR="00654365" w:rsidRPr="00370140" w:rsidRDefault="00654365" w:rsidP="00F1746C">
      <w:pPr>
        <w:pStyle w:val="ListParagraph"/>
        <w:spacing w:after="120" w:line="240" w:lineRule="auto"/>
        <w:ind w:left="0"/>
        <w:rPr>
          <w:rFonts w:cs="Calibri"/>
          <w:sz w:val="8"/>
          <w:lang w:val="sq-AL"/>
        </w:rPr>
      </w:pPr>
    </w:p>
    <w:p w:rsidR="00654365" w:rsidRPr="00476D2E" w:rsidRDefault="00654365" w:rsidP="00F1746C">
      <w:pPr>
        <w:pStyle w:val="ListParagraph"/>
        <w:spacing w:line="240" w:lineRule="auto"/>
        <w:ind w:left="0" w:firstLine="720"/>
        <w:contextualSpacing w:val="0"/>
        <w:rPr>
          <w:rFonts w:cs="Calibri"/>
          <w:b/>
          <w:i/>
          <w:lang w:val="sq-AL"/>
        </w:rPr>
      </w:pPr>
      <w:r w:rsidRPr="00476D2E">
        <w:rPr>
          <w:rFonts w:cs="Calibri"/>
          <w:b/>
          <w:i/>
          <w:lang w:val="sq-AL"/>
        </w:rPr>
        <w:t>Përcaktimi ligjor (4):</w:t>
      </w:r>
    </w:p>
    <w:p w:rsidR="00751B54" w:rsidRPr="005C109B" w:rsidRDefault="00751B54" w:rsidP="00F1746C">
      <w:pPr>
        <w:spacing w:after="120" w:line="240" w:lineRule="auto"/>
        <w:rPr>
          <w:rFonts w:cs="Calibri"/>
          <w:lang w:val="sq-AL"/>
        </w:rPr>
      </w:pPr>
      <w:r w:rsidRPr="005C109B">
        <w:rPr>
          <w:rFonts w:cs="Calibri"/>
          <w:lang w:val="sq-AL"/>
        </w:rPr>
        <w:t xml:space="preserve">Neni 4/1, pika (1.ç) i LOB sanksionon që në çdo vit buxhetor të planifikuar duhet të përfshihet një kontingjencë e veçantë, prej jo më pak se 0.7 </w:t>
      </w:r>
      <w:r w:rsidR="008136C0">
        <w:rPr>
          <w:rFonts w:cs="Calibri"/>
          <w:lang w:val="sq-AL"/>
        </w:rPr>
        <w:t>%</w:t>
      </w:r>
      <w:r w:rsidRPr="005C109B">
        <w:rPr>
          <w:rFonts w:cs="Calibri"/>
          <w:lang w:val="sq-AL"/>
        </w:rPr>
        <w:t xml:space="preserve"> e shpenzimeve totale të buxhetit, për të kompensuar rreziqe potenciale nga luhatjet në kurset e këmbimit ose normat e interesit, me ndikim në nivelin e borxhit.</w:t>
      </w:r>
    </w:p>
    <w:p w:rsidR="00751B54" w:rsidRPr="005C109B" w:rsidRDefault="00751B54" w:rsidP="00F1746C">
      <w:pPr>
        <w:spacing w:line="240" w:lineRule="auto"/>
        <w:ind w:firstLine="720"/>
        <w:rPr>
          <w:rFonts w:cs="Calibri"/>
          <w:i/>
          <w:lang w:val="sq-AL"/>
        </w:rPr>
      </w:pPr>
      <w:r w:rsidRPr="005C109B">
        <w:rPr>
          <w:rFonts w:cs="Calibri"/>
          <w:i/>
          <w:lang w:val="sq-AL"/>
        </w:rPr>
        <w:t>Zbatimi i ligjit (4):</w:t>
      </w:r>
    </w:p>
    <w:p w:rsidR="00983049" w:rsidRPr="00476D2E" w:rsidRDefault="00751B54" w:rsidP="00F1746C">
      <w:pPr>
        <w:spacing w:before="0" w:line="240" w:lineRule="auto"/>
        <w:rPr>
          <w:rFonts w:cs="Calibri"/>
          <w:lang w:val="sq-AL"/>
        </w:rPr>
      </w:pPr>
      <w:r w:rsidRPr="005C109B">
        <w:rPr>
          <w:rFonts w:cs="Calibri"/>
          <w:lang w:val="sq-AL"/>
        </w:rPr>
        <w:t>Çdo ligj vjetor i buxhetit hartuar dhe miratuar për vitin 202</w:t>
      </w:r>
      <w:r w:rsidR="00BE40B1">
        <w:rPr>
          <w:rFonts w:cs="Calibri"/>
          <w:lang w:val="sq-AL"/>
        </w:rPr>
        <w:t>2</w:t>
      </w:r>
      <w:r w:rsidRPr="005C109B">
        <w:rPr>
          <w:rFonts w:cs="Calibri"/>
          <w:lang w:val="sq-AL"/>
        </w:rPr>
        <w:t xml:space="preserve"> (ligj fillestar ose i ndryshuar) ka qenë në përputhje të plotë me k</w:t>
      </w:r>
      <w:r>
        <w:rPr>
          <w:rFonts w:cs="Calibri"/>
          <w:lang w:val="sq-AL"/>
        </w:rPr>
        <w:t>ëtë përcaktim ligjor. Tabela më</w:t>
      </w:r>
      <w:r w:rsidRPr="005C109B">
        <w:rPr>
          <w:rFonts w:cs="Calibri"/>
          <w:lang w:val="sq-AL"/>
        </w:rPr>
        <w:t>poshtë paraqet shifrat konkrete në kohën e hartimit e miratimit të ligjit fillestar dhe secilit ndryshim pasues përgjatë 202</w:t>
      </w:r>
      <w:r w:rsidR="00BE40B1">
        <w:rPr>
          <w:rFonts w:cs="Calibri"/>
          <w:lang w:val="sq-AL"/>
        </w:rPr>
        <w:t>2</w:t>
      </w:r>
      <w:r w:rsidRPr="005C109B">
        <w:rPr>
          <w:rFonts w:cs="Calibri"/>
          <w:lang w:val="sq-AL"/>
        </w:rPr>
        <w:t xml:space="preserve"> dhe përputhshmërinë respektive me këtë përcaktim të LOB. </w:t>
      </w:r>
    </w:p>
    <w:p w:rsidR="00983049" w:rsidRDefault="00417902" w:rsidP="00F1746C">
      <w:pPr>
        <w:pStyle w:val="ListParagraph"/>
        <w:spacing w:before="0" w:line="240" w:lineRule="auto"/>
        <w:ind w:left="0"/>
        <w:contextualSpacing w:val="0"/>
        <w:jc w:val="center"/>
        <w:rPr>
          <w:rFonts w:cs="Calibri"/>
          <w:lang w:val="sq-AL"/>
        </w:rPr>
      </w:pPr>
      <w:r w:rsidRPr="001438E8">
        <w:rPr>
          <w:noProof/>
        </w:rPr>
        <w:drawing>
          <wp:inline distT="0" distB="0" distL="0" distR="0" wp14:anchorId="74E70A8C" wp14:editId="5E8CA048">
            <wp:extent cx="6481881" cy="1025769"/>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573744" cy="1040306"/>
                    </a:xfrm>
                    <a:prstGeom prst="rect">
                      <a:avLst/>
                    </a:prstGeom>
                    <a:noFill/>
                    <a:ln>
                      <a:noFill/>
                    </a:ln>
                  </pic:spPr>
                </pic:pic>
              </a:graphicData>
            </a:graphic>
          </wp:inline>
        </w:drawing>
      </w:r>
    </w:p>
    <w:p w:rsidR="00654365" w:rsidRDefault="00654365" w:rsidP="00F1746C">
      <w:pPr>
        <w:pStyle w:val="ListParagraph"/>
        <w:spacing w:after="120" w:line="240" w:lineRule="auto"/>
        <w:ind w:left="0"/>
        <w:rPr>
          <w:rFonts w:cs="Calibri"/>
          <w:i/>
          <w:lang w:val="sq-AL"/>
        </w:rPr>
      </w:pPr>
      <w:r w:rsidRPr="00476D2E">
        <w:rPr>
          <w:rFonts w:cs="Calibri"/>
          <w:i/>
          <w:lang w:val="sq-AL"/>
        </w:rPr>
        <w:t xml:space="preserve"> </w:t>
      </w:r>
    </w:p>
    <w:p w:rsidR="00654365" w:rsidRPr="00476D2E" w:rsidRDefault="00654365" w:rsidP="00F1746C">
      <w:pPr>
        <w:pStyle w:val="ListParagraph"/>
        <w:spacing w:after="120" w:line="240" w:lineRule="auto"/>
        <w:ind w:left="0" w:firstLine="720"/>
        <w:contextualSpacing w:val="0"/>
        <w:rPr>
          <w:rFonts w:cs="Calibri"/>
          <w:b/>
          <w:i/>
          <w:lang w:val="sq-AL"/>
        </w:rPr>
      </w:pPr>
      <w:r w:rsidRPr="00476D2E">
        <w:rPr>
          <w:rFonts w:cs="Calibri"/>
          <w:b/>
          <w:i/>
          <w:lang w:val="sq-AL"/>
        </w:rPr>
        <w:t>Përcaktimi ligjor (5):</w:t>
      </w:r>
    </w:p>
    <w:p w:rsidR="00751B54" w:rsidRPr="005C109B" w:rsidRDefault="00751B54" w:rsidP="00F1746C">
      <w:pPr>
        <w:spacing w:line="240" w:lineRule="auto"/>
        <w:contextualSpacing/>
        <w:rPr>
          <w:rFonts w:cs="Calibri"/>
          <w:lang w:val="sq-AL"/>
        </w:rPr>
      </w:pPr>
      <w:r w:rsidRPr="005C109B">
        <w:rPr>
          <w:rFonts w:cs="Calibri"/>
          <w:lang w:val="sq-AL"/>
        </w:rPr>
        <w:t xml:space="preserve">Neni 4/1, pika (1.d) i LOB sanksionon që në çdo ligj vjetor fillestar të buxhetit, si dhe në planifikimet e buxhetit afatmesëm, kur rritja reale e Produktit të Brendshëm Bruto, e parashikuar në raportin respektiv “Perspektiva Ekonomike Botërore”, të FMN-së, është të paktën 5 </w:t>
      </w:r>
      <w:r w:rsidR="008136C0">
        <w:rPr>
          <w:rFonts w:cs="Calibri"/>
          <w:lang w:val="sq-AL"/>
        </w:rPr>
        <w:t>%</w:t>
      </w:r>
      <w:r w:rsidRPr="005C109B">
        <w:rPr>
          <w:rFonts w:cs="Calibri"/>
          <w:lang w:val="sq-AL"/>
        </w:rPr>
        <w:t xml:space="preserve">, atëherë deficiti i përgjithshëm nuk mund të jetë më i lartë se 2 </w:t>
      </w:r>
      <w:r w:rsidR="008136C0">
        <w:rPr>
          <w:rFonts w:cs="Calibri"/>
          <w:lang w:val="sq-AL"/>
        </w:rPr>
        <w:t>%</w:t>
      </w:r>
      <w:r w:rsidRPr="005C109B">
        <w:rPr>
          <w:rFonts w:cs="Calibri"/>
          <w:lang w:val="sq-AL"/>
        </w:rPr>
        <w:t> e Produktit të Brendshëm Bruto, përveç rasteve të rrethanave të jashtëzakonshme, të përcaktuara në shkronjat “a”, “b” dhe “c”, të nenit 4/4, të këtij ligji.</w:t>
      </w:r>
    </w:p>
    <w:p w:rsidR="00751B54" w:rsidRPr="005C109B" w:rsidRDefault="00751B54" w:rsidP="00F1746C">
      <w:pPr>
        <w:spacing w:line="240" w:lineRule="auto"/>
        <w:ind w:firstLine="720"/>
        <w:rPr>
          <w:rFonts w:cs="Calibri"/>
          <w:i/>
          <w:lang w:val="sq-AL"/>
        </w:rPr>
      </w:pPr>
      <w:r w:rsidRPr="005C109B">
        <w:rPr>
          <w:rFonts w:cs="Calibri"/>
          <w:i/>
          <w:lang w:val="sq-AL"/>
        </w:rPr>
        <w:t>Zbatimi i ligjit (5):</w:t>
      </w:r>
    </w:p>
    <w:p w:rsidR="00751B54" w:rsidRPr="005C109B" w:rsidRDefault="00417902" w:rsidP="00F1746C">
      <w:pPr>
        <w:spacing w:after="120" w:line="240" w:lineRule="auto"/>
        <w:contextualSpacing/>
        <w:rPr>
          <w:rFonts w:cs="Calibri"/>
          <w:i/>
          <w:sz w:val="20"/>
          <w:lang w:val="sq-AL"/>
        </w:rPr>
      </w:pPr>
      <w:r w:rsidRPr="001438E8">
        <w:rPr>
          <w:rFonts w:cs="Calibri"/>
          <w:lang w:val="sq-AL"/>
        </w:rPr>
        <w:t>Në cdo fazë të hartimit dhe miratimit të ligjeve vjetore të buxhetit për vitin 2022 kjo pikë nuk ka qenë rasti të jetë kufizuese për sa i takon sanksionit ligjor që ajo përcakton, pasi në raportet respektive ''Perspektiva Ekonomike Botërore” të FMN-së, nuk parashikohej një rritje reale për vitin 2022 prej të paktën 5%. Rrjedhimisht, të gjitha ligjet vjetore të buxhetit të hartuara dhe miratuara për vitin 2022 kanë qenë në përputhje me këtë pikë</w:t>
      </w:r>
      <w:r w:rsidR="00751B54" w:rsidRPr="005C109B">
        <w:rPr>
          <w:rFonts w:cs="Calibri"/>
          <w:i/>
          <w:sz w:val="20"/>
          <w:lang w:val="sq-AL"/>
        </w:rPr>
        <w:t>.</w:t>
      </w:r>
    </w:p>
    <w:p w:rsidR="00751B54" w:rsidRPr="005C109B" w:rsidRDefault="00417902" w:rsidP="00F1746C">
      <w:pPr>
        <w:spacing w:before="0" w:line="240" w:lineRule="auto"/>
        <w:jc w:val="center"/>
        <w:rPr>
          <w:lang w:val="sq-AL"/>
        </w:rPr>
      </w:pPr>
      <w:r w:rsidRPr="001438E8">
        <w:rPr>
          <w:noProof/>
        </w:rPr>
        <w:lastRenderedPageBreak/>
        <w:drawing>
          <wp:inline distT="0" distB="0" distL="0" distR="0" wp14:anchorId="53EDDAEC" wp14:editId="66F477BC">
            <wp:extent cx="6490335" cy="1623060"/>
            <wp:effectExtent l="0" t="0" r="571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519000" cy="1630228"/>
                    </a:xfrm>
                    <a:prstGeom prst="rect">
                      <a:avLst/>
                    </a:prstGeom>
                    <a:noFill/>
                    <a:ln>
                      <a:noFill/>
                    </a:ln>
                  </pic:spPr>
                </pic:pic>
              </a:graphicData>
            </a:graphic>
          </wp:inline>
        </w:drawing>
      </w:r>
    </w:p>
    <w:p w:rsidR="00751B54" w:rsidRPr="005C109B" w:rsidRDefault="00751B54" w:rsidP="00F1746C">
      <w:pPr>
        <w:spacing w:line="240" w:lineRule="auto"/>
        <w:contextualSpacing/>
        <w:rPr>
          <w:rFonts w:cs="Calibri"/>
          <w:b/>
          <w:i/>
          <w:sz w:val="8"/>
          <w:u w:val="single"/>
          <w:lang w:val="sq-AL"/>
        </w:rPr>
      </w:pPr>
    </w:p>
    <w:p w:rsidR="00751B54" w:rsidRPr="00F1746C" w:rsidRDefault="00751B54" w:rsidP="00F1746C">
      <w:pPr>
        <w:spacing w:line="240" w:lineRule="auto"/>
        <w:contextualSpacing/>
        <w:rPr>
          <w:rFonts w:cs="Calibri"/>
          <w:i/>
          <w:sz w:val="18"/>
          <w:lang w:val="sq-AL"/>
        </w:rPr>
      </w:pPr>
      <w:r w:rsidRPr="00F1746C">
        <w:rPr>
          <w:rFonts w:cs="Calibri"/>
          <w:b/>
          <w:i/>
          <w:sz w:val="18"/>
          <w:u w:val="single"/>
          <w:lang w:val="sq-AL"/>
        </w:rPr>
        <w:t>Shënim:</w:t>
      </w:r>
      <w:r w:rsidRPr="00F1746C">
        <w:rPr>
          <w:rFonts w:cs="Calibri"/>
          <w:i/>
          <w:sz w:val="18"/>
          <w:lang w:val="sq-AL"/>
        </w:rPr>
        <w:t xml:space="preserve"> Kjo pikë ka si synim të ankorojë në mënyrë kundra-ciklike politikën fiskale. Pra, nëse ekonomia parashikohet të rritet ''përtej potencialit të natyrshëm'' të saj, që në rastin konkret ky prag është kuantifikuar në LOB si ''rritja reale e parashikuar nga FMN të paktën 5%'', atëherë në këtë rast kjo pikë ankoron politikën fiskale drejt një konsolidimi më të lartë në terma të borxhit publik, duke vendosur një limit direkt mbi deficitin e targetuar në jo më shumë se 2% e PBB. P.sh., një rast hipotetik, ilustrues, nëse do të ndodhte që në një vit të caktuar rritja reale do të ishte 5% dhe nëse deficiti do të ankorohej sipas kësaj pike 2% (maksimumi i lejueshëm në këtë rast), duke supozuar një normë inflacioni (deflator) 3% dhe variablat e tjerë të pandryshuar, atëherë borxhi publik përgjatë vetëm atij viti do të reduktohej me rreth 4 pikë </w:t>
      </w:r>
      <w:r w:rsidR="008136C0" w:rsidRPr="00F1746C">
        <w:rPr>
          <w:rFonts w:cs="Calibri"/>
          <w:i/>
          <w:sz w:val="18"/>
          <w:lang w:val="sq-AL"/>
        </w:rPr>
        <w:t>%</w:t>
      </w:r>
      <w:r w:rsidRPr="00F1746C">
        <w:rPr>
          <w:rFonts w:cs="Calibri"/>
          <w:i/>
          <w:sz w:val="18"/>
          <w:lang w:val="sq-AL"/>
        </w:rPr>
        <w:t xml:space="preserve">je. Ndërkohë pika (ç) në nenin 4/4 përcakton rastin e kundërt të pikës më sipër, pra përcakton një opsion manovrimi ekspansionist të politikës fiskale për të ndikuar në stabilizimin e ciklit të ekonomisë nëse do të ndodhte një rast ku ekonomia të gjendej ''në një pikë tejet të dobët të saj'', e cila është kuantifikuar në LOB si ''rritje reale e parashikuar nga FMN në 1% ose më e ulët''. Por në këtë rast, që të mund të përdoret ky opsion lehtësues për stabilizim kundra-ciklik duhet që gjithashtu të jetë siguruar një farë niveli relativisht i qëndrueshëm i borxhit publik, </w:t>
      </w:r>
      <w:r w:rsidR="00E943E0">
        <w:rPr>
          <w:rFonts w:cs="Calibri"/>
          <w:i/>
          <w:sz w:val="18"/>
          <w:lang w:val="sq-AL"/>
        </w:rPr>
        <w:t>që</w:t>
      </w:r>
      <w:r w:rsidRPr="00F1746C">
        <w:rPr>
          <w:rFonts w:cs="Calibri"/>
          <w:i/>
          <w:sz w:val="18"/>
          <w:lang w:val="sq-AL"/>
        </w:rPr>
        <w:t xml:space="preserve"> në këtë pikë të LOB kuantifikohet si niveli </w:t>
      </w:r>
      <w:r w:rsidR="00E943E0">
        <w:rPr>
          <w:rFonts w:cs="Calibri"/>
          <w:i/>
          <w:sz w:val="18"/>
          <w:lang w:val="sq-AL"/>
        </w:rPr>
        <w:t>n</w:t>
      </w:r>
      <w:r w:rsidRPr="00F1746C">
        <w:rPr>
          <w:rFonts w:cs="Calibri"/>
          <w:i/>
          <w:sz w:val="18"/>
          <w:lang w:val="sq-AL"/>
        </w:rPr>
        <w:t>ë</w:t>
      </w:r>
      <w:r w:rsidR="00E943E0">
        <w:rPr>
          <w:rFonts w:cs="Calibri"/>
          <w:i/>
          <w:sz w:val="18"/>
          <w:lang w:val="sq-AL"/>
        </w:rPr>
        <w:t>n</w:t>
      </w:r>
      <w:r w:rsidRPr="00F1746C">
        <w:rPr>
          <w:rFonts w:cs="Calibri"/>
          <w:i/>
          <w:sz w:val="18"/>
          <w:lang w:val="sq-AL"/>
        </w:rPr>
        <w:t xml:space="preserve"> 60% të PBB.  </w:t>
      </w:r>
    </w:p>
    <w:p w:rsidR="00654365" w:rsidRPr="00476D2E" w:rsidRDefault="00654365" w:rsidP="00F1746C">
      <w:pPr>
        <w:pStyle w:val="ListParagraph"/>
        <w:spacing w:after="120" w:line="240" w:lineRule="auto"/>
        <w:ind w:left="0"/>
        <w:rPr>
          <w:rFonts w:cs="Calibri"/>
          <w:i/>
          <w:lang w:val="sq-AL"/>
        </w:rPr>
      </w:pPr>
    </w:p>
    <w:p w:rsidR="00654365" w:rsidRPr="00476D2E" w:rsidRDefault="00654365" w:rsidP="00F1746C">
      <w:pPr>
        <w:pStyle w:val="ListParagraph"/>
        <w:spacing w:after="120" w:line="240" w:lineRule="auto"/>
        <w:ind w:left="0" w:firstLine="720"/>
        <w:rPr>
          <w:rFonts w:cs="Calibri"/>
          <w:b/>
          <w:i/>
          <w:lang w:val="sq-AL"/>
        </w:rPr>
      </w:pPr>
      <w:r w:rsidRPr="00476D2E">
        <w:rPr>
          <w:rFonts w:cs="Calibri"/>
          <w:b/>
          <w:i/>
          <w:lang w:val="sq-AL"/>
        </w:rPr>
        <w:t>Përcaktimi ligjor (6):</w:t>
      </w:r>
    </w:p>
    <w:p w:rsidR="00654365" w:rsidRDefault="00751B54" w:rsidP="00F1746C">
      <w:pPr>
        <w:spacing w:line="240" w:lineRule="auto"/>
        <w:rPr>
          <w:rFonts w:cs="Calibri"/>
          <w:lang w:val="sq-AL"/>
        </w:rPr>
      </w:pPr>
      <w:r w:rsidRPr="005C109B">
        <w:rPr>
          <w:rFonts w:cs="Calibri"/>
          <w:lang w:val="sq-AL"/>
        </w:rPr>
        <w:t>Neni 4/1, pika (1.dh) i LOB sanksionon që në  fazat monitoruese të buxheteve faktike, nëse për shkak të rishikimeve të mundshme të PBB-së nominale ose për shkak të ndryshimeve në kurset e këmbimit, që përdoren për vlerësimin e stokut faktik të borxhit publik, rezulton se raporti i borxhit publik ndaj PBB-së nuk është më i ulët, kundrejt nivelit të vitit pararendës, atëherë, si rregull këto devijime duhet të kompensohen në planifikimet e viteve buxhetore pasuese</w:t>
      </w:r>
      <w:r w:rsidR="00654365" w:rsidRPr="00476D2E">
        <w:rPr>
          <w:rFonts w:cs="Calibri"/>
          <w:lang w:val="sq-AL"/>
        </w:rPr>
        <w:t>.</w:t>
      </w:r>
    </w:p>
    <w:p w:rsidR="00654365" w:rsidRPr="00476D2E" w:rsidRDefault="00654365" w:rsidP="00F1746C">
      <w:pPr>
        <w:pStyle w:val="ListParagraph"/>
        <w:spacing w:line="240" w:lineRule="auto"/>
        <w:ind w:left="0" w:firstLine="720"/>
        <w:contextualSpacing w:val="0"/>
        <w:rPr>
          <w:rFonts w:cs="Calibri"/>
          <w:i/>
          <w:lang w:val="sq-AL"/>
        </w:rPr>
      </w:pPr>
      <w:r w:rsidRPr="00476D2E">
        <w:rPr>
          <w:rFonts w:cs="Calibri"/>
          <w:i/>
          <w:lang w:val="sq-AL"/>
        </w:rPr>
        <w:t>Zbatimi i ligjit (6):</w:t>
      </w:r>
    </w:p>
    <w:p w:rsidR="00751B54" w:rsidRPr="005C109B" w:rsidRDefault="00417902" w:rsidP="00F1746C">
      <w:pPr>
        <w:spacing w:before="0" w:line="240" w:lineRule="auto"/>
        <w:rPr>
          <w:rFonts w:cs="Calibri"/>
          <w:lang w:val="sq-AL"/>
        </w:rPr>
      </w:pPr>
      <w:r w:rsidRPr="001438E8">
        <w:rPr>
          <w:rFonts w:cs="Calibri"/>
          <w:lang w:val="sq-AL"/>
        </w:rPr>
        <w:t>Në fund të vitit 2022 niveli i borxhit faktik ka rezultuar më i ulët se niveli që shënoi në vitin 2021, specifikisht (deri në këtë moment të pёrgatitjes së këtij raporti) borxhi në vitin 2021 shënoi 74.5% ndërsa në fund të 2022 shënon 64.6%. Rrjedhimisht, kjo pikë nuk është relevante  për sa i takon planifikimive në buxhetet pasuese</w:t>
      </w:r>
      <w:r w:rsidR="00751B54" w:rsidRPr="005C109B">
        <w:rPr>
          <w:rFonts w:cs="Calibri"/>
          <w:lang w:val="sq-AL"/>
        </w:rPr>
        <w:t>.</w:t>
      </w:r>
    </w:p>
    <w:p w:rsidR="00370140" w:rsidRDefault="00751B54" w:rsidP="00F1746C">
      <w:pPr>
        <w:spacing w:after="120" w:line="240" w:lineRule="auto"/>
        <w:contextualSpacing/>
        <w:rPr>
          <w:rFonts w:cs="Calibri"/>
          <w:i/>
          <w:sz w:val="18"/>
          <w:lang w:val="sq-AL"/>
        </w:rPr>
      </w:pPr>
      <w:r w:rsidRPr="00F1746C">
        <w:rPr>
          <w:rFonts w:cs="Calibri"/>
          <w:b/>
          <w:i/>
          <w:sz w:val="18"/>
          <w:u w:val="single"/>
          <w:lang w:val="sq-AL"/>
        </w:rPr>
        <w:t>Shënim:</w:t>
      </w:r>
      <w:r w:rsidRPr="00F1746C">
        <w:rPr>
          <w:rFonts w:cs="Calibri"/>
          <w:i/>
          <w:sz w:val="18"/>
          <w:lang w:val="sq-AL"/>
        </w:rPr>
        <w:t xml:space="preserve"> </w:t>
      </w:r>
      <w:r w:rsidR="00417902" w:rsidRPr="00F1746C">
        <w:rPr>
          <w:rFonts w:cs="Calibri"/>
          <w:i/>
          <w:sz w:val="18"/>
          <w:lang w:val="sq-AL"/>
        </w:rPr>
        <w:t>Kjo pikë nuk është relevante sa i takon përputhshmërisë me LOB për vitin që analizohet aktualisht, konkretisht viti 2022, por ajo ka implikime që duhen adresuar në ligjet e buxheteve të viteve të tjera në vijim nëse ndodh rasti që parashikohet në këtë pikë të LOB</w:t>
      </w:r>
      <w:r w:rsidR="00370140" w:rsidRPr="00F1746C">
        <w:rPr>
          <w:rFonts w:cs="Calibri"/>
          <w:i/>
          <w:sz w:val="18"/>
          <w:lang w:val="sq-AL"/>
        </w:rPr>
        <w:t>.</w:t>
      </w:r>
    </w:p>
    <w:p w:rsidR="00F1746C" w:rsidRPr="00F1746C" w:rsidRDefault="00F1746C" w:rsidP="00F1746C">
      <w:pPr>
        <w:spacing w:after="120" w:line="240" w:lineRule="auto"/>
        <w:contextualSpacing/>
        <w:rPr>
          <w:rFonts w:cs="Calibri"/>
          <w:i/>
          <w:sz w:val="18"/>
          <w:lang w:val="sq-AL"/>
        </w:rPr>
      </w:pPr>
    </w:p>
    <w:p w:rsidR="00654365" w:rsidRPr="00476D2E" w:rsidRDefault="00654365" w:rsidP="00F1746C">
      <w:pPr>
        <w:pStyle w:val="ListParagraph"/>
        <w:spacing w:before="0" w:after="120" w:line="240" w:lineRule="auto"/>
        <w:ind w:left="0" w:firstLine="720"/>
        <w:contextualSpacing w:val="0"/>
        <w:rPr>
          <w:rFonts w:cs="Calibri"/>
          <w:b/>
          <w:i/>
          <w:lang w:val="sq-AL"/>
        </w:rPr>
      </w:pPr>
      <w:r w:rsidRPr="00476D2E">
        <w:rPr>
          <w:rFonts w:cs="Calibri"/>
          <w:b/>
          <w:i/>
          <w:lang w:val="sq-AL"/>
        </w:rPr>
        <w:t>Përcaktimi ligjor (7):</w:t>
      </w:r>
    </w:p>
    <w:p w:rsidR="00751B54" w:rsidRPr="005C109B" w:rsidRDefault="00751B54" w:rsidP="00F1746C">
      <w:pPr>
        <w:spacing w:after="120" w:line="240" w:lineRule="auto"/>
        <w:rPr>
          <w:rFonts w:cs="Calibri"/>
          <w:lang w:val="sq-AL"/>
        </w:rPr>
      </w:pPr>
      <w:r w:rsidRPr="005C109B">
        <w:rPr>
          <w:rFonts w:cs="Calibri"/>
          <w:lang w:val="sq-AL"/>
        </w:rPr>
        <w:t xml:space="preserve">Neni 4/1, pika (2) i LOB sanksionon që të ardhurat nga privatizimi nuk janë pjesë e procesit të programimit buxhetor. Në rastet e arkëtimit ato përdoren, jo më pak se 50 </w:t>
      </w:r>
      <w:r w:rsidR="008136C0">
        <w:rPr>
          <w:rFonts w:cs="Calibri"/>
          <w:lang w:val="sq-AL"/>
        </w:rPr>
        <w:t>%</w:t>
      </w:r>
      <w:r w:rsidRPr="005C109B">
        <w:rPr>
          <w:rFonts w:cs="Calibri"/>
          <w:lang w:val="sq-AL"/>
        </w:rPr>
        <w:t>, për uljen e borxhit publik dhe pjesa tjetër për investime publike. Pas arritjes së nivelit të borxhit publik, sipas përcaktimeve të shkronjës “a”, të pikës 1, të këtij neni, përdorimi i të ardhurave të arkëtuara nga privatizimet përcaktohet në ligjin vjetor të buxhetit.</w:t>
      </w:r>
    </w:p>
    <w:p w:rsidR="00751B54" w:rsidRPr="005C109B" w:rsidRDefault="00751B54" w:rsidP="00F1746C">
      <w:pPr>
        <w:spacing w:line="240" w:lineRule="auto"/>
        <w:ind w:left="720"/>
        <w:contextualSpacing/>
        <w:rPr>
          <w:rFonts w:cs="Calibri"/>
          <w:lang w:val="sq-AL"/>
        </w:rPr>
      </w:pPr>
      <w:r w:rsidRPr="005C109B">
        <w:rPr>
          <w:rFonts w:cs="Calibri"/>
          <w:lang w:val="sq-AL"/>
        </w:rPr>
        <w:t>Zbatimi i ligjit (7):</w:t>
      </w:r>
    </w:p>
    <w:p w:rsidR="00654365" w:rsidRPr="00476D2E" w:rsidRDefault="00417902" w:rsidP="00F1746C">
      <w:pPr>
        <w:pStyle w:val="ListParagraph"/>
        <w:spacing w:before="0" w:after="120" w:line="240" w:lineRule="auto"/>
        <w:ind w:left="0"/>
        <w:rPr>
          <w:rFonts w:eastAsiaTheme="minorHAnsi" w:cs="Calibri"/>
          <w:lang w:val="sq-AL"/>
        </w:rPr>
      </w:pPr>
      <w:r w:rsidRPr="001438E8">
        <w:rPr>
          <w:rFonts w:cs="Calibri"/>
          <w:lang w:val="sq-AL"/>
        </w:rPr>
        <w:t>Çdo ligj vjetor i buxhetit hartuar dhe miratuar për vitin 2022 ka qenë në përputhje të plotë me këtë përcaktim ligjor. Së pari, në asnjë ligj vjetor të buxhetit 2022 nuk janë parashikuar të ardhura shtesë nga privatizimet. Së dyti, të ardhurat nga privatizimet të realizuara gjatë vitit 2022 kanë qenë në vlerën e rreth 0.2 miliardë Lekë, e cila është një vlerë marxhinale, pa rëndësi relative, krahasuar me ndryshimet e pësuara përgjatë vitit (në ndryshimet ligjore, si dhe rezultatet faktike) të zërit të shpenzimeve kapitale totale, si dhe atij të huamarrjes totale neto. Pra, pjesa e dytë e kësaj pike (</w:t>
      </w:r>
      <w:r w:rsidRPr="00417902">
        <w:rPr>
          <w:rFonts w:cs="Calibri"/>
          <w:i/>
          <w:sz w:val="20"/>
          <w:lang w:val="sq-AL"/>
        </w:rPr>
        <w:t>lidhur me përdorimin e këtyre të hyrave në rast arkëtimi</w:t>
      </w:r>
      <w:r w:rsidRPr="001438E8">
        <w:rPr>
          <w:rFonts w:cs="Calibri"/>
          <w:lang w:val="sq-AL"/>
        </w:rPr>
        <w:t>) nuk gjen aplikim (</w:t>
      </w:r>
      <w:r w:rsidRPr="00417902">
        <w:rPr>
          <w:rFonts w:cs="Calibri"/>
          <w:i/>
          <w:sz w:val="20"/>
          <w:lang w:val="sq-AL"/>
        </w:rPr>
        <w:t>nuk është relevante</w:t>
      </w:r>
      <w:r w:rsidRPr="001438E8">
        <w:rPr>
          <w:rFonts w:cs="Calibri"/>
          <w:lang w:val="sq-AL"/>
        </w:rPr>
        <w:t>) në këtë rast</w:t>
      </w:r>
      <w:r w:rsidR="00654365" w:rsidRPr="00476D2E">
        <w:rPr>
          <w:rFonts w:cs="Calibri"/>
          <w:lang w:val="sq-AL"/>
        </w:rPr>
        <w:t>.</w:t>
      </w:r>
    </w:p>
    <w:p w:rsidR="00FD5B8E" w:rsidRDefault="00FD5B8E" w:rsidP="00F1746C">
      <w:pPr>
        <w:pStyle w:val="ListParagraph"/>
        <w:spacing w:after="120" w:line="240" w:lineRule="auto"/>
        <w:ind w:left="0"/>
        <w:rPr>
          <w:rFonts w:eastAsiaTheme="minorHAnsi" w:cs="Calibri"/>
          <w:lang w:val="sq-AL"/>
        </w:rPr>
      </w:pPr>
    </w:p>
    <w:p w:rsidR="00F1746C" w:rsidRDefault="00F1746C" w:rsidP="00F1746C">
      <w:pPr>
        <w:pStyle w:val="ListParagraph"/>
        <w:spacing w:after="120" w:line="240" w:lineRule="auto"/>
        <w:ind w:left="0"/>
        <w:rPr>
          <w:rFonts w:eastAsiaTheme="minorHAnsi" w:cs="Calibri"/>
          <w:lang w:val="sq-AL"/>
        </w:rPr>
      </w:pPr>
    </w:p>
    <w:p w:rsidR="00F1746C" w:rsidRDefault="00F1746C" w:rsidP="00F1746C">
      <w:pPr>
        <w:pStyle w:val="ListParagraph"/>
        <w:spacing w:after="120" w:line="240" w:lineRule="auto"/>
        <w:ind w:left="0"/>
        <w:rPr>
          <w:rFonts w:eastAsiaTheme="minorHAnsi" w:cs="Calibri"/>
          <w:lang w:val="sq-AL"/>
        </w:rPr>
      </w:pPr>
    </w:p>
    <w:p w:rsidR="00F1746C" w:rsidRPr="00476D2E" w:rsidRDefault="00F1746C" w:rsidP="00F1746C">
      <w:pPr>
        <w:pStyle w:val="ListParagraph"/>
        <w:spacing w:after="120" w:line="240" w:lineRule="auto"/>
        <w:ind w:left="0"/>
        <w:rPr>
          <w:rFonts w:eastAsiaTheme="minorHAnsi" w:cs="Calibri"/>
          <w:lang w:val="sq-AL"/>
        </w:rPr>
      </w:pPr>
    </w:p>
    <w:p w:rsidR="00654365" w:rsidRPr="00476D2E" w:rsidRDefault="00654365" w:rsidP="00F1746C">
      <w:pPr>
        <w:pStyle w:val="ListParagraph"/>
        <w:spacing w:after="120" w:line="240" w:lineRule="auto"/>
        <w:ind w:left="0" w:firstLine="720"/>
        <w:contextualSpacing w:val="0"/>
        <w:rPr>
          <w:rFonts w:cs="Calibri"/>
          <w:b/>
          <w:i/>
          <w:lang w:val="sq-AL"/>
        </w:rPr>
      </w:pPr>
      <w:r w:rsidRPr="00476D2E">
        <w:rPr>
          <w:rFonts w:cs="Calibri"/>
          <w:b/>
          <w:i/>
          <w:lang w:val="sq-AL"/>
        </w:rPr>
        <w:lastRenderedPageBreak/>
        <w:t>Përcaktimi ligjor (8):</w:t>
      </w:r>
    </w:p>
    <w:p w:rsidR="00751B54" w:rsidRPr="005C109B" w:rsidRDefault="00751B54" w:rsidP="00F1746C">
      <w:pPr>
        <w:spacing w:after="120" w:line="240" w:lineRule="auto"/>
        <w:rPr>
          <w:rFonts w:cs="Calibri"/>
          <w:lang w:val="sq-AL"/>
        </w:rPr>
      </w:pPr>
      <w:r w:rsidRPr="005C109B">
        <w:rPr>
          <w:rFonts w:cs="Calibri"/>
          <w:lang w:val="sq-AL"/>
        </w:rPr>
        <w:t xml:space="preserve">Neni 4/1, pika (3) i LOB sanksionon që ndryshimet e ligjeve tatimore, me efekte në të ardhurat buxhetore, bëhen një herë në vit, jo më vonë se tre muaj përpara fillimit të vitit të ri fiskal. Ligjet tatimore konsultohen paraprakisht me përfaqësuesit e biznesit dhe grupe të tjera interesi, në strukturat e ngritura për këtë qëllim. </w:t>
      </w:r>
    </w:p>
    <w:p w:rsidR="00751B54" w:rsidRPr="005C109B" w:rsidRDefault="00751B54" w:rsidP="00F1746C">
      <w:pPr>
        <w:spacing w:line="240" w:lineRule="auto"/>
        <w:ind w:firstLine="720"/>
        <w:rPr>
          <w:rFonts w:cs="Calibri"/>
          <w:i/>
          <w:lang w:val="sq-AL"/>
        </w:rPr>
      </w:pPr>
      <w:r w:rsidRPr="005C109B">
        <w:rPr>
          <w:rFonts w:cs="Calibri"/>
          <w:i/>
          <w:lang w:val="sq-AL"/>
        </w:rPr>
        <w:t>Zbatimi i ligjit (8):</w:t>
      </w:r>
    </w:p>
    <w:p w:rsidR="00654365" w:rsidRPr="00476D2E" w:rsidRDefault="00417902" w:rsidP="00F1746C">
      <w:pPr>
        <w:pStyle w:val="ListParagraph"/>
        <w:spacing w:before="0" w:after="120" w:line="240" w:lineRule="auto"/>
        <w:ind w:left="0"/>
        <w:contextualSpacing w:val="0"/>
        <w:rPr>
          <w:rFonts w:cs="Calibri"/>
          <w:lang w:val="sq-AL"/>
        </w:rPr>
      </w:pPr>
      <w:r w:rsidRPr="001438E8">
        <w:rPr>
          <w:rFonts w:cs="Calibri"/>
          <w:lang w:val="sq-AL"/>
        </w:rPr>
        <w:t xml:space="preserve">Amendimet kryesore të ligjeve tatimore me efekt nё tё ardhurat e buxhetit pёr </w:t>
      </w:r>
      <w:r>
        <w:rPr>
          <w:rFonts w:cs="Calibri"/>
          <w:lang w:val="sq-AL"/>
        </w:rPr>
        <w:t xml:space="preserve">vitin </w:t>
      </w:r>
      <w:r w:rsidRPr="001438E8">
        <w:rPr>
          <w:rFonts w:cs="Calibri"/>
          <w:lang w:val="sq-AL"/>
        </w:rPr>
        <w:t>2022, kanё nisur nё fillim tё 4</w:t>
      </w:r>
      <w:r>
        <w:rPr>
          <w:rFonts w:cs="Calibri"/>
          <w:lang w:val="sq-AL"/>
        </w:rPr>
        <w:t xml:space="preserve"> </w:t>
      </w:r>
      <w:r w:rsidRPr="001438E8">
        <w:rPr>
          <w:rFonts w:cs="Calibri"/>
          <w:lang w:val="sq-AL"/>
        </w:rPr>
        <w:t xml:space="preserve">mujorit tё tretë 2021. Ndryshimet kryesore ligjore për TVSH-në, për tatimin mbi të ardhurat, për taksat kombëtare dhe për akcizat, i janë nёnshtruar diskutimit dhe marrjes sё mendimeve nga </w:t>
      </w:r>
      <w:r>
        <w:rPr>
          <w:rFonts w:cs="Calibri"/>
          <w:lang w:val="sq-AL"/>
        </w:rPr>
        <w:t>m</w:t>
      </w:r>
      <w:r w:rsidRPr="001438E8">
        <w:rPr>
          <w:rFonts w:cs="Calibri"/>
          <w:lang w:val="sq-AL"/>
        </w:rPr>
        <w:t>inistritё e linjёs, si dhe nga organizatat  pёrfaqёsuese dhe grupet e interesuara tё biznesit, duke reflektuar kёrkesat dhe sugjerimet e tyre. Këto ndryshime janë miratuar nё mbledhjen e Kёshillit tё Ministrave dhe më pas nga Kuvendi nё Nëntor 2021, me efekte që fillojnë nga viti 2022. Efektet e ndryshimeve fiskale pёrgjithёsisht janё marrё nё konsideratё nё planifikimin e tё ardhurave tatimore tё buxhetit 2022, buxhet i cili u miratua pas miratimit tё ndryshimeve ligjore të legjislacionit fiskal</w:t>
      </w:r>
      <w:r w:rsidR="00654365" w:rsidRPr="00476D2E">
        <w:rPr>
          <w:rFonts w:cs="Calibri"/>
          <w:lang w:val="sq-AL"/>
        </w:rPr>
        <w:t xml:space="preserve">. </w:t>
      </w:r>
    </w:p>
    <w:p w:rsidR="00654365" w:rsidRPr="00476D2E" w:rsidRDefault="00654365" w:rsidP="00F1746C">
      <w:pPr>
        <w:pStyle w:val="ListParagraph"/>
        <w:spacing w:after="120" w:line="240" w:lineRule="auto"/>
        <w:ind w:left="0"/>
        <w:contextualSpacing w:val="0"/>
        <w:rPr>
          <w:rFonts w:cs="Calibri"/>
          <w:i/>
          <w:sz w:val="8"/>
          <w:lang w:val="sq-AL"/>
        </w:rPr>
      </w:pPr>
    </w:p>
    <w:p w:rsidR="00654365" w:rsidRPr="00476D2E" w:rsidRDefault="00654365" w:rsidP="00F1746C">
      <w:pPr>
        <w:spacing w:after="120" w:line="240" w:lineRule="auto"/>
        <w:ind w:firstLine="720"/>
        <w:rPr>
          <w:rFonts w:cs="Calibri"/>
          <w:b/>
          <w:i/>
          <w:lang w:val="sq-AL"/>
        </w:rPr>
      </w:pPr>
      <w:r w:rsidRPr="00476D2E">
        <w:rPr>
          <w:rFonts w:cs="Calibri"/>
          <w:b/>
          <w:i/>
          <w:lang w:val="sq-AL"/>
        </w:rPr>
        <w:t>Përcaktimi ligjor (9):</w:t>
      </w:r>
    </w:p>
    <w:p w:rsidR="00654365" w:rsidRPr="00476D2E" w:rsidRDefault="00751B54" w:rsidP="00F1746C">
      <w:pPr>
        <w:spacing w:after="120" w:line="240" w:lineRule="auto"/>
        <w:rPr>
          <w:rFonts w:cs="Calibri"/>
          <w:lang w:val="sq-AL"/>
        </w:rPr>
      </w:pPr>
      <w:r w:rsidRPr="005C109B">
        <w:rPr>
          <w:rFonts w:cs="Calibri"/>
          <w:lang w:val="sq-AL"/>
        </w:rPr>
        <w:t>Neni 4/1, pika (4) i LOB sanksionon që masa e deficitit buxhetor nuk mund të tejkalojë masën e shpenzimeve kapitale të parashikuara çdo vit në ligjin e buxhetit, përveç në rastet e rrethanave të jashtëzakonshme, që parashikohen në nenin 4/4 të këtij ligji</w:t>
      </w:r>
      <w:r w:rsidR="00654365" w:rsidRPr="00476D2E">
        <w:rPr>
          <w:rFonts w:cs="Calibri"/>
          <w:lang w:val="sq-AL"/>
        </w:rPr>
        <w:t>.</w:t>
      </w:r>
    </w:p>
    <w:p w:rsidR="00654365" w:rsidRPr="00476D2E" w:rsidRDefault="00654365" w:rsidP="00F1746C">
      <w:pPr>
        <w:spacing w:line="240" w:lineRule="auto"/>
        <w:ind w:firstLine="720"/>
        <w:rPr>
          <w:rFonts w:cs="Calibri"/>
          <w:i/>
          <w:lang w:val="sq-AL"/>
        </w:rPr>
      </w:pPr>
      <w:r w:rsidRPr="00476D2E">
        <w:rPr>
          <w:rFonts w:cs="Calibri"/>
          <w:i/>
          <w:lang w:val="sq-AL"/>
        </w:rPr>
        <w:t>Zbatimi i Ligjit (9):</w:t>
      </w:r>
    </w:p>
    <w:p w:rsidR="00751B54" w:rsidRPr="005C109B" w:rsidRDefault="00392139" w:rsidP="00F1746C">
      <w:pPr>
        <w:spacing w:before="0" w:after="120" w:line="240" w:lineRule="auto"/>
        <w:rPr>
          <w:rFonts w:cs="Calibri"/>
          <w:lang w:val="sq-AL"/>
        </w:rPr>
      </w:pPr>
      <w:r w:rsidRPr="001438E8">
        <w:rPr>
          <w:rFonts w:cs="Calibri"/>
          <w:lang w:val="sq-AL"/>
        </w:rPr>
        <w:t>Çdo ligj vjetor i buxhetit hartuar dhe miratuar për vitin 2022 ka qenë në përputhje të plotë me këtë përcaktim ligjor. Tabela më poshtë paraqet me shifra specifike përputhshmërinë e secilit ligj të buxhetit për vitin 2022 me këtë përcaktim të LOB</w:t>
      </w:r>
      <w:r w:rsidR="00751B54" w:rsidRPr="005C109B">
        <w:rPr>
          <w:rFonts w:cs="Calibri"/>
          <w:lang w:val="sq-AL"/>
        </w:rPr>
        <w:t>.</w:t>
      </w:r>
    </w:p>
    <w:p w:rsidR="00751B54" w:rsidRPr="005C109B" w:rsidRDefault="00392139" w:rsidP="00F1746C">
      <w:pPr>
        <w:spacing w:before="0" w:line="240" w:lineRule="auto"/>
        <w:jc w:val="center"/>
        <w:rPr>
          <w:rFonts w:cs="Calibri"/>
          <w:lang w:val="sq-AL"/>
        </w:rPr>
      </w:pPr>
      <w:r w:rsidRPr="001438E8">
        <w:rPr>
          <w:noProof/>
        </w:rPr>
        <w:drawing>
          <wp:inline distT="0" distB="0" distL="0" distR="0" wp14:anchorId="4BA245A2" wp14:editId="2B5625A1">
            <wp:extent cx="6480810" cy="8763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94167" cy="878106"/>
                    </a:xfrm>
                    <a:prstGeom prst="rect">
                      <a:avLst/>
                    </a:prstGeom>
                    <a:noFill/>
                    <a:ln>
                      <a:noFill/>
                    </a:ln>
                  </pic:spPr>
                </pic:pic>
              </a:graphicData>
            </a:graphic>
          </wp:inline>
        </w:drawing>
      </w:r>
    </w:p>
    <w:p w:rsidR="00751B54" w:rsidRDefault="00751B54" w:rsidP="00F1746C">
      <w:pPr>
        <w:spacing w:before="0" w:line="240" w:lineRule="auto"/>
        <w:rPr>
          <w:rFonts w:cs="Calibri"/>
          <w:i/>
          <w:sz w:val="18"/>
          <w:lang w:val="sq-AL"/>
        </w:rPr>
      </w:pPr>
      <w:r w:rsidRPr="00F1746C">
        <w:rPr>
          <w:rFonts w:cs="Calibri"/>
          <w:b/>
          <w:i/>
          <w:sz w:val="18"/>
          <w:u w:val="single"/>
          <w:lang w:val="sq-AL"/>
        </w:rPr>
        <w:t>Shënim:</w:t>
      </w:r>
      <w:r w:rsidRPr="00F1746C">
        <w:rPr>
          <w:rFonts w:cs="Calibri"/>
          <w:i/>
          <w:sz w:val="18"/>
          <w:lang w:val="sq-AL"/>
        </w:rPr>
        <w:t xml:space="preserve"> Edhe kjo pikë e LOB jep përcaktime ligjore të detyrueshme për fazën planifikuese të buxhetit, ndërkohë që nuk është sanksionuese për rezultatin faktik në mbyllje të vitit. </w:t>
      </w:r>
    </w:p>
    <w:p w:rsidR="00F1746C" w:rsidRPr="00F1746C" w:rsidRDefault="00F1746C" w:rsidP="00F1746C">
      <w:pPr>
        <w:spacing w:before="0" w:line="240" w:lineRule="auto"/>
        <w:rPr>
          <w:rFonts w:cs="Calibri"/>
          <w:i/>
          <w:sz w:val="18"/>
          <w:lang w:val="sq-AL"/>
        </w:rPr>
      </w:pPr>
    </w:p>
    <w:p w:rsidR="00654365" w:rsidRPr="00476D2E" w:rsidRDefault="00654365" w:rsidP="00F1746C">
      <w:pPr>
        <w:pStyle w:val="ListParagraph"/>
        <w:spacing w:after="120" w:line="240" w:lineRule="auto"/>
        <w:ind w:left="0" w:firstLine="720"/>
        <w:contextualSpacing w:val="0"/>
        <w:rPr>
          <w:rFonts w:cs="Calibri"/>
          <w:b/>
          <w:i/>
          <w:lang w:val="sq-AL"/>
        </w:rPr>
      </w:pPr>
      <w:r w:rsidRPr="00476D2E">
        <w:rPr>
          <w:rFonts w:cs="Calibri"/>
          <w:b/>
          <w:i/>
          <w:lang w:val="sq-AL"/>
        </w:rPr>
        <w:t>Përcaktimi ligjor (10):</w:t>
      </w:r>
    </w:p>
    <w:p w:rsidR="00317AD6" w:rsidRPr="005C109B" w:rsidRDefault="00317AD6" w:rsidP="00F1746C">
      <w:pPr>
        <w:spacing w:line="240" w:lineRule="auto"/>
        <w:rPr>
          <w:rFonts w:cs="Calibri"/>
          <w:lang w:val="sq-AL"/>
        </w:rPr>
      </w:pPr>
      <w:r w:rsidRPr="005C109B">
        <w:rPr>
          <w:rFonts w:cs="Calibri"/>
          <w:lang w:val="sq-AL"/>
        </w:rPr>
        <w:t xml:space="preserve">Neni 4/3 sanksionon që në vitet buxhetore, gjatë të cilave mbahen zgjedhjet e përgjithshme, ekzekutimi i deficitit buxhetor të qeverisjes së përgjithshme, përveç rasteve të jashtëzakonshme, të parashikuara në nenin 4/4, të këtij ligji, bëhet në përputhje me përcaktimet e këtij neni si më poshtë: </w:t>
      </w:r>
    </w:p>
    <w:p w:rsidR="00317AD6" w:rsidRPr="005C109B" w:rsidRDefault="00317AD6" w:rsidP="00F1746C">
      <w:pPr>
        <w:numPr>
          <w:ilvl w:val="0"/>
          <w:numId w:val="7"/>
        </w:numPr>
        <w:spacing w:line="240" w:lineRule="auto"/>
        <w:ind w:left="540"/>
        <w:contextualSpacing/>
        <w:rPr>
          <w:rFonts w:cs="Calibri"/>
          <w:i/>
          <w:lang w:val="sq-AL"/>
        </w:rPr>
      </w:pPr>
      <w:r w:rsidRPr="005C109B">
        <w:rPr>
          <w:rFonts w:cs="Calibri"/>
          <w:i/>
          <w:lang w:val="sq-AL"/>
        </w:rPr>
        <w:t xml:space="preserve">ekzekutimi i deficitit deri në fund të tremujorit të parë të vitit buxhetor nuk mund të jetë më i lartë se 30 </w:t>
      </w:r>
      <w:r w:rsidR="008136C0">
        <w:rPr>
          <w:rFonts w:cs="Calibri"/>
          <w:i/>
          <w:lang w:val="sq-AL"/>
        </w:rPr>
        <w:t>%</w:t>
      </w:r>
      <w:r w:rsidRPr="005C109B">
        <w:rPr>
          <w:rFonts w:cs="Calibri"/>
          <w:i/>
          <w:lang w:val="sq-AL"/>
        </w:rPr>
        <w:t xml:space="preserve"> e deficitit vjetor të përcaktuar në ligjin e buxhetit vjetor;</w:t>
      </w:r>
    </w:p>
    <w:p w:rsidR="00317AD6" w:rsidRPr="005C109B" w:rsidRDefault="00317AD6" w:rsidP="00F1746C">
      <w:pPr>
        <w:numPr>
          <w:ilvl w:val="0"/>
          <w:numId w:val="7"/>
        </w:numPr>
        <w:spacing w:line="240" w:lineRule="auto"/>
        <w:ind w:left="540"/>
        <w:contextualSpacing/>
        <w:rPr>
          <w:rFonts w:cs="Calibri"/>
          <w:i/>
          <w:lang w:val="sq-AL"/>
        </w:rPr>
      </w:pPr>
      <w:r w:rsidRPr="005C109B">
        <w:rPr>
          <w:rFonts w:cs="Calibri"/>
          <w:i/>
          <w:lang w:val="sq-AL"/>
        </w:rPr>
        <w:t xml:space="preserve">ekzekutimi i deficitit deri në fund të gjashtëmujorit të parë të vitit buxhetor nuk mund të jetë më i lartë se 55 </w:t>
      </w:r>
      <w:r w:rsidR="008136C0">
        <w:rPr>
          <w:rFonts w:cs="Calibri"/>
          <w:i/>
          <w:lang w:val="sq-AL"/>
        </w:rPr>
        <w:t>%</w:t>
      </w:r>
      <w:r w:rsidRPr="005C109B">
        <w:rPr>
          <w:rFonts w:cs="Calibri"/>
          <w:i/>
          <w:lang w:val="sq-AL"/>
        </w:rPr>
        <w:t xml:space="preserve"> e deficitit vjetor të përcaktuar në ligjin e buxhetit vjetor;</w:t>
      </w:r>
    </w:p>
    <w:p w:rsidR="00317AD6" w:rsidRDefault="00317AD6" w:rsidP="00F1746C">
      <w:pPr>
        <w:numPr>
          <w:ilvl w:val="0"/>
          <w:numId w:val="7"/>
        </w:numPr>
        <w:spacing w:line="240" w:lineRule="auto"/>
        <w:ind w:left="540"/>
        <w:contextualSpacing/>
        <w:rPr>
          <w:rFonts w:cs="Calibri"/>
          <w:i/>
          <w:lang w:val="sq-AL"/>
        </w:rPr>
      </w:pPr>
      <w:r w:rsidRPr="005C109B">
        <w:rPr>
          <w:rFonts w:cs="Calibri"/>
          <w:i/>
          <w:lang w:val="sq-AL"/>
        </w:rPr>
        <w:t xml:space="preserve">ekzekutimi i deficitit deri në fund të nëntëmujorit të parë të vitit buxhetor nuk mund të jetë më i lartë se 80 </w:t>
      </w:r>
      <w:r w:rsidR="008136C0">
        <w:rPr>
          <w:rFonts w:cs="Calibri"/>
          <w:i/>
          <w:lang w:val="sq-AL"/>
        </w:rPr>
        <w:t>%</w:t>
      </w:r>
      <w:r w:rsidRPr="005C109B">
        <w:rPr>
          <w:rFonts w:cs="Calibri"/>
          <w:i/>
          <w:lang w:val="sq-AL"/>
        </w:rPr>
        <w:t xml:space="preserve"> e deficitit vjetor të përcaktuar në ligjin e buxhetit vjetor.</w:t>
      </w:r>
    </w:p>
    <w:p w:rsidR="00317AD6" w:rsidRPr="00317AD6" w:rsidRDefault="00317AD6" w:rsidP="00F1746C">
      <w:pPr>
        <w:spacing w:line="240" w:lineRule="auto"/>
        <w:ind w:left="540"/>
        <w:contextualSpacing/>
        <w:rPr>
          <w:rFonts w:cs="Calibri"/>
          <w:i/>
          <w:sz w:val="16"/>
          <w:lang w:val="sq-AL"/>
        </w:rPr>
      </w:pPr>
    </w:p>
    <w:p w:rsidR="001A5052" w:rsidRPr="000E4FF6" w:rsidRDefault="001A5052" w:rsidP="00F1746C">
      <w:pPr>
        <w:pStyle w:val="ListParagraph"/>
        <w:spacing w:after="120" w:line="240" w:lineRule="auto"/>
        <w:ind w:left="0" w:firstLine="540"/>
        <w:contextualSpacing w:val="0"/>
        <w:rPr>
          <w:rFonts w:cs="Calibri"/>
          <w:i/>
          <w:lang w:val="sq-AL"/>
        </w:rPr>
      </w:pPr>
      <w:r w:rsidRPr="00476D2E">
        <w:rPr>
          <w:rFonts w:cs="Calibri"/>
          <w:i/>
          <w:lang w:val="sq-AL"/>
        </w:rPr>
        <w:t>Zbatimi i ligjit (</w:t>
      </w:r>
      <w:r>
        <w:rPr>
          <w:rFonts w:cs="Calibri"/>
          <w:i/>
          <w:lang w:val="sq-AL"/>
        </w:rPr>
        <w:t>10</w:t>
      </w:r>
      <w:r w:rsidRPr="00476D2E">
        <w:rPr>
          <w:rFonts w:cs="Calibri"/>
          <w:i/>
          <w:lang w:val="sq-AL"/>
        </w:rPr>
        <w:t xml:space="preserve">): </w:t>
      </w:r>
    </w:p>
    <w:p w:rsidR="0078429B" w:rsidRDefault="0078429B" w:rsidP="00F1746C">
      <w:pPr>
        <w:spacing w:after="120" w:line="240" w:lineRule="auto"/>
        <w:rPr>
          <w:rFonts w:eastAsia="SimSun"/>
          <w:lang w:val="sq-AL"/>
        </w:rPr>
      </w:pPr>
      <w:bookmarkStart w:id="245" w:name="_Ref10032567"/>
      <w:bookmarkStart w:id="246" w:name="_Toc10033290"/>
      <w:bookmarkStart w:id="247" w:name="_Toc10721427"/>
      <w:bookmarkStart w:id="248" w:name="_Toc104980358"/>
      <w:r w:rsidRPr="001438E8">
        <w:rPr>
          <w:rFonts w:cs="Calibri"/>
          <w:lang w:val="sq-AL"/>
        </w:rPr>
        <w:t>Gjatë vitit 2022, nuk janë mbajtur zgjedhje të përgjithshme dhe rrjedhimisht nuk aplikohet përcaktimi ligjor i mësipërm</w:t>
      </w:r>
      <w:r w:rsidR="00317AD6" w:rsidRPr="005C109B">
        <w:rPr>
          <w:rFonts w:cs="Calibri"/>
          <w:lang w:val="sq-AL"/>
        </w:rPr>
        <w:t>.</w:t>
      </w:r>
    </w:p>
    <w:p w:rsidR="0078429B" w:rsidRDefault="0078429B" w:rsidP="00F1746C">
      <w:pPr>
        <w:spacing w:line="240" w:lineRule="auto"/>
        <w:rPr>
          <w:rFonts w:eastAsia="SimSun"/>
          <w:lang w:val="sq-AL"/>
        </w:rPr>
      </w:pPr>
    </w:p>
    <w:p w:rsidR="0078429B" w:rsidRDefault="0078429B" w:rsidP="00FC729E">
      <w:pPr>
        <w:rPr>
          <w:rFonts w:eastAsia="SimSun"/>
          <w:lang w:val="sq-AL"/>
        </w:rPr>
      </w:pPr>
    </w:p>
    <w:p w:rsidR="00DC2B59" w:rsidRPr="003D1D3B" w:rsidRDefault="00DC2B59" w:rsidP="00FC729E">
      <w:pPr>
        <w:pStyle w:val="Fiskale2"/>
        <w:rPr>
          <w:rFonts w:ascii="Calibri" w:hAnsi="Calibri" w:cs="Calibri"/>
        </w:rPr>
      </w:pPr>
      <w:r w:rsidRPr="003D1D3B">
        <w:rPr>
          <w:rFonts w:ascii="Calibri" w:hAnsi="Calibri" w:cs="Calibri"/>
        </w:rPr>
        <w:lastRenderedPageBreak/>
        <w:t>Shtojca 2 – Efektet e paket</w:t>
      </w:r>
      <w:r w:rsidR="00C33B16" w:rsidRPr="003D1D3B">
        <w:rPr>
          <w:rFonts w:ascii="Calibri" w:hAnsi="Calibri" w:cs="Calibri"/>
        </w:rPr>
        <w:t>ë</w:t>
      </w:r>
      <w:r w:rsidRPr="003D1D3B">
        <w:rPr>
          <w:rFonts w:ascii="Calibri" w:hAnsi="Calibri" w:cs="Calibri"/>
        </w:rPr>
        <w:t>s fiskale 20</w:t>
      </w:r>
      <w:bookmarkEnd w:id="245"/>
      <w:bookmarkEnd w:id="246"/>
      <w:bookmarkEnd w:id="247"/>
      <w:r w:rsidR="00741C6D" w:rsidRPr="003D1D3B">
        <w:rPr>
          <w:rFonts w:ascii="Calibri" w:hAnsi="Calibri" w:cs="Calibri"/>
        </w:rPr>
        <w:t>2</w:t>
      </w:r>
      <w:bookmarkEnd w:id="248"/>
      <w:r w:rsidR="0078429B">
        <w:rPr>
          <w:rFonts w:ascii="Calibri" w:hAnsi="Calibri" w:cs="Calibri"/>
        </w:rPr>
        <w:t>2</w:t>
      </w:r>
    </w:p>
    <w:tbl>
      <w:tblPr>
        <w:tblStyle w:val="ListTable3-Accent52"/>
        <w:tblW w:w="50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3"/>
        <w:gridCol w:w="1138"/>
        <w:gridCol w:w="1164"/>
        <w:gridCol w:w="1145"/>
        <w:gridCol w:w="2073"/>
        <w:gridCol w:w="2565"/>
      </w:tblGrid>
      <w:tr w:rsidR="0078429B" w:rsidRPr="005168D3" w:rsidTr="009F630C">
        <w:trPr>
          <w:cnfStyle w:val="100000000000" w:firstRow="1" w:lastRow="0" w:firstColumn="0" w:lastColumn="0" w:oddVBand="0" w:evenVBand="0" w:oddHBand="0" w:evenHBand="0" w:firstRowFirstColumn="0" w:firstRowLastColumn="0" w:lastRowFirstColumn="0" w:lastRowLastColumn="0"/>
          <w:trHeight w:val="1222"/>
          <w:jc w:val="center"/>
        </w:trPr>
        <w:tc>
          <w:tcPr>
            <w:cnfStyle w:val="001000000100" w:firstRow="0" w:lastRow="0" w:firstColumn="1" w:lastColumn="0" w:oddVBand="0" w:evenVBand="0" w:oddHBand="0" w:evenHBand="0" w:firstRowFirstColumn="1" w:firstRowLastColumn="0" w:lastRowFirstColumn="0" w:lastRowLastColumn="0"/>
            <w:tcW w:w="1186" w:type="pct"/>
            <w:tcBorders>
              <w:bottom w:val="none" w:sz="0" w:space="0" w:color="auto"/>
              <w:right w:val="none" w:sz="0" w:space="0" w:color="auto"/>
            </w:tcBorders>
            <w:shd w:val="clear" w:color="auto" w:fill="0B5294" w:themeFill="accent1" w:themeFillShade="BF"/>
            <w:noWrap/>
            <w:hideMark/>
          </w:tcPr>
          <w:p w:rsidR="0078429B" w:rsidRPr="005168D3" w:rsidRDefault="0078429B" w:rsidP="005168D3">
            <w:pPr>
              <w:spacing w:before="0" w:line="240" w:lineRule="auto"/>
              <w:contextualSpacing/>
              <w:jc w:val="center"/>
              <w:rPr>
                <w:rFonts w:asciiTheme="majorHAnsi" w:hAnsiTheme="majorHAnsi" w:cs="Calibri"/>
                <w:sz w:val="18"/>
                <w:szCs w:val="18"/>
                <w:lang w:val="sq-AL"/>
              </w:rPr>
            </w:pPr>
          </w:p>
          <w:p w:rsidR="0078429B" w:rsidRPr="005168D3" w:rsidRDefault="0078429B" w:rsidP="005168D3">
            <w:pPr>
              <w:spacing w:before="0" w:line="240" w:lineRule="auto"/>
              <w:contextualSpacing/>
              <w:jc w:val="center"/>
              <w:rPr>
                <w:rFonts w:asciiTheme="majorHAnsi" w:hAnsiTheme="majorHAnsi" w:cs="Calibri"/>
                <w:sz w:val="18"/>
                <w:szCs w:val="18"/>
                <w:lang w:val="sq-AL"/>
              </w:rPr>
            </w:pPr>
          </w:p>
          <w:p w:rsidR="0078429B" w:rsidRPr="005168D3" w:rsidRDefault="0078429B" w:rsidP="005168D3">
            <w:pPr>
              <w:spacing w:before="0" w:line="240" w:lineRule="auto"/>
              <w:contextualSpacing/>
              <w:jc w:val="center"/>
              <w:rPr>
                <w:rFonts w:asciiTheme="majorHAnsi" w:hAnsiTheme="majorHAnsi" w:cs="Calibri"/>
                <w:sz w:val="18"/>
                <w:szCs w:val="18"/>
                <w:lang w:val="sq-AL"/>
              </w:rPr>
            </w:pPr>
            <w:r w:rsidRPr="005168D3">
              <w:rPr>
                <w:rFonts w:asciiTheme="majorHAnsi" w:hAnsiTheme="majorHAnsi" w:cs="Calibri"/>
                <w:sz w:val="18"/>
                <w:szCs w:val="18"/>
                <w:lang w:val="sq-AL"/>
              </w:rPr>
              <w:t>Masat</w:t>
            </w:r>
          </w:p>
        </w:tc>
        <w:tc>
          <w:tcPr>
            <w:tcW w:w="537" w:type="pct"/>
            <w:shd w:val="clear" w:color="auto" w:fill="0B5294" w:themeFill="accent1" w:themeFillShade="BF"/>
            <w:hideMark/>
          </w:tcPr>
          <w:p w:rsidR="0078429B" w:rsidRPr="005168D3" w:rsidRDefault="0078429B" w:rsidP="005168D3">
            <w:pPr>
              <w:spacing w:before="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p w:rsidR="0078429B" w:rsidRPr="005168D3" w:rsidRDefault="0078429B" w:rsidP="005168D3">
            <w:pPr>
              <w:spacing w:before="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Efekti i parashikuar i paketës</w:t>
            </w:r>
          </w:p>
        </w:tc>
        <w:tc>
          <w:tcPr>
            <w:tcW w:w="549" w:type="pct"/>
            <w:shd w:val="clear" w:color="auto" w:fill="0B5294" w:themeFill="accent1" w:themeFillShade="BF"/>
            <w:hideMark/>
          </w:tcPr>
          <w:p w:rsidR="0078429B" w:rsidRPr="005168D3" w:rsidRDefault="0078429B" w:rsidP="005168D3">
            <w:pPr>
              <w:spacing w:before="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Të ardhura të mbledhura si efekt i masës fiskale</w:t>
            </w:r>
          </w:p>
        </w:tc>
        <w:tc>
          <w:tcPr>
            <w:tcW w:w="540" w:type="pct"/>
            <w:shd w:val="clear" w:color="auto" w:fill="0B5294" w:themeFill="accent1" w:themeFillShade="BF"/>
            <w:hideMark/>
          </w:tcPr>
          <w:p w:rsidR="0078429B" w:rsidRPr="005168D3" w:rsidRDefault="0078429B" w:rsidP="005168D3">
            <w:pPr>
              <w:spacing w:before="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Diferenca Parashikimi/Të ardhura të mbledhura</w:t>
            </w:r>
          </w:p>
        </w:tc>
        <w:tc>
          <w:tcPr>
            <w:tcW w:w="978" w:type="pct"/>
            <w:shd w:val="clear" w:color="auto" w:fill="0B5294" w:themeFill="accent1" w:themeFillShade="BF"/>
            <w:noWrap/>
            <w:hideMark/>
          </w:tcPr>
          <w:p w:rsidR="0078429B" w:rsidRPr="005168D3" w:rsidRDefault="0078429B" w:rsidP="005168D3">
            <w:pPr>
              <w:spacing w:before="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p w:rsidR="0078429B" w:rsidRPr="005168D3" w:rsidRDefault="0078429B" w:rsidP="005168D3">
            <w:pPr>
              <w:spacing w:before="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p w:rsidR="0078429B" w:rsidRPr="005168D3" w:rsidRDefault="0078429B" w:rsidP="005168D3">
            <w:pPr>
              <w:spacing w:before="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Faktorët</w:t>
            </w:r>
          </w:p>
        </w:tc>
        <w:tc>
          <w:tcPr>
            <w:tcW w:w="1210" w:type="pct"/>
            <w:shd w:val="clear" w:color="auto" w:fill="0B5294" w:themeFill="accent1" w:themeFillShade="BF"/>
            <w:noWrap/>
            <w:hideMark/>
          </w:tcPr>
          <w:p w:rsidR="0078429B" w:rsidRPr="005168D3" w:rsidRDefault="0078429B" w:rsidP="005168D3">
            <w:pPr>
              <w:spacing w:before="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p w:rsidR="0078429B" w:rsidRPr="005168D3" w:rsidRDefault="0078429B" w:rsidP="005168D3">
            <w:pPr>
              <w:spacing w:before="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p w:rsidR="0078429B" w:rsidRPr="005168D3" w:rsidRDefault="0078429B" w:rsidP="005168D3">
            <w:pPr>
              <w:spacing w:before="0" w:line="240" w:lineRule="auto"/>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Efektet</w:t>
            </w:r>
          </w:p>
        </w:tc>
      </w:tr>
      <w:tr w:rsidR="0078429B" w:rsidRPr="005168D3" w:rsidTr="009F630C">
        <w:trPr>
          <w:cnfStyle w:val="000000100000" w:firstRow="0" w:lastRow="0" w:firstColumn="0" w:lastColumn="0" w:oddVBand="0" w:evenVBand="0" w:oddHBand="1" w:evenHBand="0" w:firstRowFirstColumn="0" w:firstRowLastColumn="0" w:lastRowFirstColumn="0" w:lastRowLastColumn="0"/>
          <w:trHeight w:val="863"/>
          <w:jc w:val="center"/>
        </w:trPr>
        <w:tc>
          <w:tcPr>
            <w:cnfStyle w:val="001000000000" w:firstRow="0" w:lastRow="0" w:firstColumn="1" w:lastColumn="0" w:oddVBand="0" w:evenVBand="0" w:oddHBand="0" w:evenHBand="0" w:firstRowFirstColumn="0" w:firstRowLastColumn="0" w:lastRowFirstColumn="0" w:lastRowLastColumn="0"/>
            <w:tcW w:w="1186" w:type="pct"/>
            <w:tcBorders>
              <w:top w:val="none" w:sz="0" w:space="0" w:color="auto"/>
              <w:bottom w:val="none" w:sz="0" w:space="0" w:color="auto"/>
              <w:right w:val="none" w:sz="0" w:space="0" w:color="auto"/>
            </w:tcBorders>
            <w:vAlign w:val="center"/>
          </w:tcPr>
          <w:p w:rsidR="0078429B" w:rsidRPr="005168D3" w:rsidRDefault="0078429B" w:rsidP="005168D3">
            <w:pPr>
              <w:spacing w:before="0" w:line="240" w:lineRule="auto"/>
              <w:contextualSpacing/>
              <w:jc w:val="center"/>
              <w:rPr>
                <w:rFonts w:asciiTheme="majorHAnsi" w:hAnsiTheme="majorHAnsi" w:cs="Calibri"/>
                <w:sz w:val="18"/>
                <w:szCs w:val="18"/>
                <w:lang w:val="sq-AL"/>
              </w:rPr>
            </w:pPr>
            <w:r w:rsidRPr="005168D3">
              <w:rPr>
                <w:rFonts w:asciiTheme="majorHAnsi" w:hAnsiTheme="majorHAnsi" w:cs="Calibri"/>
                <w:sz w:val="18"/>
                <w:szCs w:val="18"/>
                <w:lang w:val="sq-AL"/>
              </w:rPr>
              <w:t>Eliminimi i skemës së kompensimit të prodhuesit bujqësor për qëllime të TVSH-së (nga 6% në 0%)</w:t>
            </w:r>
          </w:p>
        </w:tc>
        <w:tc>
          <w:tcPr>
            <w:tcW w:w="537"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0.75</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miliardë</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9" w:type="pct"/>
            <w:tcBorders>
              <w:top w:val="none" w:sz="0" w:space="0" w:color="auto"/>
              <w:bottom w:val="none" w:sz="0" w:space="0" w:color="auto"/>
            </w:tcBorders>
            <w:vAlign w:val="center"/>
          </w:tcPr>
          <w:p w:rsidR="00DD24CD"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0.90 </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miliardë</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0"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0.15 miliardë</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978"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p>
        </w:tc>
        <w:tc>
          <w:tcPr>
            <w:tcW w:w="1210"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p>
        </w:tc>
      </w:tr>
      <w:tr w:rsidR="0078429B" w:rsidRPr="005168D3" w:rsidTr="009F630C">
        <w:trPr>
          <w:trHeight w:val="1181"/>
          <w:jc w:val="center"/>
        </w:trPr>
        <w:tc>
          <w:tcPr>
            <w:cnfStyle w:val="001000000000" w:firstRow="0" w:lastRow="0" w:firstColumn="1" w:lastColumn="0" w:oddVBand="0" w:evenVBand="0" w:oddHBand="0" w:evenHBand="0" w:firstRowFirstColumn="0" w:firstRowLastColumn="0" w:lastRowFirstColumn="0" w:lastRowLastColumn="0"/>
            <w:tcW w:w="1186" w:type="pct"/>
            <w:tcBorders>
              <w:right w:val="none" w:sz="0" w:space="0" w:color="auto"/>
            </w:tcBorders>
            <w:vAlign w:val="center"/>
          </w:tcPr>
          <w:p w:rsidR="0078429B" w:rsidRPr="005168D3" w:rsidRDefault="0078429B" w:rsidP="005168D3">
            <w:pPr>
              <w:spacing w:before="0" w:line="240" w:lineRule="auto"/>
              <w:contextualSpacing/>
              <w:jc w:val="center"/>
              <w:rPr>
                <w:rFonts w:asciiTheme="majorHAnsi" w:hAnsiTheme="majorHAnsi" w:cs="Calibri"/>
                <w:sz w:val="18"/>
                <w:szCs w:val="18"/>
                <w:lang w:val="sq-AL"/>
              </w:rPr>
            </w:pPr>
            <w:r w:rsidRPr="005168D3">
              <w:rPr>
                <w:rFonts w:asciiTheme="majorHAnsi" w:hAnsiTheme="majorHAnsi" w:cs="Calibri"/>
                <w:sz w:val="18"/>
                <w:szCs w:val="18"/>
                <w:lang w:val="sq-AL"/>
              </w:rPr>
              <w:t>Trajtimi me shkallë të reduktuar të TVSH-së 10% i furnizimit të inputeve bujqesore</w:t>
            </w:r>
          </w:p>
        </w:tc>
        <w:tc>
          <w:tcPr>
            <w:tcW w:w="537" w:type="pct"/>
            <w:vAlign w:val="center"/>
          </w:tcPr>
          <w:p w:rsidR="00DD24CD"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0.9 </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miliardë</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9" w:type="pct"/>
            <w:vAlign w:val="center"/>
          </w:tcPr>
          <w:p w:rsidR="00DD24CD"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0.81 </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miliardë</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0"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-0.09 miliardë</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978"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tc>
        <w:tc>
          <w:tcPr>
            <w:tcW w:w="1210"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tc>
      </w:tr>
      <w:tr w:rsidR="0078429B" w:rsidRPr="005168D3" w:rsidTr="009F630C">
        <w:trPr>
          <w:cnfStyle w:val="000000100000" w:firstRow="0" w:lastRow="0" w:firstColumn="0" w:lastColumn="0" w:oddVBand="0" w:evenVBand="0" w:oddHBand="1" w:evenHBand="0" w:firstRowFirstColumn="0" w:firstRowLastColumn="0" w:lastRowFirstColumn="0" w:lastRowLastColumn="0"/>
          <w:trHeight w:val="1499"/>
          <w:jc w:val="center"/>
        </w:trPr>
        <w:tc>
          <w:tcPr>
            <w:cnfStyle w:val="001000000000" w:firstRow="0" w:lastRow="0" w:firstColumn="1" w:lastColumn="0" w:oddVBand="0" w:evenVBand="0" w:oddHBand="0" w:evenHBand="0" w:firstRowFirstColumn="0" w:firstRowLastColumn="0" w:lastRowFirstColumn="0" w:lastRowLastColumn="0"/>
            <w:tcW w:w="1186" w:type="pct"/>
            <w:tcBorders>
              <w:top w:val="none" w:sz="0" w:space="0" w:color="auto"/>
              <w:bottom w:val="none" w:sz="0" w:space="0" w:color="auto"/>
              <w:right w:val="none" w:sz="0" w:space="0" w:color="auto"/>
            </w:tcBorders>
            <w:vAlign w:val="center"/>
          </w:tcPr>
          <w:p w:rsidR="0078429B" w:rsidRPr="005168D3" w:rsidRDefault="0078429B" w:rsidP="005168D3">
            <w:pPr>
              <w:spacing w:before="0" w:line="240" w:lineRule="auto"/>
              <w:contextualSpacing/>
              <w:jc w:val="center"/>
              <w:rPr>
                <w:rFonts w:asciiTheme="majorHAnsi" w:hAnsiTheme="majorHAnsi" w:cs="Calibri"/>
                <w:b w:val="0"/>
                <w:bCs w:val="0"/>
                <w:sz w:val="18"/>
                <w:szCs w:val="18"/>
                <w:lang w:val="sq-AL"/>
              </w:rPr>
            </w:pPr>
            <w:r w:rsidRPr="005168D3">
              <w:rPr>
                <w:rFonts w:asciiTheme="majorHAnsi" w:hAnsiTheme="majorHAnsi" w:cs="Calibri"/>
                <w:sz w:val="18"/>
                <w:szCs w:val="18"/>
                <w:lang w:val="sq-AL"/>
              </w:rPr>
              <w:t xml:space="preserve">Unifikimi i akcizës së aplikueshme për gazin e lëngshëm si për konsumatorët privatë ashtu edhe për ata komercialë në masën 6 lekë/litër </w:t>
            </w:r>
          </w:p>
        </w:tc>
        <w:tc>
          <w:tcPr>
            <w:tcW w:w="537"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0.38 miliardë</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9"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0.60 miliardë</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0"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0.22 miliardë</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978"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p>
        </w:tc>
        <w:tc>
          <w:tcPr>
            <w:tcW w:w="1210"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p>
        </w:tc>
      </w:tr>
      <w:tr w:rsidR="0078429B" w:rsidRPr="005168D3" w:rsidTr="009F630C">
        <w:trPr>
          <w:trHeight w:val="935"/>
          <w:jc w:val="center"/>
        </w:trPr>
        <w:tc>
          <w:tcPr>
            <w:cnfStyle w:val="001000000000" w:firstRow="0" w:lastRow="0" w:firstColumn="1" w:lastColumn="0" w:oddVBand="0" w:evenVBand="0" w:oddHBand="0" w:evenHBand="0" w:firstRowFirstColumn="0" w:firstRowLastColumn="0" w:lastRowFirstColumn="0" w:lastRowLastColumn="0"/>
            <w:tcW w:w="1186" w:type="pct"/>
            <w:tcBorders>
              <w:right w:val="none" w:sz="0" w:space="0" w:color="auto"/>
            </w:tcBorders>
            <w:vAlign w:val="center"/>
          </w:tcPr>
          <w:p w:rsidR="0078429B" w:rsidRPr="005168D3" w:rsidRDefault="0078429B" w:rsidP="005168D3">
            <w:pPr>
              <w:spacing w:before="0" w:line="240" w:lineRule="auto"/>
              <w:contextualSpacing/>
              <w:rPr>
                <w:rFonts w:asciiTheme="majorHAnsi" w:hAnsiTheme="majorHAnsi" w:cs="Calibri"/>
                <w:sz w:val="18"/>
                <w:szCs w:val="18"/>
                <w:lang w:val="sq-AL"/>
              </w:rPr>
            </w:pPr>
            <w:r w:rsidRPr="005168D3">
              <w:rPr>
                <w:rFonts w:asciiTheme="majorHAnsi" w:hAnsiTheme="majorHAnsi" w:cs="Calibri"/>
                <w:sz w:val="18"/>
                <w:szCs w:val="18"/>
                <w:lang w:val="sq-AL"/>
              </w:rPr>
              <w:t>Rritja sipas kalendarit për të gjithë kategoritë e “Duhan dhe nënprodukteve të tij”.</w:t>
            </w:r>
          </w:p>
        </w:tc>
        <w:tc>
          <w:tcPr>
            <w:tcW w:w="537"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0.75 miliardë</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9" w:type="pct"/>
            <w:vAlign w:val="center"/>
          </w:tcPr>
          <w:p w:rsidR="00DD24CD"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0.80 </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miliardë</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0"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0.05 miliardë</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978"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tc>
        <w:tc>
          <w:tcPr>
            <w:tcW w:w="1210"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Nga rritja e akcizes se cigares sipas kalendarit 2022 si dhe rritja e sasise se konsumit, me efekt total +60 milionë lekë krahasuar me një vit më parë.</w:t>
            </w:r>
          </w:p>
        </w:tc>
      </w:tr>
      <w:tr w:rsidR="0078429B" w:rsidRPr="005168D3" w:rsidTr="009F630C">
        <w:trPr>
          <w:cnfStyle w:val="000000100000" w:firstRow="0" w:lastRow="0" w:firstColumn="0" w:lastColumn="0" w:oddVBand="0" w:evenVBand="0" w:oddHBand="1" w:evenHBand="0" w:firstRowFirstColumn="0" w:firstRowLastColumn="0" w:lastRowFirstColumn="0" w:lastRowLastColumn="0"/>
          <w:trHeight w:val="950"/>
          <w:jc w:val="center"/>
        </w:trPr>
        <w:tc>
          <w:tcPr>
            <w:cnfStyle w:val="001000000000" w:firstRow="0" w:lastRow="0" w:firstColumn="1" w:lastColumn="0" w:oddVBand="0" w:evenVBand="0" w:oddHBand="0" w:evenHBand="0" w:firstRowFirstColumn="0" w:firstRowLastColumn="0" w:lastRowFirstColumn="0" w:lastRowLastColumn="0"/>
            <w:tcW w:w="1186" w:type="pct"/>
            <w:tcBorders>
              <w:top w:val="none" w:sz="0" w:space="0" w:color="auto"/>
              <w:bottom w:val="none" w:sz="0" w:space="0" w:color="auto"/>
              <w:right w:val="none" w:sz="0" w:space="0" w:color="auto"/>
            </w:tcBorders>
            <w:vAlign w:val="center"/>
          </w:tcPr>
          <w:p w:rsidR="0078429B" w:rsidRPr="005168D3" w:rsidRDefault="0078429B" w:rsidP="005168D3">
            <w:pPr>
              <w:spacing w:before="0" w:line="240" w:lineRule="auto"/>
              <w:contextualSpacing/>
              <w:jc w:val="center"/>
              <w:rPr>
                <w:rFonts w:asciiTheme="majorHAnsi" w:hAnsiTheme="majorHAnsi" w:cs="Calibri"/>
                <w:sz w:val="18"/>
                <w:szCs w:val="18"/>
                <w:lang w:val="sq-AL"/>
              </w:rPr>
            </w:pPr>
            <w:r w:rsidRPr="005168D3">
              <w:rPr>
                <w:rFonts w:asciiTheme="majorHAnsi" w:hAnsiTheme="majorHAnsi" w:cs="Calibri"/>
                <w:sz w:val="18"/>
                <w:szCs w:val="18"/>
                <w:lang w:val="sq-AL"/>
              </w:rPr>
              <w:t>Indeksimi i akcizës me normën e inflacionit për produktet e tjera të akcizës</w:t>
            </w:r>
          </w:p>
        </w:tc>
        <w:tc>
          <w:tcPr>
            <w:tcW w:w="537"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0.50 miliardë</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9" w:type="pct"/>
            <w:tcBorders>
              <w:top w:val="none" w:sz="0" w:space="0" w:color="auto"/>
              <w:bottom w:val="none" w:sz="0" w:space="0" w:color="auto"/>
            </w:tcBorders>
            <w:vAlign w:val="center"/>
          </w:tcPr>
          <w:p w:rsidR="00DD24CD"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1.18 </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miliardë</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0"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0.68 miliardë</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978"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p>
        </w:tc>
        <w:tc>
          <w:tcPr>
            <w:tcW w:w="1210"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p>
        </w:tc>
      </w:tr>
      <w:tr w:rsidR="0078429B" w:rsidRPr="005168D3" w:rsidTr="009F630C">
        <w:trPr>
          <w:trHeight w:val="826"/>
          <w:jc w:val="center"/>
        </w:trPr>
        <w:tc>
          <w:tcPr>
            <w:cnfStyle w:val="001000000000" w:firstRow="0" w:lastRow="0" w:firstColumn="1" w:lastColumn="0" w:oddVBand="0" w:evenVBand="0" w:oddHBand="0" w:evenHBand="0" w:firstRowFirstColumn="0" w:firstRowLastColumn="0" w:lastRowFirstColumn="0" w:lastRowLastColumn="0"/>
            <w:tcW w:w="1186" w:type="pct"/>
            <w:tcBorders>
              <w:right w:val="none" w:sz="0" w:space="0" w:color="auto"/>
            </w:tcBorders>
            <w:vAlign w:val="center"/>
          </w:tcPr>
          <w:p w:rsidR="0078429B" w:rsidRPr="005168D3" w:rsidRDefault="0078429B" w:rsidP="005168D3">
            <w:pPr>
              <w:spacing w:before="0" w:line="240" w:lineRule="auto"/>
              <w:contextualSpacing/>
              <w:jc w:val="center"/>
              <w:rPr>
                <w:rFonts w:asciiTheme="majorHAnsi" w:hAnsiTheme="majorHAnsi" w:cs="Calibri"/>
                <w:sz w:val="18"/>
                <w:szCs w:val="18"/>
                <w:lang w:val="sq-AL"/>
              </w:rPr>
            </w:pPr>
            <w:r w:rsidRPr="005168D3">
              <w:rPr>
                <w:rFonts w:asciiTheme="majorHAnsi" w:hAnsiTheme="majorHAnsi" w:cs="Calibri"/>
                <w:sz w:val="18"/>
                <w:szCs w:val="18"/>
                <w:lang w:val="sq-AL"/>
              </w:rPr>
              <w:t>Indeksimi I pagave te administrates me 7%</w:t>
            </w:r>
          </w:p>
        </w:tc>
        <w:tc>
          <w:tcPr>
            <w:tcW w:w="537"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tc>
        <w:tc>
          <w:tcPr>
            <w:tcW w:w="549" w:type="pct"/>
            <w:vAlign w:val="center"/>
          </w:tcPr>
          <w:p w:rsidR="00DD24CD"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0.14 </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miliardë</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0"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0.14 miliardë</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978"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Performanca e mirë ekonomike dhe një nivel i kontrolluar i inflacionit në vend</w:t>
            </w:r>
          </w:p>
        </w:tc>
        <w:tc>
          <w:tcPr>
            <w:tcW w:w="1210"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Përballimi i krizës dhe problematikat e lidhura me përballimin e saj nga efektet e krizës së çmimeve dhe inflacionit.</w:t>
            </w:r>
          </w:p>
        </w:tc>
      </w:tr>
      <w:tr w:rsidR="0078429B" w:rsidRPr="005168D3" w:rsidTr="009F630C">
        <w:trPr>
          <w:cnfStyle w:val="000000100000" w:firstRow="0" w:lastRow="0" w:firstColumn="0" w:lastColumn="0" w:oddVBand="0" w:evenVBand="0" w:oddHBand="1" w:evenHBand="0" w:firstRowFirstColumn="0" w:firstRowLastColumn="0" w:lastRowFirstColumn="0" w:lastRowLastColumn="0"/>
          <w:trHeight w:val="842"/>
          <w:jc w:val="center"/>
        </w:trPr>
        <w:tc>
          <w:tcPr>
            <w:cnfStyle w:val="001000000000" w:firstRow="0" w:lastRow="0" w:firstColumn="1" w:lastColumn="0" w:oddVBand="0" w:evenVBand="0" w:oddHBand="0" w:evenHBand="0" w:firstRowFirstColumn="0" w:firstRowLastColumn="0" w:lastRowFirstColumn="0" w:lastRowLastColumn="0"/>
            <w:tcW w:w="1186" w:type="pct"/>
            <w:tcBorders>
              <w:top w:val="none" w:sz="0" w:space="0" w:color="auto"/>
              <w:bottom w:val="none" w:sz="0" w:space="0" w:color="auto"/>
              <w:right w:val="none" w:sz="0" w:space="0" w:color="auto"/>
            </w:tcBorders>
            <w:vAlign w:val="center"/>
          </w:tcPr>
          <w:p w:rsidR="0078429B" w:rsidRPr="005168D3" w:rsidRDefault="0078429B" w:rsidP="005168D3">
            <w:pPr>
              <w:spacing w:before="0" w:line="240" w:lineRule="auto"/>
              <w:contextualSpacing/>
              <w:jc w:val="center"/>
              <w:rPr>
                <w:rFonts w:asciiTheme="majorHAnsi" w:hAnsiTheme="majorHAnsi" w:cs="Calibri"/>
                <w:sz w:val="18"/>
                <w:szCs w:val="18"/>
                <w:lang w:val="sq-AL"/>
              </w:rPr>
            </w:pPr>
            <w:r w:rsidRPr="005168D3">
              <w:rPr>
                <w:rFonts w:asciiTheme="majorHAnsi" w:hAnsiTheme="majorHAnsi" w:cs="Calibri"/>
                <w:sz w:val="18"/>
                <w:szCs w:val="18"/>
                <w:lang w:val="sq-AL"/>
              </w:rPr>
              <w:t xml:space="preserve"> Rritja e bazës së patatueshme për efektin e tatimit mbi të ardhurat personale 30 000 lekë në 40 000 lekë</w:t>
            </w:r>
          </w:p>
        </w:tc>
        <w:tc>
          <w:tcPr>
            <w:tcW w:w="537" w:type="pct"/>
            <w:tcBorders>
              <w:top w:val="none" w:sz="0" w:space="0" w:color="auto"/>
              <w:bottom w:val="none" w:sz="0" w:space="0" w:color="auto"/>
            </w:tcBorders>
            <w:vAlign w:val="center"/>
          </w:tcPr>
          <w:p w:rsidR="00DD24CD"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-1 </w:t>
            </w:r>
          </w:p>
          <w:p w:rsidR="00DD24CD"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miliardë </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9"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- 0.7 m</w:t>
            </w:r>
            <w:r w:rsidR="00DD24CD">
              <w:rPr>
                <w:rFonts w:asciiTheme="majorHAnsi" w:hAnsiTheme="majorHAnsi" w:cs="Calibri"/>
                <w:sz w:val="18"/>
                <w:szCs w:val="18"/>
                <w:lang w:val="sq-AL"/>
              </w:rPr>
              <w:t>i</w:t>
            </w:r>
            <w:r w:rsidRPr="005168D3">
              <w:rPr>
                <w:rFonts w:asciiTheme="majorHAnsi" w:hAnsiTheme="majorHAnsi" w:cs="Calibri"/>
                <w:sz w:val="18"/>
                <w:szCs w:val="18"/>
                <w:lang w:val="sq-AL"/>
              </w:rPr>
              <w:t>liardë lekë</w:t>
            </w:r>
          </w:p>
        </w:tc>
        <w:tc>
          <w:tcPr>
            <w:tcW w:w="540" w:type="pct"/>
            <w:tcBorders>
              <w:top w:val="none" w:sz="0" w:space="0" w:color="auto"/>
              <w:bottom w:val="none" w:sz="0" w:space="0" w:color="auto"/>
            </w:tcBorders>
            <w:vAlign w:val="center"/>
          </w:tcPr>
          <w:p w:rsidR="00DD24CD"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0.3 </w:t>
            </w:r>
          </w:p>
          <w:p w:rsidR="00DD24CD"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miliardë </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978"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p>
        </w:tc>
        <w:tc>
          <w:tcPr>
            <w:tcW w:w="1210"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p>
        </w:tc>
      </w:tr>
      <w:tr w:rsidR="0078429B" w:rsidRPr="005168D3" w:rsidTr="009F630C">
        <w:trPr>
          <w:trHeight w:val="1781"/>
          <w:jc w:val="center"/>
        </w:trPr>
        <w:tc>
          <w:tcPr>
            <w:cnfStyle w:val="001000000000" w:firstRow="0" w:lastRow="0" w:firstColumn="1" w:lastColumn="0" w:oddVBand="0" w:evenVBand="0" w:oddHBand="0" w:evenHBand="0" w:firstRowFirstColumn="0" w:firstRowLastColumn="0" w:lastRowFirstColumn="0" w:lastRowLastColumn="0"/>
            <w:tcW w:w="1186" w:type="pct"/>
            <w:tcBorders>
              <w:right w:val="none" w:sz="0" w:space="0" w:color="auto"/>
            </w:tcBorders>
            <w:vAlign w:val="center"/>
          </w:tcPr>
          <w:p w:rsidR="0078429B" w:rsidRPr="005168D3" w:rsidRDefault="0078429B" w:rsidP="005168D3">
            <w:pPr>
              <w:spacing w:before="0" w:line="240" w:lineRule="auto"/>
              <w:contextualSpacing/>
              <w:jc w:val="center"/>
              <w:rPr>
                <w:rFonts w:asciiTheme="majorHAnsi" w:hAnsiTheme="majorHAnsi" w:cs="Calibri"/>
                <w:sz w:val="18"/>
                <w:szCs w:val="18"/>
                <w:lang w:val="sq-AL"/>
              </w:rPr>
            </w:pPr>
            <w:r w:rsidRPr="005168D3">
              <w:rPr>
                <w:rFonts w:asciiTheme="majorHAnsi" w:hAnsiTheme="majorHAnsi" w:cs="Calibri"/>
                <w:sz w:val="18"/>
                <w:szCs w:val="18"/>
                <w:lang w:val="sq-AL"/>
              </w:rPr>
              <w:t xml:space="preserve"> Vendosja e taksës kombëtare për karburantin e furnizuar në zona të lira (për rieksport) 40 lekë/litër.</w:t>
            </w:r>
          </w:p>
        </w:tc>
        <w:tc>
          <w:tcPr>
            <w:tcW w:w="537" w:type="pct"/>
            <w:vAlign w:val="center"/>
          </w:tcPr>
          <w:p w:rsidR="00DD24CD"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0.8 </w:t>
            </w:r>
          </w:p>
          <w:p w:rsidR="00DD24CD"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miliardë </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9" w:type="pct"/>
            <w:vAlign w:val="center"/>
          </w:tcPr>
          <w:p w:rsidR="00DD24CD"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0.6    miliardë </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0" w:type="pct"/>
            <w:vAlign w:val="center"/>
          </w:tcPr>
          <w:p w:rsidR="00DD24CD"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0.2 </w:t>
            </w:r>
          </w:p>
          <w:p w:rsidR="00DD24CD"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 xml:space="preserve">miliardë </w:t>
            </w:r>
          </w:p>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978"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tc>
        <w:tc>
          <w:tcPr>
            <w:tcW w:w="1210" w:type="pct"/>
            <w:vAlign w:val="center"/>
          </w:tcPr>
          <w:p w:rsidR="0078429B" w:rsidRPr="005168D3" w:rsidRDefault="0078429B" w:rsidP="005168D3">
            <w:pPr>
              <w:spacing w:before="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Calibri"/>
                <w:sz w:val="18"/>
                <w:szCs w:val="18"/>
                <w:lang w:val="sq-AL"/>
              </w:rPr>
            </w:pPr>
          </w:p>
        </w:tc>
      </w:tr>
      <w:tr w:rsidR="0078429B" w:rsidRPr="005168D3" w:rsidTr="009F630C">
        <w:trPr>
          <w:cnfStyle w:val="000000100000" w:firstRow="0" w:lastRow="0" w:firstColumn="0" w:lastColumn="0" w:oddVBand="0" w:evenVBand="0" w:oddHBand="1" w:evenHBand="0" w:firstRowFirstColumn="0" w:firstRowLastColumn="0" w:lastRowFirstColumn="0" w:lastRowLastColumn="0"/>
          <w:trHeight w:val="1259"/>
          <w:jc w:val="center"/>
        </w:trPr>
        <w:tc>
          <w:tcPr>
            <w:cnfStyle w:val="001000000000" w:firstRow="0" w:lastRow="0" w:firstColumn="1" w:lastColumn="0" w:oddVBand="0" w:evenVBand="0" w:oddHBand="0" w:evenHBand="0" w:firstRowFirstColumn="0" w:firstRowLastColumn="0" w:lastRowFirstColumn="0" w:lastRowLastColumn="0"/>
            <w:tcW w:w="1186" w:type="pct"/>
            <w:tcBorders>
              <w:top w:val="none" w:sz="0" w:space="0" w:color="auto"/>
              <w:bottom w:val="none" w:sz="0" w:space="0" w:color="auto"/>
              <w:right w:val="none" w:sz="0" w:space="0" w:color="auto"/>
            </w:tcBorders>
            <w:vAlign w:val="center"/>
          </w:tcPr>
          <w:p w:rsidR="0078429B" w:rsidRPr="005168D3" w:rsidRDefault="0078429B" w:rsidP="005168D3">
            <w:pPr>
              <w:spacing w:before="0" w:line="240" w:lineRule="auto"/>
              <w:contextualSpacing/>
              <w:jc w:val="center"/>
              <w:rPr>
                <w:rFonts w:asciiTheme="majorHAnsi" w:eastAsia="Calibri" w:hAnsiTheme="majorHAnsi" w:cs="Calibri"/>
                <w:b w:val="0"/>
                <w:sz w:val="18"/>
                <w:szCs w:val="18"/>
              </w:rPr>
            </w:pPr>
            <w:r w:rsidRPr="005168D3">
              <w:rPr>
                <w:rFonts w:asciiTheme="majorHAnsi" w:eastAsia="Calibri" w:hAnsiTheme="majorHAnsi" w:cs="Calibri"/>
                <w:bCs w:val="0"/>
                <w:sz w:val="18"/>
                <w:szCs w:val="18"/>
              </w:rPr>
              <w:t>Shtyrja e afatit te rivlerësimit të pasuris</w:t>
            </w:r>
            <w:r w:rsidRPr="005168D3">
              <w:rPr>
                <w:rFonts w:asciiTheme="majorHAnsi" w:eastAsia="Calibri" w:hAnsiTheme="majorHAnsi" w:cs="Calibri"/>
                <w:b w:val="0"/>
                <w:sz w:val="18"/>
                <w:szCs w:val="18"/>
              </w:rPr>
              <w:t>ë s</w:t>
            </w:r>
            <w:r w:rsidRPr="005168D3">
              <w:rPr>
                <w:rFonts w:asciiTheme="majorHAnsi" w:eastAsia="Calibri" w:hAnsiTheme="majorHAnsi" w:cs="Calibri"/>
                <w:bCs w:val="0"/>
                <w:sz w:val="18"/>
                <w:szCs w:val="18"/>
              </w:rPr>
              <w:t>ë paluajtshme</w:t>
            </w:r>
          </w:p>
          <w:p w:rsidR="0078429B" w:rsidRPr="005168D3" w:rsidRDefault="0078429B" w:rsidP="005168D3">
            <w:pPr>
              <w:spacing w:before="0" w:line="240" w:lineRule="auto"/>
              <w:contextualSpacing/>
              <w:jc w:val="center"/>
              <w:rPr>
                <w:rFonts w:asciiTheme="majorHAnsi" w:eastAsia="Calibri" w:hAnsiTheme="majorHAnsi" w:cs="Calibri"/>
                <w:bCs w:val="0"/>
                <w:sz w:val="18"/>
                <w:szCs w:val="18"/>
              </w:rPr>
            </w:pPr>
          </w:p>
        </w:tc>
        <w:tc>
          <w:tcPr>
            <w:tcW w:w="537"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p>
        </w:tc>
        <w:tc>
          <w:tcPr>
            <w:tcW w:w="549"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+5.6   miliardë</w:t>
            </w:r>
          </w:p>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hAnsiTheme="majorHAnsi" w:cs="Calibri"/>
                <w:sz w:val="18"/>
                <w:szCs w:val="18"/>
                <w:lang w:val="sq-AL"/>
              </w:rPr>
              <w:t>lekë</w:t>
            </w:r>
          </w:p>
        </w:tc>
        <w:tc>
          <w:tcPr>
            <w:tcW w:w="540"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p>
        </w:tc>
        <w:tc>
          <w:tcPr>
            <w:tcW w:w="978"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eastAsia="MS Mincho" w:hAnsiTheme="majorHAnsi" w:cs="Calibri"/>
                <w:sz w:val="18"/>
                <w:szCs w:val="18"/>
              </w:rPr>
              <w:t>Të jepet kohë e mjaftueshme të gjithë individëve apo subjekteve që kanë interes ta kryejnë procesin e rivlerësimit të pasurive të paluajtshme</w:t>
            </w:r>
          </w:p>
        </w:tc>
        <w:tc>
          <w:tcPr>
            <w:tcW w:w="1210" w:type="pct"/>
            <w:tcBorders>
              <w:top w:val="none" w:sz="0" w:space="0" w:color="auto"/>
              <w:bottom w:val="none" w:sz="0" w:space="0" w:color="auto"/>
            </w:tcBorders>
            <w:vAlign w:val="center"/>
          </w:tcPr>
          <w:p w:rsidR="0078429B" w:rsidRPr="005168D3" w:rsidRDefault="0078429B" w:rsidP="005168D3">
            <w:pPr>
              <w:spacing w:before="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Calibri"/>
                <w:sz w:val="18"/>
                <w:szCs w:val="18"/>
                <w:lang w:val="sq-AL"/>
              </w:rPr>
            </w:pPr>
            <w:r w:rsidRPr="005168D3">
              <w:rPr>
                <w:rFonts w:asciiTheme="majorHAnsi" w:eastAsia="MS Mincho" w:hAnsiTheme="majorHAnsi" w:cs="Calibri"/>
                <w:sz w:val="18"/>
                <w:szCs w:val="18"/>
              </w:rPr>
              <w:t>Efekt të drejtpërdrejtë në nxitjen dhe formalizimin me vlerën e tregut të pasurive të paluajtshme</w:t>
            </w:r>
          </w:p>
        </w:tc>
      </w:tr>
    </w:tbl>
    <w:p w:rsidR="00A94670" w:rsidRPr="00476D2E" w:rsidRDefault="00A94670" w:rsidP="00FC729E">
      <w:pPr>
        <w:rPr>
          <w:rFonts w:cs="Calibri"/>
          <w:lang w:val="sq-AL"/>
        </w:rPr>
      </w:pPr>
    </w:p>
    <w:p w:rsidR="00DC2B59" w:rsidRPr="00476D2E" w:rsidRDefault="00DC2B59" w:rsidP="00FC729E">
      <w:pPr>
        <w:rPr>
          <w:rFonts w:cs="Calibri"/>
          <w:lang w:val="sq-AL"/>
        </w:rPr>
        <w:sectPr w:rsidR="00DC2B59" w:rsidRPr="00476D2E" w:rsidSect="00F1402E">
          <w:pgSz w:w="12240" w:h="15840"/>
          <w:pgMar w:top="720" w:right="810" w:bottom="720" w:left="900" w:header="720" w:footer="0" w:gutter="0"/>
          <w:cols w:space="720"/>
          <w:docGrid w:linePitch="360"/>
        </w:sectPr>
      </w:pPr>
    </w:p>
    <w:p w:rsidR="007B7B50" w:rsidRPr="00C55233" w:rsidRDefault="00DD76EF" w:rsidP="00FC729E">
      <w:pPr>
        <w:pStyle w:val="Fiskale2"/>
        <w:rPr>
          <w:rFonts w:ascii="Calibri" w:hAnsi="Calibri" w:cs="Calibri"/>
        </w:rPr>
      </w:pPr>
      <w:bookmarkStart w:id="249" w:name="_Toc104980359"/>
      <w:bookmarkStart w:id="250" w:name="_Toc10033291"/>
      <w:bookmarkStart w:id="251" w:name="_Toc10721428"/>
      <w:r w:rsidRPr="00C55233">
        <w:rPr>
          <w:rFonts w:ascii="Calibri" w:hAnsi="Calibri" w:cs="Calibri"/>
        </w:rPr>
        <w:lastRenderedPageBreak/>
        <w:t xml:space="preserve">Shtojca 3 </w:t>
      </w:r>
      <w:r w:rsidR="00C244E2">
        <w:rPr>
          <w:rFonts w:ascii="Calibri" w:hAnsi="Calibri" w:cs="Calibri"/>
        </w:rPr>
        <w:t xml:space="preserve">– </w:t>
      </w:r>
      <w:r w:rsidR="007B7B50" w:rsidRPr="00C55233">
        <w:rPr>
          <w:rFonts w:ascii="Calibri" w:hAnsi="Calibri" w:cs="Calibri"/>
        </w:rPr>
        <w:t>Treguesit</w:t>
      </w:r>
      <w:r w:rsidR="00C244E2">
        <w:rPr>
          <w:rFonts w:ascii="Calibri" w:hAnsi="Calibri" w:cs="Calibri"/>
        </w:rPr>
        <w:t xml:space="preserve"> </w:t>
      </w:r>
      <w:r w:rsidR="007B7B50" w:rsidRPr="00C55233">
        <w:rPr>
          <w:rFonts w:ascii="Calibri" w:hAnsi="Calibri" w:cs="Calibri"/>
        </w:rPr>
        <w:t>kryesorë të performancës sipas ministrive të linjës</w:t>
      </w:r>
      <w:bookmarkEnd w:id="249"/>
      <w:r w:rsidR="007B7B50" w:rsidRPr="00C55233">
        <w:rPr>
          <w:rFonts w:ascii="Calibri" w:hAnsi="Calibri" w:cs="Calibri"/>
        </w:rPr>
        <w:t xml:space="preserve"> </w:t>
      </w:r>
    </w:p>
    <w:p w:rsidR="007B7B50" w:rsidRPr="00476D2E" w:rsidRDefault="00FF602B" w:rsidP="00FF602B">
      <w:pPr>
        <w:spacing w:before="0" w:line="240" w:lineRule="auto"/>
        <w:rPr>
          <w:rFonts w:cs="Calibri"/>
          <w:color w:val="000000"/>
          <w:lang w:val="sq-AL"/>
        </w:rPr>
      </w:pPr>
      <w:r w:rsidRPr="00F95C93">
        <w:rPr>
          <w:rFonts w:cs="Calibri"/>
          <w:color w:val="000000"/>
          <w:lang w:val="sq-AL"/>
        </w:rPr>
        <w:t>Buxheti i vitit 2022, financoi 132 programe buxhetore dhe synonte realizimin e 854 produkteve të 11 ministrive të linjës. Gjithashtu, këto shpenzime kanë financuar edhe buxhetin e institucioneve të pavarura; fondeve speciale si edhe njësive të vetëqeverisjes vendore: 61 bashki dhe 12 qarqe. Në përgjithësi evidentohet një performancë relativisht e mirë e realizimit të produkteve buxhetore nga ministritë e linjës, po të kemi parasysh vështirësitë e krijuara nga pandemia. Nga 854 produkte të parashikuara për vitin 2022, janë realizuar plotësisht 649 produkte ose 75.9 përqind; realizuar pjesërisht 1</w:t>
      </w:r>
      <w:r>
        <w:rPr>
          <w:rFonts w:cs="Calibri"/>
          <w:color w:val="000000"/>
          <w:lang w:val="sq-AL"/>
        </w:rPr>
        <w:t>21</w:t>
      </w:r>
      <w:r w:rsidRPr="00F95C93">
        <w:rPr>
          <w:rFonts w:cs="Calibri"/>
          <w:color w:val="000000"/>
          <w:lang w:val="sq-AL"/>
        </w:rPr>
        <w:t xml:space="preserve"> produkte ose 14</w:t>
      </w:r>
      <w:r w:rsidR="00234465">
        <w:rPr>
          <w:rFonts w:cs="Calibri"/>
          <w:color w:val="000000"/>
          <w:lang w:val="sq-AL"/>
        </w:rPr>
        <w:t xml:space="preserve"> </w:t>
      </w:r>
      <w:r w:rsidRPr="00F95C93">
        <w:rPr>
          <w:rFonts w:cs="Calibri"/>
          <w:color w:val="000000"/>
          <w:lang w:val="sq-AL"/>
        </w:rPr>
        <w:t xml:space="preserve">përqind dhe nuk janë realizuar vëtëm 84 produkte ose 10 përqind nga të planifikuarat në vitin 2022. </w:t>
      </w:r>
      <w:r w:rsidRPr="00F95C93">
        <w:rPr>
          <w:rFonts w:cs="Calibri"/>
          <w:lang w:val="sq-AL"/>
        </w:rPr>
        <w:t>Konkretisht</w:t>
      </w:r>
      <w:r w:rsidR="007B7B50" w:rsidRPr="00476D2E">
        <w:rPr>
          <w:rFonts w:cs="Calibri"/>
          <w:lang w:val="sq-AL"/>
        </w:rPr>
        <w:t>:</w:t>
      </w:r>
    </w:p>
    <w:p w:rsidR="007B7B50" w:rsidRPr="00476D2E" w:rsidRDefault="007B7B50" w:rsidP="00FC729E">
      <w:pPr>
        <w:pStyle w:val="Caption"/>
        <w:spacing w:after="0"/>
        <w:rPr>
          <w:rFonts w:cs="Calibri"/>
          <w:lang w:val="sq-AL"/>
        </w:rPr>
      </w:pPr>
      <w:bookmarkStart w:id="252" w:name="_Toc136526349"/>
      <w:r w:rsidRPr="00476D2E">
        <w:rPr>
          <w:rFonts w:cs="Calibri"/>
          <w:lang w:val="sq-AL"/>
        </w:rPr>
        <w:t xml:space="preserve">Tabela </w:t>
      </w:r>
      <w:r w:rsidRPr="00476D2E">
        <w:rPr>
          <w:rFonts w:cs="Calibri"/>
          <w:lang w:val="sq-AL"/>
        </w:rPr>
        <w:fldChar w:fldCharType="begin"/>
      </w:r>
      <w:r w:rsidRPr="00476D2E">
        <w:rPr>
          <w:rFonts w:cs="Calibri"/>
          <w:lang w:val="sq-AL"/>
        </w:rPr>
        <w:instrText xml:space="preserve"> SEQ Tabela \* ARABIC </w:instrText>
      </w:r>
      <w:r w:rsidRPr="00476D2E">
        <w:rPr>
          <w:rFonts w:cs="Calibri"/>
          <w:lang w:val="sq-AL"/>
        </w:rPr>
        <w:fldChar w:fldCharType="separate"/>
      </w:r>
      <w:r w:rsidR="008C3E07">
        <w:rPr>
          <w:rFonts w:cs="Calibri"/>
          <w:noProof/>
          <w:lang w:val="sq-AL"/>
        </w:rPr>
        <w:t>23</w:t>
      </w:r>
      <w:r w:rsidRPr="00476D2E">
        <w:rPr>
          <w:rFonts w:cs="Calibri"/>
          <w:lang w:val="sq-AL"/>
        </w:rPr>
        <w:fldChar w:fldCharType="end"/>
      </w:r>
      <w:r w:rsidRPr="00476D2E">
        <w:rPr>
          <w:rFonts w:cs="Calibri"/>
          <w:lang w:val="sq-AL"/>
        </w:rPr>
        <w:t xml:space="preserve"> Treguesit kryesorë të performancës </w:t>
      </w:r>
      <w:r w:rsidR="00FF602B">
        <w:rPr>
          <w:rFonts w:cs="Calibri"/>
          <w:lang w:val="sq-AL"/>
        </w:rPr>
        <w:t xml:space="preserve">2022, </w:t>
      </w:r>
      <w:r w:rsidRPr="00476D2E">
        <w:rPr>
          <w:rFonts w:cs="Calibri"/>
          <w:lang w:val="sq-AL"/>
        </w:rPr>
        <w:t>sipas ministrive të linjës</w:t>
      </w:r>
      <w:bookmarkEnd w:id="252"/>
    </w:p>
    <w:tbl>
      <w:tblPr>
        <w:tblStyle w:val="ListTable3-Accent12"/>
        <w:tblW w:w="4917" w:type="pct"/>
        <w:jc w:val="center"/>
        <w:tblLook w:val="04A0" w:firstRow="1" w:lastRow="0" w:firstColumn="1" w:lastColumn="0" w:noHBand="0" w:noVBand="1"/>
      </w:tblPr>
      <w:tblGrid>
        <w:gridCol w:w="543"/>
        <w:gridCol w:w="3793"/>
        <w:gridCol w:w="1317"/>
        <w:gridCol w:w="1317"/>
        <w:gridCol w:w="1317"/>
        <w:gridCol w:w="1439"/>
      </w:tblGrid>
      <w:tr w:rsidR="00FF602B" w:rsidRPr="00F95C93" w:rsidTr="00FF602B">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100" w:firstRow="0" w:lastRow="0" w:firstColumn="1" w:lastColumn="0" w:oddVBand="0" w:evenVBand="0" w:oddHBand="0" w:evenHBand="0" w:firstRowFirstColumn="1" w:firstRowLastColumn="0" w:lastRowFirstColumn="0" w:lastRowLastColumn="0"/>
            <w:tcW w:w="279" w:type="pct"/>
            <w:vMerge w:val="restart"/>
            <w:tcBorders>
              <w:top w:val="single" w:sz="4" w:space="0" w:color="0F6FC6" w:themeColor="accent1"/>
            </w:tcBorders>
            <w:shd w:val="clear" w:color="auto" w:fill="0B5294" w:themeFill="accent1" w:themeFillShade="BF"/>
            <w:noWrap/>
            <w:hideMark/>
          </w:tcPr>
          <w:p w:rsidR="00FF602B" w:rsidRPr="00F95C93" w:rsidRDefault="00FF602B" w:rsidP="00FF602B">
            <w:pPr>
              <w:spacing w:before="0" w:line="240" w:lineRule="auto"/>
              <w:jc w:val="center"/>
              <w:rPr>
                <w:rFonts w:cs="Calibri"/>
                <w:b w:val="0"/>
                <w:bCs w:val="0"/>
                <w:sz w:val="18"/>
                <w:lang w:val="sq-AL"/>
              </w:rPr>
            </w:pPr>
          </w:p>
          <w:p w:rsidR="00FF602B" w:rsidRPr="00F95C93" w:rsidRDefault="00FF602B" w:rsidP="00FF602B">
            <w:pPr>
              <w:spacing w:before="0" w:line="240" w:lineRule="auto"/>
              <w:jc w:val="center"/>
              <w:rPr>
                <w:rFonts w:cs="Calibri"/>
                <w:b w:val="0"/>
                <w:bCs w:val="0"/>
                <w:sz w:val="18"/>
                <w:lang w:val="sq-AL"/>
              </w:rPr>
            </w:pPr>
            <w:r w:rsidRPr="00F95C93">
              <w:rPr>
                <w:rFonts w:cs="Calibri"/>
                <w:b w:val="0"/>
                <w:bCs w:val="0"/>
                <w:sz w:val="18"/>
                <w:lang w:val="sq-AL"/>
              </w:rPr>
              <w:t>Nr</w:t>
            </w:r>
          </w:p>
        </w:tc>
        <w:tc>
          <w:tcPr>
            <w:tcW w:w="1950" w:type="pct"/>
            <w:vMerge w:val="restart"/>
            <w:tcBorders>
              <w:top w:val="single" w:sz="4" w:space="0" w:color="0F6FC6" w:themeColor="accent1"/>
            </w:tcBorders>
            <w:shd w:val="clear" w:color="auto" w:fill="0B5294" w:themeFill="accent1" w:themeFillShade="BF"/>
            <w:noWrap/>
            <w:hideMark/>
          </w:tcPr>
          <w:p w:rsidR="00FF602B" w:rsidRPr="00F95C93" w:rsidRDefault="00FF602B" w:rsidP="00FF602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sz w:val="18"/>
                <w:lang w:val="sq-AL"/>
              </w:rPr>
            </w:pPr>
          </w:p>
          <w:p w:rsidR="00FF602B" w:rsidRPr="00F95C93" w:rsidRDefault="00FF602B" w:rsidP="00FF602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sz w:val="18"/>
                <w:lang w:val="sq-AL"/>
              </w:rPr>
            </w:pPr>
            <w:r w:rsidRPr="00F95C93">
              <w:rPr>
                <w:rFonts w:cs="Calibri"/>
                <w:b w:val="0"/>
                <w:bCs w:val="0"/>
                <w:sz w:val="18"/>
                <w:lang w:val="sq-AL"/>
              </w:rPr>
              <w:t>Ministria e Linjës</w:t>
            </w:r>
          </w:p>
        </w:tc>
        <w:tc>
          <w:tcPr>
            <w:tcW w:w="2771" w:type="pct"/>
            <w:gridSpan w:val="4"/>
            <w:tcBorders>
              <w:top w:val="single" w:sz="4" w:space="0" w:color="0F6FC6" w:themeColor="accent1"/>
            </w:tcBorders>
            <w:shd w:val="clear" w:color="auto" w:fill="0B5294" w:themeFill="accent1" w:themeFillShade="BF"/>
            <w:noWrap/>
            <w:hideMark/>
          </w:tcPr>
          <w:p w:rsidR="00FF602B" w:rsidRPr="00F95C93" w:rsidRDefault="00FF602B" w:rsidP="00FF602B">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b w:val="0"/>
                <w:bCs w:val="0"/>
                <w:sz w:val="18"/>
                <w:lang w:val="sq-AL"/>
              </w:rPr>
            </w:pPr>
            <w:r w:rsidRPr="00F95C93">
              <w:rPr>
                <w:rFonts w:cs="Calibri"/>
                <w:b w:val="0"/>
                <w:bCs w:val="0"/>
                <w:sz w:val="18"/>
                <w:lang w:val="sq-AL"/>
              </w:rPr>
              <w:t>Produktet (në numër)</w:t>
            </w:r>
          </w:p>
        </w:tc>
      </w:tr>
      <w:tr w:rsidR="00FF602B" w:rsidRPr="00F95C93" w:rsidTr="00FF602B">
        <w:trPr>
          <w:cnfStyle w:val="000000100000" w:firstRow="0" w:lastRow="0" w:firstColumn="0" w:lastColumn="0" w:oddVBand="0" w:evenVBand="0" w:oddHBand="1" w:evenHBand="0" w:firstRowFirstColumn="0" w:firstRowLastColumn="0" w:lastRowFirstColumn="0" w:lastRowLastColumn="0"/>
          <w:trHeight w:val="244"/>
          <w:jc w:val="center"/>
        </w:trPr>
        <w:tc>
          <w:tcPr>
            <w:cnfStyle w:val="001000000000" w:firstRow="0" w:lastRow="0" w:firstColumn="1" w:lastColumn="0" w:oddVBand="0" w:evenVBand="0" w:oddHBand="0" w:evenHBand="0" w:firstRowFirstColumn="0" w:firstRowLastColumn="0" w:lastRowFirstColumn="0" w:lastRowLastColumn="0"/>
            <w:tcW w:w="279" w:type="pct"/>
            <w:vMerge/>
            <w:shd w:val="clear" w:color="auto" w:fill="0B5294" w:themeFill="accent1" w:themeFillShade="BF"/>
            <w:hideMark/>
          </w:tcPr>
          <w:p w:rsidR="00FF602B" w:rsidRPr="00F95C93" w:rsidRDefault="00FF602B" w:rsidP="00FF602B">
            <w:pPr>
              <w:spacing w:before="0" w:line="240" w:lineRule="auto"/>
              <w:rPr>
                <w:rFonts w:cs="Calibri"/>
                <w:b w:val="0"/>
                <w:bCs w:val="0"/>
                <w:sz w:val="18"/>
                <w:lang w:val="sq-AL"/>
              </w:rPr>
            </w:pPr>
          </w:p>
        </w:tc>
        <w:tc>
          <w:tcPr>
            <w:tcW w:w="1950" w:type="pct"/>
            <w:vMerge/>
            <w:shd w:val="clear" w:color="auto" w:fill="0B5294" w:themeFill="accent1" w:themeFillShade="BF"/>
            <w:hideMark/>
          </w:tcPr>
          <w:p w:rsidR="00FF602B" w:rsidRPr="00F95C93" w:rsidRDefault="00FF602B" w:rsidP="00FF602B">
            <w:pPr>
              <w:spacing w:before="0" w:line="240" w:lineRule="auto"/>
              <w:cnfStyle w:val="000000100000" w:firstRow="0" w:lastRow="0" w:firstColumn="0" w:lastColumn="0" w:oddVBand="0" w:evenVBand="0" w:oddHBand="1" w:evenHBand="0" w:firstRowFirstColumn="0" w:firstRowLastColumn="0" w:lastRowFirstColumn="0" w:lastRowLastColumn="0"/>
              <w:rPr>
                <w:rFonts w:cs="Calibri"/>
                <w:b/>
                <w:bCs/>
                <w:sz w:val="18"/>
                <w:lang w:val="sq-AL"/>
              </w:rPr>
            </w:pPr>
          </w:p>
        </w:tc>
        <w:tc>
          <w:tcPr>
            <w:tcW w:w="677" w:type="pct"/>
            <w:shd w:val="clear" w:color="auto" w:fill="0B5294" w:themeFill="accent1" w:themeFillShade="BF"/>
            <w:noWrap/>
            <w:hideMark/>
          </w:tcPr>
          <w:p w:rsidR="00FF602B" w:rsidRPr="00F95C93" w:rsidRDefault="00FF602B" w:rsidP="00FF602B">
            <w:pPr>
              <w:spacing w:before="0" w:line="240" w:lineRule="auto"/>
              <w:cnfStyle w:val="000000100000" w:firstRow="0" w:lastRow="0" w:firstColumn="0" w:lastColumn="0" w:oddVBand="0" w:evenVBand="0" w:oddHBand="1" w:evenHBand="0" w:firstRowFirstColumn="0" w:firstRowLastColumn="0" w:lastRowFirstColumn="0" w:lastRowLastColumn="0"/>
              <w:rPr>
                <w:rFonts w:cs="Calibri"/>
                <w:b/>
                <w:bCs/>
                <w:sz w:val="18"/>
                <w:lang w:val="sq-AL"/>
              </w:rPr>
            </w:pPr>
            <w:r w:rsidRPr="00F95C93">
              <w:rPr>
                <w:rFonts w:cs="Calibri"/>
                <w:b/>
                <w:bCs/>
                <w:sz w:val="18"/>
                <w:lang w:val="sq-AL"/>
              </w:rPr>
              <w:t> </w:t>
            </w:r>
          </w:p>
        </w:tc>
        <w:tc>
          <w:tcPr>
            <w:tcW w:w="1354" w:type="pct"/>
            <w:gridSpan w:val="2"/>
            <w:shd w:val="clear" w:color="auto" w:fill="0B5294" w:themeFill="accent1" w:themeFillShade="BF"/>
            <w:noWrap/>
            <w:hideMark/>
          </w:tcPr>
          <w:p w:rsidR="00FF602B" w:rsidRPr="00F95C93" w:rsidRDefault="00FF602B" w:rsidP="00FF602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b/>
                <w:bCs/>
                <w:color w:val="FFFFFF" w:themeColor="background1"/>
                <w:sz w:val="18"/>
                <w:lang w:val="sq-AL"/>
              </w:rPr>
            </w:pPr>
            <w:r w:rsidRPr="00F95C93">
              <w:rPr>
                <w:rFonts w:cs="Calibri"/>
                <w:b/>
                <w:bCs/>
                <w:color w:val="FFFFFF" w:themeColor="background1"/>
                <w:sz w:val="18"/>
                <w:lang w:val="sq-AL"/>
              </w:rPr>
              <w:t>Realizuar</w:t>
            </w:r>
          </w:p>
        </w:tc>
        <w:tc>
          <w:tcPr>
            <w:tcW w:w="738" w:type="pct"/>
            <w:shd w:val="clear" w:color="auto" w:fill="0B5294" w:themeFill="accent1" w:themeFillShade="BF"/>
            <w:noWrap/>
            <w:hideMark/>
          </w:tcPr>
          <w:p w:rsidR="00FF602B" w:rsidRPr="00F95C93" w:rsidRDefault="00FF602B" w:rsidP="00FF602B">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b/>
                <w:bCs/>
                <w:color w:val="FFFFFF" w:themeColor="background1"/>
                <w:sz w:val="18"/>
                <w:lang w:val="sq-AL"/>
              </w:rPr>
            </w:pPr>
            <w:r w:rsidRPr="00F95C93">
              <w:rPr>
                <w:rFonts w:cs="Calibri"/>
                <w:b/>
                <w:bCs/>
                <w:color w:val="FFFFFF" w:themeColor="background1"/>
                <w:sz w:val="18"/>
                <w:lang w:val="sq-AL"/>
              </w:rPr>
              <w:t> </w:t>
            </w:r>
          </w:p>
        </w:tc>
      </w:tr>
      <w:tr w:rsidR="00FF602B" w:rsidRPr="00F95C93" w:rsidTr="00FF602B">
        <w:trPr>
          <w:trHeight w:val="182"/>
          <w:jc w:val="center"/>
        </w:trPr>
        <w:tc>
          <w:tcPr>
            <w:cnfStyle w:val="001000000000" w:firstRow="0" w:lastRow="0" w:firstColumn="1" w:lastColumn="0" w:oddVBand="0" w:evenVBand="0" w:oddHBand="0" w:evenHBand="0" w:firstRowFirstColumn="0" w:firstRowLastColumn="0" w:lastRowFirstColumn="0" w:lastRowLastColumn="0"/>
            <w:tcW w:w="279" w:type="pct"/>
            <w:vMerge/>
            <w:tcBorders>
              <w:bottom w:val="single" w:sz="4" w:space="0" w:color="0F6FC6" w:themeColor="accent1"/>
            </w:tcBorders>
            <w:shd w:val="clear" w:color="auto" w:fill="0B5294" w:themeFill="accent1" w:themeFillShade="BF"/>
            <w:hideMark/>
          </w:tcPr>
          <w:p w:rsidR="00FF602B" w:rsidRPr="00F95C93" w:rsidRDefault="00FF602B" w:rsidP="00FF602B">
            <w:pPr>
              <w:spacing w:before="0" w:line="240" w:lineRule="auto"/>
              <w:rPr>
                <w:rFonts w:cs="Calibri"/>
                <w:b w:val="0"/>
                <w:bCs w:val="0"/>
                <w:sz w:val="18"/>
                <w:lang w:val="sq-AL"/>
              </w:rPr>
            </w:pPr>
          </w:p>
        </w:tc>
        <w:tc>
          <w:tcPr>
            <w:tcW w:w="1950" w:type="pct"/>
            <w:vMerge/>
            <w:tcBorders>
              <w:bottom w:val="single" w:sz="4" w:space="0" w:color="0F6FC6" w:themeColor="accent1"/>
            </w:tcBorders>
            <w:shd w:val="clear" w:color="auto" w:fill="0B5294" w:themeFill="accent1" w:themeFillShade="BF"/>
            <w:hideMark/>
          </w:tcPr>
          <w:p w:rsidR="00FF602B" w:rsidRPr="00F95C93" w:rsidRDefault="00FF602B" w:rsidP="00FF602B">
            <w:pPr>
              <w:spacing w:before="0" w:line="240" w:lineRule="auto"/>
              <w:cnfStyle w:val="000000000000" w:firstRow="0" w:lastRow="0" w:firstColumn="0" w:lastColumn="0" w:oddVBand="0" w:evenVBand="0" w:oddHBand="0" w:evenHBand="0" w:firstRowFirstColumn="0" w:firstRowLastColumn="0" w:lastRowFirstColumn="0" w:lastRowLastColumn="0"/>
              <w:rPr>
                <w:rFonts w:cs="Calibri"/>
                <w:b/>
                <w:bCs/>
                <w:sz w:val="18"/>
                <w:lang w:val="sq-AL"/>
              </w:rPr>
            </w:pPr>
          </w:p>
        </w:tc>
        <w:tc>
          <w:tcPr>
            <w:tcW w:w="677" w:type="pct"/>
            <w:tcBorders>
              <w:bottom w:val="single" w:sz="4" w:space="0" w:color="0F6FC6" w:themeColor="accent1"/>
            </w:tcBorders>
            <w:shd w:val="clear" w:color="auto" w:fill="0B5294" w:themeFill="accent1" w:themeFillShade="BF"/>
            <w:noWrap/>
            <w:hideMark/>
          </w:tcPr>
          <w:p w:rsidR="00FF602B" w:rsidRPr="00F95C93" w:rsidRDefault="00FF602B" w:rsidP="00FF602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color w:val="FFFFFF" w:themeColor="background1"/>
                <w:sz w:val="18"/>
                <w:lang w:val="sq-AL"/>
              </w:rPr>
            </w:pPr>
            <w:r w:rsidRPr="00F95C93">
              <w:rPr>
                <w:rFonts w:cs="Calibri"/>
                <w:b/>
                <w:bCs/>
                <w:color w:val="FFFFFF" w:themeColor="background1"/>
                <w:sz w:val="18"/>
                <w:lang w:val="sq-AL"/>
              </w:rPr>
              <w:t>Planifikuar</w:t>
            </w:r>
          </w:p>
        </w:tc>
        <w:tc>
          <w:tcPr>
            <w:tcW w:w="677" w:type="pct"/>
            <w:tcBorders>
              <w:bottom w:val="single" w:sz="4" w:space="0" w:color="0F6FC6" w:themeColor="accent1"/>
            </w:tcBorders>
            <w:shd w:val="clear" w:color="auto" w:fill="0B5294" w:themeFill="accent1" w:themeFillShade="BF"/>
            <w:hideMark/>
          </w:tcPr>
          <w:p w:rsidR="00FF602B" w:rsidRPr="00F95C93" w:rsidRDefault="00FF602B" w:rsidP="00FF602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color w:val="FFFFFF" w:themeColor="background1"/>
                <w:sz w:val="18"/>
                <w:lang w:val="sq-AL"/>
              </w:rPr>
            </w:pPr>
            <w:r w:rsidRPr="00F95C93">
              <w:rPr>
                <w:rFonts w:cs="Calibri"/>
                <w:b/>
                <w:bCs/>
                <w:color w:val="FFFFFF" w:themeColor="background1"/>
                <w:sz w:val="18"/>
                <w:lang w:val="sq-AL"/>
              </w:rPr>
              <w:t>Plotesisht</w:t>
            </w:r>
          </w:p>
        </w:tc>
        <w:tc>
          <w:tcPr>
            <w:tcW w:w="677" w:type="pct"/>
            <w:tcBorders>
              <w:bottom w:val="single" w:sz="4" w:space="0" w:color="0F6FC6" w:themeColor="accent1"/>
            </w:tcBorders>
            <w:shd w:val="clear" w:color="auto" w:fill="0B5294" w:themeFill="accent1" w:themeFillShade="BF"/>
            <w:hideMark/>
          </w:tcPr>
          <w:p w:rsidR="00FF602B" w:rsidRPr="00F95C93" w:rsidRDefault="00FF602B" w:rsidP="00FF602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color w:val="FFFFFF" w:themeColor="background1"/>
                <w:sz w:val="18"/>
                <w:lang w:val="sq-AL"/>
              </w:rPr>
            </w:pPr>
            <w:r w:rsidRPr="00F95C93">
              <w:rPr>
                <w:rFonts w:cs="Calibri"/>
                <w:b/>
                <w:bCs/>
                <w:color w:val="FFFFFF" w:themeColor="background1"/>
                <w:sz w:val="18"/>
                <w:lang w:val="sq-AL"/>
              </w:rPr>
              <w:t>Pjeserisht</w:t>
            </w:r>
          </w:p>
        </w:tc>
        <w:tc>
          <w:tcPr>
            <w:tcW w:w="738" w:type="pct"/>
            <w:tcBorders>
              <w:bottom w:val="single" w:sz="4" w:space="0" w:color="0F6FC6" w:themeColor="accent1"/>
            </w:tcBorders>
            <w:shd w:val="clear" w:color="auto" w:fill="0B5294" w:themeFill="accent1" w:themeFillShade="BF"/>
            <w:noWrap/>
            <w:hideMark/>
          </w:tcPr>
          <w:p w:rsidR="00FF602B" w:rsidRPr="00F95C93" w:rsidRDefault="00FF602B" w:rsidP="00FF602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color w:val="FFFFFF" w:themeColor="background1"/>
                <w:sz w:val="18"/>
                <w:lang w:val="sq-AL"/>
              </w:rPr>
            </w:pPr>
            <w:r w:rsidRPr="00F95C93">
              <w:rPr>
                <w:rFonts w:cs="Calibri"/>
                <w:b/>
                <w:bCs/>
                <w:color w:val="FFFFFF" w:themeColor="background1"/>
                <w:sz w:val="18"/>
                <w:lang w:val="sq-AL"/>
              </w:rPr>
              <w:t xml:space="preserve">Pa realizuar </w:t>
            </w:r>
          </w:p>
        </w:tc>
      </w:tr>
      <w:tr w:rsidR="00FF602B" w:rsidRPr="00F95C93" w:rsidTr="00FF602B">
        <w:trPr>
          <w:cnfStyle w:val="000000100000" w:firstRow="0" w:lastRow="0" w:firstColumn="0" w:lastColumn="0" w:oddVBand="0" w:evenVBand="0" w:oddHBand="1" w:evenHBand="0" w:firstRowFirstColumn="0" w:firstRowLastColumn="0" w:lastRowFirstColumn="0" w:lastRowLastColumn="0"/>
          <w:trHeight w:val="234"/>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1</w:t>
            </w:r>
          </w:p>
        </w:tc>
        <w:tc>
          <w:tcPr>
            <w:tcW w:w="1950" w:type="pct"/>
            <w:noWrap/>
            <w:hideMark/>
          </w:tcPr>
          <w:p w:rsidR="00FF602B" w:rsidRPr="00F95C93" w:rsidRDefault="00FF602B" w:rsidP="00FF602B">
            <w:pPr>
              <w:spacing w:before="0" w:line="240" w:lineRule="auto"/>
              <w:cnfStyle w:val="000000100000" w:firstRow="0" w:lastRow="0" w:firstColumn="0" w:lastColumn="0" w:oddVBand="0" w:evenVBand="0" w:oddHBand="1" w:evenHBand="0" w:firstRowFirstColumn="0" w:firstRowLastColumn="0" w:lastRowFirstColumn="0" w:lastRowLastColumn="0"/>
              <w:rPr>
                <w:rFonts w:cs="Calibri"/>
                <w:b/>
                <w:bCs/>
                <w:sz w:val="18"/>
                <w:szCs w:val="18"/>
                <w:lang w:val="sq-AL"/>
              </w:rPr>
            </w:pPr>
            <w:r w:rsidRPr="00F95C93">
              <w:rPr>
                <w:rFonts w:cs="Calibri"/>
                <w:b/>
                <w:bCs/>
                <w:sz w:val="18"/>
                <w:szCs w:val="18"/>
                <w:lang w:val="sq-AL"/>
              </w:rPr>
              <w:t xml:space="preserve">Ministria e Bujqesise dhe Zhvillimit Rural </w:t>
            </w:r>
          </w:p>
        </w:tc>
        <w:tc>
          <w:tcPr>
            <w:tcW w:w="677" w:type="pct"/>
            <w:noWrap/>
            <w:hideMark/>
          </w:tcPr>
          <w:p w:rsidR="00FF602B" w:rsidRPr="00F95C93" w:rsidRDefault="00FF602B" w:rsidP="00FF602B">
            <w:pPr>
              <w:spacing w:before="0" w:line="240" w:lineRule="auto"/>
              <w:jc w:val="center"/>
              <w:cnfStyle w:val="000000100000" w:firstRow="0" w:lastRow="0" w:firstColumn="0" w:lastColumn="0" w:oddVBand="0" w:evenVBand="0" w:oddHBand="1" w:evenHBand="0" w:firstRowFirstColumn="0" w:firstRowLastColumn="0" w:lastRowFirstColumn="0" w:lastRowLastColumn="0"/>
              <w:rPr>
                <w:sz w:val="18"/>
              </w:rPr>
            </w:pPr>
            <w:r w:rsidRPr="00F95C93">
              <w:rPr>
                <w:sz w:val="18"/>
              </w:rPr>
              <w:t>86</w:t>
            </w:r>
          </w:p>
        </w:tc>
        <w:tc>
          <w:tcPr>
            <w:tcW w:w="677" w:type="pct"/>
            <w:noWrap/>
            <w:hideMark/>
          </w:tcPr>
          <w:p w:rsidR="00FF602B" w:rsidRPr="00F95C93" w:rsidRDefault="00FF602B" w:rsidP="00FF602B">
            <w:pPr>
              <w:spacing w:before="0" w:line="240" w:lineRule="auto"/>
              <w:jc w:val="center"/>
              <w:cnfStyle w:val="000000100000" w:firstRow="0" w:lastRow="0" w:firstColumn="0" w:lastColumn="0" w:oddVBand="0" w:evenVBand="0" w:oddHBand="1" w:evenHBand="0" w:firstRowFirstColumn="0" w:firstRowLastColumn="0" w:lastRowFirstColumn="0" w:lastRowLastColumn="0"/>
              <w:rPr>
                <w:sz w:val="18"/>
              </w:rPr>
            </w:pPr>
            <w:r w:rsidRPr="00F95C93">
              <w:rPr>
                <w:sz w:val="18"/>
              </w:rPr>
              <w:t>68</w:t>
            </w:r>
          </w:p>
        </w:tc>
        <w:tc>
          <w:tcPr>
            <w:tcW w:w="677" w:type="pct"/>
            <w:noWrap/>
            <w:hideMark/>
          </w:tcPr>
          <w:p w:rsidR="00FF602B" w:rsidRPr="00F95C93" w:rsidRDefault="00FF602B" w:rsidP="00FF602B">
            <w:pPr>
              <w:spacing w:before="0" w:line="240" w:lineRule="auto"/>
              <w:jc w:val="center"/>
              <w:cnfStyle w:val="000000100000" w:firstRow="0" w:lastRow="0" w:firstColumn="0" w:lastColumn="0" w:oddVBand="0" w:evenVBand="0" w:oddHBand="1" w:evenHBand="0" w:firstRowFirstColumn="0" w:firstRowLastColumn="0" w:lastRowFirstColumn="0" w:lastRowLastColumn="0"/>
              <w:rPr>
                <w:sz w:val="18"/>
              </w:rPr>
            </w:pPr>
            <w:r w:rsidRPr="00F95C93">
              <w:rPr>
                <w:sz w:val="18"/>
              </w:rPr>
              <w:t>2</w:t>
            </w:r>
          </w:p>
        </w:tc>
        <w:tc>
          <w:tcPr>
            <w:tcW w:w="738" w:type="pct"/>
            <w:noWrap/>
            <w:hideMark/>
          </w:tcPr>
          <w:p w:rsidR="00FF602B" w:rsidRPr="00F95C93" w:rsidRDefault="00FF602B" w:rsidP="00FF602B">
            <w:pPr>
              <w:spacing w:before="0" w:line="240" w:lineRule="auto"/>
              <w:jc w:val="center"/>
              <w:cnfStyle w:val="000000100000" w:firstRow="0" w:lastRow="0" w:firstColumn="0" w:lastColumn="0" w:oddVBand="0" w:evenVBand="0" w:oddHBand="1" w:evenHBand="0" w:firstRowFirstColumn="0" w:firstRowLastColumn="0" w:lastRowFirstColumn="0" w:lastRowLastColumn="0"/>
              <w:rPr>
                <w:sz w:val="18"/>
              </w:rPr>
            </w:pPr>
            <w:r w:rsidRPr="00F95C93">
              <w:rPr>
                <w:sz w:val="18"/>
              </w:rPr>
              <w:t>16</w:t>
            </w:r>
          </w:p>
        </w:tc>
      </w:tr>
      <w:tr w:rsidR="00FF602B" w:rsidRPr="00F95C93" w:rsidTr="00FF602B">
        <w:trPr>
          <w:trHeight w:val="223"/>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2</w:t>
            </w:r>
          </w:p>
        </w:tc>
        <w:tc>
          <w:tcPr>
            <w:tcW w:w="1950" w:type="pct"/>
            <w:hideMark/>
          </w:tcPr>
          <w:p w:rsidR="00FF602B" w:rsidRPr="00F95C93" w:rsidRDefault="00FF602B" w:rsidP="00FF602B">
            <w:pPr>
              <w:spacing w:before="0" w:line="240" w:lineRule="auto"/>
              <w:cnfStyle w:val="000000000000" w:firstRow="0" w:lastRow="0" w:firstColumn="0" w:lastColumn="0" w:oddVBand="0" w:evenVBand="0" w:oddHBand="0" w:evenHBand="0" w:firstRowFirstColumn="0" w:firstRowLastColumn="0" w:lastRowFirstColumn="0" w:lastRowLastColumn="0"/>
              <w:rPr>
                <w:rFonts w:cs="Calibri"/>
                <w:b/>
                <w:bCs/>
                <w:sz w:val="18"/>
                <w:szCs w:val="18"/>
                <w:lang w:val="sq-AL"/>
              </w:rPr>
            </w:pPr>
            <w:r w:rsidRPr="00F95C93">
              <w:rPr>
                <w:rFonts w:cs="Calibri"/>
                <w:b/>
                <w:bCs/>
                <w:sz w:val="18"/>
                <w:szCs w:val="18"/>
                <w:lang w:val="sq-AL"/>
              </w:rPr>
              <w:t>Ministria e Infrastruktures dhe Energjise</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105</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77</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18</w:t>
            </w:r>
          </w:p>
        </w:tc>
        <w:tc>
          <w:tcPr>
            <w:tcW w:w="738"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10</w:t>
            </w:r>
          </w:p>
        </w:tc>
      </w:tr>
      <w:tr w:rsidR="00FF602B" w:rsidRPr="00F95C93" w:rsidTr="00FF602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3</w:t>
            </w:r>
          </w:p>
        </w:tc>
        <w:tc>
          <w:tcPr>
            <w:tcW w:w="1950" w:type="pct"/>
            <w:hideMark/>
          </w:tcPr>
          <w:p w:rsidR="00FF602B" w:rsidRPr="00F95C93" w:rsidRDefault="00FF602B" w:rsidP="00FF602B">
            <w:pPr>
              <w:spacing w:before="0" w:line="240" w:lineRule="auto"/>
              <w:cnfStyle w:val="000000100000" w:firstRow="0" w:lastRow="0" w:firstColumn="0" w:lastColumn="0" w:oddVBand="0" w:evenVBand="0" w:oddHBand="1" w:evenHBand="0" w:firstRowFirstColumn="0" w:firstRowLastColumn="0" w:lastRowFirstColumn="0" w:lastRowLastColumn="0"/>
              <w:rPr>
                <w:rFonts w:cs="Calibri"/>
                <w:b/>
                <w:bCs/>
                <w:sz w:val="18"/>
                <w:szCs w:val="18"/>
                <w:lang w:val="sq-AL"/>
              </w:rPr>
            </w:pPr>
            <w:r w:rsidRPr="00F95C93">
              <w:rPr>
                <w:rFonts w:cs="Calibri"/>
                <w:b/>
                <w:bCs/>
                <w:sz w:val="18"/>
                <w:szCs w:val="18"/>
                <w:lang w:val="sq-AL"/>
              </w:rPr>
              <w:t>Ministria e Financave dhe Ekonomise</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sz w:val="18"/>
                <w:lang w:val="sq-AL"/>
              </w:rPr>
            </w:pPr>
            <w:r w:rsidRPr="00F95C93">
              <w:rPr>
                <w:sz w:val="18"/>
                <w:lang w:val="sq-AL"/>
              </w:rPr>
              <w:t>127</w:t>
            </w:r>
          </w:p>
        </w:tc>
        <w:tc>
          <w:tcPr>
            <w:tcW w:w="677" w:type="pct"/>
            <w:noWrap/>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sz w:val="18"/>
                <w:lang w:val="sq-AL"/>
              </w:rPr>
            </w:pPr>
            <w:r w:rsidRPr="00F95C93">
              <w:rPr>
                <w:sz w:val="18"/>
                <w:lang w:val="sq-AL"/>
              </w:rPr>
              <w:t>108</w:t>
            </w:r>
          </w:p>
        </w:tc>
        <w:tc>
          <w:tcPr>
            <w:tcW w:w="677" w:type="pct"/>
            <w:noWrap/>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sz w:val="18"/>
                <w:lang w:val="sq-AL"/>
              </w:rPr>
            </w:pPr>
            <w:r w:rsidRPr="00F95C93">
              <w:rPr>
                <w:sz w:val="18"/>
                <w:lang w:val="sq-AL"/>
              </w:rPr>
              <w:t>10</w:t>
            </w:r>
          </w:p>
        </w:tc>
        <w:tc>
          <w:tcPr>
            <w:tcW w:w="738" w:type="pct"/>
            <w:noWrap/>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sz w:val="18"/>
                <w:lang w:val="sq-AL"/>
              </w:rPr>
            </w:pPr>
            <w:r w:rsidRPr="00F95C93">
              <w:rPr>
                <w:sz w:val="18"/>
                <w:lang w:val="sq-AL"/>
              </w:rPr>
              <w:t>9</w:t>
            </w:r>
          </w:p>
        </w:tc>
      </w:tr>
      <w:tr w:rsidR="00FF602B" w:rsidRPr="00F95C93" w:rsidTr="00FF602B">
        <w:trPr>
          <w:trHeight w:val="223"/>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4</w:t>
            </w:r>
          </w:p>
        </w:tc>
        <w:tc>
          <w:tcPr>
            <w:tcW w:w="1950" w:type="pct"/>
            <w:hideMark/>
          </w:tcPr>
          <w:p w:rsidR="00FF602B" w:rsidRPr="00F95C93" w:rsidRDefault="00FF602B" w:rsidP="00FF602B">
            <w:pPr>
              <w:spacing w:before="0" w:line="240" w:lineRule="auto"/>
              <w:cnfStyle w:val="000000000000" w:firstRow="0" w:lastRow="0" w:firstColumn="0" w:lastColumn="0" w:oddVBand="0" w:evenVBand="0" w:oddHBand="0" w:evenHBand="0" w:firstRowFirstColumn="0" w:firstRowLastColumn="0" w:lastRowFirstColumn="0" w:lastRowLastColumn="0"/>
              <w:rPr>
                <w:rFonts w:cs="Calibri"/>
                <w:b/>
                <w:bCs/>
                <w:sz w:val="18"/>
                <w:szCs w:val="18"/>
                <w:lang w:val="sq-AL"/>
              </w:rPr>
            </w:pPr>
            <w:r w:rsidRPr="00F95C93">
              <w:rPr>
                <w:rFonts w:cs="Calibri"/>
                <w:b/>
                <w:bCs/>
                <w:sz w:val="18"/>
                <w:szCs w:val="18"/>
                <w:lang w:val="sq-AL"/>
              </w:rPr>
              <w:t>Ministria e Arsimit, Sportit dhe Rinise</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74</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61</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11</w:t>
            </w:r>
          </w:p>
        </w:tc>
        <w:tc>
          <w:tcPr>
            <w:tcW w:w="738"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2</w:t>
            </w:r>
          </w:p>
        </w:tc>
      </w:tr>
      <w:tr w:rsidR="00FF602B" w:rsidRPr="00F95C93" w:rsidTr="00FF602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5</w:t>
            </w:r>
          </w:p>
        </w:tc>
        <w:tc>
          <w:tcPr>
            <w:tcW w:w="1950" w:type="pct"/>
            <w:hideMark/>
          </w:tcPr>
          <w:p w:rsidR="00FF602B" w:rsidRPr="00F95C93" w:rsidRDefault="00FF602B" w:rsidP="00FF602B">
            <w:pPr>
              <w:spacing w:before="0" w:line="240" w:lineRule="auto"/>
              <w:cnfStyle w:val="000000100000" w:firstRow="0" w:lastRow="0" w:firstColumn="0" w:lastColumn="0" w:oddVBand="0" w:evenVBand="0" w:oddHBand="1" w:evenHBand="0" w:firstRowFirstColumn="0" w:firstRowLastColumn="0" w:lastRowFirstColumn="0" w:lastRowLastColumn="0"/>
              <w:rPr>
                <w:rFonts w:cs="Calibri"/>
                <w:b/>
                <w:bCs/>
                <w:sz w:val="18"/>
                <w:szCs w:val="18"/>
                <w:lang w:val="sq-AL"/>
              </w:rPr>
            </w:pPr>
            <w:r w:rsidRPr="00F95C93">
              <w:rPr>
                <w:rFonts w:cs="Calibri"/>
                <w:b/>
                <w:bCs/>
                <w:sz w:val="18"/>
                <w:szCs w:val="18"/>
                <w:lang w:val="sq-AL"/>
              </w:rPr>
              <w:t>Ministria e Kultures</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58</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33</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20</w:t>
            </w:r>
          </w:p>
        </w:tc>
        <w:tc>
          <w:tcPr>
            <w:tcW w:w="738" w:type="pct"/>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5</w:t>
            </w:r>
          </w:p>
        </w:tc>
      </w:tr>
      <w:tr w:rsidR="00FF602B" w:rsidRPr="00F95C93" w:rsidTr="00FF602B">
        <w:trPr>
          <w:trHeight w:val="194"/>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6</w:t>
            </w:r>
          </w:p>
        </w:tc>
        <w:tc>
          <w:tcPr>
            <w:tcW w:w="1950" w:type="pct"/>
            <w:hideMark/>
          </w:tcPr>
          <w:p w:rsidR="00FF602B" w:rsidRPr="00F95C93" w:rsidRDefault="00FF602B" w:rsidP="00FF602B">
            <w:pPr>
              <w:spacing w:before="0" w:line="240" w:lineRule="auto"/>
              <w:cnfStyle w:val="000000000000" w:firstRow="0" w:lastRow="0" w:firstColumn="0" w:lastColumn="0" w:oddVBand="0" w:evenVBand="0" w:oddHBand="0" w:evenHBand="0" w:firstRowFirstColumn="0" w:firstRowLastColumn="0" w:lastRowFirstColumn="0" w:lastRowLastColumn="0"/>
              <w:rPr>
                <w:rFonts w:cs="Calibri"/>
                <w:b/>
                <w:bCs/>
                <w:sz w:val="18"/>
                <w:szCs w:val="18"/>
                <w:lang w:val="sq-AL"/>
              </w:rPr>
            </w:pPr>
            <w:r w:rsidRPr="00F95C93">
              <w:rPr>
                <w:rFonts w:cs="Calibri"/>
                <w:b/>
                <w:bCs/>
                <w:sz w:val="18"/>
                <w:szCs w:val="18"/>
                <w:lang w:val="sq-AL"/>
              </w:rPr>
              <w:t>Ministria e Shendetesise dhe Mbrotjes Sociale</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53</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32</w:t>
            </w:r>
          </w:p>
        </w:tc>
        <w:tc>
          <w:tcPr>
            <w:tcW w:w="677"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20</w:t>
            </w:r>
          </w:p>
        </w:tc>
        <w:tc>
          <w:tcPr>
            <w:tcW w:w="738" w:type="pct"/>
            <w:noWrap/>
            <w:hideMark/>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szCs w:val="18"/>
                <w:lang w:val="sq-AL"/>
              </w:rPr>
            </w:pPr>
            <w:r w:rsidRPr="00F95C93">
              <w:rPr>
                <w:rFonts w:cs="Calibri"/>
                <w:sz w:val="18"/>
                <w:szCs w:val="18"/>
                <w:lang w:val="sq-AL"/>
              </w:rPr>
              <w:t>1</w:t>
            </w:r>
          </w:p>
        </w:tc>
      </w:tr>
      <w:tr w:rsidR="00FF602B" w:rsidRPr="00F95C93" w:rsidTr="00FF602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7</w:t>
            </w:r>
          </w:p>
        </w:tc>
        <w:tc>
          <w:tcPr>
            <w:tcW w:w="1950" w:type="pct"/>
            <w:hideMark/>
          </w:tcPr>
          <w:p w:rsidR="00FF602B" w:rsidRPr="00F95C93" w:rsidRDefault="00FF602B" w:rsidP="00FF602B">
            <w:pPr>
              <w:spacing w:before="0" w:line="240" w:lineRule="auto"/>
              <w:cnfStyle w:val="000000100000" w:firstRow="0" w:lastRow="0" w:firstColumn="0" w:lastColumn="0" w:oddVBand="0" w:evenVBand="0" w:oddHBand="1" w:evenHBand="0" w:firstRowFirstColumn="0" w:firstRowLastColumn="0" w:lastRowFirstColumn="0" w:lastRowLastColumn="0"/>
              <w:rPr>
                <w:rFonts w:cs="Calibri"/>
                <w:b/>
                <w:bCs/>
                <w:sz w:val="18"/>
                <w:szCs w:val="18"/>
                <w:lang w:val="sq-AL"/>
              </w:rPr>
            </w:pPr>
            <w:r w:rsidRPr="00F95C93">
              <w:rPr>
                <w:rFonts w:cs="Calibri"/>
                <w:b/>
                <w:bCs/>
                <w:sz w:val="18"/>
                <w:szCs w:val="18"/>
                <w:lang w:val="sq-AL"/>
              </w:rPr>
              <w:t>Ministria e Drejtesise</w:t>
            </w:r>
          </w:p>
        </w:tc>
        <w:tc>
          <w:tcPr>
            <w:tcW w:w="677" w:type="pct"/>
            <w:noWrap/>
            <w:hideMark/>
          </w:tcPr>
          <w:p w:rsidR="00FF602B" w:rsidRPr="00F95C93" w:rsidRDefault="00FF602B" w:rsidP="00FF602B">
            <w:pPr>
              <w:spacing w:before="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F95C93">
              <w:rPr>
                <w:sz w:val="18"/>
                <w:szCs w:val="18"/>
              </w:rPr>
              <w:t>59</w:t>
            </w:r>
          </w:p>
        </w:tc>
        <w:tc>
          <w:tcPr>
            <w:tcW w:w="677" w:type="pct"/>
            <w:noWrap/>
            <w:hideMark/>
          </w:tcPr>
          <w:p w:rsidR="00FF602B" w:rsidRPr="00F95C93" w:rsidRDefault="00FF602B" w:rsidP="00FF602B">
            <w:pPr>
              <w:spacing w:before="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F95C93">
              <w:rPr>
                <w:sz w:val="18"/>
                <w:szCs w:val="18"/>
              </w:rPr>
              <w:t>42</w:t>
            </w:r>
          </w:p>
        </w:tc>
        <w:tc>
          <w:tcPr>
            <w:tcW w:w="677" w:type="pct"/>
            <w:noWrap/>
            <w:hideMark/>
          </w:tcPr>
          <w:p w:rsidR="00FF602B" w:rsidRPr="00F95C93" w:rsidRDefault="00FF602B" w:rsidP="00FF602B">
            <w:pPr>
              <w:spacing w:before="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F95C93">
              <w:rPr>
                <w:sz w:val="18"/>
                <w:szCs w:val="18"/>
              </w:rPr>
              <w:t>13</w:t>
            </w:r>
          </w:p>
        </w:tc>
        <w:tc>
          <w:tcPr>
            <w:tcW w:w="738" w:type="pct"/>
            <w:noWrap/>
            <w:hideMark/>
          </w:tcPr>
          <w:p w:rsidR="00FF602B" w:rsidRPr="00F95C93" w:rsidRDefault="00FF602B" w:rsidP="00FF602B">
            <w:pPr>
              <w:spacing w:before="0" w:line="240" w:lineRule="auto"/>
              <w:jc w:val="center"/>
              <w:cnfStyle w:val="000000100000" w:firstRow="0" w:lastRow="0" w:firstColumn="0" w:lastColumn="0" w:oddVBand="0" w:evenVBand="0" w:oddHBand="1" w:evenHBand="0" w:firstRowFirstColumn="0" w:firstRowLastColumn="0" w:lastRowFirstColumn="0" w:lastRowLastColumn="0"/>
              <w:rPr>
                <w:sz w:val="18"/>
                <w:szCs w:val="18"/>
              </w:rPr>
            </w:pPr>
            <w:r w:rsidRPr="00F95C93">
              <w:rPr>
                <w:sz w:val="18"/>
                <w:szCs w:val="18"/>
              </w:rPr>
              <w:t>4</w:t>
            </w:r>
          </w:p>
        </w:tc>
      </w:tr>
      <w:tr w:rsidR="00FF602B" w:rsidRPr="00F95C93" w:rsidTr="00FF602B">
        <w:trPr>
          <w:trHeight w:val="223"/>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8</w:t>
            </w:r>
          </w:p>
        </w:tc>
        <w:tc>
          <w:tcPr>
            <w:tcW w:w="1950" w:type="pct"/>
            <w:hideMark/>
          </w:tcPr>
          <w:p w:rsidR="00FF602B" w:rsidRPr="00F95C93" w:rsidRDefault="00FF602B" w:rsidP="00FF602B">
            <w:pPr>
              <w:spacing w:before="0" w:line="240" w:lineRule="auto"/>
              <w:cnfStyle w:val="000000000000" w:firstRow="0" w:lastRow="0" w:firstColumn="0" w:lastColumn="0" w:oddVBand="0" w:evenVBand="0" w:oddHBand="0" w:evenHBand="0" w:firstRowFirstColumn="0" w:firstRowLastColumn="0" w:lastRowFirstColumn="0" w:lastRowLastColumn="0"/>
              <w:rPr>
                <w:rFonts w:cs="Calibri"/>
                <w:b/>
                <w:bCs/>
                <w:sz w:val="18"/>
                <w:szCs w:val="18"/>
                <w:lang w:val="sq-AL"/>
              </w:rPr>
            </w:pPr>
            <w:r w:rsidRPr="00F95C93">
              <w:rPr>
                <w:rFonts w:cs="Calibri"/>
                <w:b/>
                <w:bCs/>
                <w:sz w:val="18"/>
                <w:szCs w:val="18"/>
                <w:lang w:val="sq-AL"/>
              </w:rPr>
              <w:t>Ministria per Evropen dhe Punet e Jashtme</w:t>
            </w:r>
          </w:p>
        </w:tc>
        <w:tc>
          <w:tcPr>
            <w:tcW w:w="677" w:type="pct"/>
            <w:noWrap/>
            <w:hideMark/>
          </w:tcPr>
          <w:p w:rsidR="00FF602B" w:rsidRPr="00F95C93" w:rsidRDefault="00FF602B" w:rsidP="00FF602B">
            <w:pPr>
              <w:spacing w:before="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95C93">
              <w:rPr>
                <w:sz w:val="18"/>
                <w:szCs w:val="18"/>
              </w:rPr>
              <w:t>25</w:t>
            </w:r>
          </w:p>
        </w:tc>
        <w:tc>
          <w:tcPr>
            <w:tcW w:w="677" w:type="pct"/>
            <w:noWrap/>
            <w:hideMark/>
          </w:tcPr>
          <w:p w:rsidR="00FF602B" w:rsidRPr="00F95C93" w:rsidRDefault="00FF602B" w:rsidP="00FF602B">
            <w:pPr>
              <w:spacing w:before="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95C93">
              <w:rPr>
                <w:sz w:val="18"/>
                <w:szCs w:val="18"/>
              </w:rPr>
              <w:t>14</w:t>
            </w:r>
          </w:p>
        </w:tc>
        <w:tc>
          <w:tcPr>
            <w:tcW w:w="677" w:type="pct"/>
            <w:noWrap/>
            <w:hideMark/>
          </w:tcPr>
          <w:p w:rsidR="00FF602B" w:rsidRPr="00F95C93" w:rsidRDefault="00FF602B" w:rsidP="00FF602B">
            <w:pPr>
              <w:spacing w:before="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95C93">
              <w:rPr>
                <w:sz w:val="18"/>
                <w:szCs w:val="18"/>
              </w:rPr>
              <w:t>8</w:t>
            </w:r>
          </w:p>
        </w:tc>
        <w:tc>
          <w:tcPr>
            <w:tcW w:w="738" w:type="pct"/>
            <w:noWrap/>
            <w:hideMark/>
          </w:tcPr>
          <w:p w:rsidR="00FF602B" w:rsidRPr="00F95C93" w:rsidRDefault="00FF602B" w:rsidP="00FF602B">
            <w:pPr>
              <w:spacing w:before="0" w:line="240" w:lineRule="auto"/>
              <w:jc w:val="center"/>
              <w:cnfStyle w:val="000000000000" w:firstRow="0" w:lastRow="0" w:firstColumn="0" w:lastColumn="0" w:oddVBand="0" w:evenVBand="0" w:oddHBand="0" w:evenHBand="0" w:firstRowFirstColumn="0" w:firstRowLastColumn="0" w:lastRowFirstColumn="0" w:lastRowLastColumn="0"/>
              <w:rPr>
                <w:sz w:val="18"/>
                <w:szCs w:val="18"/>
              </w:rPr>
            </w:pPr>
            <w:r w:rsidRPr="00F95C93">
              <w:rPr>
                <w:sz w:val="18"/>
                <w:szCs w:val="18"/>
              </w:rPr>
              <w:t>3</w:t>
            </w:r>
          </w:p>
        </w:tc>
      </w:tr>
      <w:tr w:rsidR="00FF602B" w:rsidRPr="00F95C93" w:rsidTr="00FF602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9</w:t>
            </w:r>
          </w:p>
        </w:tc>
        <w:tc>
          <w:tcPr>
            <w:tcW w:w="1950" w:type="pct"/>
            <w:hideMark/>
          </w:tcPr>
          <w:p w:rsidR="00FF602B" w:rsidRPr="00F95C93" w:rsidRDefault="00FF602B" w:rsidP="00FF602B">
            <w:pPr>
              <w:spacing w:before="0" w:line="240" w:lineRule="auto"/>
              <w:cnfStyle w:val="000000100000" w:firstRow="0" w:lastRow="0" w:firstColumn="0" w:lastColumn="0" w:oddVBand="0" w:evenVBand="0" w:oddHBand="1" w:evenHBand="0" w:firstRowFirstColumn="0" w:firstRowLastColumn="0" w:lastRowFirstColumn="0" w:lastRowLastColumn="0"/>
              <w:rPr>
                <w:rFonts w:cs="Calibri"/>
                <w:b/>
                <w:bCs/>
                <w:sz w:val="18"/>
                <w:szCs w:val="18"/>
                <w:lang w:val="sq-AL"/>
              </w:rPr>
            </w:pPr>
            <w:r w:rsidRPr="00F95C93">
              <w:rPr>
                <w:rFonts w:cs="Calibri"/>
                <w:b/>
                <w:bCs/>
                <w:sz w:val="18"/>
                <w:szCs w:val="18"/>
                <w:lang w:val="sq-AL"/>
              </w:rPr>
              <w:t>Ministria e Brendshme</w:t>
            </w:r>
          </w:p>
        </w:tc>
        <w:tc>
          <w:tcPr>
            <w:tcW w:w="677" w:type="pct"/>
            <w:shd w:val="clear" w:color="auto" w:fill="FFFFFF" w:themeFill="background1"/>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106</w:t>
            </w:r>
          </w:p>
        </w:tc>
        <w:tc>
          <w:tcPr>
            <w:tcW w:w="677" w:type="pct"/>
            <w:shd w:val="clear" w:color="auto" w:fill="FFFFFF" w:themeFill="background1"/>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86</w:t>
            </w:r>
          </w:p>
        </w:tc>
        <w:tc>
          <w:tcPr>
            <w:tcW w:w="677" w:type="pct"/>
            <w:shd w:val="clear" w:color="auto" w:fill="FFFFFF" w:themeFill="background1"/>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6</w:t>
            </w:r>
          </w:p>
        </w:tc>
        <w:tc>
          <w:tcPr>
            <w:tcW w:w="738" w:type="pct"/>
            <w:shd w:val="clear" w:color="auto" w:fill="FFFFFF" w:themeFill="background1"/>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14</w:t>
            </w:r>
          </w:p>
        </w:tc>
      </w:tr>
      <w:tr w:rsidR="00FF602B" w:rsidRPr="00F95C93" w:rsidTr="00FF602B">
        <w:trPr>
          <w:trHeight w:val="223"/>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10</w:t>
            </w:r>
          </w:p>
        </w:tc>
        <w:tc>
          <w:tcPr>
            <w:tcW w:w="1950" w:type="pct"/>
            <w:hideMark/>
          </w:tcPr>
          <w:p w:rsidR="00FF602B" w:rsidRPr="00F95C93" w:rsidRDefault="00FF602B" w:rsidP="00FF602B">
            <w:pPr>
              <w:spacing w:before="0" w:line="240" w:lineRule="auto"/>
              <w:cnfStyle w:val="000000000000" w:firstRow="0" w:lastRow="0" w:firstColumn="0" w:lastColumn="0" w:oddVBand="0" w:evenVBand="0" w:oddHBand="0" w:evenHBand="0" w:firstRowFirstColumn="0" w:firstRowLastColumn="0" w:lastRowFirstColumn="0" w:lastRowLastColumn="0"/>
              <w:rPr>
                <w:rFonts w:cs="Calibri"/>
                <w:b/>
                <w:bCs/>
                <w:sz w:val="18"/>
                <w:szCs w:val="18"/>
                <w:lang w:val="sq-AL"/>
              </w:rPr>
            </w:pPr>
            <w:r w:rsidRPr="00F95C93">
              <w:rPr>
                <w:rFonts w:cs="Calibri"/>
                <w:b/>
                <w:bCs/>
                <w:sz w:val="18"/>
                <w:szCs w:val="18"/>
                <w:lang w:val="sq-AL"/>
              </w:rPr>
              <w:t>Ministria e Mbrojtjes</w:t>
            </w:r>
          </w:p>
        </w:tc>
        <w:tc>
          <w:tcPr>
            <w:tcW w:w="677" w:type="pct"/>
            <w:shd w:val="clear" w:color="auto" w:fill="FFFFFF" w:themeFill="background1"/>
            <w:noWrap/>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lang w:val="sq-AL"/>
              </w:rPr>
            </w:pPr>
            <w:r w:rsidRPr="00F95C93">
              <w:rPr>
                <w:rFonts w:cs="Calibri"/>
                <w:sz w:val="18"/>
                <w:lang w:val="sq-AL"/>
              </w:rPr>
              <w:t>102</w:t>
            </w:r>
          </w:p>
        </w:tc>
        <w:tc>
          <w:tcPr>
            <w:tcW w:w="677" w:type="pct"/>
            <w:shd w:val="clear" w:color="auto" w:fill="FFFFFF" w:themeFill="background1"/>
            <w:noWrap/>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lang w:val="sq-AL"/>
              </w:rPr>
            </w:pPr>
            <w:r w:rsidRPr="00F95C93">
              <w:rPr>
                <w:rFonts w:cs="Calibri"/>
                <w:sz w:val="18"/>
                <w:lang w:val="sq-AL"/>
              </w:rPr>
              <w:t>74</w:t>
            </w:r>
          </w:p>
        </w:tc>
        <w:tc>
          <w:tcPr>
            <w:tcW w:w="677" w:type="pct"/>
            <w:shd w:val="clear" w:color="auto" w:fill="FFFFFF" w:themeFill="background1"/>
            <w:noWrap/>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lang w:val="sq-AL"/>
              </w:rPr>
            </w:pPr>
            <w:r w:rsidRPr="00F95C93">
              <w:rPr>
                <w:rFonts w:cs="Calibri"/>
                <w:sz w:val="18"/>
                <w:lang w:val="sq-AL"/>
              </w:rPr>
              <w:t>12</w:t>
            </w:r>
          </w:p>
        </w:tc>
        <w:tc>
          <w:tcPr>
            <w:tcW w:w="738" w:type="pct"/>
            <w:shd w:val="clear" w:color="auto" w:fill="FFFFFF" w:themeFill="background1"/>
            <w:noWrap/>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8"/>
                <w:lang w:val="sq-AL"/>
              </w:rPr>
            </w:pPr>
            <w:r w:rsidRPr="00F95C93">
              <w:rPr>
                <w:rFonts w:cs="Calibri"/>
                <w:sz w:val="18"/>
                <w:lang w:val="sq-AL"/>
              </w:rPr>
              <w:t>16</w:t>
            </w:r>
          </w:p>
        </w:tc>
      </w:tr>
      <w:tr w:rsidR="00FF602B" w:rsidRPr="00F95C93" w:rsidTr="00FF602B">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11</w:t>
            </w:r>
          </w:p>
        </w:tc>
        <w:tc>
          <w:tcPr>
            <w:tcW w:w="1950" w:type="pct"/>
            <w:noWrap/>
            <w:hideMark/>
          </w:tcPr>
          <w:p w:rsidR="00FF602B" w:rsidRPr="00F95C93" w:rsidRDefault="00FF602B" w:rsidP="00FF602B">
            <w:pPr>
              <w:spacing w:before="0" w:line="240" w:lineRule="auto"/>
              <w:cnfStyle w:val="000000100000" w:firstRow="0" w:lastRow="0" w:firstColumn="0" w:lastColumn="0" w:oddVBand="0" w:evenVBand="0" w:oddHBand="1" w:evenHBand="0" w:firstRowFirstColumn="0" w:firstRowLastColumn="0" w:lastRowFirstColumn="0" w:lastRowLastColumn="0"/>
              <w:rPr>
                <w:rFonts w:cs="Calibri"/>
                <w:b/>
                <w:bCs/>
                <w:sz w:val="18"/>
                <w:szCs w:val="18"/>
                <w:lang w:val="sq-AL"/>
              </w:rPr>
            </w:pPr>
            <w:r w:rsidRPr="00F95C93">
              <w:rPr>
                <w:rFonts w:cs="Calibri"/>
                <w:b/>
                <w:bCs/>
                <w:sz w:val="18"/>
                <w:szCs w:val="18"/>
                <w:lang w:val="sq-AL"/>
              </w:rPr>
              <w:t>Ministria e Turizmit dhe Mjedisit</w:t>
            </w:r>
          </w:p>
        </w:tc>
        <w:tc>
          <w:tcPr>
            <w:tcW w:w="677" w:type="pct"/>
            <w:shd w:val="clear" w:color="auto" w:fill="FFFFFF" w:themeFill="background1"/>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59</w:t>
            </w:r>
          </w:p>
        </w:tc>
        <w:tc>
          <w:tcPr>
            <w:tcW w:w="677" w:type="pct"/>
            <w:shd w:val="clear" w:color="auto" w:fill="FFFFFF" w:themeFill="background1"/>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54</w:t>
            </w:r>
          </w:p>
        </w:tc>
        <w:tc>
          <w:tcPr>
            <w:tcW w:w="677" w:type="pct"/>
            <w:shd w:val="clear" w:color="auto" w:fill="FFFFFF" w:themeFill="background1"/>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Pr>
                <w:rFonts w:cs="Calibri"/>
                <w:sz w:val="18"/>
                <w:lang w:val="sq-AL"/>
              </w:rPr>
              <w:t>1</w:t>
            </w:r>
          </w:p>
        </w:tc>
        <w:tc>
          <w:tcPr>
            <w:tcW w:w="738" w:type="pct"/>
            <w:shd w:val="clear" w:color="auto" w:fill="FFFFFF" w:themeFill="background1"/>
            <w:noWrap/>
            <w:hideMark/>
          </w:tcPr>
          <w:p w:rsidR="00FF602B" w:rsidRPr="00F95C93" w:rsidRDefault="00FF602B" w:rsidP="00FF602B">
            <w:pPr>
              <w:autoSpaceDE w:val="0"/>
              <w:autoSpaceDN w:val="0"/>
              <w:adjustRightInd w:val="0"/>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8"/>
                <w:lang w:val="sq-AL"/>
              </w:rPr>
            </w:pPr>
            <w:r w:rsidRPr="00F95C93">
              <w:rPr>
                <w:rFonts w:cs="Calibri"/>
                <w:sz w:val="18"/>
                <w:lang w:val="sq-AL"/>
              </w:rPr>
              <w:t>4</w:t>
            </w:r>
          </w:p>
        </w:tc>
      </w:tr>
      <w:tr w:rsidR="00FF602B" w:rsidRPr="00F95C93" w:rsidTr="00FF602B">
        <w:trPr>
          <w:trHeight w:val="234"/>
          <w:jc w:val="center"/>
        </w:trPr>
        <w:tc>
          <w:tcPr>
            <w:cnfStyle w:val="001000000000" w:firstRow="0" w:lastRow="0" w:firstColumn="1" w:lastColumn="0" w:oddVBand="0" w:evenVBand="0" w:oddHBand="0" w:evenHBand="0" w:firstRowFirstColumn="0" w:firstRowLastColumn="0" w:lastRowFirstColumn="0" w:lastRowLastColumn="0"/>
            <w:tcW w:w="279" w:type="pct"/>
            <w:noWrap/>
            <w:hideMark/>
          </w:tcPr>
          <w:p w:rsidR="00FF602B" w:rsidRPr="00F95C93" w:rsidRDefault="00FF602B" w:rsidP="00FF602B">
            <w:pPr>
              <w:spacing w:before="0" w:line="240" w:lineRule="auto"/>
              <w:jc w:val="center"/>
              <w:rPr>
                <w:rFonts w:cs="Calibri"/>
                <w:sz w:val="18"/>
                <w:lang w:val="sq-AL"/>
              </w:rPr>
            </w:pPr>
            <w:r w:rsidRPr="00F95C93">
              <w:rPr>
                <w:rFonts w:cs="Calibri"/>
                <w:sz w:val="18"/>
                <w:lang w:val="sq-AL"/>
              </w:rPr>
              <w:t> </w:t>
            </w:r>
          </w:p>
        </w:tc>
        <w:tc>
          <w:tcPr>
            <w:tcW w:w="1950" w:type="pct"/>
            <w:noWrap/>
            <w:hideMark/>
          </w:tcPr>
          <w:p w:rsidR="00FF602B" w:rsidRPr="00F95C93" w:rsidRDefault="00FF602B" w:rsidP="00FF602B">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sz w:val="18"/>
                <w:lang w:val="sq-AL"/>
              </w:rPr>
            </w:pPr>
            <w:r w:rsidRPr="00F95C93">
              <w:rPr>
                <w:rFonts w:cs="Calibri"/>
                <w:b/>
                <w:bCs/>
                <w:sz w:val="18"/>
                <w:lang w:val="sq-AL"/>
              </w:rPr>
              <w:t>TOTALI</w:t>
            </w:r>
          </w:p>
        </w:tc>
        <w:tc>
          <w:tcPr>
            <w:tcW w:w="677" w:type="pct"/>
            <w:noWrap/>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sz w:val="18"/>
                <w:lang w:val="sq-AL"/>
              </w:rPr>
            </w:pPr>
            <w:r w:rsidRPr="00F95C93">
              <w:rPr>
                <w:rFonts w:cs="Calibri"/>
                <w:b/>
                <w:bCs/>
                <w:sz w:val="18"/>
                <w:lang w:val="sq-AL"/>
              </w:rPr>
              <w:t>854</w:t>
            </w:r>
          </w:p>
        </w:tc>
        <w:tc>
          <w:tcPr>
            <w:tcW w:w="677" w:type="pct"/>
            <w:noWrap/>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sz w:val="18"/>
                <w:lang w:val="sq-AL"/>
              </w:rPr>
            </w:pPr>
            <w:r w:rsidRPr="00F95C93">
              <w:rPr>
                <w:rFonts w:cs="Calibri"/>
                <w:b/>
                <w:bCs/>
                <w:sz w:val="18"/>
                <w:lang w:val="sq-AL"/>
              </w:rPr>
              <w:t>649</w:t>
            </w:r>
          </w:p>
        </w:tc>
        <w:tc>
          <w:tcPr>
            <w:tcW w:w="677" w:type="pct"/>
            <w:noWrap/>
          </w:tcPr>
          <w:p w:rsidR="00FF602B" w:rsidRPr="00F95C93" w:rsidRDefault="00FF602B" w:rsidP="00FF602B">
            <w:pPr>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sz w:val="18"/>
                <w:lang w:val="sq-AL"/>
              </w:rPr>
            </w:pPr>
            <w:r w:rsidRPr="00F95C93">
              <w:rPr>
                <w:rFonts w:cs="Calibri"/>
                <w:b/>
                <w:bCs/>
                <w:sz w:val="18"/>
                <w:lang w:val="sq-AL"/>
              </w:rPr>
              <w:t>12</w:t>
            </w:r>
            <w:r>
              <w:rPr>
                <w:rFonts w:cs="Calibri"/>
                <w:b/>
                <w:bCs/>
                <w:sz w:val="18"/>
                <w:lang w:val="sq-AL"/>
              </w:rPr>
              <w:t>1</w:t>
            </w:r>
          </w:p>
        </w:tc>
        <w:tc>
          <w:tcPr>
            <w:tcW w:w="738" w:type="pct"/>
            <w:noWrap/>
          </w:tcPr>
          <w:p w:rsidR="00FF602B" w:rsidRPr="00F95C93" w:rsidRDefault="00FF602B" w:rsidP="00FF602B">
            <w:pPr>
              <w:keepNext/>
              <w:autoSpaceDE w:val="0"/>
              <w:autoSpaceDN w:val="0"/>
              <w:adjustRightInd w:val="0"/>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sz w:val="18"/>
                <w:lang w:val="sq-AL"/>
              </w:rPr>
            </w:pPr>
            <w:r w:rsidRPr="00F95C93">
              <w:rPr>
                <w:rFonts w:cs="Calibri"/>
                <w:b/>
                <w:bCs/>
                <w:sz w:val="18"/>
                <w:lang w:val="sq-AL"/>
              </w:rPr>
              <w:t>84</w:t>
            </w:r>
          </w:p>
        </w:tc>
      </w:tr>
    </w:tbl>
    <w:p w:rsidR="007B7B50" w:rsidRDefault="007B7B50" w:rsidP="00FC729E">
      <w:pPr>
        <w:pStyle w:val="Caption"/>
        <w:spacing w:after="0"/>
        <w:rPr>
          <w:rFonts w:cs="Calibri"/>
          <w:lang w:val="sq-AL"/>
        </w:rPr>
      </w:pPr>
      <w:bookmarkStart w:id="253" w:name="_Toc136526350"/>
      <w:r w:rsidRPr="00476D2E">
        <w:rPr>
          <w:rFonts w:cs="Calibri"/>
          <w:lang w:val="sq-AL"/>
        </w:rPr>
        <w:t xml:space="preserve">Tabela </w:t>
      </w:r>
      <w:r w:rsidRPr="00476D2E">
        <w:rPr>
          <w:rFonts w:cs="Calibri"/>
          <w:lang w:val="sq-AL"/>
        </w:rPr>
        <w:fldChar w:fldCharType="begin"/>
      </w:r>
      <w:r w:rsidRPr="00476D2E">
        <w:rPr>
          <w:rFonts w:cs="Calibri"/>
          <w:lang w:val="sq-AL"/>
        </w:rPr>
        <w:instrText xml:space="preserve"> SEQ Tabela \* ARABIC </w:instrText>
      </w:r>
      <w:r w:rsidRPr="00476D2E">
        <w:rPr>
          <w:rFonts w:cs="Calibri"/>
          <w:lang w:val="sq-AL"/>
        </w:rPr>
        <w:fldChar w:fldCharType="separate"/>
      </w:r>
      <w:r w:rsidR="008C3E07">
        <w:rPr>
          <w:rFonts w:cs="Calibri"/>
          <w:noProof/>
          <w:lang w:val="sq-AL"/>
        </w:rPr>
        <w:t>24</w:t>
      </w:r>
      <w:r w:rsidRPr="00476D2E">
        <w:rPr>
          <w:rFonts w:cs="Calibri"/>
          <w:noProof/>
          <w:lang w:val="sq-AL"/>
        </w:rPr>
        <w:fldChar w:fldCharType="end"/>
      </w:r>
      <w:r w:rsidRPr="00476D2E">
        <w:rPr>
          <w:rFonts w:cs="Calibri"/>
          <w:lang w:val="sq-AL"/>
        </w:rPr>
        <w:t xml:space="preserve"> Realizimi i buxhetit 202</w:t>
      </w:r>
      <w:r w:rsidR="00FF602B">
        <w:rPr>
          <w:rFonts w:cs="Calibri"/>
          <w:lang w:val="sq-AL"/>
        </w:rPr>
        <w:t>2</w:t>
      </w:r>
      <w:r w:rsidRPr="00476D2E">
        <w:rPr>
          <w:rFonts w:cs="Calibri"/>
          <w:lang w:val="sq-AL"/>
        </w:rPr>
        <w:t xml:space="preserve"> në disa institucione kryesore qendrore</w:t>
      </w:r>
      <w:bookmarkEnd w:id="253"/>
    </w:p>
    <w:tbl>
      <w:tblPr>
        <w:tblW w:w="5204" w:type="pct"/>
        <w:jc w:val="center"/>
        <w:tblLook w:val="04A0" w:firstRow="1" w:lastRow="0" w:firstColumn="1" w:lastColumn="0" w:noHBand="0" w:noVBand="1"/>
      </w:tblPr>
      <w:tblGrid>
        <w:gridCol w:w="2401"/>
        <w:gridCol w:w="991"/>
        <w:gridCol w:w="991"/>
        <w:gridCol w:w="991"/>
        <w:gridCol w:w="991"/>
        <w:gridCol w:w="991"/>
        <w:gridCol w:w="991"/>
        <w:gridCol w:w="932"/>
        <w:gridCol w:w="1004"/>
      </w:tblGrid>
      <w:tr w:rsidR="00FF602B" w:rsidRPr="00F95C93" w:rsidTr="00FF602B">
        <w:trPr>
          <w:trHeight w:val="173"/>
          <w:jc w:val="center"/>
        </w:trPr>
        <w:tc>
          <w:tcPr>
            <w:tcW w:w="1167" w:type="pct"/>
            <w:tcBorders>
              <w:top w:val="single" w:sz="8" w:space="0" w:color="4472C4"/>
              <w:left w:val="single" w:sz="8" w:space="0" w:color="4472C4"/>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sz w:val="16"/>
                <w:szCs w:val="16"/>
              </w:rPr>
            </w:pPr>
            <w:r w:rsidRPr="00F95C93">
              <w:rPr>
                <w:rFonts w:cs="Calibri"/>
                <w:b/>
                <w:bCs/>
                <w:color w:val="FFFFFF"/>
                <w:sz w:val="16"/>
                <w:szCs w:val="16"/>
                <w:lang w:val="sq-AL"/>
              </w:rPr>
              <w:t> </w:t>
            </w:r>
          </w:p>
        </w:tc>
        <w:tc>
          <w:tcPr>
            <w:tcW w:w="482" w:type="pct"/>
            <w:tcBorders>
              <w:top w:val="single" w:sz="8" w:space="0" w:color="4472C4"/>
              <w:left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 </w:t>
            </w:r>
          </w:p>
        </w:tc>
        <w:tc>
          <w:tcPr>
            <w:tcW w:w="482" w:type="pct"/>
            <w:tcBorders>
              <w:top w:val="single" w:sz="8" w:space="0" w:color="4472C4"/>
              <w:left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 </w:t>
            </w:r>
          </w:p>
        </w:tc>
        <w:tc>
          <w:tcPr>
            <w:tcW w:w="482" w:type="pct"/>
            <w:tcBorders>
              <w:top w:val="single" w:sz="8" w:space="0" w:color="4472C4"/>
              <w:left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 </w:t>
            </w:r>
          </w:p>
        </w:tc>
        <w:tc>
          <w:tcPr>
            <w:tcW w:w="482" w:type="pct"/>
            <w:tcBorders>
              <w:top w:val="single" w:sz="8" w:space="0" w:color="4472C4"/>
              <w:left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 </w:t>
            </w:r>
          </w:p>
        </w:tc>
        <w:tc>
          <w:tcPr>
            <w:tcW w:w="482" w:type="pct"/>
            <w:tcBorders>
              <w:top w:val="single" w:sz="8" w:space="0" w:color="4472C4"/>
              <w:left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 </w:t>
            </w:r>
          </w:p>
        </w:tc>
        <w:tc>
          <w:tcPr>
            <w:tcW w:w="482" w:type="pct"/>
            <w:tcBorders>
              <w:top w:val="single" w:sz="8" w:space="0" w:color="4472C4"/>
              <w:left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 </w:t>
            </w:r>
          </w:p>
        </w:tc>
        <w:tc>
          <w:tcPr>
            <w:tcW w:w="453" w:type="pct"/>
            <w:tcBorders>
              <w:top w:val="single" w:sz="8" w:space="0" w:color="4472C4"/>
              <w:left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Total</w:t>
            </w:r>
          </w:p>
        </w:tc>
        <w:tc>
          <w:tcPr>
            <w:tcW w:w="491" w:type="pct"/>
            <w:vMerge w:val="restart"/>
            <w:tcBorders>
              <w:top w:val="single" w:sz="8" w:space="0" w:color="4472C4"/>
              <w:left w:val="nil"/>
              <w:bottom w:val="single" w:sz="8" w:space="0" w:color="4472C4"/>
              <w:right w:val="single" w:sz="8" w:space="0" w:color="4472C4"/>
            </w:tcBorders>
            <w:shd w:val="clear" w:color="000000" w:fill="0B5294" w:themeFill="accent1" w:themeFillShade="BF"/>
            <w:vAlign w:val="center"/>
            <w:hideMark/>
          </w:tcPr>
          <w:p w:rsidR="00FF602B" w:rsidRDefault="00FF602B" w:rsidP="00FF602B">
            <w:pPr>
              <w:spacing w:before="0" w:line="240" w:lineRule="auto"/>
              <w:jc w:val="center"/>
              <w:rPr>
                <w:rFonts w:cs="Calibri"/>
                <w:b/>
                <w:bCs/>
                <w:color w:val="FFFFFF" w:themeColor="background1"/>
                <w:sz w:val="16"/>
                <w:szCs w:val="16"/>
                <w:lang w:val="sq-AL"/>
              </w:rPr>
            </w:pPr>
            <w:r w:rsidRPr="00F95C93">
              <w:rPr>
                <w:rFonts w:cs="Calibri"/>
                <w:b/>
                <w:bCs/>
                <w:color w:val="FFFFFF" w:themeColor="background1"/>
                <w:sz w:val="16"/>
                <w:szCs w:val="16"/>
                <w:lang w:val="sq-AL"/>
              </w:rPr>
              <w:t>Fakti 2022</w:t>
            </w:r>
          </w:p>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/Fakti 2021</w:t>
            </w:r>
          </w:p>
        </w:tc>
      </w:tr>
      <w:tr w:rsidR="00FF602B" w:rsidRPr="00F95C93" w:rsidTr="00FF602B">
        <w:trPr>
          <w:trHeight w:val="391"/>
          <w:jc w:val="center"/>
        </w:trPr>
        <w:tc>
          <w:tcPr>
            <w:tcW w:w="1167" w:type="pct"/>
            <w:tcBorders>
              <w:top w:val="nil"/>
              <w:left w:val="single" w:sz="8" w:space="0" w:color="4472C4"/>
              <w:bottom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sz w:val="8"/>
                <w:szCs w:val="8"/>
              </w:rPr>
            </w:pPr>
            <w:r w:rsidRPr="00F95C93">
              <w:rPr>
                <w:rFonts w:cs="Calibri"/>
                <w:b/>
                <w:bCs/>
                <w:color w:val="FFFFFF"/>
                <w:sz w:val="18"/>
                <w:szCs w:val="8"/>
                <w:lang w:val="sq-AL"/>
              </w:rPr>
              <w:t>Institucioni</w:t>
            </w:r>
          </w:p>
        </w:tc>
        <w:tc>
          <w:tcPr>
            <w:tcW w:w="482" w:type="pct"/>
            <w:tcBorders>
              <w:top w:val="nil"/>
              <w:left w:val="nil"/>
              <w:bottom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lang w:val="sq-AL"/>
              </w:rPr>
            </w:pPr>
            <w:r w:rsidRPr="00F95C93">
              <w:rPr>
                <w:rFonts w:cs="Calibri"/>
                <w:b/>
                <w:bCs/>
                <w:color w:val="FFFFFF" w:themeColor="background1"/>
                <w:sz w:val="16"/>
                <w:szCs w:val="16"/>
                <w:lang w:val="sq-AL"/>
              </w:rPr>
              <w:t>2022</w:t>
            </w:r>
          </w:p>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Plan fillestar</w:t>
            </w:r>
          </w:p>
        </w:tc>
        <w:tc>
          <w:tcPr>
            <w:tcW w:w="482" w:type="pct"/>
            <w:tcBorders>
              <w:top w:val="nil"/>
              <w:left w:val="nil"/>
              <w:bottom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lang w:val="sq-AL"/>
              </w:rPr>
            </w:pPr>
            <w:r w:rsidRPr="00F95C93">
              <w:rPr>
                <w:rFonts w:cs="Calibri"/>
                <w:b/>
                <w:bCs/>
                <w:color w:val="FFFFFF" w:themeColor="background1"/>
                <w:sz w:val="16"/>
                <w:szCs w:val="16"/>
                <w:lang w:val="sq-AL"/>
              </w:rPr>
              <w:t>2022</w:t>
            </w:r>
          </w:p>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Plan i rishikuar</w:t>
            </w:r>
          </w:p>
        </w:tc>
        <w:tc>
          <w:tcPr>
            <w:tcW w:w="482" w:type="pct"/>
            <w:tcBorders>
              <w:top w:val="nil"/>
              <w:left w:val="nil"/>
              <w:bottom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lang w:val="sq-AL"/>
              </w:rPr>
            </w:pPr>
            <w:r w:rsidRPr="00F95C93">
              <w:rPr>
                <w:rFonts w:cs="Calibri"/>
                <w:b/>
                <w:bCs/>
                <w:color w:val="FFFFFF" w:themeColor="background1"/>
                <w:sz w:val="16"/>
                <w:szCs w:val="16"/>
                <w:lang w:val="sq-AL"/>
              </w:rPr>
              <w:t>2022</w:t>
            </w:r>
          </w:p>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(fakt)</w:t>
            </w:r>
          </w:p>
        </w:tc>
        <w:tc>
          <w:tcPr>
            <w:tcW w:w="482" w:type="pct"/>
            <w:tcBorders>
              <w:top w:val="nil"/>
              <w:left w:val="nil"/>
              <w:bottom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lang w:val="sq-AL"/>
              </w:rPr>
            </w:pPr>
            <w:r w:rsidRPr="00F95C93">
              <w:rPr>
                <w:rFonts w:cs="Calibri"/>
                <w:b/>
                <w:bCs/>
                <w:color w:val="FFFFFF" w:themeColor="background1"/>
                <w:sz w:val="16"/>
                <w:szCs w:val="16"/>
                <w:lang w:val="sq-AL"/>
              </w:rPr>
              <w:t>2021</w:t>
            </w:r>
          </w:p>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(fakt)</w:t>
            </w:r>
          </w:p>
        </w:tc>
        <w:tc>
          <w:tcPr>
            <w:tcW w:w="482" w:type="pct"/>
            <w:tcBorders>
              <w:top w:val="nil"/>
              <w:left w:val="nil"/>
              <w:bottom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Shpenzime korrente (fakt/plan)</w:t>
            </w:r>
          </w:p>
        </w:tc>
        <w:tc>
          <w:tcPr>
            <w:tcW w:w="482" w:type="pct"/>
            <w:tcBorders>
              <w:top w:val="nil"/>
              <w:left w:val="nil"/>
              <w:bottom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Shpenzime kapitale (fakt/plan)</w:t>
            </w:r>
          </w:p>
        </w:tc>
        <w:tc>
          <w:tcPr>
            <w:tcW w:w="453" w:type="pct"/>
            <w:tcBorders>
              <w:top w:val="nil"/>
              <w:left w:val="nil"/>
              <w:bottom w:val="nil"/>
              <w:right w:val="nil"/>
            </w:tcBorders>
            <w:shd w:val="clear" w:color="000000" w:fill="0B5294" w:themeFill="accent1" w:themeFillShade="BF"/>
            <w:vAlign w:val="center"/>
            <w:hideMark/>
          </w:tcPr>
          <w:p w:rsidR="00FF602B" w:rsidRPr="00F95C93" w:rsidRDefault="00FF602B" w:rsidP="00FF602B">
            <w:pPr>
              <w:spacing w:before="0" w:line="240" w:lineRule="auto"/>
              <w:jc w:val="center"/>
              <w:rPr>
                <w:rFonts w:cs="Calibri"/>
                <w:b/>
                <w:bCs/>
                <w:color w:val="FFFFFF" w:themeColor="background1"/>
                <w:sz w:val="16"/>
                <w:szCs w:val="16"/>
                <w:lang w:val="sq-AL"/>
              </w:rPr>
            </w:pPr>
            <w:r w:rsidRPr="00F95C93">
              <w:rPr>
                <w:rFonts w:cs="Calibri"/>
                <w:b/>
                <w:bCs/>
                <w:color w:val="FFFFFF" w:themeColor="background1"/>
                <w:sz w:val="16"/>
                <w:szCs w:val="16"/>
                <w:lang w:val="sq-AL"/>
              </w:rPr>
              <w:t>Gjithsej</w:t>
            </w:r>
          </w:p>
          <w:p w:rsidR="00FF602B" w:rsidRPr="00F95C93" w:rsidRDefault="00FF602B" w:rsidP="00FF602B">
            <w:pPr>
              <w:spacing w:before="0" w:line="240" w:lineRule="auto"/>
              <w:jc w:val="center"/>
              <w:rPr>
                <w:rFonts w:cs="Calibri"/>
                <w:b/>
                <w:bCs/>
                <w:color w:val="FFFFFF" w:themeColor="background1"/>
                <w:sz w:val="16"/>
                <w:szCs w:val="16"/>
              </w:rPr>
            </w:pPr>
            <w:r w:rsidRPr="00F95C93">
              <w:rPr>
                <w:rFonts w:cs="Calibri"/>
                <w:b/>
                <w:bCs/>
                <w:color w:val="FFFFFF" w:themeColor="background1"/>
                <w:sz w:val="16"/>
                <w:szCs w:val="16"/>
                <w:lang w:val="sq-AL"/>
              </w:rPr>
              <w:t>(fakt/plan 2022)</w:t>
            </w:r>
          </w:p>
        </w:tc>
        <w:tc>
          <w:tcPr>
            <w:tcW w:w="491" w:type="pct"/>
            <w:vMerge/>
            <w:tcBorders>
              <w:top w:val="single" w:sz="8" w:space="0" w:color="4472C4"/>
              <w:left w:val="nil"/>
              <w:bottom w:val="single" w:sz="8" w:space="0" w:color="4472C4"/>
              <w:right w:val="single" w:sz="8" w:space="0" w:color="4472C4"/>
            </w:tcBorders>
            <w:vAlign w:val="center"/>
            <w:hideMark/>
          </w:tcPr>
          <w:p w:rsidR="00FF602B" w:rsidRPr="00F95C93" w:rsidRDefault="00FF602B" w:rsidP="00FF602B">
            <w:pPr>
              <w:spacing w:before="0" w:line="240" w:lineRule="auto"/>
              <w:jc w:val="center"/>
              <w:rPr>
                <w:rFonts w:cs="Calibri"/>
                <w:b/>
                <w:bCs/>
                <w:color w:val="FFFFFF" w:themeColor="background1"/>
                <w:sz w:val="16"/>
                <w:szCs w:val="16"/>
              </w:rPr>
            </w:pP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Presidenca</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258,920</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251,591</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222,716</w:t>
            </w:r>
          </w:p>
        </w:tc>
        <w:tc>
          <w:tcPr>
            <w:tcW w:w="482" w:type="pct"/>
            <w:tcBorders>
              <w:top w:val="nil"/>
              <w:left w:val="nil"/>
              <w:bottom w:val="single" w:sz="8" w:space="0" w:color="92CDDC"/>
              <w:right w:val="single" w:sz="8" w:space="0" w:color="92CDDC"/>
            </w:tcBorders>
            <w:shd w:val="clear" w:color="000000" w:fill="DAEEF3"/>
            <w:noWrap/>
            <w:vAlign w:val="center"/>
            <w:hideMark/>
          </w:tcPr>
          <w:p w:rsidR="00FF602B" w:rsidRPr="00F95C93" w:rsidRDefault="00FF602B" w:rsidP="00FF602B">
            <w:pPr>
              <w:spacing w:before="0" w:line="240" w:lineRule="auto"/>
              <w:jc w:val="center"/>
              <w:rPr>
                <w:color w:val="000000"/>
                <w:sz w:val="16"/>
                <w:szCs w:val="16"/>
              </w:rPr>
            </w:pPr>
            <w:r w:rsidRPr="00F95C93">
              <w:rPr>
                <w:color w:val="000000"/>
                <w:sz w:val="16"/>
                <w:szCs w:val="16"/>
              </w:rPr>
              <w:t>187,437</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90%</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21%</w:t>
            </w:r>
          </w:p>
        </w:tc>
        <w:tc>
          <w:tcPr>
            <w:tcW w:w="453"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86%</w:t>
            </w:r>
          </w:p>
        </w:tc>
        <w:tc>
          <w:tcPr>
            <w:tcW w:w="491"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119%</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auto" w:fill="auto"/>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Kuvendi</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sz w:val="16"/>
                <w:szCs w:val="16"/>
              </w:rPr>
            </w:pPr>
            <w:r w:rsidRPr="00F95C93">
              <w:rPr>
                <w:sz w:val="16"/>
                <w:szCs w:val="16"/>
              </w:rPr>
              <w:t>1,431,566</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sz w:val="16"/>
                <w:szCs w:val="16"/>
              </w:rPr>
            </w:pPr>
            <w:r w:rsidRPr="00F95C93">
              <w:rPr>
                <w:sz w:val="16"/>
                <w:szCs w:val="16"/>
              </w:rPr>
              <w:t>1,202,949</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sz w:val="16"/>
                <w:szCs w:val="16"/>
              </w:rPr>
            </w:pPr>
            <w:r w:rsidRPr="00F95C93">
              <w:rPr>
                <w:sz w:val="16"/>
                <w:szCs w:val="16"/>
              </w:rPr>
              <w:t>1,165,938</w:t>
            </w:r>
          </w:p>
        </w:tc>
        <w:tc>
          <w:tcPr>
            <w:tcW w:w="482" w:type="pct"/>
            <w:tcBorders>
              <w:top w:val="nil"/>
              <w:left w:val="nil"/>
              <w:bottom w:val="single" w:sz="8" w:space="0" w:color="92CDDC"/>
              <w:right w:val="single" w:sz="8" w:space="0" w:color="92CDDC"/>
            </w:tcBorders>
            <w:shd w:val="clear" w:color="auto" w:fill="auto"/>
            <w:noWrap/>
            <w:vAlign w:val="center"/>
            <w:hideMark/>
          </w:tcPr>
          <w:p w:rsidR="00FF602B" w:rsidRPr="00F95C93" w:rsidRDefault="00FF602B" w:rsidP="00FF602B">
            <w:pPr>
              <w:spacing w:before="0" w:line="240" w:lineRule="auto"/>
              <w:jc w:val="center"/>
              <w:rPr>
                <w:sz w:val="16"/>
                <w:szCs w:val="16"/>
              </w:rPr>
            </w:pPr>
            <w:r w:rsidRPr="00F95C93">
              <w:rPr>
                <w:sz w:val="16"/>
                <w:szCs w:val="16"/>
              </w:rPr>
              <w:t>941,791</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85%</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66%</w:t>
            </w:r>
          </w:p>
        </w:tc>
        <w:tc>
          <w:tcPr>
            <w:tcW w:w="453"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81%</w:t>
            </w:r>
          </w:p>
        </w:tc>
        <w:tc>
          <w:tcPr>
            <w:tcW w:w="491"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124%</w:t>
            </w:r>
          </w:p>
        </w:tc>
      </w:tr>
      <w:tr w:rsidR="00FF602B" w:rsidRPr="00F95C93" w:rsidTr="00FF602B">
        <w:trPr>
          <w:trHeight w:val="184"/>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Kryeministria</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428,000</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473,040</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453,050</w:t>
            </w:r>
          </w:p>
        </w:tc>
        <w:tc>
          <w:tcPr>
            <w:tcW w:w="482" w:type="pct"/>
            <w:tcBorders>
              <w:top w:val="nil"/>
              <w:left w:val="nil"/>
              <w:bottom w:val="single" w:sz="8" w:space="0" w:color="8EAADB"/>
              <w:right w:val="single" w:sz="8" w:space="0" w:color="8EAADB"/>
            </w:tcBorders>
            <w:shd w:val="clear" w:color="000000" w:fill="D9E2F3"/>
            <w:noWrap/>
            <w:vAlign w:val="center"/>
            <w:hideMark/>
          </w:tcPr>
          <w:p w:rsidR="00FF602B" w:rsidRPr="00F95C93" w:rsidRDefault="00FF602B" w:rsidP="00FF602B">
            <w:pPr>
              <w:spacing w:before="0" w:line="240" w:lineRule="auto"/>
              <w:jc w:val="center"/>
              <w:rPr>
                <w:color w:val="000000"/>
                <w:sz w:val="16"/>
                <w:szCs w:val="16"/>
              </w:rPr>
            </w:pPr>
            <w:r w:rsidRPr="00F95C93">
              <w:rPr>
                <w:color w:val="000000"/>
                <w:sz w:val="16"/>
                <w:szCs w:val="16"/>
              </w:rPr>
              <w:t>1,143,323</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116%</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26%</w:t>
            </w:r>
          </w:p>
        </w:tc>
        <w:tc>
          <w:tcPr>
            <w:tcW w:w="453"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106%</w:t>
            </w:r>
          </w:p>
        </w:tc>
        <w:tc>
          <w:tcPr>
            <w:tcW w:w="491"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40%</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auto" w:fill="auto"/>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Ministria e Bujqesise dhe Zhvillimit Rural</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12,736,369</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13,600,154</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13,574,067</w:t>
            </w:r>
          </w:p>
        </w:tc>
        <w:tc>
          <w:tcPr>
            <w:tcW w:w="482" w:type="pct"/>
            <w:tcBorders>
              <w:top w:val="nil"/>
              <w:left w:val="nil"/>
              <w:bottom w:val="single" w:sz="8" w:space="0" w:color="8EAADB"/>
              <w:right w:val="single" w:sz="8" w:space="0" w:color="8EAADB"/>
            </w:tcBorders>
            <w:shd w:val="clear" w:color="auto" w:fill="auto"/>
            <w:noWrap/>
            <w:vAlign w:val="center"/>
            <w:hideMark/>
          </w:tcPr>
          <w:p w:rsidR="00FF602B" w:rsidRPr="00F95C93" w:rsidRDefault="00FF602B" w:rsidP="00FF602B">
            <w:pPr>
              <w:spacing w:before="0" w:line="240" w:lineRule="auto"/>
              <w:jc w:val="center"/>
              <w:rPr>
                <w:color w:val="000000"/>
                <w:sz w:val="16"/>
                <w:szCs w:val="16"/>
              </w:rPr>
            </w:pPr>
            <w:r w:rsidRPr="00F95C93">
              <w:rPr>
                <w:color w:val="000000"/>
                <w:sz w:val="16"/>
                <w:szCs w:val="16"/>
              </w:rPr>
              <w:t>12,849,593</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125%</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85%</w:t>
            </w:r>
          </w:p>
        </w:tc>
        <w:tc>
          <w:tcPr>
            <w:tcW w:w="453"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107%</w:t>
            </w:r>
          </w:p>
        </w:tc>
        <w:tc>
          <w:tcPr>
            <w:tcW w:w="491"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106%</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Ministria e Infrastruktures dhe Energjise</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47,471,725</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47,435,169</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45,328,484</w:t>
            </w:r>
          </w:p>
        </w:tc>
        <w:tc>
          <w:tcPr>
            <w:tcW w:w="482" w:type="pct"/>
            <w:tcBorders>
              <w:top w:val="nil"/>
              <w:left w:val="nil"/>
              <w:bottom w:val="single" w:sz="8" w:space="0" w:color="8EAADB"/>
              <w:right w:val="single" w:sz="8" w:space="0" w:color="8EAADB"/>
            </w:tcBorders>
            <w:shd w:val="clear" w:color="000000" w:fill="D9E2F3"/>
            <w:noWrap/>
            <w:hideMark/>
          </w:tcPr>
          <w:p w:rsidR="00FF602B" w:rsidRPr="00F95C93" w:rsidRDefault="00FF602B" w:rsidP="00FF602B">
            <w:pPr>
              <w:spacing w:before="0" w:line="240" w:lineRule="auto"/>
              <w:jc w:val="center"/>
              <w:rPr>
                <w:rFonts w:cs="Calibri"/>
                <w:color w:val="002060"/>
                <w:sz w:val="16"/>
                <w:szCs w:val="16"/>
                <w:lang w:val="sq-AL"/>
              </w:rPr>
            </w:pPr>
          </w:p>
          <w:p w:rsidR="00FF602B" w:rsidRPr="00F95C93" w:rsidRDefault="00FF602B" w:rsidP="00FF602B">
            <w:pPr>
              <w:spacing w:before="0" w:line="240" w:lineRule="auto"/>
              <w:jc w:val="center"/>
              <w:rPr>
                <w:rFonts w:cs="Calibri"/>
                <w:color w:val="002060"/>
                <w:sz w:val="16"/>
                <w:szCs w:val="16"/>
                <w:lang w:val="sq-AL"/>
              </w:rPr>
            </w:pPr>
            <w:r w:rsidRPr="00F95C93">
              <w:rPr>
                <w:rFonts w:cs="Calibri"/>
                <w:color w:val="002060"/>
                <w:sz w:val="16"/>
                <w:szCs w:val="16"/>
                <w:lang w:val="sq-AL"/>
              </w:rPr>
              <w:t>58,756,578</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151%</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89%</w:t>
            </w:r>
          </w:p>
        </w:tc>
        <w:tc>
          <w:tcPr>
            <w:tcW w:w="453"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95%</w:t>
            </w:r>
          </w:p>
        </w:tc>
        <w:tc>
          <w:tcPr>
            <w:tcW w:w="491"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77%</w:t>
            </w:r>
          </w:p>
        </w:tc>
      </w:tr>
      <w:tr w:rsidR="00FF602B" w:rsidRPr="00F95C93" w:rsidTr="00FF602B">
        <w:trPr>
          <w:trHeight w:val="181"/>
          <w:jc w:val="center"/>
        </w:trPr>
        <w:tc>
          <w:tcPr>
            <w:tcW w:w="1167" w:type="pct"/>
            <w:tcBorders>
              <w:top w:val="single" w:sz="8" w:space="0" w:color="8EAADB"/>
              <w:left w:val="single" w:sz="8" w:space="0" w:color="8EAADB"/>
              <w:bottom w:val="single" w:sz="8" w:space="0" w:color="8EAADB"/>
              <w:right w:val="single" w:sz="8" w:space="0" w:color="8EAADB"/>
            </w:tcBorders>
            <w:shd w:val="clear" w:color="000000" w:fill="auto"/>
            <w:vAlign w:val="center"/>
          </w:tcPr>
          <w:p w:rsidR="00FF602B" w:rsidRPr="00F95C93" w:rsidRDefault="00FF602B" w:rsidP="00FF602B">
            <w:pPr>
              <w:spacing w:before="0" w:line="240" w:lineRule="auto"/>
              <w:jc w:val="center"/>
              <w:rPr>
                <w:rFonts w:cs="Calibri"/>
                <w:b/>
                <w:bCs/>
                <w:sz w:val="16"/>
                <w:szCs w:val="16"/>
                <w:lang w:val="sq-AL"/>
              </w:rPr>
            </w:pPr>
            <w:r w:rsidRPr="00F95C93">
              <w:rPr>
                <w:rFonts w:cs="Calibri"/>
                <w:b/>
                <w:bCs/>
                <w:sz w:val="16"/>
                <w:szCs w:val="16"/>
                <w:lang w:val="sq-AL"/>
              </w:rPr>
              <w:t>Ministria e Financave dhe Ekonomise</w:t>
            </w:r>
          </w:p>
        </w:tc>
        <w:tc>
          <w:tcPr>
            <w:tcW w:w="482" w:type="pct"/>
            <w:tcBorders>
              <w:top w:val="single" w:sz="8" w:space="0" w:color="8EAADB"/>
              <w:left w:val="nil"/>
              <w:bottom w:val="single" w:sz="8" w:space="0" w:color="8EAADB"/>
              <w:right w:val="single" w:sz="8" w:space="0" w:color="8EAADB"/>
            </w:tcBorders>
            <w:shd w:val="clear" w:color="000000"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65,473,059</w:t>
            </w:r>
          </w:p>
        </w:tc>
        <w:tc>
          <w:tcPr>
            <w:tcW w:w="482" w:type="pct"/>
            <w:tcBorders>
              <w:top w:val="single" w:sz="8" w:space="0" w:color="8EAADB"/>
              <w:left w:val="nil"/>
              <w:bottom w:val="single" w:sz="8" w:space="0" w:color="8EAADB"/>
              <w:right w:val="single" w:sz="8" w:space="0" w:color="8EAADB"/>
            </w:tcBorders>
            <w:shd w:val="clear" w:color="000000"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77,242,952</w:t>
            </w:r>
          </w:p>
        </w:tc>
        <w:tc>
          <w:tcPr>
            <w:tcW w:w="482" w:type="pct"/>
            <w:tcBorders>
              <w:top w:val="single" w:sz="8" w:space="0" w:color="8EAADB"/>
              <w:left w:val="nil"/>
              <w:bottom w:val="single" w:sz="8" w:space="0" w:color="8EAADB"/>
              <w:right w:val="single" w:sz="8" w:space="0" w:color="8EAADB"/>
            </w:tcBorders>
            <w:shd w:val="clear" w:color="000000"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75,752,062</w:t>
            </w:r>
          </w:p>
        </w:tc>
        <w:tc>
          <w:tcPr>
            <w:tcW w:w="482" w:type="pct"/>
            <w:tcBorders>
              <w:top w:val="single" w:sz="8" w:space="0" w:color="8EAADB"/>
              <w:left w:val="nil"/>
              <w:bottom w:val="single" w:sz="8" w:space="0" w:color="8EAADB"/>
              <w:right w:val="single" w:sz="8" w:space="0" w:color="8EAADB"/>
            </w:tcBorders>
            <w:shd w:val="clear" w:color="000000"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69,715,039</w:t>
            </w:r>
          </w:p>
        </w:tc>
        <w:tc>
          <w:tcPr>
            <w:tcW w:w="482" w:type="pct"/>
            <w:tcBorders>
              <w:top w:val="single" w:sz="8" w:space="0" w:color="8EAADB"/>
              <w:left w:val="nil"/>
              <w:bottom w:val="single" w:sz="8" w:space="0" w:color="8EAADB"/>
              <w:right w:val="single" w:sz="8" w:space="0" w:color="8EAADB"/>
            </w:tcBorders>
            <w:shd w:val="clear" w:color="000000"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118%</w:t>
            </w:r>
          </w:p>
        </w:tc>
        <w:tc>
          <w:tcPr>
            <w:tcW w:w="482" w:type="pct"/>
            <w:tcBorders>
              <w:top w:val="single" w:sz="8" w:space="0" w:color="8EAADB"/>
              <w:left w:val="nil"/>
              <w:bottom w:val="single" w:sz="8" w:space="0" w:color="8EAADB"/>
              <w:right w:val="single" w:sz="8" w:space="0" w:color="8EAADB"/>
            </w:tcBorders>
            <w:shd w:val="clear" w:color="000000"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61%</w:t>
            </w:r>
          </w:p>
        </w:tc>
        <w:tc>
          <w:tcPr>
            <w:tcW w:w="453" w:type="pct"/>
            <w:tcBorders>
              <w:top w:val="single" w:sz="8" w:space="0" w:color="8EAADB"/>
              <w:left w:val="nil"/>
              <w:bottom w:val="single" w:sz="8" w:space="0" w:color="8EAADB"/>
              <w:right w:val="single" w:sz="8" w:space="0" w:color="8EAADB"/>
            </w:tcBorders>
            <w:shd w:val="clear" w:color="000000"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116%</w:t>
            </w:r>
          </w:p>
        </w:tc>
        <w:tc>
          <w:tcPr>
            <w:tcW w:w="491" w:type="pct"/>
            <w:tcBorders>
              <w:top w:val="single" w:sz="8" w:space="0" w:color="8EAADB"/>
              <w:left w:val="nil"/>
              <w:bottom w:val="single" w:sz="8" w:space="0" w:color="8EAADB"/>
              <w:right w:val="single" w:sz="8" w:space="0" w:color="8EAADB"/>
            </w:tcBorders>
            <w:shd w:val="clear" w:color="000000"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109%</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tcPr>
          <w:p w:rsidR="00FF602B" w:rsidRPr="00F95C93" w:rsidRDefault="00FF602B" w:rsidP="00FF602B">
            <w:pPr>
              <w:spacing w:before="0" w:line="240" w:lineRule="auto"/>
              <w:jc w:val="center"/>
              <w:rPr>
                <w:rFonts w:cs="Calibri"/>
                <w:b/>
                <w:bCs/>
                <w:sz w:val="16"/>
                <w:szCs w:val="16"/>
                <w:lang w:val="sq-AL"/>
              </w:rPr>
            </w:pPr>
            <w:r w:rsidRPr="00F95C93">
              <w:rPr>
                <w:rFonts w:cs="Calibri"/>
                <w:b/>
                <w:bCs/>
                <w:sz w:val="16"/>
                <w:szCs w:val="16"/>
                <w:lang w:val="sq-AL"/>
              </w:rPr>
              <w:t>Ministria e Arsimit Sportit dhe Rinise</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45,458,347</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46,947,584</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44,128,463</w:t>
            </w:r>
          </w:p>
        </w:tc>
        <w:tc>
          <w:tcPr>
            <w:tcW w:w="482" w:type="pct"/>
            <w:tcBorders>
              <w:top w:val="nil"/>
              <w:left w:val="nil"/>
              <w:bottom w:val="single" w:sz="8" w:space="0" w:color="8EAADB"/>
              <w:right w:val="single" w:sz="8" w:space="0" w:color="8EAADB"/>
            </w:tcBorders>
            <w:shd w:val="clear" w:color="000000" w:fill="D9E2F3"/>
            <w:noWrap/>
          </w:tcPr>
          <w:p w:rsidR="00FF602B" w:rsidRPr="00F95C93" w:rsidRDefault="00FF602B" w:rsidP="00FF602B">
            <w:pPr>
              <w:spacing w:before="0" w:line="240" w:lineRule="auto"/>
              <w:jc w:val="center"/>
              <w:rPr>
                <w:rFonts w:cs="Calibri"/>
                <w:color w:val="002060"/>
                <w:sz w:val="16"/>
                <w:szCs w:val="16"/>
                <w:lang w:val="sq-AL"/>
              </w:rPr>
            </w:pPr>
          </w:p>
          <w:p w:rsidR="00FF602B" w:rsidRPr="00F95C93" w:rsidRDefault="00FF602B" w:rsidP="00FF602B">
            <w:pPr>
              <w:spacing w:before="0" w:line="240" w:lineRule="auto"/>
              <w:jc w:val="center"/>
              <w:rPr>
                <w:rFonts w:cs="Calibri"/>
                <w:color w:val="002060"/>
                <w:sz w:val="16"/>
                <w:szCs w:val="16"/>
                <w:lang w:val="sq-AL"/>
              </w:rPr>
            </w:pPr>
            <w:r w:rsidRPr="00F95C93">
              <w:rPr>
                <w:rFonts w:cs="Calibri"/>
                <w:color w:val="002060"/>
                <w:sz w:val="16"/>
                <w:szCs w:val="16"/>
                <w:lang w:val="sq-AL"/>
              </w:rPr>
              <w:t>41,914,527</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102%</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53%</w:t>
            </w:r>
          </w:p>
        </w:tc>
        <w:tc>
          <w:tcPr>
            <w:tcW w:w="453"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97%</w:t>
            </w:r>
          </w:p>
        </w:tc>
        <w:tc>
          <w:tcPr>
            <w:tcW w:w="491"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105%</w:t>
            </w:r>
          </w:p>
        </w:tc>
      </w:tr>
      <w:tr w:rsidR="00FF602B" w:rsidRPr="00F95C93" w:rsidTr="00FF602B">
        <w:trPr>
          <w:trHeight w:val="220"/>
          <w:jc w:val="center"/>
        </w:trPr>
        <w:tc>
          <w:tcPr>
            <w:tcW w:w="1167" w:type="pct"/>
            <w:tcBorders>
              <w:top w:val="nil"/>
              <w:left w:val="single" w:sz="8" w:space="0" w:color="8EAADB"/>
              <w:bottom w:val="single" w:sz="8" w:space="0" w:color="8EAADB"/>
              <w:right w:val="single" w:sz="8" w:space="0" w:color="8EAADB"/>
            </w:tcBorders>
            <w:shd w:val="clear" w:color="auto" w:fill="auto"/>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Ministria e Kultures</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4,312,260</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4,375,741</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4,046,351</w:t>
            </w:r>
          </w:p>
        </w:tc>
        <w:tc>
          <w:tcPr>
            <w:tcW w:w="482" w:type="pct"/>
            <w:tcBorders>
              <w:top w:val="nil"/>
              <w:left w:val="nil"/>
              <w:bottom w:val="single" w:sz="8" w:space="0" w:color="8EAADB"/>
              <w:right w:val="single" w:sz="8" w:space="0" w:color="8EAADB"/>
            </w:tcBorders>
            <w:shd w:val="clear" w:color="auto" w:fill="auto"/>
            <w:noWrap/>
            <w:vAlign w:val="center"/>
            <w:hideMark/>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1,831,243</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141%</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57%</w:t>
            </w:r>
          </w:p>
        </w:tc>
        <w:tc>
          <w:tcPr>
            <w:tcW w:w="453"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94%</w:t>
            </w:r>
          </w:p>
        </w:tc>
        <w:tc>
          <w:tcPr>
            <w:tcW w:w="491"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220%</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Ministria e Shendetesise</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77,075,882</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77,551,975</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77,224,495</w:t>
            </w:r>
          </w:p>
        </w:tc>
        <w:tc>
          <w:tcPr>
            <w:tcW w:w="482" w:type="pct"/>
            <w:tcBorders>
              <w:top w:val="nil"/>
              <w:left w:val="nil"/>
              <w:bottom w:val="single" w:sz="8" w:space="0" w:color="8EAADB"/>
              <w:right w:val="single" w:sz="8" w:space="0" w:color="8EAADB"/>
            </w:tcBorders>
            <w:shd w:val="clear" w:color="000000" w:fill="D9E2F3"/>
            <w:noWrap/>
            <w:hideMark/>
          </w:tcPr>
          <w:p w:rsidR="00FF602B" w:rsidRPr="00F95C93" w:rsidRDefault="00FF602B" w:rsidP="00FF602B">
            <w:pPr>
              <w:spacing w:before="0" w:line="240" w:lineRule="auto"/>
              <w:jc w:val="center"/>
              <w:rPr>
                <w:rFonts w:cs="Calibri"/>
                <w:color w:val="002060"/>
                <w:sz w:val="16"/>
                <w:szCs w:val="16"/>
                <w:lang w:val="sq-AL"/>
              </w:rPr>
            </w:pPr>
            <w:r w:rsidRPr="00F95C93">
              <w:rPr>
                <w:rFonts w:cs="Calibri"/>
                <w:color w:val="002060"/>
                <w:sz w:val="16"/>
                <w:szCs w:val="16"/>
                <w:lang w:val="sq-AL"/>
              </w:rPr>
              <w:t>78,361,204</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100%</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111%</w:t>
            </w:r>
          </w:p>
        </w:tc>
        <w:tc>
          <w:tcPr>
            <w:tcW w:w="453"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100%</w:t>
            </w:r>
          </w:p>
        </w:tc>
        <w:tc>
          <w:tcPr>
            <w:tcW w:w="491"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99%</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auto" w:fill="auto"/>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Ministria e Drejtesise</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11,280,132</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8,534,980</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8,328,365</w:t>
            </w:r>
          </w:p>
        </w:tc>
        <w:tc>
          <w:tcPr>
            <w:tcW w:w="482" w:type="pct"/>
            <w:tcBorders>
              <w:top w:val="nil"/>
              <w:left w:val="nil"/>
              <w:bottom w:val="single" w:sz="8" w:space="0" w:color="8EAADB"/>
              <w:right w:val="single" w:sz="8" w:space="0" w:color="8EAADB"/>
            </w:tcBorders>
            <w:shd w:val="clear" w:color="auto" w:fill="auto"/>
            <w:noWrap/>
            <w:hideMark/>
          </w:tcPr>
          <w:p w:rsidR="00FF602B" w:rsidRPr="00F95C93" w:rsidRDefault="00FF602B" w:rsidP="00FF602B">
            <w:pPr>
              <w:spacing w:before="0" w:line="240" w:lineRule="auto"/>
              <w:jc w:val="center"/>
              <w:rPr>
                <w:color w:val="000000"/>
                <w:sz w:val="16"/>
                <w:szCs w:val="16"/>
              </w:rPr>
            </w:pPr>
            <w:r w:rsidRPr="00F95C93">
              <w:rPr>
                <w:color w:val="000000"/>
                <w:sz w:val="16"/>
                <w:szCs w:val="16"/>
              </w:rPr>
              <w:t>7,951,887</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74%</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75%</w:t>
            </w:r>
          </w:p>
        </w:tc>
        <w:tc>
          <w:tcPr>
            <w:tcW w:w="453"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74%</w:t>
            </w:r>
          </w:p>
        </w:tc>
        <w:tc>
          <w:tcPr>
            <w:tcW w:w="491"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105%</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Ministria per Evropen dhe Punet e Jashtme</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3,120,143</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2,945,932</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2,578,178</w:t>
            </w:r>
          </w:p>
        </w:tc>
        <w:tc>
          <w:tcPr>
            <w:tcW w:w="482" w:type="pct"/>
            <w:tcBorders>
              <w:top w:val="nil"/>
              <w:left w:val="nil"/>
              <w:bottom w:val="single" w:sz="8" w:space="0" w:color="8EAADB"/>
              <w:right w:val="single" w:sz="8" w:space="0" w:color="8EAADB"/>
            </w:tcBorders>
            <w:shd w:val="clear" w:color="000000" w:fill="D9E2F3"/>
            <w:noWrap/>
            <w:hideMark/>
          </w:tcPr>
          <w:p w:rsidR="00FF602B" w:rsidRPr="00F95C93" w:rsidRDefault="00FF602B" w:rsidP="00FF602B">
            <w:pPr>
              <w:spacing w:before="0" w:line="240" w:lineRule="auto"/>
              <w:jc w:val="center"/>
              <w:rPr>
                <w:color w:val="000000"/>
                <w:sz w:val="16"/>
                <w:szCs w:val="16"/>
              </w:rPr>
            </w:pPr>
          </w:p>
          <w:p w:rsidR="00FF602B" w:rsidRPr="00F95C93" w:rsidRDefault="00FF602B" w:rsidP="00FF602B">
            <w:pPr>
              <w:spacing w:before="0" w:line="240" w:lineRule="auto"/>
              <w:jc w:val="center"/>
              <w:rPr>
                <w:color w:val="000000"/>
                <w:sz w:val="16"/>
                <w:szCs w:val="16"/>
              </w:rPr>
            </w:pPr>
            <w:r w:rsidRPr="00F95C93">
              <w:rPr>
                <w:color w:val="000000"/>
                <w:sz w:val="16"/>
                <w:szCs w:val="16"/>
              </w:rPr>
              <w:t>2,933,703</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79%</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137%</w:t>
            </w:r>
          </w:p>
        </w:tc>
        <w:tc>
          <w:tcPr>
            <w:tcW w:w="453"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83%</w:t>
            </w:r>
          </w:p>
        </w:tc>
        <w:tc>
          <w:tcPr>
            <w:tcW w:w="491"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88%</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auto" w:fill="auto"/>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Ministria e Brendshme</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sz w:val="16"/>
                <w:szCs w:val="16"/>
              </w:rPr>
            </w:pPr>
            <w:r w:rsidRPr="00F95C93">
              <w:rPr>
                <w:sz w:val="16"/>
                <w:szCs w:val="16"/>
              </w:rPr>
              <w:t>21,191,400</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sz w:val="16"/>
                <w:szCs w:val="16"/>
              </w:rPr>
            </w:pPr>
            <w:r w:rsidRPr="00F95C93">
              <w:rPr>
                <w:sz w:val="16"/>
                <w:szCs w:val="16"/>
              </w:rPr>
              <w:t>22,449,693</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sz w:val="16"/>
                <w:szCs w:val="16"/>
              </w:rPr>
            </w:pPr>
            <w:r w:rsidRPr="00F95C93">
              <w:rPr>
                <w:sz w:val="16"/>
                <w:szCs w:val="16"/>
              </w:rPr>
              <w:t>22,245,726</w:t>
            </w:r>
          </w:p>
        </w:tc>
        <w:tc>
          <w:tcPr>
            <w:tcW w:w="482" w:type="pct"/>
            <w:tcBorders>
              <w:top w:val="nil"/>
              <w:left w:val="nil"/>
              <w:bottom w:val="single" w:sz="8" w:space="0" w:color="92CDDC"/>
              <w:right w:val="single" w:sz="8" w:space="0" w:color="92CDDC"/>
            </w:tcBorders>
            <w:shd w:val="clear" w:color="auto" w:fill="auto"/>
            <w:noWrap/>
            <w:vAlign w:val="center"/>
            <w:hideMark/>
          </w:tcPr>
          <w:p w:rsidR="00FF602B" w:rsidRPr="00F95C93" w:rsidRDefault="00FF602B" w:rsidP="00FF602B">
            <w:pPr>
              <w:spacing w:before="0" w:line="240" w:lineRule="auto"/>
              <w:jc w:val="center"/>
              <w:rPr>
                <w:sz w:val="16"/>
                <w:szCs w:val="16"/>
              </w:rPr>
            </w:pPr>
            <w:r w:rsidRPr="00F95C93">
              <w:rPr>
                <w:sz w:val="16"/>
                <w:szCs w:val="16"/>
              </w:rPr>
              <w:t>20,644,860</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104%</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123%</w:t>
            </w:r>
          </w:p>
        </w:tc>
        <w:tc>
          <w:tcPr>
            <w:tcW w:w="453"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105%</w:t>
            </w:r>
          </w:p>
        </w:tc>
        <w:tc>
          <w:tcPr>
            <w:tcW w:w="491"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108%</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Ministria e Mbrojtjes</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sz w:val="16"/>
                <w:szCs w:val="16"/>
              </w:rPr>
            </w:pPr>
            <w:r w:rsidRPr="00F95C93">
              <w:rPr>
                <w:sz w:val="16"/>
                <w:szCs w:val="16"/>
              </w:rPr>
              <w:t>32,632,805</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sz w:val="16"/>
                <w:szCs w:val="16"/>
              </w:rPr>
            </w:pPr>
            <w:r w:rsidRPr="00F95C93">
              <w:rPr>
                <w:sz w:val="16"/>
                <w:szCs w:val="16"/>
              </w:rPr>
              <w:t>26,955,438</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sz w:val="16"/>
                <w:szCs w:val="16"/>
              </w:rPr>
            </w:pPr>
            <w:r w:rsidRPr="00F95C93">
              <w:rPr>
                <w:sz w:val="16"/>
                <w:szCs w:val="16"/>
              </w:rPr>
              <w:t>25,847,561</w:t>
            </w:r>
          </w:p>
        </w:tc>
        <w:tc>
          <w:tcPr>
            <w:tcW w:w="482" w:type="pct"/>
            <w:tcBorders>
              <w:top w:val="nil"/>
              <w:left w:val="nil"/>
              <w:bottom w:val="single" w:sz="8" w:space="0" w:color="92CDDC"/>
              <w:right w:val="single" w:sz="8" w:space="0" w:color="92CDDC"/>
            </w:tcBorders>
            <w:shd w:val="clear" w:color="000000" w:fill="DAEEF3"/>
            <w:noWrap/>
            <w:vAlign w:val="center"/>
            <w:hideMark/>
          </w:tcPr>
          <w:p w:rsidR="00FF602B" w:rsidRPr="00F95C93" w:rsidRDefault="00FF602B" w:rsidP="00FF602B">
            <w:pPr>
              <w:spacing w:before="0" w:line="240" w:lineRule="auto"/>
              <w:jc w:val="center"/>
              <w:rPr>
                <w:sz w:val="16"/>
                <w:szCs w:val="16"/>
              </w:rPr>
            </w:pPr>
            <w:r w:rsidRPr="00F95C93">
              <w:rPr>
                <w:sz w:val="16"/>
                <w:szCs w:val="16"/>
              </w:rPr>
              <w:t>23,071,600</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90%</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56%</w:t>
            </w:r>
          </w:p>
        </w:tc>
        <w:tc>
          <w:tcPr>
            <w:tcW w:w="453"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79%</w:t>
            </w:r>
          </w:p>
        </w:tc>
        <w:tc>
          <w:tcPr>
            <w:tcW w:w="491"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112%</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auto" w:fill="auto"/>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Sherbimi Informativ Kombetar</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sz w:val="16"/>
                <w:szCs w:val="16"/>
              </w:rPr>
            </w:pPr>
            <w:r w:rsidRPr="00F95C93">
              <w:rPr>
                <w:sz w:val="16"/>
                <w:szCs w:val="16"/>
              </w:rPr>
              <w:t>1,873,200</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sz w:val="16"/>
                <w:szCs w:val="16"/>
              </w:rPr>
            </w:pPr>
            <w:r w:rsidRPr="00F95C93">
              <w:rPr>
                <w:sz w:val="16"/>
                <w:szCs w:val="16"/>
              </w:rPr>
              <w:t>1,706,553</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sz w:val="16"/>
                <w:szCs w:val="16"/>
              </w:rPr>
            </w:pPr>
            <w:r w:rsidRPr="00F95C93">
              <w:rPr>
                <w:sz w:val="16"/>
                <w:szCs w:val="16"/>
              </w:rPr>
              <w:t>1,674,750</w:t>
            </w:r>
          </w:p>
        </w:tc>
        <w:tc>
          <w:tcPr>
            <w:tcW w:w="482" w:type="pct"/>
            <w:tcBorders>
              <w:top w:val="nil"/>
              <w:left w:val="nil"/>
              <w:bottom w:val="single" w:sz="8" w:space="0" w:color="92CDDC"/>
              <w:right w:val="single" w:sz="8" w:space="0" w:color="92CDDC"/>
            </w:tcBorders>
            <w:shd w:val="clear" w:color="auto" w:fill="auto"/>
            <w:noWrap/>
            <w:vAlign w:val="center"/>
            <w:hideMark/>
          </w:tcPr>
          <w:p w:rsidR="00FF602B" w:rsidRPr="00F95C93" w:rsidRDefault="00FF602B" w:rsidP="00FF602B">
            <w:pPr>
              <w:spacing w:before="0" w:line="240" w:lineRule="auto"/>
              <w:jc w:val="center"/>
              <w:rPr>
                <w:sz w:val="16"/>
                <w:szCs w:val="16"/>
              </w:rPr>
            </w:pPr>
            <w:r w:rsidRPr="00F95C93">
              <w:rPr>
                <w:sz w:val="16"/>
                <w:szCs w:val="16"/>
              </w:rPr>
              <w:t>1,719,412</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89%</w:t>
            </w:r>
          </w:p>
        </w:tc>
        <w:tc>
          <w:tcPr>
            <w:tcW w:w="482"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90%</w:t>
            </w:r>
          </w:p>
        </w:tc>
        <w:tc>
          <w:tcPr>
            <w:tcW w:w="453"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89%</w:t>
            </w:r>
          </w:p>
        </w:tc>
        <w:tc>
          <w:tcPr>
            <w:tcW w:w="491" w:type="pct"/>
            <w:tcBorders>
              <w:top w:val="nil"/>
              <w:left w:val="nil"/>
              <w:bottom w:val="single" w:sz="8" w:space="0" w:color="92CDDC"/>
              <w:right w:val="single" w:sz="8" w:space="0" w:color="92CDDC"/>
            </w:tcBorders>
            <w:shd w:val="clear" w:color="auto" w:fill="auto"/>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97%</w:t>
            </w:r>
          </w:p>
        </w:tc>
      </w:tr>
      <w:tr w:rsidR="00FF602B" w:rsidRPr="00F95C93" w:rsidTr="00FF602B">
        <w:trPr>
          <w:trHeight w:val="202"/>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Akademia e Shkencave</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152,800</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143,937</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143,230</w:t>
            </w:r>
          </w:p>
        </w:tc>
        <w:tc>
          <w:tcPr>
            <w:tcW w:w="482" w:type="pct"/>
            <w:tcBorders>
              <w:top w:val="nil"/>
              <w:left w:val="nil"/>
              <w:bottom w:val="single" w:sz="8" w:space="0" w:color="8EAADB"/>
              <w:right w:val="single" w:sz="8" w:space="0" w:color="8EAADB"/>
            </w:tcBorders>
            <w:shd w:val="clear" w:color="000000" w:fill="D9E2F3"/>
            <w:noWrap/>
            <w:vAlign w:val="center"/>
            <w:hideMark/>
          </w:tcPr>
          <w:p w:rsidR="00FF602B" w:rsidRPr="00F95C93" w:rsidRDefault="00FF602B" w:rsidP="00FF602B">
            <w:pPr>
              <w:spacing w:before="0" w:line="240" w:lineRule="auto"/>
              <w:jc w:val="center"/>
              <w:rPr>
                <w:color w:val="000000"/>
                <w:sz w:val="16"/>
                <w:szCs w:val="16"/>
              </w:rPr>
            </w:pPr>
            <w:r w:rsidRPr="00F95C93">
              <w:rPr>
                <w:color w:val="000000"/>
                <w:sz w:val="16"/>
                <w:szCs w:val="16"/>
              </w:rPr>
              <w:t>123,988</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88%</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901%</w:t>
            </w:r>
          </w:p>
        </w:tc>
        <w:tc>
          <w:tcPr>
            <w:tcW w:w="453"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94%</w:t>
            </w:r>
          </w:p>
        </w:tc>
        <w:tc>
          <w:tcPr>
            <w:tcW w:w="491"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116%</w:t>
            </w:r>
          </w:p>
        </w:tc>
      </w:tr>
      <w:tr w:rsidR="00FF602B" w:rsidRPr="00F95C93" w:rsidTr="00FF602B">
        <w:trPr>
          <w:trHeight w:val="148"/>
          <w:jc w:val="center"/>
        </w:trPr>
        <w:tc>
          <w:tcPr>
            <w:tcW w:w="1167" w:type="pct"/>
            <w:tcBorders>
              <w:top w:val="nil"/>
              <w:left w:val="single" w:sz="8" w:space="0" w:color="8EAADB"/>
              <w:bottom w:val="single" w:sz="8" w:space="0" w:color="8EAADB"/>
              <w:right w:val="single" w:sz="8" w:space="0" w:color="8EAADB"/>
            </w:tcBorders>
            <w:shd w:val="clear" w:color="auto" w:fill="auto"/>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Kontrolli Larte i Shtetit</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508,960</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471,454</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427,564</w:t>
            </w:r>
          </w:p>
        </w:tc>
        <w:tc>
          <w:tcPr>
            <w:tcW w:w="482" w:type="pct"/>
            <w:tcBorders>
              <w:top w:val="nil"/>
              <w:left w:val="nil"/>
              <w:bottom w:val="single" w:sz="8" w:space="0" w:color="8EAADB"/>
              <w:right w:val="single" w:sz="8" w:space="0" w:color="8EAADB"/>
            </w:tcBorders>
            <w:shd w:val="clear" w:color="auto" w:fill="auto"/>
            <w:noWrap/>
            <w:vAlign w:val="center"/>
            <w:hideMark/>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347,867</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0000"/>
                <w:sz w:val="16"/>
                <w:szCs w:val="16"/>
              </w:rPr>
            </w:pPr>
            <w:r w:rsidRPr="00F95C93">
              <w:rPr>
                <w:rFonts w:cs="Calibri"/>
                <w:color w:val="000000"/>
                <w:sz w:val="16"/>
                <w:szCs w:val="16"/>
              </w:rPr>
              <w:t>88%</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0000"/>
                <w:sz w:val="16"/>
                <w:szCs w:val="16"/>
              </w:rPr>
            </w:pPr>
            <w:r w:rsidRPr="00F95C93">
              <w:rPr>
                <w:rFonts w:cs="Calibri"/>
                <w:color w:val="000000"/>
                <w:sz w:val="16"/>
                <w:szCs w:val="16"/>
              </w:rPr>
              <w:t>39%</w:t>
            </w:r>
          </w:p>
        </w:tc>
        <w:tc>
          <w:tcPr>
            <w:tcW w:w="453"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0000"/>
                <w:sz w:val="16"/>
                <w:szCs w:val="16"/>
              </w:rPr>
            </w:pPr>
            <w:r w:rsidRPr="00F95C93">
              <w:rPr>
                <w:rFonts w:cs="Calibri"/>
                <w:color w:val="000000"/>
                <w:sz w:val="16"/>
                <w:szCs w:val="16"/>
              </w:rPr>
              <w:t>93%</w:t>
            </w:r>
          </w:p>
        </w:tc>
        <w:tc>
          <w:tcPr>
            <w:tcW w:w="491"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line="240" w:lineRule="auto"/>
              <w:jc w:val="center"/>
              <w:rPr>
                <w:rFonts w:cs="Calibri"/>
                <w:color w:val="000000"/>
                <w:sz w:val="16"/>
                <w:szCs w:val="16"/>
              </w:rPr>
            </w:pPr>
            <w:r w:rsidRPr="00F95C93">
              <w:rPr>
                <w:rFonts w:cs="Calibri"/>
                <w:color w:val="000000"/>
                <w:sz w:val="16"/>
                <w:szCs w:val="16"/>
              </w:rPr>
              <w:t>123%</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Ministria e Turizmit dhe Mjedisit</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b/>
                <w:bCs/>
                <w:color w:val="000000"/>
                <w:sz w:val="16"/>
                <w:szCs w:val="16"/>
              </w:rPr>
            </w:pPr>
            <w:r w:rsidRPr="00F95C93">
              <w:rPr>
                <w:color w:val="000000"/>
                <w:sz w:val="16"/>
                <w:szCs w:val="16"/>
              </w:rPr>
              <w:t>2,439,460</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2,267,279</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2,106,208</w:t>
            </w:r>
          </w:p>
        </w:tc>
        <w:tc>
          <w:tcPr>
            <w:tcW w:w="482" w:type="pct"/>
            <w:tcBorders>
              <w:top w:val="nil"/>
              <w:left w:val="nil"/>
              <w:bottom w:val="single" w:sz="8" w:space="0" w:color="92CDDC"/>
              <w:right w:val="single" w:sz="8" w:space="0" w:color="92CDDC"/>
            </w:tcBorders>
            <w:shd w:val="clear" w:color="000000" w:fill="DAEEF3"/>
            <w:noWrap/>
            <w:vAlign w:val="center"/>
            <w:hideMark/>
          </w:tcPr>
          <w:p w:rsidR="00FF602B" w:rsidRPr="00F95C93" w:rsidRDefault="00FF602B" w:rsidP="00FF602B">
            <w:pPr>
              <w:spacing w:before="0" w:line="240" w:lineRule="auto"/>
              <w:jc w:val="center"/>
              <w:rPr>
                <w:color w:val="000000"/>
                <w:sz w:val="16"/>
                <w:szCs w:val="16"/>
              </w:rPr>
            </w:pPr>
            <w:r w:rsidRPr="00F95C93">
              <w:rPr>
                <w:color w:val="000000"/>
                <w:sz w:val="16"/>
                <w:szCs w:val="16"/>
              </w:rPr>
              <w:t>2,516,342</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88%</w:t>
            </w:r>
          </w:p>
        </w:tc>
        <w:tc>
          <w:tcPr>
            <w:tcW w:w="482"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85%</w:t>
            </w:r>
          </w:p>
        </w:tc>
        <w:tc>
          <w:tcPr>
            <w:tcW w:w="453"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86%</w:t>
            </w:r>
          </w:p>
        </w:tc>
        <w:tc>
          <w:tcPr>
            <w:tcW w:w="491" w:type="pct"/>
            <w:tcBorders>
              <w:top w:val="nil"/>
              <w:left w:val="nil"/>
              <w:bottom w:val="single" w:sz="8" w:space="0" w:color="92CDDC"/>
              <w:right w:val="single" w:sz="8" w:space="0" w:color="92CDDC"/>
            </w:tcBorders>
            <w:shd w:val="clear" w:color="000000" w:fill="DAEE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84%</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auto" w:fill="auto"/>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Prokuroria e Pergjithshme</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2,424,270</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2,256,017</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2,205,906</w:t>
            </w:r>
          </w:p>
        </w:tc>
        <w:tc>
          <w:tcPr>
            <w:tcW w:w="482" w:type="pct"/>
            <w:tcBorders>
              <w:top w:val="nil"/>
              <w:left w:val="nil"/>
              <w:bottom w:val="single" w:sz="8" w:space="0" w:color="8EAADB"/>
              <w:right w:val="single" w:sz="8" w:space="0" w:color="8EAADB"/>
            </w:tcBorders>
            <w:shd w:val="clear" w:color="auto" w:fill="auto"/>
            <w:noWrap/>
            <w:hideMark/>
          </w:tcPr>
          <w:p w:rsidR="00FF602B" w:rsidRPr="00F95C93" w:rsidRDefault="00FF602B" w:rsidP="00FF602B">
            <w:pPr>
              <w:spacing w:before="0" w:line="240" w:lineRule="auto"/>
              <w:jc w:val="center"/>
              <w:rPr>
                <w:rFonts w:cs="Calibri"/>
                <w:color w:val="002060"/>
                <w:sz w:val="16"/>
                <w:szCs w:val="16"/>
                <w:lang w:val="sq-AL"/>
              </w:rPr>
            </w:pPr>
            <w:r w:rsidRPr="00F95C93">
              <w:rPr>
                <w:rFonts w:cs="Calibri"/>
                <w:color w:val="002060"/>
                <w:sz w:val="16"/>
                <w:szCs w:val="16"/>
                <w:lang w:val="sq-AL"/>
              </w:rPr>
              <w:t>2,246,617</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91%</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84%</w:t>
            </w:r>
          </w:p>
        </w:tc>
        <w:tc>
          <w:tcPr>
            <w:tcW w:w="453"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91%</w:t>
            </w:r>
          </w:p>
        </w:tc>
        <w:tc>
          <w:tcPr>
            <w:tcW w:w="491"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98%</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Keshilli I Larte Gjyqesor</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3,759,808</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3,478,726</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3,233,944</w:t>
            </w:r>
          </w:p>
        </w:tc>
        <w:tc>
          <w:tcPr>
            <w:tcW w:w="482" w:type="pct"/>
            <w:tcBorders>
              <w:top w:val="nil"/>
              <w:left w:val="nil"/>
              <w:bottom w:val="single" w:sz="8" w:space="0" w:color="8EAADB"/>
              <w:right w:val="single" w:sz="8" w:space="0" w:color="8EAADB"/>
            </w:tcBorders>
            <w:shd w:val="clear" w:color="000000" w:fill="D9E2F3"/>
            <w:noWrap/>
            <w:hideMark/>
          </w:tcPr>
          <w:p w:rsidR="00FF602B" w:rsidRPr="00F95C93" w:rsidRDefault="00FF602B" w:rsidP="00FF602B">
            <w:pPr>
              <w:spacing w:before="0" w:line="240" w:lineRule="auto"/>
              <w:jc w:val="center"/>
              <w:rPr>
                <w:rFonts w:cs="Calibri"/>
                <w:color w:val="002060"/>
                <w:sz w:val="16"/>
                <w:szCs w:val="16"/>
                <w:lang w:val="sq-AL"/>
              </w:rPr>
            </w:pPr>
            <w:r w:rsidRPr="00F95C93">
              <w:rPr>
                <w:rFonts w:cs="Calibri"/>
                <w:color w:val="002060"/>
                <w:sz w:val="16"/>
                <w:szCs w:val="16"/>
                <w:lang w:val="sq-AL"/>
              </w:rPr>
              <w:t>2,883,926</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87%</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81%</w:t>
            </w:r>
          </w:p>
        </w:tc>
        <w:tc>
          <w:tcPr>
            <w:tcW w:w="453"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86%</w:t>
            </w:r>
          </w:p>
        </w:tc>
        <w:tc>
          <w:tcPr>
            <w:tcW w:w="491"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112%</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auto" w:fill="auto"/>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Gjykata Kushtetuese</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171,760</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167,036</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166,701</w:t>
            </w:r>
          </w:p>
        </w:tc>
        <w:tc>
          <w:tcPr>
            <w:tcW w:w="482" w:type="pct"/>
            <w:tcBorders>
              <w:top w:val="nil"/>
              <w:left w:val="nil"/>
              <w:bottom w:val="single" w:sz="8" w:space="0" w:color="8EAADB"/>
              <w:right w:val="single" w:sz="8" w:space="0" w:color="8EAADB"/>
            </w:tcBorders>
            <w:shd w:val="clear" w:color="auto" w:fill="auto"/>
            <w:noWrap/>
            <w:hideMark/>
          </w:tcPr>
          <w:p w:rsidR="00FF602B" w:rsidRPr="00F95C93" w:rsidRDefault="00FF602B" w:rsidP="00FF602B">
            <w:pPr>
              <w:spacing w:before="0" w:line="240" w:lineRule="auto"/>
              <w:jc w:val="center"/>
              <w:rPr>
                <w:rFonts w:cs="Calibri"/>
                <w:color w:val="002060"/>
                <w:sz w:val="16"/>
                <w:szCs w:val="16"/>
                <w:lang w:val="sq-AL"/>
              </w:rPr>
            </w:pPr>
            <w:r w:rsidRPr="00F95C93">
              <w:rPr>
                <w:rFonts w:cs="Calibri"/>
                <w:color w:val="002060"/>
                <w:sz w:val="16"/>
                <w:szCs w:val="16"/>
                <w:lang w:val="sq-AL"/>
              </w:rPr>
              <w:t>131,502</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97%</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98%</w:t>
            </w:r>
          </w:p>
        </w:tc>
        <w:tc>
          <w:tcPr>
            <w:tcW w:w="453"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97%</w:t>
            </w:r>
          </w:p>
        </w:tc>
        <w:tc>
          <w:tcPr>
            <w:tcW w:w="491"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127%</w:t>
            </w:r>
          </w:p>
        </w:tc>
      </w:tr>
      <w:tr w:rsidR="00FF602B" w:rsidRPr="00F95C93" w:rsidTr="00FF602B">
        <w:trPr>
          <w:trHeight w:val="181"/>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Fondi i Zhvillimit Shqipetar</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18,351,924</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23,495,752</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22,277,646</w:t>
            </w:r>
          </w:p>
        </w:tc>
        <w:tc>
          <w:tcPr>
            <w:tcW w:w="482" w:type="pct"/>
            <w:tcBorders>
              <w:top w:val="nil"/>
              <w:left w:val="nil"/>
              <w:bottom w:val="single" w:sz="8" w:space="0" w:color="8EAADB"/>
              <w:right w:val="single" w:sz="8" w:space="0" w:color="8EAADB"/>
            </w:tcBorders>
            <w:shd w:val="clear" w:color="000000" w:fill="D9E2F3"/>
            <w:noWrap/>
            <w:vAlign w:val="center"/>
            <w:hideMark/>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26,652 659</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line="240" w:lineRule="auto"/>
              <w:jc w:val="center"/>
              <w:rPr>
                <w:rFonts w:cs="Calibri"/>
                <w:color w:val="002060"/>
                <w:sz w:val="16"/>
                <w:szCs w:val="16"/>
              </w:rPr>
            </w:pP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121%</w:t>
            </w:r>
          </w:p>
        </w:tc>
        <w:tc>
          <w:tcPr>
            <w:tcW w:w="453"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121%</w:t>
            </w:r>
          </w:p>
        </w:tc>
        <w:tc>
          <w:tcPr>
            <w:tcW w:w="491"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line="240" w:lineRule="auto"/>
              <w:jc w:val="center"/>
              <w:rPr>
                <w:rFonts w:cs="Calibri"/>
                <w:color w:val="002060"/>
                <w:sz w:val="16"/>
                <w:szCs w:val="16"/>
              </w:rPr>
            </w:pPr>
            <w:r w:rsidRPr="00F95C93">
              <w:rPr>
                <w:rFonts w:cs="Calibri"/>
                <w:color w:val="002060"/>
                <w:sz w:val="16"/>
                <w:szCs w:val="16"/>
              </w:rPr>
              <w:t>83.5%</w:t>
            </w:r>
          </w:p>
        </w:tc>
      </w:tr>
      <w:tr w:rsidR="00FF602B" w:rsidRPr="00F95C93" w:rsidTr="00FF602B">
        <w:trPr>
          <w:trHeight w:val="269"/>
          <w:jc w:val="center"/>
        </w:trPr>
        <w:tc>
          <w:tcPr>
            <w:tcW w:w="1167" w:type="pct"/>
            <w:tcBorders>
              <w:top w:val="nil"/>
              <w:left w:val="single" w:sz="8" w:space="0" w:color="8EAADB"/>
              <w:bottom w:val="single" w:sz="8" w:space="0" w:color="8EAADB"/>
              <w:right w:val="single" w:sz="8" w:space="0" w:color="8EAADB"/>
            </w:tcBorders>
            <w:shd w:val="clear" w:color="auto" w:fill="auto"/>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Veprimtaria e Mbikëqyrjes dhe Rivleresimit ne sistemin e Drejtesise</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782,656</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702,653</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687,753</w:t>
            </w:r>
          </w:p>
        </w:tc>
        <w:tc>
          <w:tcPr>
            <w:tcW w:w="482" w:type="pct"/>
            <w:tcBorders>
              <w:top w:val="nil"/>
              <w:left w:val="nil"/>
              <w:bottom w:val="single" w:sz="8" w:space="0" w:color="8EAADB"/>
              <w:right w:val="single" w:sz="8" w:space="0" w:color="8EAADB"/>
            </w:tcBorders>
            <w:shd w:val="clear" w:color="auto" w:fill="auto"/>
            <w:noWrap/>
            <w:hideMark/>
          </w:tcPr>
          <w:p w:rsidR="00FF602B" w:rsidRPr="00F95C93" w:rsidRDefault="00FF602B" w:rsidP="00FF602B">
            <w:pPr>
              <w:spacing w:before="0" w:line="240" w:lineRule="auto"/>
              <w:jc w:val="center"/>
              <w:rPr>
                <w:rFonts w:cs="Calibri"/>
                <w:color w:val="002060"/>
                <w:sz w:val="16"/>
                <w:szCs w:val="16"/>
                <w:lang w:val="sq-AL"/>
              </w:rPr>
            </w:pPr>
          </w:p>
          <w:p w:rsidR="00FF602B" w:rsidRPr="00F95C93" w:rsidRDefault="00FF602B" w:rsidP="00FF602B">
            <w:pPr>
              <w:spacing w:before="0" w:line="240" w:lineRule="auto"/>
              <w:jc w:val="center"/>
              <w:rPr>
                <w:rFonts w:cs="Calibri"/>
                <w:color w:val="002060"/>
                <w:sz w:val="16"/>
                <w:szCs w:val="16"/>
                <w:lang w:val="sq-AL"/>
              </w:rPr>
            </w:pPr>
            <w:r w:rsidRPr="00F95C93">
              <w:rPr>
                <w:rFonts w:cs="Calibri"/>
                <w:color w:val="002060"/>
                <w:sz w:val="16"/>
                <w:szCs w:val="16"/>
                <w:lang w:val="sq-AL"/>
              </w:rPr>
              <w:t>578,608</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94%</w:t>
            </w:r>
          </w:p>
        </w:tc>
        <w:tc>
          <w:tcPr>
            <w:tcW w:w="482"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26%</w:t>
            </w:r>
          </w:p>
        </w:tc>
        <w:tc>
          <w:tcPr>
            <w:tcW w:w="453"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88%</w:t>
            </w:r>
          </w:p>
        </w:tc>
        <w:tc>
          <w:tcPr>
            <w:tcW w:w="491" w:type="pct"/>
            <w:tcBorders>
              <w:top w:val="nil"/>
              <w:left w:val="nil"/>
              <w:bottom w:val="single" w:sz="8" w:space="0" w:color="8EAADB"/>
              <w:right w:val="single" w:sz="8" w:space="0" w:color="8EAADB"/>
            </w:tcBorders>
            <w:shd w:val="clear" w:color="auto" w:fill="auto"/>
            <w:noWrap/>
            <w:vAlign w:val="center"/>
          </w:tcPr>
          <w:p w:rsidR="00FF602B" w:rsidRPr="00F95C93" w:rsidRDefault="00FF602B" w:rsidP="00FF602B">
            <w:pPr>
              <w:spacing w:before="0" w:line="240" w:lineRule="auto"/>
              <w:jc w:val="center"/>
              <w:rPr>
                <w:color w:val="002060"/>
                <w:sz w:val="16"/>
                <w:szCs w:val="16"/>
              </w:rPr>
            </w:pPr>
            <w:r w:rsidRPr="00F95C93">
              <w:rPr>
                <w:color w:val="002060"/>
                <w:sz w:val="16"/>
                <w:szCs w:val="16"/>
              </w:rPr>
              <w:t>119%</w:t>
            </w:r>
          </w:p>
        </w:tc>
      </w:tr>
      <w:tr w:rsidR="00FF602B" w:rsidRPr="00F95C93" w:rsidTr="00FF602B">
        <w:trPr>
          <w:trHeight w:val="95"/>
          <w:jc w:val="center"/>
        </w:trPr>
        <w:tc>
          <w:tcPr>
            <w:tcW w:w="1167" w:type="pct"/>
            <w:tcBorders>
              <w:top w:val="nil"/>
              <w:left w:val="single" w:sz="8" w:space="0" w:color="8EAADB"/>
              <w:bottom w:val="single" w:sz="8" w:space="0" w:color="8EAADB"/>
              <w:right w:val="single" w:sz="8" w:space="0" w:color="8EAADB"/>
            </w:tcBorders>
            <w:shd w:val="clear" w:color="000000" w:fill="D9E2F3"/>
            <w:vAlign w:val="center"/>
            <w:hideMark/>
          </w:tcPr>
          <w:p w:rsidR="00FF602B" w:rsidRPr="00F95C93" w:rsidRDefault="00FF602B" w:rsidP="00FF602B">
            <w:pPr>
              <w:spacing w:before="0" w:line="240" w:lineRule="auto"/>
              <w:jc w:val="center"/>
              <w:rPr>
                <w:rFonts w:cs="Calibri"/>
                <w:b/>
                <w:bCs/>
                <w:sz w:val="16"/>
                <w:szCs w:val="16"/>
              </w:rPr>
            </w:pPr>
            <w:r w:rsidRPr="00F95C93">
              <w:rPr>
                <w:rFonts w:cs="Calibri"/>
                <w:b/>
                <w:bCs/>
                <w:sz w:val="16"/>
                <w:szCs w:val="16"/>
                <w:lang w:val="sq-AL"/>
              </w:rPr>
              <w:t>Institucione te tjera Qeveritare</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8,980,927</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10,805,354</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10,115,456</w:t>
            </w:r>
          </w:p>
        </w:tc>
        <w:tc>
          <w:tcPr>
            <w:tcW w:w="482" w:type="pct"/>
            <w:tcBorders>
              <w:top w:val="nil"/>
              <w:left w:val="nil"/>
              <w:bottom w:val="single" w:sz="8" w:space="0" w:color="8EAADB"/>
              <w:right w:val="single" w:sz="8" w:space="0" w:color="8EAADB"/>
            </w:tcBorders>
            <w:shd w:val="clear" w:color="000000" w:fill="D9E2F3"/>
            <w:noWrap/>
            <w:vAlign w:val="center"/>
            <w:hideMark/>
          </w:tcPr>
          <w:p w:rsidR="00FF602B" w:rsidRPr="00F95C93" w:rsidRDefault="00FF602B" w:rsidP="00FF602B">
            <w:pPr>
              <w:spacing w:before="0" w:line="240" w:lineRule="auto"/>
              <w:jc w:val="center"/>
              <w:rPr>
                <w:color w:val="000000"/>
                <w:sz w:val="16"/>
                <w:szCs w:val="16"/>
              </w:rPr>
            </w:pPr>
            <w:r w:rsidRPr="00F95C93">
              <w:rPr>
                <w:color w:val="000000"/>
                <w:sz w:val="16"/>
                <w:szCs w:val="16"/>
              </w:rPr>
              <w:t>7,212,561</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114%</w:t>
            </w:r>
          </w:p>
        </w:tc>
        <w:tc>
          <w:tcPr>
            <w:tcW w:w="482"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110%</w:t>
            </w:r>
          </w:p>
        </w:tc>
        <w:tc>
          <w:tcPr>
            <w:tcW w:w="453"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113%</w:t>
            </w:r>
          </w:p>
        </w:tc>
        <w:tc>
          <w:tcPr>
            <w:tcW w:w="491" w:type="pct"/>
            <w:tcBorders>
              <w:top w:val="nil"/>
              <w:left w:val="nil"/>
              <w:bottom w:val="single" w:sz="8" w:space="0" w:color="8EAADB"/>
              <w:right w:val="single" w:sz="8" w:space="0" w:color="8EAADB"/>
            </w:tcBorders>
            <w:shd w:val="clear" w:color="000000" w:fill="D9E2F3"/>
            <w:noWrap/>
            <w:vAlign w:val="center"/>
          </w:tcPr>
          <w:p w:rsidR="00FF602B" w:rsidRPr="00F95C93" w:rsidRDefault="00FF602B" w:rsidP="00FF602B">
            <w:pPr>
              <w:spacing w:before="0" w:line="240" w:lineRule="auto"/>
              <w:jc w:val="center"/>
              <w:rPr>
                <w:color w:val="000000"/>
                <w:sz w:val="16"/>
                <w:szCs w:val="16"/>
              </w:rPr>
            </w:pPr>
            <w:r w:rsidRPr="00F95C93">
              <w:rPr>
                <w:color w:val="000000"/>
                <w:sz w:val="16"/>
                <w:szCs w:val="16"/>
              </w:rPr>
              <w:t>140%</w:t>
            </w:r>
          </w:p>
        </w:tc>
      </w:tr>
    </w:tbl>
    <w:p w:rsidR="00FF602B" w:rsidRPr="00FF602B" w:rsidRDefault="00FF602B" w:rsidP="00FF602B">
      <w:pPr>
        <w:jc w:val="center"/>
        <w:rPr>
          <w:lang w:val="sq-AL"/>
        </w:rPr>
      </w:pPr>
    </w:p>
    <w:p w:rsidR="007B7B50" w:rsidRPr="00476D2E" w:rsidRDefault="007B7B50" w:rsidP="00FC729E">
      <w:pPr>
        <w:pStyle w:val="fiskale3"/>
        <w:rPr>
          <w:rFonts w:ascii="Calibri" w:hAnsi="Calibri" w:cs="Calibri"/>
          <w:b/>
        </w:rPr>
      </w:pPr>
      <w:bookmarkStart w:id="254" w:name="_Toc10033295"/>
      <w:bookmarkStart w:id="255" w:name="_Toc10721431"/>
      <w:bookmarkStart w:id="256" w:name="_Toc104980360"/>
      <w:r w:rsidRPr="00476D2E">
        <w:rPr>
          <w:rFonts w:ascii="Calibri" w:hAnsi="Calibri" w:cs="Calibri"/>
          <w:b/>
        </w:rPr>
        <w:lastRenderedPageBreak/>
        <w:t>Shëndetësia dhe Mbrojtja Sociale</w:t>
      </w:r>
      <w:bookmarkEnd w:id="254"/>
      <w:bookmarkEnd w:id="255"/>
      <w:bookmarkEnd w:id="256"/>
    </w:p>
    <w:p w:rsidR="007B7B50" w:rsidRPr="00476D2E" w:rsidRDefault="007B7B50" w:rsidP="00FC729E">
      <w:pPr>
        <w:rPr>
          <w:rFonts w:cs="Calibri"/>
          <w:i/>
          <w:iCs/>
          <w:color w:val="000000"/>
          <w:lang w:val="sq-AL"/>
        </w:rPr>
      </w:pPr>
      <w:r w:rsidRPr="00476D2E">
        <w:rPr>
          <w:rFonts w:cs="Calibri"/>
          <w:color w:val="000000"/>
          <w:lang w:val="sq-AL"/>
        </w:rPr>
        <w:t>Në përputhje me drejtimet kryesore të politikës së përgjithshme shtetërore, me fondet buxhetore të miratuara për vitin 202</w:t>
      </w:r>
      <w:r w:rsidR="006D0AA9">
        <w:rPr>
          <w:rFonts w:cs="Calibri"/>
          <w:color w:val="000000"/>
          <w:lang w:val="sq-AL"/>
        </w:rPr>
        <w:t>2</w:t>
      </w:r>
      <w:r w:rsidRPr="00476D2E">
        <w:rPr>
          <w:rFonts w:cs="Calibri"/>
          <w:color w:val="000000"/>
          <w:lang w:val="sq-AL"/>
        </w:rPr>
        <w:t>, performanca e treguesve buxhetorë për programet kryesore në Ministrinë e Shëndetësisë dhe Mbrojtjes Sociale, paraqitet si më poshtë:</w:t>
      </w:r>
    </w:p>
    <w:p w:rsidR="007B7B50" w:rsidRDefault="007B7B50" w:rsidP="00FC729E">
      <w:pPr>
        <w:rPr>
          <w:rFonts w:cs="Calibri"/>
          <w:i/>
          <w:iCs/>
          <w:color w:val="17406D" w:themeColor="text2"/>
          <w:sz w:val="18"/>
          <w:szCs w:val="18"/>
          <w:lang w:val="sq-AL"/>
        </w:rPr>
      </w:pPr>
      <w:bookmarkStart w:id="257" w:name="_Toc136526351"/>
      <w:r w:rsidRPr="00476D2E">
        <w:rPr>
          <w:rFonts w:cs="Calibri"/>
          <w:i/>
          <w:iCs/>
          <w:color w:val="17406D" w:themeColor="text2"/>
          <w:sz w:val="18"/>
          <w:szCs w:val="18"/>
          <w:lang w:val="sq-AL"/>
        </w:rPr>
        <w:t xml:space="preserve">Tabela </w:t>
      </w:r>
      <w:r w:rsidRPr="00476D2E">
        <w:rPr>
          <w:rFonts w:cs="Calibri"/>
          <w:i/>
          <w:iCs/>
          <w:color w:val="17406D" w:themeColor="text2"/>
          <w:sz w:val="18"/>
          <w:szCs w:val="18"/>
          <w:lang w:val="sq-AL"/>
        </w:rPr>
        <w:fldChar w:fldCharType="begin"/>
      </w:r>
      <w:r w:rsidRPr="00476D2E">
        <w:rPr>
          <w:rFonts w:cs="Calibri"/>
          <w:i/>
          <w:iCs/>
          <w:color w:val="17406D" w:themeColor="text2"/>
          <w:sz w:val="18"/>
          <w:szCs w:val="18"/>
          <w:lang w:val="sq-AL"/>
        </w:rPr>
        <w:instrText xml:space="preserve"> SEQ Tabela \* ARABIC </w:instrText>
      </w:r>
      <w:r w:rsidRPr="00476D2E">
        <w:rPr>
          <w:rFonts w:cs="Calibri"/>
          <w:i/>
          <w:iCs/>
          <w:color w:val="17406D" w:themeColor="text2"/>
          <w:sz w:val="18"/>
          <w:szCs w:val="18"/>
          <w:lang w:val="sq-AL"/>
        </w:rPr>
        <w:fldChar w:fldCharType="separate"/>
      </w:r>
      <w:r w:rsidR="008C3E07">
        <w:rPr>
          <w:rFonts w:cs="Calibri"/>
          <w:i/>
          <w:iCs/>
          <w:noProof/>
          <w:color w:val="17406D" w:themeColor="text2"/>
          <w:sz w:val="18"/>
          <w:szCs w:val="18"/>
          <w:lang w:val="sq-AL"/>
        </w:rPr>
        <w:t>25</w:t>
      </w:r>
      <w:r w:rsidRPr="00476D2E">
        <w:rPr>
          <w:rFonts w:cs="Calibri"/>
          <w:color w:val="17406D" w:themeColor="text2"/>
          <w:sz w:val="18"/>
          <w:szCs w:val="18"/>
          <w:lang w:val="sq-AL"/>
        </w:rPr>
        <w:fldChar w:fldCharType="end"/>
      </w:r>
      <w:r w:rsidRPr="00476D2E">
        <w:rPr>
          <w:rFonts w:cs="Calibri"/>
          <w:i/>
          <w:iCs/>
          <w:color w:val="17406D" w:themeColor="text2"/>
          <w:sz w:val="18"/>
          <w:szCs w:val="18"/>
          <w:lang w:val="sq-AL"/>
        </w:rPr>
        <w:t xml:space="preserve"> Realizimi i buxhetit 202</w:t>
      </w:r>
      <w:r w:rsidR="006D0AA9">
        <w:rPr>
          <w:rFonts w:cs="Calibri"/>
          <w:i/>
          <w:iCs/>
          <w:color w:val="17406D" w:themeColor="text2"/>
          <w:sz w:val="18"/>
          <w:szCs w:val="18"/>
          <w:lang w:val="sq-AL"/>
        </w:rPr>
        <w:t>2</w:t>
      </w:r>
      <w:r w:rsidRPr="00476D2E">
        <w:rPr>
          <w:rFonts w:cs="Calibri"/>
          <w:i/>
          <w:iCs/>
          <w:color w:val="17406D" w:themeColor="text2"/>
          <w:sz w:val="18"/>
          <w:szCs w:val="18"/>
          <w:lang w:val="sq-AL"/>
        </w:rPr>
        <w:t xml:space="preserve"> për Ministrinë e Shëndetësisë dhe Mbrojtjes Sociale (në mijë lekë)</w:t>
      </w:r>
      <w:bookmarkEnd w:id="257"/>
      <w:r w:rsidRPr="00476D2E">
        <w:rPr>
          <w:rFonts w:cs="Calibri"/>
          <w:i/>
          <w:iCs/>
          <w:color w:val="17406D" w:themeColor="text2"/>
          <w:sz w:val="18"/>
          <w:szCs w:val="18"/>
          <w:lang w:val="sq-AL"/>
        </w:rPr>
        <w:t xml:space="preserve"> </w:t>
      </w:r>
    </w:p>
    <w:tbl>
      <w:tblPr>
        <w:tblW w:w="10980" w:type="dxa"/>
        <w:tblInd w:w="-522" w:type="dxa"/>
        <w:tblLayout w:type="fixed"/>
        <w:tblLook w:val="04A0" w:firstRow="1" w:lastRow="0" w:firstColumn="1" w:lastColumn="0" w:noHBand="0" w:noVBand="1"/>
      </w:tblPr>
      <w:tblGrid>
        <w:gridCol w:w="2520"/>
        <w:gridCol w:w="990"/>
        <w:gridCol w:w="990"/>
        <w:gridCol w:w="990"/>
        <w:gridCol w:w="990"/>
        <w:gridCol w:w="990"/>
        <w:gridCol w:w="990"/>
        <w:gridCol w:w="630"/>
        <w:gridCol w:w="630"/>
        <w:gridCol w:w="630"/>
        <w:gridCol w:w="630"/>
      </w:tblGrid>
      <w:tr w:rsidR="006D0AA9" w:rsidRPr="00F95C93" w:rsidTr="006E5E97">
        <w:trPr>
          <w:trHeight w:val="480"/>
        </w:trPr>
        <w:tc>
          <w:tcPr>
            <w:tcW w:w="2520" w:type="dxa"/>
            <w:vMerge w:val="restart"/>
            <w:tcBorders>
              <w:top w:val="nil"/>
              <w:left w:val="nil"/>
              <w:bottom w:val="nil"/>
              <w:right w:val="nil"/>
            </w:tcBorders>
            <w:shd w:val="clear" w:color="000000" w:fill="366092"/>
            <w:noWrap/>
            <w:vAlign w:val="center"/>
            <w:hideMark/>
          </w:tcPr>
          <w:p w:rsidR="006D0AA9" w:rsidRPr="00F95C93" w:rsidRDefault="006D0AA9" w:rsidP="006D0AA9">
            <w:pPr>
              <w:spacing w:before="0" w:line="240" w:lineRule="auto"/>
              <w:ind w:left="730"/>
              <w:jc w:val="center"/>
              <w:rPr>
                <w:b/>
                <w:bCs/>
                <w:color w:val="FFFFFF"/>
                <w:sz w:val="18"/>
                <w:szCs w:val="18"/>
              </w:rPr>
            </w:pPr>
            <w:r w:rsidRPr="00F95C93">
              <w:rPr>
                <w:b/>
                <w:bCs/>
                <w:color w:val="FFFFFF"/>
                <w:sz w:val="18"/>
                <w:szCs w:val="18"/>
              </w:rPr>
              <w:t>Programi buxhetor</w:t>
            </w:r>
          </w:p>
        </w:tc>
        <w:tc>
          <w:tcPr>
            <w:tcW w:w="1980"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rsidR="006D0AA9" w:rsidRPr="00F95C93" w:rsidRDefault="006D0AA9" w:rsidP="006D0AA9">
            <w:pPr>
              <w:spacing w:before="0" w:line="240" w:lineRule="auto"/>
              <w:jc w:val="center"/>
              <w:rPr>
                <w:b/>
                <w:bCs/>
                <w:color w:val="FFFFFF"/>
                <w:sz w:val="18"/>
                <w:szCs w:val="18"/>
              </w:rPr>
            </w:pPr>
            <w:r w:rsidRPr="00F95C93">
              <w:rPr>
                <w:b/>
                <w:bCs/>
                <w:color w:val="FFFFFF"/>
                <w:sz w:val="18"/>
                <w:szCs w:val="18"/>
                <w:lang w:val="sq-AL"/>
              </w:rPr>
              <w:t>Plan fillestar 2022</w:t>
            </w:r>
          </w:p>
        </w:tc>
        <w:tc>
          <w:tcPr>
            <w:tcW w:w="198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6D0AA9" w:rsidRPr="00F95C93" w:rsidRDefault="006D0AA9" w:rsidP="006D0AA9">
            <w:pPr>
              <w:spacing w:before="0" w:line="240" w:lineRule="auto"/>
              <w:jc w:val="center"/>
              <w:rPr>
                <w:b/>
                <w:bCs/>
                <w:color w:val="FFFFFF"/>
                <w:sz w:val="18"/>
                <w:szCs w:val="18"/>
              </w:rPr>
            </w:pPr>
            <w:r w:rsidRPr="00F95C93">
              <w:rPr>
                <w:b/>
                <w:bCs/>
                <w:color w:val="FFFFFF"/>
                <w:sz w:val="18"/>
                <w:szCs w:val="18"/>
                <w:lang w:val="sq-AL"/>
              </w:rPr>
              <w:t>Plan i rishikuar 2022</w:t>
            </w:r>
          </w:p>
        </w:tc>
        <w:tc>
          <w:tcPr>
            <w:tcW w:w="198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6D0AA9" w:rsidRPr="00F95C93" w:rsidRDefault="006D0AA9" w:rsidP="006D0AA9">
            <w:pPr>
              <w:spacing w:before="0" w:line="240" w:lineRule="auto"/>
              <w:jc w:val="center"/>
              <w:rPr>
                <w:b/>
                <w:bCs/>
                <w:color w:val="FFFFFF"/>
                <w:sz w:val="18"/>
                <w:szCs w:val="18"/>
              </w:rPr>
            </w:pPr>
            <w:r w:rsidRPr="00F95C93">
              <w:rPr>
                <w:b/>
                <w:bCs/>
                <w:color w:val="FFFFFF"/>
                <w:sz w:val="18"/>
                <w:szCs w:val="18"/>
                <w:lang w:val="sq-AL"/>
              </w:rPr>
              <w:t>Fakt 2022</w:t>
            </w:r>
          </w:p>
        </w:tc>
        <w:tc>
          <w:tcPr>
            <w:tcW w:w="126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6D0AA9" w:rsidRPr="006D0AA9" w:rsidRDefault="006D0AA9" w:rsidP="006D0AA9">
            <w:pPr>
              <w:spacing w:before="0" w:line="240" w:lineRule="auto"/>
              <w:jc w:val="center"/>
              <w:rPr>
                <w:b/>
                <w:color w:val="FFFFFF"/>
                <w:sz w:val="18"/>
                <w:szCs w:val="18"/>
              </w:rPr>
            </w:pPr>
            <w:r w:rsidRPr="006D0AA9">
              <w:rPr>
                <w:rFonts w:cs="Calibri"/>
                <w:b/>
                <w:color w:val="FFFFFF" w:themeColor="background1"/>
                <w:sz w:val="18"/>
                <w:szCs w:val="18"/>
              </w:rPr>
              <w:t>Diferenca në % me planin fillestar</w:t>
            </w:r>
          </w:p>
        </w:tc>
        <w:tc>
          <w:tcPr>
            <w:tcW w:w="126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6D0AA9" w:rsidRPr="006D0AA9" w:rsidRDefault="006D0AA9" w:rsidP="006D0AA9">
            <w:pPr>
              <w:spacing w:before="0" w:line="240" w:lineRule="auto"/>
              <w:jc w:val="center"/>
              <w:rPr>
                <w:b/>
                <w:color w:val="FFFFFF"/>
                <w:sz w:val="18"/>
                <w:szCs w:val="18"/>
              </w:rPr>
            </w:pPr>
            <w:r w:rsidRPr="006D0AA9">
              <w:rPr>
                <w:rFonts w:cs="Calibri"/>
                <w:b/>
                <w:color w:val="FFFFFF" w:themeColor="background1"/>
                <w:sz w:val="18"/>
                <w:szCs w:val="18"/>
              </w:rPr>
              <w:t>Diferenca në % me planin e rishikuar</w:t>
            </w:r>
          </w:p>
        </w:tc>
      </w:tr>
      <w:tr w:rsidR="006D0AA9" w:rsidRPr="00F95C93" w:rsidTr="006E5E97">
        <w:trPr>
          <w:trHeight w:val="330"/>
        </w:trPr>
        <w:tc>
          <w:tcPr>
            <w:tcW w:w="2520" w:type="dxa"/>
            <w:vMerge/>
            <w:tcBorders>
              <w:top w:val="nil"/>
              <w:left w:val="nil"/>
              <w:bottom w:val="nil"/>
              <w:right w:val="nil"/>
            </w:tcBorders>
            <w:vAlign w:val="center"/>
            <w:hideMark/>
          </w:tcPr>
          <w:p w:rsidR="006D0AA9" w:rsidRPr="00F95C93" w:rsidRDefault="006D0AA9" w:rsidP="006D0AA9">
            <w:pPr>
              <w:spacing w:before="0" w:line="240" w:lineRule="auto"/>
              <w:jc w:val="center"/>
              <w:rPr>
                <w:b/>
                <w:bCs/>
                <w:color w:val="FFFFFF"/>
                <w:sz w:val="18"/>
                <w:szCs w:val="18"/>
              </w:rPr>
            </w:pPr>
          </w:p>
        </w:tc>
        <w:tc>
          <w:tcPr>
            <w:tcW w:w="990" w:type="dxa"/>
            <w:tcBorders>
              <w:top w:val="nil"/>
              <w:left w:val="nil"/>
              <w:bottom w:val="single" w:sz="8" w:space="0" w:color="B8CCE4"/>
              <w:right w:val="single" w:sz="8" w:space="0" w:color="B8CCE4"/>
            </w:tcBorders>
            <w:shd w:val="clear" w:color="000000" w:fill="365F91"/>
            <w:vAlign w:val="center"/>
            <w:hideMark/>
          </w:tcPr>
          <w:p w:rsidR="006D0AA9" w:rsidRPr="006D0AA9" w:rsidRDefault="006D0AA9" w:rsidP="006D0AA9">
            <w:pPr>
              <w:spacing w:before="0" w:line="240" w:lineRule="auto"/>
              <w:jc w:val="center"/>
              <w:rPr>
                <w:b/>
                <w:bCs/>
                <w:color w:val="FFFFFF"/>
                <w:sz w:val="18"/>
                <w:szCs w:val="18"/>
              </w:rPr>
            </w:pPr>
            <w:r w:rsidRPr="006D0AA9">
              <w:rPr>
                <w:b/>
                <w:bCs/>
                <w:color w:val="FFFFFF"/>
                <w:sz w:val="18"/>
                <w:szCs w:val="18"/>
                <w:lang w:val="sq-AL"/>
              </w:rPr>
              <w:t>Korrente</w:t>
            </w:r>
          </w:p>
        </w:tc>
        <w:tc>
          <w:tcPr>
            <w:tcW w:w="990" w:type="dxa"/>
            <w:tcBorders>
              <w:top w:val="nil"/>
              <w:left w:val="nil"/>
              <w:bottom w:val="single" w:sz="8" w:space="0" w:color="B8CCE4"/>
              <w:right w:val="single" w:sz="8" w:space="0" w:color="B8CCE4"/>
            </w:tcBorders>
            <w:shd w:val="clear" w:color="000000" w:fill="365F91"/>
            <w:vAlign w:val="center"/>
            <w:hideMark/>
          </w:tcPr>
          <w:p w:rsidR="006D0AA9" w:rsidRPr="006D0AA9" w:rsidRDefault="006D0AA9" w:rsidP="006D0AA9">
            <w:pPr>
              <w:spacing w:before="0" w:line="240" w:lineRule="auto"/>
              <w:jc w:val="center"/>
              <w:rPr>
                <w:b/>
                <w:bCs/>
                <w:color w:val="FFFFFF"/>
                <w:sz w:val="18"/>
                <w:szCs w:val="18"/>
              </w:rPr>
            </w:pPr>
            <w:r w:rsidRPr="006D0AA9">
              <w:rPr>
                <w:b/>
                <w:bCs/>
                <w:color w:val="FFFFFF"/>
                <w:sz w:val="18"/>
                <w:szCs w:val="18"/>
                <w:lang w:val="sq-AL"/>
              </w:rPr>
              <w:t>Investime</w:t>
            </w:r>
          </w:p>
        </w:tc>
        <w:tc>
          <w:tcPr>
            <w:tcW w:w="990" w:type="dxa"/>
            <w:tcBorders>
              <w:top w:val="nil"/>
              <w:left w:val="nil"/>
              <w:bottom w:val="single" w:sz="8" w:space="0" w:color="B8CCE4"/>
              <w:right w:val="single" w:sz="8" w:space="0" w:color="B8CCE4"/>
            </w:tcBorders>
            <w:shd w:val="clear" w:color="000000" w:fill="365F91"/>
            <w:vAlign w:val="center"/>
            <w:hideMark/>
          </w:tcPr>
          <w:p w:rsidR="006D0AA9" w:rsidRPr="006D0AA9" w:rsidRDefault="006D0AA9" w:rsidP="006D0AA9">
            <w:pPr>
              <w:spacing w:before="0" w:line="240" w:lineRule="auto"/>
              <w:jc w:val="center"/>
              <w:rPr>
                <w:b/>
                <w:bCs/>
                <w:color w:val="FFFFFF"/>
                <w:sz w:val="18"/>
                <w:szCs w:val="18"/>
              </w:rPr>
            </w:pPr>
            <w:r w:rsidRPr="006D0AA9">
              <w:rPr>
                <w:b/>
                <w:bCs/>
                <w:color w:val="FFFFFF"/>
                <w:sz w:val="18"/>
                <w:szCs w:val="18"/>
                <w:lang w:val="sq-AL"/>
              </w:rPr>
              <w:t>Korrente</w:t>
            </w:r>
          </w:p>
        </w:tc>
        <w:tc>
          <w:tcPr>
            <w:tcW w:w="990" w:type="dxa"/>
            <w:tcBorders>
              <w:top w:val="nil"/>
              <w:left w:val="nil"/>
              <w:bottom w:val="single" w:sz="8" w:space="0" w:color="B8CCE4"/>
              <w:right w:val="single" w:sz="8" w:space="0" w:color="B8CCE4"/>
            </w:tcBorders>
            <w:shd w:val="clear" w:color="000000" w:fill="365F91"/>
            <w:vAlign w:val="center"/>
            <w:hideMark/>
          </w:tcPr>
          <w:p w:rsidR="006D0AA9" w:rsidRPr="006D0AA9" w:rsidRDefault="006D0AA9" w:rsidP="006D0AA9">
            <w:pPr>
              <w:spacing w:before="0" w:line="240" w:lineRule="auto"/>
              <w:jc w:val="center"/>
              <w:rPr>
                <w:b/>
                <w:bCs/>
                <w:color w:val="FFFFFF"/>
                <w:sz w:val="18"/>
                <w:szCs w:val="18"/>
              </w:rPr>
            </w:pPr>
            <w:r w:rsidRPr="006D0AA9">
              <w:rPr>
                <w:b/>
                <w:bCs/>
                <w:color w:val="FFFFFF"/>
                <w:sz w:val="18"/>
                <w:szCs w:val="18"/>
                <w:lang w:val="sq-AL"/>
              </w:rPr>
              <w:t>Investime</w:t>
            </w:r>
          </w:p>
        </w:tc>
        <w:tc>
          <w:tcPr>
            <w:tcW w:w="990" w:type="dxa"/>
            <w:tcBorders>
              <w:top w:val="nil"/>
              <w:left w:val="nil"/>
              <w:bottom w:val="single" w:sz="8" w:space="0" w:color="B8CCE4"/>
              <w:right w:val="single" w:sz="8" w:space="0" w:color="B8CCE4"/>
            </w:tcBorders>
            <w:shd w:val="clear" w:color="000000" w:fill="365F91"/>
            <w:vAlign w:val="center"/>
            <w:hideMark/>
          </w:tcPr>
          <w:p w:rsidR="006D0AA9" w:rsidRPr="006D0AA9" w:rsidRDefault="006D0AA9" w:rsidP="006D0AA9">
            <w:pPr>
              <w:spacing w:before="0" w:line="240" w:lineRule="auto"/>
              <w:jc w:val="center"/>
              <w:rPr>
                <w:b/>
                <w:bCs/>
                <w:color w:val="FFFFFF"/>
                <w:sz w:val="18"/>
                <w:szCs w:val="18"/>
              </w:rPr>
            </w:pPr>
            <w:r w:rsidRPr="006D0AA9">
              <w:rPr>
                <w:b/>
                <w:bCs/>
                <w:color w:val="FFFFFF"/>
                <w:sz w:val="18"/>
                <w:szCs w:val="18"/>
                <w:lang w:val="sq-AL"/>
              </w:rPr>
              <w:t>Korrente</w:t>
            </w:r>
          </w:p>
        </w:tc>
        <w:tc>
          <w:tcPr>
            <w:tcW w:w="990" w:type="dxa"/>
            <w:tcBorders>
              <w:top w:val="nil"/>
              <w:left w:val="nil"/>
              <w:bottom w:val="single" w:sz="8" w:space="0" w:color="B8CCE4"/>
              <w:right w:val="single" w:sz="8" w:space="0" w:color="B8CCE4"/>
            </w:tcBorders>
            <w:shd w:val="clear" w:color="000000" w:fill="365F91"/>
            <w:vAlign w:val="center"/>
            <w:hideMark/>
          </w:tcPr>
          <w:p w:rsidR="006D0AA9" w:rsidRPr="006D0AA9" w:rsidRDefault="006D0AA9" w:rsidP="006D0AA9">
            <w:pPr>
              <w:spacing w:before="0" w:line="240" w:lineRule="auto"/>
              <w:jc w:val="center"/>
              <w:rPr>
                <w:b/>
                <w:bCs/>
                <w:color w:val="FFFFFF"/>
                <w:sz w:val="18"/>
                <w:szCs w:val="18"/>
              </w:rPr>
            </w:pPr>
            <w:r w:rsidRPr="006D0AA9">
              <w:rPr>
                <w:b/>
                <w:bCs/>
                <w:color w:val="FFFFFF"/>
                <w:sz w:val="18"/>
                <w:szCs w:val="18"/>
                <w:lang w:val="sq-AL"/>
              </w:rPr>
              <w:t>Investime</w:t>
            </w:r>
          </w:p>
        </w:tc>
        <w:tc>
          <w:tcPr>
            <w:tcW w:w="630" w:type="dxa"/>
            <w:tcBorders>
              <w:top w:val="nil"/>
              <w:left w:val="nil"/>
              <w:bottom w:val="single" w:sz="8" w:space="0" w:color="B8CCE4"/>
              <w:right w:val="single" w:sz="8" w:space="0" w:color="B8CCE4"/>
            </w:tcBorders>
            <w:shd w:val="clear" w:color="000000" w:fill="365F91"/>
            <w:vAlign w:val="center"/>
            <w:hideMark/>
          </w:tcPr>
          <w:p w:rsidR="006D0AA9" w:rsidRPr="006D0AA9" w:rsidRDefault="006D0AA9" w:rsidP="006D0AA9">
            <w:pPr>
              <w:spacing w:before="0" w:line="240" w:lineRule="auto"/>
              <w:jc w:val="center"/>
              <w:rPr>
                <w:b/>
                <w:bCs/>
                <w:color w:val="FFFFFF"/>
                <w:sz w:val="18"/>
                <w:szCs w:val="18"/>
              </w:rPr>
            </w:pPr>
            <w:r w:rsidRPr="006D0AA9">
              <w:rPr>
                <w:b/>
                <w:bCs/>
                <w:color w:val="FFFFFF"/>
                <w:sz w:val="18"/>
                <w:szCs w:val="18"/>
                <w:lang w:val="sq-AL"/>
              </w:rPr>
              <w:t>Korr.</w:t>
            </w:r>
          </w:p>
        </w:tc>
        <w:tc>
          <w:tcPr>
            <w:tcW w:w="630" w:type="dxa"/>
            <w:tcBorders>
              <w:top w:val="nil"/>
              <w:left w:val="nil"/>
              <w:bottom w:val="single" w:sz="8" w:space="0" w:color="B8CCE4"/>
              <w:right w:val="single" w:sz="8" w:space="0" w:color="B8CCE4"/>
            </w:tcBorders>
            <w:shd w:val="clear" w:color="000000" w:fill="365F91"/>
            <w:vAlign w:val="center"/>
            <w:hideMark/>
          </w:tcPr>
          <w:p w:rsidR="006D0AA9" w:rsidRPr="006D0AA9" w:rsidRDefault="006D0AA9" w:rsidP="006D0AA9">
            <w:pPr>
              <w:spacing w:before="0" w:line="240" w:lineRule="auto"/>
              <w:jc w:val="center"/>
              <w:rPr>
                <w:b/>
                <w:color w:val="FFFFFF"/>
                <w:sz w:val="18"/>
                <w:szCs w:val="18"/>
              </w:rPr>
            </w:pPr>
            <w:r w:rsidRPr="006D0AA9">
              <w:rPr>
                <w:b/>
                <w:color w:val="FFFFFF"/>
                <w:sz w:val="18"/>
                <w:szCs w:val="18"/>
                <w:lang w:val="sq-AL"/>
              </w:rPr>
              <w:t>Inv.</w:t>
            </w:r>
          </w:p>
        </w:tc>
        <w:tc>
          <w:tcPr>
            <w:tcW w:w="630" w:type="dxa"/>
            <w:tcBorders>
              <w:top w:val="nil"/>
              <w:left w:val="nil"/>
              <w:bottom w:val="single" w:sz="8" w:space="0" w:color="B8CCE4"/>
              <w:right w:val="single" w:sz="8" w:space="0" w:color="B8CCE4"/>
            </w:tcBorders>
            <w:shd w:val="clear" w:color="000000" w:fill="365F91"/>
            <w:vAlign w:val="center"/>
            <w:hideMark/>
          </w:tcPr>
          <w:p w:rsidR="006D0AA9" w:rsidRPr="006D0AA9" w:rsidRDefault="006D0AA9" w:rsidP="006D0AA9">
            <w:pPr>
              <w:spacing w:before="0" w:line="240" w:lineRule="auto"/>
              <w:jc w:val="center"/>
              <w:rPr>
                <w:b/>
                <w:bCs/>
                <w:color w:val="FFFFFF"/>
                <w:sz w:val="18"/>
                <w:szCs w:val="18"/>
              </w:rPr>
            </w:pPr>
            <w:r w:rsidRPr="006D0AA9">
              <w:rPr>
                <w:b/>
                <w:bCs/>
                <w:color w:val="FFFFFF"/>
                <w:sz w:val="18"/>
                <w:szCs w:val="18"/>
                <w:lang w:val="sq-AL"/>
              </w:rPr>
              <w:t>Korr.</w:t>
            </w:r>
          </w:p>
        </w:tc>
        <w:tc>
          <w:tcPr>
            <w:tcW w:w="630" w:type="dxa"/>
            <w:tcBorders>
              <w:top w:val="nil"/>
              <w:left w:val="nil"/>
              <w:bottom w:val="single" w:sz="8" w:space="0" w:color="B8CCE4"/>
              <w:right w:val="single" w:sz="8" w:space="0" w:color="B8CCE4"/>
            </w:tcBorders>
            <w:shd w:val="clear" w:color="000000" w:fill="365F91"/>
            <w:vAlign w:val="center"/>
            <w:hideMark/>
          </w:tcPr>
          <w:p w:rsidR="006D0AA9" w:rsidRPr="006D0AA9" w:rsidRDefault="006D0AA9" w:rsidP="006D0AA9">
            <w:pPr>
              <w:spacing w:before="0" w:line="240" w:lineRule="auto"/>
              <w:jc w:val="center"/>
              <w:rPr>
                <w:b/>
                <w:bCs/>
                <w:color w:val="FFFFFF"/>
                <w:sz w:val="18"/>
                <w:szCs w:val="18"/>
              </w:rPr>
            </w:pPr>
            <w:r w:rsidRPr="006D0AA9">
              <w:rPr>
                <w:b/>
                <w:bCs/>
                <w:color w:val="FFFFFF"/>
                <w:sz w:val="18"/>
                <w:szCs w:val="18"/>
                <w:lang w:val="sq-AL"/>
              </w:rPr>
              <w:t>Inv.</w:t>
            </w:r>
          </w:p>
        </w:tc>
      </w:tr>
      <w:tr w:rsidR="006D0AA9" w:rsidRPr="00F95C93" w:rsidTr="006E5E97">
        <w:trPr>
          <w:trHeight w:val="315"/>
        </w:trPr>
        <w:tc>
          <w:tcPr>
            <w:tcW w:w="2520" w:type="dxa"/>
            <w:tcBorders>
              <w:top w:val="nil"/>
              <w:left w:val="single" w:sz="8" w:space="0" w:color="BFBFBF"/>
              <w:bottom w:val="single" w:sz="8" w:space="0" w:color="BFBFBF"/>
              <w:right w:val="single" w:sz="8" w:space="0" w:color="BFBFBF"/>
            </w:tcBorders>
            <w:shd w:val="clear" w:color="auto" w:fill="auto"/>
            <w:noWrap/>
            <w:vAlign w:val="center"/>
            <w:hideMark/>
          </w:tcPr>
          <w:p w:rsidR="006D0AA9" w:rsidRPr="00F95C93" w:rsidRDefault="006D0AA9" w:rsidP="006D0AA9">
            <w:pPr>
              <w:spacing w:before="0" w:line="240" w:lineRule="auto"/>
              <w:jc w:val="center"/>
              <w:rPr>
                <w:color w:val="000000"/>
                <w:sz w:val="18"/>
                <w:szCs w:val="18"/>
              </w:rPr>
            </w:pPr>
            <w:r w:rsidRPr="00F95C93">
              <w:rPr>
                <w:color w:val="000000"/>
                <w:sz w:val="18"/>
                <w:szCs w:val="18"/>
              </w:rPr>
              <w:t>Planifikim Menaxhim Administrim</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377,200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3,000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449,668</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3,000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443,138</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3,000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color w:val="000000"/>
                <w:sz w:val="16"/>
                <w:szCs w:val="16"/>
                <w:lang w:val="sq-AL"/>
              </w:rPr>
              <w:t>117%</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color w:val="000000"/>
                <w:sz w:val="16"/>
                <w:szCs w:val="16"/>
                <w:lang w:val="sq-AL"/>
              </w:rPr>
              <w:t>100%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color w:val="000000"/>
                <w:sz w:val="16"/>
                <w:szCs w:val="16"/>
              </w:rPr>
              <w:t>99%</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bCs/>
                <w:color w:val="000000"/>
                <w:sz w:val="16"/>
                <w:szCs w:val="16"/>
              </w:rPr>
              <w:t>100%</w:t>
            </w:r>
          </w:p>
        </w:tc>
      </w:tr>
      <w:tr w:rsidR="006D0AA9" w:rsidRPr="00F95C93" w:rsidTr="006E5E97">
        <w:trPr>
          <w:trHeight w:val="495"/>
        </w:trPr>
        <w:tc>
          <w:tcPr>
            <w:tcW w:w="2520" w:type="dxa"/>
            <w:tcBorders>
              <w:top w:val="nil"/>
              <w:left w:val="single" w:sz="8" w:space="0" w:color="BFBFBF"/>
              <w:bottom w:val="single" w:sz="8" w:space="0" w:color="BFBFBF"/>
              <w:right w:val="single" w:sz="8" w:space="0" w:color="BFBFBF"/>
            </w:tcBorders>
            <w:shd w:val="clear" w:color="auto" w:fill="auto"/>
            <w:vAlign w:val="center"/>
            <w:hideMark/>
          </w:tcPr>
          <w:p w:rsidR="006D0AA9" w:rsidRPr="00F95C93" w:rsidRDefault="006D0AA9" w:rsidP="006D0AA9">
            <w:pPr>
              <w:spacing w:before="0" w:line="240" w:lineRule="auto"/>
              <w:jc w:val="center"/>
              <w:rPr>
                <w:color w:val="000000"/>
                <w:sz w:val="18"/>
                <w:szCs w:val="18"/>
              </w:rPr>
            </w:pPr>
            <w:r w:rsidRPr="00F95C93">
              <w:rPr>
                <w:color w:val="000000"/>
                <w:sz w:val="18"/>
                <w:szCs w:val="18"/>
              </w:rPr>
              <w:t>Shërbime të Kujdesit Shëndetësor Parësor</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8,500,073</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305,052</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7,455,759</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70,912</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7,453,386</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242,980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color w:val="000000"/>
                <w:sz w:val="16"/>
                <w:szCs w:val="16"/>
                <w:lang w:val="sq-AL"/>
              </w:rPr>
              <w:t>88%</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color w:val="000000"/>
                <w:sz w:val="16"/>
                <w:szCs w:val="16"/>
                <w:lang w:val="sq-AL"/>
              </w:rPr>
              <w:t>80%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color w:val="000000"/>
                <w:sz w:val="16"/>
                <w:szCs w:val="16"/>
              </w:rPr>
              <w:t>100%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bCs/>
                <w:color w:val="000000"/>
                <w:sz w:val="16"/>
                <w:szCs w:val="16"/>
              </w:rPr>
              <w:t>343%</w:t>
            </w:r>
          </w:p>
        </w:tc>
      </w:tr>
      <w:tr w:rsidR="006D0AA9" w:rsidRPr="00F95C93" w:rsidTr="006E5E97">
        <w:trPr>
          <w:trHeight w:val="495"/>
        </w:trPr>
        <w:tc>
          <w:tcPr>
            <w:tcW w:w="2520" w:type="dxa"/>
            <w:tcBorders>
              <w:top w:val="nil"/>
              <w:left w:val="single" w:sz="8" w:space="0" w:color="BFBFBF"/>
              <w:bottom w:val="single" w:sz="8" w:space="0" w:color="BFBFBF"/>
              <w:right w:val="single" w:sz="8" w:space="0" w:color="BFBFBF"/>
            </w:tcBorders>
            <w:shd w:val="clear" w:color="auto" w:fill="auto"/>
            <w:vAlign w:val="center"/>
            <w:hideMark/>
          </w:tcPr>
          <w:p w:rsidR="006D0AA9" w:rsidRPr="00F95C93" w:rsidRDefault="006D0AA9" w:rsidP="006D0AA9">
            <w:pPr>
              <w:spacing w:before="0" w:line="240" w:lineRule="auto"/>
              <w:jc w:val="center"/>
              <w:rPr>
                <w:color w:val="000000"/>
                <w:sz w:val="18"/>
                <w:szCs w:val="18"/>
              </w:rPr>
            </w:pPr>
            <w:r w:rsidRPr="00F95C93">
              <w:rPr>
                <w:color w:val="000000"/>
                <w:sz w:val="18"/>
                <w:szCs w:val="18"/>
              </w:rPr>
              <w:t>Shërbime të Kujdesit Shëndetësor Dytësor</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31,030,916</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2,311,212</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30,906,144</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2,747,856</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30,702,389</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2,762,905</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99%</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color w:val="000000"/>
                <w:sz w:val="16"/>
                <w:szCs w:val="16"/>
              </w:rPr>
              <w:t>120%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99%</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bCs/>
                <w:color w:val="000000"/>
                <w:sz w:val="16"/>
                <w:szCs w:val="16"/>
              </w:rPr>
              <w:t>101%</w:t>
            </w:r>
          </w:p>
        </w:tc>
      </w:tr>
      <w:tr w:rsidR="006D0AA9" w:rsidRPr="00F95C93" w:rsidTr="006E5E97">
        <w:trPr>
          <w:trHeight w:val="315"/>
        </w:trPr>
        <w:tc>
          <w:tcPr>
            <w:tcW w:w="2520" w:type="dxa"/>
            <w:tcBorders>
              <w:top w:val="nil"/>
              <w:left w:val="single" w:sz="8" w:space="0" w:color="BFBFBF"/>
              <w:bottom w:val="single" w:sz="8" w:space="0" w:color="BFBFBF"/>
              <w:right w:val="single" w:sz="8" w:space="0" w:color="BFBFBF"/>
            </w:tcBorders>
            <w:shd w:val="clear" w:color="auto" w:fill="auto"/>
            <w:noWrap/>
            <w:vAlign w:val="center"/>
            <w:hideMark/>
          </w:tcPr>
          <w:p w:rsidR="006D0AA9" w:rsidRPr="00F95C93" w:rsidRDefault="006D0AA9" w:rsidP="006D0AA9">
            <w:pPr>
              <w:spacing w:before="0" w:line="240" w:lineRule="auto"/>
              <w:jc w:val="center"/>
              <w:rPr>
                <w:color w:val="000000"/>
                <w:sz w:val="18"/>
                <w:szCs w:val="18"/>
              </w:rPr>
            </w:pPr>
            <w:r w:rsidRPr="00F95C93">
              <w:rPr>
                <w:color w:val="000000"/>
                <w:sz w:val="18"/>
                <w:szCs w:val="18"/>
              </w:rPr>
              <w:t>Shërbime të Shëndetit Publik</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6,346,466</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13,680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4,941,034</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13,680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4,856,280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13,675</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77%</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color w:val="000000"/>
                <w:sz w:val="16"/>
                <w:szCs w:val="16"/>
              </w:rPr>
              <w:t>100%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98%</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bCs/>
                <w:color w:val="000000"/>
                <w:sz w:val="16"/>
                <w:szCs w:val="16"/>
              </w:rPr>
              <w:t>100%</w:t>
            </w:r>
          </w:p>
        </w:tc>
      </w:tr>
      <w:tr w:rsidR="006D0AA9" w:rsidRPr="00F95C93" w:rsidTr="006E5E97">
        <w:trPr>
          <w:trHeight w:val="315"/>
        </w:trPr>
        <w:tc>
          <w:tcPr>
            <w:tcW w:w="2520" w:type="dxa"/>
            <w:tcBorders>
              <w:top w:val="nil"/>
              <w:left w:val="single" w:sz="8" w:space="0" w:color="BFBFBF"/>
              <w:bottom w:val="single" w:sz="8" w:space="0" w:color="BFBFBF"/>
              <w:right w:val="single" w:sz="8" w:space="0" w:color="BFBFBF"/>
            </w:tcBorders>
            <w:shd w:val="clear" w:color="auto" w:fill="auto"/>
            <w:noWrap/>
            <w:vAlign w:val="center"/>
            <w:hideMark/>
          </w:tcPr>
          <w:p w:rsidR="006D0AA9" w:rsidRPr="00F95C93" w:rsidRDefault="006D0AA9" w:rsidP="006D0AA9">
            <w:pPr>
              <w:spacing w:before="0" w:line="240" w:lineRule="auto"/>
              <w:jc w:val="center"/>
              <w:rPr>
                <w:color w:val="000000"/>
                <w:sz w:val="18"/>
                <w:szCs w:val="18"/>
              </w:rPr>
            </w:pPr>
            <w:r w:rsidRPr="00F95C93">
              <w:rPr>
                <w:color w:val="000000"/>
                <w:sz w:val="18"/>
                <w:szCs w:val="18"/>
              </w:rPr>
              <w:t>Shërbimi Kombëtar i Urgjencës</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334,162</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241,695</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232,995</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70%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96%</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w:t>
            </w:r>
          </w:p>
        </w:tc>
      </w:tr>
      <w:tr w:rsidR="006D0AA9" w:rsidRPr="00F95C93" w:rsidTr="006E5E97">
        <w:trPr>
          <w:trHeight w:val="315"/>
        </w:trPr>
        <w:tc>
          <w:tcPr>
            <w:tcW w:w="2520" w:type="dxa"/>
            <w:tcBorders>
              <w:top w:val="nil"/>
              <w:left w:val="single" w:sz="8" w:space="0" w:color="BFBFBF"/>
              <w:bottom w:val="single" w:sz="8" w:space="0" w:color="BFBFBF"/>
              <w:right w:val="single" w:sz="8" w:space="0" w:color="BFBFBF"/>
            </w:tcBorders>
            <w:shd w:val="clear" w:color="auto" w:fill="auto"/>
            <w:noWrap/>
            <w:vAlign w:val="center"/>
            <w:hideMark/>
          </w:tcPr>
          <w:p w:rsidR="006D0AA9" w:rsidRPr="00F95C93" w:rsidRDefault="006D0AA9" w:rsidP="006D0AA9">
            <w:pPr>
              <w:spacing w:before="0" w:line="240" w:lineRule="auto"/>
              <w:jc w:val="center"/>
              <w:rPr>
                <w:color w:val="000000"/>
                <w:sz w:val="18"/>
                <w:szCs w:val="18"/>
              </w:rPr>
            </w:pPr>
            <w:r w:rsidRPr="00F95C93">
              <w:rPr>
                <w:color w:val="000000"/>
                <w:sz w:val="18"/>
                <w:szCs w:val="18"/>
              </w:rPr>
              <w:t>Përkujdesi Social</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26,698,130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120,000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29,666,831</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23,640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29,462,311</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24,194</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110%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color w:val="000000"/>
                <w:sz w:val="16"/>
                <w:szCs w:val="16"/>
              </w:rPr>
              <w:t>20%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99%</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rFonts w:cs="Calibri"/>
                <w:bCs/>
                <w:color w:val="000000"/>
                <w:sz w:val="16"/>
                <w:szCs w:val="16"/>
              </w:rPr>
              <w:t>102%</w:t>
            </w:r>
          </w:p>
        </w:tc>
      </w:tr>
      <w:tr w:rsidR="006D0AA9" w:rsidRPr="00F95C93" w:rsidTr="006E5E97">
        <w:trPr>
          <w:trHeight w:val="315"/>
        </w:trPr>
        <w:tc>
          <w:tcPr>
            <w:tcW w:w="2520" w:type="dxa"/>
            <w:tcBorders>
              <w:top w:val="nil"/>
              <w:left w:val="single" w:sz="8" w:space="0" w:color="BFBFBF"/>
              <w:bottom w:val="single" w:sz="8" w:space="0" w:color="BFBFBF"/>
              <w:right w:val="single" w:sz="8" w:space="0" w:color="BFBFBF"/>
            </w:tcBorders>
            <w:shd w:val="clear" w:color="auto" w:fill="auto"/>
            <w:noWrap/>
            <w:vAlign w:val="center"/>
            <w:hideMark/>
          </w:tcPr>
          <w:p w:rsidR="006D0AA9" w:rsidRPr="00F95C93" w:rsidRDefault="006D0AA9" w:rsidP="006D0AA9">
            <w:pPr>
              <w:spacing w:before="0" w:line="240" w:lineRule="auto"/>
              <w:jc w:val="center"/>
              <w:rPr>
                <w:color w:val="000000"/>
                <w:sz w:val="18"/>
                <w:szCs w:val="18"/>
              </w:rPr>
            </w:pPr>
            <w:r w:rsidRPr="00F95C93">
              <w:rPr>
                <w:color w:val="000000"/>
                <w:sz w:val="18"/>
                <w:szCs w:val="18"/>
              </w:rPr>
              <w:t>Rehabilitimi i të Përndjekurve Politikë</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1,035,991</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1,031,755</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1,027,241</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99%</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100%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F95C93" w:rsidRDefault="006D0AA9" w:rsidP="006D0AA9">
            <w:pPr>
              <w:spacing w:before="0" w:line="240" w:lineRule="auto"/>
              <w:jc w:val="center"/>
              <w:rPr>
                <w:color w:val="000000"/>
                <w:sz w:val="16"/>
                <w:szCs w:val="16"/>
              </w:rPr>
            </w:pPr>
            <w:r w:rsidRPr="00F95C93">
              <w:rPr>
                <w:color w:val="000000"/>
                <w:sz w:val="16"/>
                <w:szCs w:val="16"/>
              </w:rPr>
              <w:t>-</w:t>
            </w:r>
          </w:p>
        </w:tc>
      </w:tr>
      <w:tr w:rsidR="006D0AA9" w:rsidRPr="006D0AA9" w:rsidTr="006E5E97">
        <w:trPr>
          <w:trHeight w:val="315"/>
        </w:trPr>
        <w:tc>
          <w:tcPr>
            <w:tcW w:w="2520" w:type="dxa"/>
            <w:tcBorders>
              <w:top w:val="nil"/>
              <w:left w:val="single" w:sz="8" w:space="0" w:color="BFBFBF"/>
              <w:bottom w:val="single" w:sz="8" w:space="0" w:color="BFBFBF"/>
              <w:right w:val="single" w:sz="8" w:space="0" w:color="BFBFBF"/>
            </w:tcBorders>
            <w:shd w:val="clear" w:color="auto" w:fill="auto"/>
            <w:noWrap/>
            <w:vAlign w:val="center"/>
            <w:hideMark/>
          </w:tcPr>
          <w:p w:rsidR="006D0AA9" w:rsidRPr="006D0AA9" w:rsidRDefault="006D0AA9" w:rsidP="006D0AA9">
            <w:pPr>
              <w:spacing w:before="0" w:line="240" w:lineRule="auto"/>
              <w:jc w:val="center"/>
              <w:rPr>
                <w:b/>
                <w:color w:val="000000"/>
                <w:sz w:val="18"/>
                <w:szCs w:val="18"/>
              </w:rPr>
            </w:pPr>
            <w:r w:rsidRPr="006D0AA9">
              <w:rPr>
                <w:b/>
                <w:color w:val="000000"/>
                <w:sz w:val="18"/>
                <w:szCs w:val="18"/>
              </w:rPr>
              <w:t>Gjithsej</w:t>
            </w:r>
          </w:p>
        </w:tc>
        <w:tc>
          <w:tcPr>
            <w:tcW w:w="990" w:type="dxa"/>
            <w:tcBorders>
              <w:top w:val="nil"/>
              <w:left w:val="nil"/>
              <w:bottom w:val="double" w:sz="6" w:space="0" w:color="95B3D7"/>
              <w:right w:val="single" w:sz="8" w:space="0" w:color="B8CCE4"/>
            </w:tcBorders>
            <w:shd w:val="clear" w:color="auto" w:fill="auto"/>
            <w:vAlign w:val="center"/>
            <w:hideMark/>
          </w:tcPr>
          <w:p w:rsidR="006D0AA9" w:rsidRPr="006D0AA9" w:rsidRDefault="006D0AA9" w:rsidP="006D0AA9">
            <w:pPr>
              <w:spacing w:before="0" w:line="240" w:lineRule="auto"/>
              <w:jc w:val="center"/>
              <w:rPr>
                <w:b/>
                <w:bCs/>
                <w:iCs/>
                <w:color w:val="000000"/>
                <w:sz w:val="16"/>
                <w:szCs w:val="16"/>
              </w:rPr>
            </w:pPr>
            <w:r w:rsidRPr="006D0AA9">
              <w:rPr>
                <w:rFonts w:cs="Calibri"/>
                <w:b/>
                <w:bCs/>
                <w:iCs/>
                <w:color w:val="000000"/>
                <w:sz w:val="16"/>
                <w:szCs w:val="16"/>
              </w:rPr>
              <w:t>74,322,938</w:t>
            </w:r>
          </w:p>
        </w:tc>
        <w:tc>
          <w:tcPr>
            <w:tcW w:w="990" w:type="dxa"/>
            <w:tcBorders>
              <w:top w:val="nil"/>
              <w:left w:val="nil"/>
              <w:bottom w:val="double" w:sz="6" w:space="0" w:color="95B3D7"/>
              <w:right w:val="single" w:sz="8" w:space="0" w:color="B8CCE4"/>
            </w:tcBorders>
            <w:shd w:val="clear" w:color="auto" w:fill="auto"/>
            <w:vAlign w:val="center"/>
            <w:hideMark/>
          </w:tcPr>
          <w:p w:rsidR="006D0AA9" w:rsidRPr="006D0AA9" w:rsidRDefault="006D0AA9" w:rsidP="006D0AA9">
            <w:pPr>
              <w:spacing w:before="0" w:line="240" w:lineRule="auto"/>
              <w:jc w:val="center"/>
              <w:rPr>
                <w:b/>
                <w:bCs/>
                <w:iCs/>
                <w:color w:val="000000"/>
                <w:sz w:val="16"/>
                <w:szCs w:val="16"/>
              </w:rPr>
            </w:pPr>
            <w:r w:rsidRPr="006D0AA9">
              <w:rPr>
                <w:rFonts w:cs="Calibri"/>
                <w:b/>
                <w:bCs/>
                <w:iCs/>
                <w:color w:val="000000"/>
                <w:sz w:val="16"/>
                <w:szCs w:val="16"/>
              </w:rPr>
              <w:t>2,752,944</w:t>
            </w:r>
          </w:p>
        </w:tc>
        <w:tc>
          <w:tcPr>
            <w:tcW w:w="990" w:type="dxa"/>
            <w:tcBorders>
              <w:top w:val="nil"/>
              <w:left w:val="nil"/>
              <w:bottom w:val="double" w:sz="6" w:space="0" w:color="95B3D7"/>
              <w:right w:val="single" w:sz="8" w:space="0" w:color="B8CCE4"/>
            </w:tcBorders>
            <w:shd w:val="clear" w:color="auto" w:fill="auto"/>
            <w:vAlign w:val="center"/>
            <w:hideMark/>
          </w:tcPr>
          <w:p w:rsidR="006D0AA9" w:rsidRPr="006D0AA9" w:rsidRDefault="006D0AA9" w:rsidP="006D0AA9">
            <w:pPr>
              <w:spacing w:before="0" w:line="240" w:lineRule="auto"/>
              <w:jc w:val="center"/>
              <w:rPr>
                <w:b/>
                <w:bCs/>
                <w:iCs/>
                <w:color w:val="000000"/>
                <w:sz w:val="16"/>
                <w:szCs w:val="16"/>
              </w:rPr>
            </w:pPr>
            <w:r w:rsidRPr="006D0AA9">
              <w:rPr>
                <w:rFonts w:cs="Calibri"/>
                <w:b/>
                <w:bCs/>
                <w:iCs/>
                <w:color w:val="000000"/>
                <w:sz w:val="16"/>
                <w:szCs w:val="16"/>
              </w:rPr>
              <w:t>74,692,886</w:t>
            </w:r>
          </w:p>
        </w:tc>
        <w:tc>
          <w:tcPr>
            <w:tcW w:w="990" w:type="dxa"/>
            <w:tcBorders>
              <w:top w:val="nil"/>
              <w:left w:val="nil"/>
              <w:bottom w:val="double" w:sz="6" w:space="0" w:color="95B3D7"/>
              <w:right w:val="single" w:sz="8" w:space="0" w:color="B8CCE4"/>
            </w:tcBorders>
            <w:shd w:val="clear" w:color="auto" w:fill="auto"/>
            <w:vAlign w:val="center"/>
            <w:hideMark/>
          </w:tcPr>
          <w:p w:rsidR="006D0AA9" w:rsidRPr="006D0AA9" w:rsidRDefault="006D0AA9" w:rsidP="006D0AA9">
            <w:pPr>
              <w:spacing w:before="0" w:line="240" w:lineRule="auto"/>
              <w:jc w:val="center"/>
              <w:rPr>
                <w:b/>
                <w:bCs/>
                <w:iCs/>
                <w:color w:val="000000"/>
                <w:sz w:val="16"/>
                <w:szCs w:val="16"/>
              </w:rPr>
            </w:pPr>
            <w:r w:rsidRPr="006D0AA9">
              <w:rPr>
                <w:rFonts w:cs="Calibri"/>
                <w:b/>
                <w:bCs/>
                <w:iCs/>
                <w:color w:val="000000"/>
                <w:sz w:val="16"/>
                <w:szCs w:val="16"/>
              </w:rPr>
              <w:t>2,859,088</w:t>
            </w:r>
          </w:p>
        </w:tc>
        <w:tc>
          <w:tcPr>
            <w:tcW w:w="990" w:type="dxa"/>
            <w:tcBorders>
              <w:top w:val="nil"/>
              <w:left w:val="nil"/>
              <w:bottom w:val="double" w:sz="6" w:space="0" w:color="95B3D7"/>
              <w:right w:val="single" w:sz="8" w:space="0" w:color="B8CCE4"/>
            </w:tcBorders>
            <w:shd w:val="clear" w:color="auto" w:fill="auto"/>
            <w:vAlign w:val="center"/>
            <w:hideMark/>
          </w:tcPr>
          <w:p w:rsidR="006D0AA9" w:rsidRPr="006D0AA9" w:rsidRDefault="006D0AA9" w:rsidP="006D0AA9">
            <w:pPr>
              <w:spacing w:before="0" w:line="240" w:lineRule="auto"/>
              <w:jc w:val="center"/>
              <w:rPr>
                <w:b/>
                <w:bCs/>
                <w:iCs/>
                <w:color w:val="000000"/>
                <w:sz w:val="16"/>
                <w:szCs w:val="16"/>
              </w:rPr>
            </w:pPr>
            <w:r w:rsidRPr="006D0AA9">
              <w:rPr>
                <w:rFonts w:cs="Calibri"/>
                <w:b/>
                <w:bCs/>
                <w:iCs/>
                <w:color w:val="000000"/>
                <w:sz w:val="16"/>
                <w:szCs w:val="16"/>
              </w:rPr>
              <w:t>74,177,741</w:t>
            </w:r>
          </w:p>
        </w:tc>
        <w:tc>
          <w:tcPr>
            <w:tcW w:w="990" w:type="dxa"/>
            <w:tcBorders>
              <w:top w:val="nil"/>
              <w:left w:val="nil"/>
              <w:bottom w:val="double" w:sz="6" w:space="0" w:color="95B3D7"/>
              <w:right w:val="single" w:sz="8" w:space="0" w:color="B8CCE4"/>
            </w:tcBorders>
            <w:shd w:val="clear" w:color="auto" w:fill="auto"/>
            <w:vAlign w:val="center"/>
            <w:hideMark/>
          </w:tcPr>
          <w:p w:rsidR="006D0AA9" w:rsidRPr="006D0AA9" w:rsidRDefault="006D0AA9" w:rsidP="006D0AA9">
            <w:pPr>
              <w:spacing w:before="0" w:line="240" w:lineRule="auto"/>
              <w:jc w:val="center"/>
              <w:rPr>
                <w:b/>
                <w:bCs/>
                <w:iCs/>
                <w:color w:val="000000"/>
                <w:sz w:val="16"/>
                <w:szCs w:val="16"/>
              </w:rPr>
            </w:pPr>
            <w:r w:rsidRPr="006D0AA9">
              <w:rPr>
                <w:rFonts w:cs="Calibri"/>
                <w:b/>
                <w:bCs/>
                <w:iCs/>
                <w:color w:val="000000"/>
                <w:sz w:val="16"/>
                <w:szCs w:val="16"/>
              </w:rPr>
              <w:t>3,046,754</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rFonts w:cs="Calibri"/>
                <w:b/>
                <w:bCs/>
                <w:iCs/>
                <w:color w:val="000000"/>
                <w:sz w:val="16"/>
                <w:szCs w:val="16"/>
              </w:rPr>
            </w:pPr>
            <w:r w:rsidRPr="006D0AA9">
              <w:rPr>
                <w:rFonts w:cs="Calibri"/>
                <w:b/>
                <w:bCs/>
                <w:iCs/>
                <w:color w:val="000000"/>
                <w:sz w:val="16"/>
                <w:szCs w:val="16"/>
              </w:rPr>
              <w:t>100%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rFonts w:cs="Calibri"/>
                <w:b/>
                <w:bCs/>
                <w:iCs/>
                <w:color w:val="000000"/>
                <w:sz w:val="16"/>
                <w:szCs w:val="16"/>
              </w:rPr>
            </w:pPr>
            <w:r w:rsidRPr="006D0AA9">
              <w:rPr>
                <w:rFonts w:cs="Calibri"/>
                <w:b/>
                <w:bCs/>
                <w:iCs/>
                <w:color w:val="000000"/>
                <w:sz w:val="16"/>
                <w:szCs w:val="16"/>
              </w:rPr>
              <w:t>111%</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rFonts w:cs="Calibri"/>
                <w:b/>
                <w:bCs/>
                <w:iCs/>
                <w:color w:val="000000"/>
                <w:sz w:val="16"/>
                <w:szCs w:val="16"/>
              </w:rPr>
            </w:pPr>
            <w:r w:rsidRPr="006D0AA9">
              <w:rPr>
                <w:rFonts w:cs="Calibri"/>
                <w:b/>
                <w:bCs/>
                <w:iCs/>
                <w:color w:val="000000"/>
                <w:sz w:val="16"/>
                <w:szCs w:val="16"/>
              </w:rPr>
              <w:t>99%</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rFonts w:cs="Calibri"/>
                <w:b/>
                <w:bCs/>
                <w:iCs/>
                <w:color w:val="000000"/>
                <w:sz w:val="16"/>
                <w:szCs w:val="16"/>
              </w:rPr>
            </w:pPr>
            <w:r w:rsidRPr="006D0AA9">
              <w:rPr>
                <w:rFonts w:cs="Calibri"/>
                <w:b/>
                <w:bCs/>
                <w:iCs/>
                <w:color w:val="000000"/>
                <w:sz w:val="16"/>
                <w:szCs w:val="16"/>
              </w:rPr>
              <w:t>107%</w:t>
            </w:r>
          </w:p>
        </w:tc>
      </w:tr>
      <w:tr w:rsidR="006D0AA9" w:rsidRPr="006D0AA9" w:rsidTr="006E5E97">
        <w:trPr>
          <w:trHeight w:val="315"/>
        </w:trPr>
        <w:tc>
          <w:tcPr>
            <w:tcW w:w="2520" w:type="dxa"/>
            <w:tcBorders>
              <w:top w:val="nil"/>
              <w:left w:val="nil"/>
              <w:bottom w:val="nil"/>
              <w:right w:val="nil"/>
            </w:tcBorders>
            <w:shd w:val="clear" w:color="auto" w:fill="auto"/>
            <w:noWrap/>
            <w:vAlign w:val="bottom"/>
            <w:hideMark/>
          </w:tcPr>
          <w:p w:rsidR="006D0AA9" w:rsidRPr="00F95C93" w:rsidRDefault="006D0AA9" w:rsidP="006D0AA9">
            <w:pPr>
              <w:spacing w:before="0" w:line="240" w:lineRule="auto"/>
              <w:jc w:val="center"/>
              <w:rPr>
                <w:color w:val="000000"/>
                <w:sz w:val="18"/>
                <w:szCs w:val="18"/>
              </w:rPr>
            </w:pPr>
            <w:r w:rsidRPr="00F95C93">
              <w:rPr>
                <w:color w:val="000000"/>
                <w:sz w:val="18"/>
                <w:szCs w:val="18"/>
              </w:rPr>
              <w:t>Shpenzime nga të ardhura jashtë limitit</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color w:val="000000"/>
                <w:sz w:val="18"/>
                <w:szCs w:val="18"/>
              </w:rPr>
            </w:pPr>
            <w:r w:rsidRPr="006D0AA9">
              <w:rPr>
                <w:color w:val="000000"/>
                <w:sz w:val="18"/>
                <w:szCs w:val="18"/>
              </w:rPr>
              <w:t>427,130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color w:val="000000"/>
                <w:sz w:val="18"/>
                <w:szCs w:val="18"/>
              </w:rPr>
            </w:pPr>
            <w:r w:rsidRPr="006D0AA9">
              <w:rPr>
                <w:color w:val="000000"/>
                <w:sz w:val="18"/>
                <w:szCs w:val="18"/>
              </w:rPr>
              <w:t>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color w:val="000000"/>
                <w:sz w:val="18"/>
                <w:szCs w:val="18"/>
              </w:rPr>
            </w:pPr>
            <w:r w:rsidRPr="006D0AA9">
              <w:rPr>
                <w:color w:val="000000"/>
                <w:sz w:val="18"/>
                <w:szCs w:val="18"/>
              </w:rPr>
              <w:t>427,130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color w:val="000000"/>
                <w:sz w:val="18"/>
                <w:szCs w:val="18"/>
              </w:rPr>
            </w:pPr>
            <w:r w:rsidRPr="006D0AA9">
              <w:rPr>
                <w:color w:val="000000"/>
                <w:sz w:val="18"/>
                <w:szCs w:val="18"/>
              </w:rPr>
              <w:t>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color w:val="000000"/>
                <w:sz w:val="18"/>
                <w:szCs w:val="18"/>
              </w:rPr>
            </w:pPr>
            <w:r w:rsidRPr="006D0AA9">
              <w:rPr>
                <w:color w:val="000000"/>
                <w:sz w:val="18"/>
                <w:szCs w:val="18"/>
              </w:rPr>
              <w:t>427,130</w:t>
            </w:r>
          </w:p>
        </w:tc>
        <w:tc>
          <w:tcPr>
            <w:tcW w:w="99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color w:val="000000"/>
                <w:sz w:val="18"/>
                <w:szCs w:val="18"/>
              </w:rPr>
            </w:pPr>
            <w:r w:rsidRPr="006D0AA9">
              <w:rPr>
                <w:color w:val="000000"/>
                <w:sz w:val="18"/>
                <w:szCs w:val="18"/>
              </w:rPr>
              <w:t>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color w:val="000000"/>
                <w:sz w:val="18"/>
                <w:szCs w:val="18"/>
              </w:rPr>
            </w:pPr>
            <w:r w:rsidRPr="006D0AA9">
              <w:rPr>
                <w:color w:val="000000"/>
                <w:sz w:val="18"/>
                <w:szCs w:val="18"/>
              </w:rPr>
              <w:t>100%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color w:val="000000"/>
                <w:sz w:val="18"/>
                <w:szCs w:val="18"/>
              </w:rPr>
            </w:pPr>
            <w:r w:rsidRPr="006D0AA9">
              <w:rPr>
                <w:color w:val="000000"/>
                <w:sz w:val="18"/>
                <w:szCs w:val="18"/>
              </w:rPr>
              <w:t>-</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color w:val="000000"/>
                <w:sz w:val="18"/>
                <w:szCs w:val="18"/>
              </w:rPr>
            </w:pPr>
            <w:r w:rsidRPr="006D0AA9">
              <w:rPr>
                <w:color w:val="000000"/>
                <w:sz w:val="18"/>
                <w:szCs w:val="18"/>
              </w:rPr>
              <w:t>100%</w:t>
            </w:r>
          </w:p>
        </w:tc>
        <w:tc>
          <w:tcPr>
            <w:tcW w:w="630" w:type="dxa"/>
            <w:tcBorders>
              <w:top w:val="nil"/>
              <w:left w:val="nil"/>
              <w:bottom w:val="single" w:sz="8" w:space="0" w:color="B8CCE4"/>
              <w:right w:val="single" w:sz="8" w:space="0" w:color="B8CCE4"/>
            </w:tcBorders>
            <w:shd w:val="clear" w:color="auto" w:fill="auto"/>
            <w:vAlign w:val="center"/>
            <w:hideMark/>
          </w:tcPr>
          <w:p w:rsidR="006D0AA9" w:rsidRPr="006D0AA9" w:rsidRDefault="006D0AA9" w:rsidP="006D0AA9">
            <w:pPr>
              <w:spacing w:before="0" w:line="240" w:lineRule="auto"/>
              <w:jc w:val="center"/>
              <w:rPr>
                <w:color w:val="000000"/>
                <w:sz w:val="18"/>
                <w:szCs w:val="18"/>
              </w:rPr>
            </w:pPr>
            <w:r w:rsidRPr="006D0AA9">
              <w:rPr>
                <w:color w:val="000000"/>
                <w:sz w:val="18"/>
                <w:szCs w:val="18"/>
              </w:rPr>
              <w:t>-</w:t>
            </w:r>
          </w:p>
        </w:tc>
      </w:tr>
      <w:tr w:rsidR="006D0AA9" w:rsidRPr="00F95C93" w:rsidTr="006E5E97">
        <w:trPr>
          <w:trHeight w:val="315"/>
        </w:trPr>
        <w:tc>
          <w:tcPr>
            <w:tcW w:w="252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8"/>
                <w:szCs w:val="18"/>
              </w:rPr>
            </w:pPr>
            <w:r w:rsidRPr="00F95C93">
              <w:rPr>
                <w:rFonts w:cs="Calibri"/>
                <w:b/>
                <w:bCs/>
                <w:color w:val="FFFFFF"/>
                <w:sz w:val="18"/>
                <w:szCs w:val="18"/>
              </w:rPr>
              <w:t>Gjithsej</w:t>
            </w:r>
          </w:p>
        </w:tc>
        <w:tc>
          <w:tcPr>
            <w:tcW w:w="99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6"/>
                <w:szCs w:val="16"/>
              </w:rPr>
            </w:pPr>
            <w:r w:rsidRPr="00F95C93">
              <w:rPr>
                <w:b/>
                <w:bCs/>
                <w:color w:val="FFFFFF"/>
                <w:sz w:val="16"/>
                <w:szCs w:val="16"/>
              </w:rPr>
              <w:t>74,750,068</w:t>
            </w:r>
          </w:p>
        </w:tc>
        <w:tc>
          <w:tcPr>
            <w:tcW w:w="99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6"/>
                <w:szCs w:val="16"/>
              </w:rPr>
            </w:pPr>
            <w:r w:rsidRPr="00F95C93">
              <w:rPr>
                <w:b/>
                <w:bCs/>
                <w:color w:val="FFFFFF"/>
                <w:sz w:val="16"/>
                <w:szCs w:val="16"/>
              </w:rPr>
              <w:t>2,752,944</w:t>
            </w:r>
          </w:p>
        </w:tc>
        <w:tc>
          <w:tcPr>
            <w:tcW w:w="99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6"/>
                <w:szCs w:val="16"/>
              </w:rPr>
            </w:pPr>
            <w:r w:rsidRPr="00F95C93">
              <w:rPr>
                <w:b/>
                <w:bCs/>
                <w:color w:val="FFFFFF"/>
                <w:sz w:val="16"/>
                <w:szCs w:val="16"/>
              </w:rPr>
              <w:t>75,120,016</w:t>
            </w:r>
          </w:p>
        </w:tc>
        <w:tc>
          <w:tcPr>
            <w:tcW w:w="99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6"/>
                <w:szCs w:val="16"/>
              </w:rPr>
            </w:pPr>
            <w:r w:rsidRPr="00F95C93">
              <w:rPr>
                <w:b/>
                <w:bCs/>
                <w:color w:val="FFFFFF"/>
                <w:sz w:val="16"/>
                <w:szCs w:val="16"/>
              </w:rPr>
              <w:t>2,859,088</w:t>
            </w:r>
          </w:p>
        </w:tc>
        <w:tc>
          <w:tcPr>
            <w:tcW w:w="99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6"/>
                <w:szCs w:val="16"/>
              </w:rPr>
            </w:pPr>
            <w:r w:rsidRPr="00F95C93">
              <w:rPr>
                <w:b/>
                <w:bCs/>
                <w:color w:val="FFFFFF"/>
                <w:sz w:val="16"/>
                <w:szCs w:val="16"/>
              </w:rPr>
              <w:t>74,604,871</w:t>
            </w:r>
          </w:p>
        </w:tc>
        <w:tc>
          <w:tcPr>
            <w:tcW w:w="99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6"/>
                <w:szCs w:val="16"/>
              </w:rPr>
            </w:pPr>
            <w:r w:rsidRPr="00F95C93">
              <w:rPr>
                <w:b/>
                <w:bCs/>
                <w:color w:val="FFFFFF"/>
                <w:sz w:val="16"/>
                <w:szCs w:val="16"/>
              </w:rPr>
              <w:t>3,046,754</w:t>
            </w:r>
          </w:p>
        </w:tc>
        <w:tc>
          <w:tcPr>
            <w:tcW w:w="63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6"/>
                <w:szCs w:val="16"/>
              </w:rPr>
            </w:pPr>
            <w:r w:rsidRPr="00F95C93">
              <w:rPr>
                <w:b/>
                <w:bCs/>
                <w:color w:val="FFFFFF"/>
                <w:sz w:val="16"/>
                <w:szCs w:val="16"/>
              </w:rPr>
              <w:t>100%</w:t>
            </w:r>
          </w:p>
        </w:tc>
        <w:tc>
          <w:tcPr>
            <w:tcW w:w="63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6"/>
                <w:szCs w:val="16"/>
              </w:rPr>
            </w:pPr>
            <w:r w:rsidRPr="00F95C93">
              <w:rPr>
                <w:b/>
                <w:bCs/>
                <w:color w:val="FFFFFF"/>
                <w:sz w:val="16"/>
                <w:szCs w:val="16"/>
              </w:rPr>
              <w:t>111%</w:t>
            </w:r>
          </w:p>
        </w:tc>
        <w:tc>
          <w:tcPr>
            <w:tcW w:w="63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6"/>
                <w:szCs w:val="16"/>
              </w:rPr>
            </w:pPr>
            <w:r w:rsidRPr="00F95C93">
              <w:rPr>
                <w:b/>
                <w:bCs/>
                <w:color w:val="FFFFFF"/>
                <w:sz w:val="16"/>
                <w:szCs w:val="16"/>
              </w:rPr>
              <w:t>99%</w:t>
            </w:r>
          </w:p>
        </w:tc>
        <w:tc>
          <w:tcPr>
            <w:tcW w:w="630" w:type="dxa"/>
            <w:tcBorders>
              <w:top w:val="nil"/>
              <w:left w:val="nil"/>
              <w:bottom w:val="single" w:sz="8" w:space="0" w:color="B8CCE4"/>
              <w:right w:val="single" w:sz="8" w:space="0" w:color="B8CCE4"/>
            </w:tcBorders>
            <w:shd w:val="clear" w:color="000000" w:fill="366092"/>
            <w:vAlign w:val="center"/>
            <w:hideMark/>
          </w:tcPr>
          <w:p w:rsidR="006D0AA9" w:rsidRPr="00F95C93" w:rsidRDefault="006D0AA9" w:rsidP="006D0AA9">
            <w:pPr>
              <w:spacing w:before="0" w:line="240" w:lineRule="auto"/>
              <w:jc w:val="center"/>
              <w:rPr>
                <w:b/>
                <w:bCs/>
                <w:color w:val="FFFFFF"/>
                <w:sz w:val="16"/>
                <w:szCs w:val="16"/>
              </w:rPr>
            </w:pPr>
            <w:r w:rsidRPr="00F95C93">
              <w:rPr>
                <w:b/>
                <w:bCs/>
                <w:color w:val="FFFFFF"/>
                <w:sz w:val="16"/>
                <w:szCs w:val="16"/>
              </w:rPr>
              <w:t>107%</w:t>
            </w:r>
          </w:p>
        </w:tc>
      </w:tr>
    </w:tbl>
    <w:p w:rsidR="006D0AA9" w:rsidRPr="00F95C93" w:rsidRDefault="006D0AA9" w:rsidP="006D0AA9">
      <w:pPr>
        <w:rPr>
          <w:rFonts w:cs="Calibri"/>
          <w:color w:val="000000"/>
          <w:lang w:val="sq-AL"/>
        </w:rPr>
      </w:pPr>
      <w:r w:rsidRPr="00F95C93">
        <w:rPr>
          <w:rFonts w:cs="Calibri"/>
          <w:color w:val="000000"/>
          <w:lang w:val="sq-AL"/>
        </w:rPr>
        <w:t xml:space="preserve">Buxheti i Ministrisë së Shëndetësisë dhe Mbrojtjes Sociale u rishikua në rritje gjatë vitit 2022, në kuadër të masave të ndërmarra në ndihmë të kategorive në nevojë me qëllim zbutjen e impaktit nga rritja e çmimeve dhe pasojava që solli lufta Ukrainë- Rusi. Më konkretisht: </w:t>
      </w:r>
    </w:p>
    <w:p w:rsidR="00B552CA" w:rsidRDefault="00B552CA" w:rsidP="006D0AA9">
      <w:pPr>
        <w:rPr>
          <w:rFonts w:cs="Calibri"/>
          <w:color w:val="000000"/>
          <w:lang w:val="sq-AL"/>
        </w:rPr>
      </w:pPr>
    </w:p>
    <w:p w:rsidR="006D0AA9" w:rsidRPr="00F95C93" w:rsidRDefault="006D0AA9" w:rsidP="006D0AA9">
      <w:pPr>
        <w:rPr>
          <w:rFonts w:cs="Calibri"/>
          <w:color w:val="000000"/>
          <w:lang w:val="sq-AL"/>
        </w:rPr>
      </w:pPr>
      <w:r w:rsidRPr="00F95C93">
        <w:rPr>
          <w:rFonts w:cs="Calibri"/>
          <w:color w:val="000000"/>
          <w:lang w:val="sq-AL"/>
        </w:rPr>
        <w:t xml:space="preserve">Programi </w:t>
      </w:r>
      <w:r w:rsidRPr="00F95C93">
        <w:rPr>
          <w:rFonts w:cs="Calibri"/>
          <w:b/>
          <w:color w:val="000000"/>
          <w:lang w:val="sq-AL"/>
        </w:rPr>
        <w:t>“Shërbime të Kujdesit Shëndetësor Parësor”</w:t>
      </w:r>
      <w:r>
        <w:rPr>
          <w:rFonts w:cs="Calibri"/>
          <w:b/>
          <w:color w:val="000000"/>
          <w:lang w:val="sq-AL"/>
        </w:rPr>
        <w:t xml:space="preserve"> </w:t>
      </w:r>
      <w:r w:rsidRPr="00F95C93">
        <w:rPr>
          <w:rFonts w:cs="Calibri"/>
          <w:color w:val="000000"/>
          <w:lang w:val="sq-AL"/>
        </w:rPr>
        <w:t>ka realizuar qëllimin, i cili synon mbulim universal të nevojave të popullatës për kujdes mjekësor parësor</w:t>
      </w:r>
      <w:r w:rsidRPr="00F95C93">
        <w:rPr>
          <w:rFonts w:cs="Calibri"/>
          <w:i/>
          <w:color w:val="000000"/>
          <w:lang w:val="sq-AL"/>
        </w:rPr>
        <w:t xml:space="preserve">. </w:t>
      </w:r>
      <w:r w:rsidRPr="00F95C93">
        <w:rPr>
          <w:rFonts w:cs="Calibri"/>
          <w:color w:val="000000"/>
          <w:lang w:val="sq-AL"/>
        </w:rPr>
        <w:t xml:space="preserve">Personeli shëndetësor u angazhua maksimalisht nëpërmjet vizitave në qendra shëndetësore.Qëllimi i programit u realizua nëpërmjet objektivit, sa mëposhtë: </w:t>
      </w:r>
    </w:p>
    <w:p w:rsidR="006D0AA9" w:rsidRPr="00F95C93" w:rsidRDefault="006D0AA9" w:rsidP="006D0AA9">
      <w:pPr>
        <w:numPr>
          <w:ilvl w:val="0"/>
          <w:numId w:val="9"/>
        </w:numPr>
        <w:spacing w:before="0"/>
        <w:rPr>
          <w:rFonts w:cs="Calibri"/>
          <w:i/>
          <w:color w:val="000000"/>
          <w:lang w:val="sq-AL"/>
        </w:rPr>
      </w:pPr>
      <w:r w:rsidRPr="00F95C93">
        <w:rPr>
          <w:rFonts w:cs="Calibri"/>
          <w:i/>
          <w:color w:val="000000"/>
          <w:lang w:val="sq-AL"/>
        </w:rPr>
        <w:t>Përmirësimi i shërbimeve parandaluese dhe të diagnostikimit të hershëm të sëmundjeve.</w:t>
      </w:r>
    </w:p>
    <w:p w:rsidR="006D0AA9" w:rsidRPr="00F95C93" w:rsidRDefault="006D0AA9" w:rsidP="006D0AA9">
      <w:pPr>
        <w:rPr>
          <w:rFonts w:cs="Calibri"/>
          <w:color w:val="000000"/>
          <w:lang w:val="sq-AL"/>
        </w:rPr>
      </w:pPr>
      <w:r w:rsidRPr="00F95C93">
        <w:rPr>
          <w:rFonts w:cs="Calibri"/>
          <w:color w:val="000000"/>
          <w:lang w:val="sq-AL"/>
        </w:rPr>
        <w:t>Ky objektiv u realizua nëpërmjet produkteve, performanca e të cilave për vitin 2022, është si mëposhtë:</w:t>
      </w:r>
    </w:p>
    <w:p w:rsidR="006D0AA9" w:rsidRPr="00F95C93" w:rsidRDefault="006D0AA9" w:rsidP="006D0AA9">
      <w:pPr>
        <w:numPr>
          <w:ilvl w:val="0"/>
          <w:numId w:val="10"/>
        </w:numPr>
        <w:spacing w:before="0"/>
        <w:ind w:left="630" w:hanging="270"/>
        <w:rPr>
          <w:rFonts w:cs="Calibri"/>
          <w:i/>
          <w:color w:val="000000"/>
          <w:lang w:val="sq-AL"/>
        </w:rPr>
      </w:pPr>
      <w:r w:rsidRPr="00F95C93">
        <w:rPr>
          <w:rFonts w:cs="Calibri"/>
          <w:i/>
          <w:color w:val="000000"/>
          <w:lang w:val="sq-AL"/>
        </w:rPr>
        <w:t xml:space="preserve"> “Mbulimi me kujdesin parësor ”, janë realizuar rreth 8 milionë vizita tek mjeku i familjes, me një kosto faktike rreth 1,491 milionë lekë. </w:t>
      </w:r>
    </w:p>
    <w:p w:rsidR="006D0AA9" w:rsidRPr="00F95C93" w:rsidRDefault="006D0AA9" w:rsidP="006D0AA9">
      <w:pPr>
        <w:numPr>
          <w:ilvl w:val="0"/>
          <w:numId w:val="10"/>
        </w:numPr>
        <w:spacing w:before="0"/>
        <w:ind w:left="630" w:hanging="270"/>
        <w:rPr>
          <w:rFonts w:cs="Calibri"/>
          <w:i/>
          <w:color w:val="000000"/>
          <w:lang w:val="sq-AL"/>
        </w:rPr>
      </w:pPr>
      <w:r w:rsidRPr="00F95C93">
        <w:rPr>
          <w:rFonts w:cs="Calibri"/>
          <w:i/>
          <w:color w:val="000000"/>
          <w:lang w:val="sq-AL"/>
        </w:rPr>
        <w:t>“Kryerja e Check-Up”, ku gjatë vitit 2022 kanë kryer chek-up rreth 455 mijë pacientë të moshës 35</w:t>
      </w:r>
      <w:r>
        <w:rPr>
          <w:rFonts w:cs="Calibri"/>
          <w:i/>
          <w:color w:val="000000"/>
          <w:lang w:val="sq-AL"/>
        </w:rPr>
        <w:t>-</w:t>
      </w:r>
      <w:r w:rsidRPr="00F95C93">
        <w:rPr>
          <w:rFonts w:cs="Calibri"/>
          <w:i/>
          <w:color w:val="000000"/>
          <w:lang w:val="sq-AL"/>
        </w:rPr>
        <w:t xml:space="preserve">70 vjeç, me një kosto faktike rreth 876 milionë lekë. </w:t>
      </w:r>
    </w:p>
    <w:p w:rsidR="006D0AA9" w:rsidRPr="00F95C93" w:rsidRDefault="006D0AA9" w:rsidP="006D0AA9">
      <w:pPr>
        <w:numPr>
          <w:ilvl w:val="0"/>
          <w:numId w:val="10"/>
        </w:numPr>
        <w:spacing w:before="0"/>
        <w:ind w:left="630" w:hanging="270"/>
        <w:rPr>
          <w:rFonts w:cs="Calibri"/>
          <w:i/>
          <w:color w:val="000000"/>
          <w:lang w:val="sq-AL"/>
        </w:rPr>
      </w:pPr>
      <w:r w:rsidRPr="00F95C93">
        <w:rPr>
          <w:rFonts w:cs="Calibri"/>
          <w:i/>
          <w:color w:val="000000"/>
          <w:lang w:val="sq-AL"/>
        </w:rPr>
        <w:t xml:space="preserve">“Pacientë të trajtuar me recetë me rimbursim nga mjeku i familjes”, me një kosto faktike prej 5,086 milionë lekë për rreth 401 mijë pacientë. </w:t>
      </w:r>
    </w:p>
    <w:p w:rsidR="00B552CA" w:rsidRDefault="00B552CA" w:rsidP="006D0AA9">
      <w:pPr>
        <w:rPr>
          <w:rFonts w:cs="Calibri"/>
          <w:color w:val="000000"/>
          <w:lang w:val="sq-AL"/>
        </w:rPr>
      </w:pPr>
    </w:p>
    <w:p w:rsidR="006D0AA9" w:rsidRPr="00F95C93" w:rsidRDefault="006D0AA9" w:rsidP="006D0AA9">
      <w:pPr>
        <w:rPr>
          <w:bCs/>
          <w:iCs/>
          <w:color w:val="000000"/>
          <w:lang w:val="sq-AL"/>
        </w:rPr>
      </w:pPr>
      <w:r w:rsidRPr="00F95C93">
        <w:rPr>
          <w:rFonts w:cs="Calibri"/>
          <w:color w:val="000000"/>
          <w:lang w:val="sq-AL"/>
        </w:rPr>
        <w:t xml:space="preserve">Programi </w:t>
      </w:r>
      <w:r w:rsidRPr="00F95C93">
        <w:rPr>
          <w:rFonts w:cs="Calibri"/>
          <w:b/>
          <w:color w:val="000000"/>
          <w:lang w:val="sq-AL"/>
        </w:rPr>
        <w:t>“Shërbime të Kujdesit Shëndetësor Dytësor”</w:t>
      </w:r>
      <w:r w:rsidRPr="00F95C93">
        <w:rPr>
          <w:rFonts w:cs="Calibri"/>
          <w:color w:val="000000"/>
          <w:lang w:val="sq-AL"/>
        </w:rPr>
        <w:t>, i cili synon</w:t>
      </w:r>
      <w:r>
        <w:rPr>
          <w:rFonts w:cs="Calibri"/>
          <w:color w:val="000000"/>
          <w:lang w:val="sq-AL"/>
        </w:rPr>
        <w:t xml:space="preserve"> </w:t>
      </w:r>
      <w:r w:rsidRPr="00F95C93">
        <w:rPr>
          <w:rFonts w:cs="Calibri"/>
          <w:color w:val="000000"/>
          <w:lang w:val="sq-AL"/>
        </w:rPr>
        <w:t>mbulim universal të nevojave të popullatës për kujdes mjekësor të specializuar. Gjatë vitit 2022</w:t>
      </w:r>
      <w:r>
        <w:rPr>
          <w:rFonts w:cs="Calibri"/>
          <w:color w:val="000000"/>
          <w:lang w:val="sq-AL"/>
        </w:rPr>
        <w:t xml:space="preserve"> </w:t>
      </w:r>
      <w:r w:rsidRPr="00F95C93">
        <w:rPr>
          <w:bCs/>
          <w:iCs/>
          <w:color w:val="000000"/>
          <w:lang w:val="sq-AL"/>
        </w:rPr>
        <w:t>janë trajtuar në shërbimet me shtretër rreth 277,881 pacientë (rreth 20 mijë më shumë nga e njëjta periudhë e një viti më parë).</w:t>
      </w:r>
    </w:p>
    <w:p w:rsidR="006D0AA9" w:rsidRPr="00F95C93" w:rsidRDefault="006D0AA9" w:rsidP="006D0AA9">
      <w:pPr>
        <w:rPr>
          <w:color w:val="000000"/>
          <w:lang w:val="sq-AL"/>
        </w:rPr>
      </w:pPr>
      <w:r w:rsidRPr="00F95C93">
        <w:rPr>
          <w:color w:val="000000"/>
          <w:lang w:val="sq-AL"/>
        </w:rPr>
        <w:t>U trajtuan normalisht pacientët në:</w:t>
      </w:r>
    </w:p>
    <w:p w:rsidR="006D0AA9" w:rsidRPr="006D0AA9" w:rsidRDefault="006D0AA9" w:rsidP="006D0AA9">
      <w:pPr>
        <w:numPr>
          <w:ilvl w:val="0"/>
          <w:numId w:val="10"/>
        </w:numPr>
        <w:spacing w:before="0"/>
        <w:ind w:left="630" w:hanging="270"/>
        <w:rPr>
          <w:rFonts w:cs="Calibri"/>
          <w:i/>
          <w:color w:val="000000"/>
          <w:lang w:val="sq-AL"/>
        </w:rPr>
      </w:pPr>
      <w:r w:rsidRPr="00F95C93">
        <w:rPr>
          <w:rFonts w:cs="Calibri"/>
          <w:i/>
          <w:color w:val="000000"/>
          <w:lang w:val="sq-AL"/>
        </w:rPr>
        <w:t xml:space="preserve">Shërbimin e dializës </w:t>
      </w:r>
      <w:r w:rsidRPr="006D0AA9">
        <w:rPr>
          <w:rFonts w:cs="Calibri"/>
          <w:i/>
          <w:color w:val="000000"/>
          <w:lang w:val="sq-AL"/>
        </w:rPr>
        <w:t>(193,878 seanca për trajtimin e pacientëve me dializë, shoqëruar me një kosto faktike prej rreth 2,489 milionë lekë.</w:t>
      </w:r>
    </w:p>
    <w:p w:rsidR="006D0AA9" w:rsidRPr="006D0AA9" w:rsidRDefault="006D0AA9" w:rsidP="006D0AA9">
      <w:pPr>
        <w:numPr>
          <w:ilvl w:val="0"/>
          <w:numId w:val="10"/>
        </w:numPr>
        <w:spacing w:before="0"/>
        <w:ind w:left="630" w:hanging="270"/>
        <w:rPr>
          <w:rFonts w:cs="Calibri"/>
          <w:i/>
          <w:color w:val="000000"/>
          <w:lang w:val="sq-AL"/>
        </w:rPr>
      </w:pPr>
      <w:r w:rsidRPr="006D0AA9">
        <w:rPr>
          <w:rFonts w:cs="Calibri"/>
          <w:i/>
          <w:color w:val="000000"/>
          <w:lang w:val="sq-AL"/>
        </w:rPr>
        <w:lastRenderedPageBreak/>
        <w:t>Spitalet psikiatrike (1,492 pacientë në spitalet psikiatrike, me një kosto prej 756.5 milionë lekë.)</w:t>
      </w:r>
    </w:p>
    <w:p w:rsidR="006D0AA9" w:rsidRPr="006D0AA9" w:rsidRDefault="006D0AA9" w:rsidP="006D0AA9">
      <w:pPr>
        <w:numPr>
          <w:ilvl w:val="0"/>
          <w:numId w:val="10"/>
        </w:numPr>
        <w:spacing w:before="0"/>
        <w:ind w:left="630" w:hanging="270"/>
        <w:rPr>
          <w:rFonts w:cs="Calibri"/>
          <w:i/>
          <w:color w:val="000000"/>
          <w:lang w:val="sq-AL"/>
        </w:rPr>
      </w:pPr>
      <w:r w:rsidRPr="006D0AA9">
        <w:rPr>
          <w:rFonts w:cs="Calibri"/>
          <w:i/>
          <w:color w:val="000000"/>
          <w:lang w:val="sq-AL"/>
        </w:rPr>
        <w:t>Me paketat spitalore të kardiologjisë dhe kardiokirurgjisë (9,365 pacientë, me një kosto faktike prej  1,144 milion lekë; )</w:t>
      </w:r>
    </w:p>
    <w:p w:rsidR="006D0AA9" w:rsidRPr="006D0AA9" w:rsidRDefault="006D0AA9" w:rsidP="006D0AA9">
      <w:pPr>
        <w:numPr>
          <w:ilvl w:val="0"/>
          <w:numId w:val="10"/>
        </w:numPr>
        <w:spacing w:before="0"/>
        <w:ind w:left="630" w:hanging="270"/>
        <w:rPr>
          <w:rFonts w:cs="Calibri"/>
          <w:i/>
          <w:color w:val="000000"/>
          <w:lang w:val="sq-AL"/>
        </w:rPr>
      </w:pPr>
      <w:r w:rsidRPr="006D0AA9">
        <w:rPr>
          <w:rFonts w:cs="Calibri"/>
          <w:i/>
          <w:color w:val="000000"/>
          <w:lang w:val="sq-AL"/>
        </w:rPr>
        <w:t>Janë trajtuar 13 pacientë nga paketat e transplanteve renale përgjatë vitit 2022.</w:t>
      </w:r>
    </w:p>
    <w:p w:rsidR="006D0AA9" w:rsidRPr="006D0AA9" w:rsidRDefault="006D0AA9" w:rsidP="006D0AA9">
      <w:pPr>
        <w:numPr>
          <w:ilvl w:val="0"/>
          <w:numId w:val="10"/>
        </w:numPr>
        <w:spacing w:before="0"/>
        <w:ind w:left="630" w:hanging="270"/>
        <w:rPr>
          <w:rFonts w:cs="Calibri"/>
          <w:i/>
          <w:color w:val="000000"/>
          <w:lang w:val="sq-AL"/>
        </w:rPr>
      </w:pPr>
      <w:r w:rsidRPr="006D0AA9">
        <w:rPr>
          <w:rFonts w:cs="Calibri"/>
          <w:i/>
          <w:color w:val="000000"/>
          <w:lang w:val="sq-AL"/>
        </w:rPr>
        <w:t xml:space="preserve">Janë trajtuar 3,790 pacientë me katarakte, shoqëruar me një kosto prej 57 milionë lekë. </w:t>
      </w:r>
    </w:p>
    <w:p w:rsidR="006D0AA9" w:rsidRPr="006D0AA9" w:rsidRDefault="006D0AA9" w:rsidP="006D0AA9">
      <w:pPr>
        <w:numPr>
          <w:ilvl w:val="0"/>
          <w:numId w:val="10"/>
        </w:numPr>
        <w:spacing w:before="0"/>
        <w:ind w:left="630" w:hanging="270"/>
        <w:rPr>
          <w:rFonts w:cs="Calibri"/>
          <w:i/>
          <w:color w:val="000000"/>
          <w:lang w:val="sq-AL"/>
        </w:rPr>
      </w:pPr>
      <w:r w:rsidRPr="006D0AA9">
        <w:rPr>
          <w:rFonts w:cs="Calibri"/>
          <w:i/>
          <w:color w:val="000000"/>
          <w:lang w:val="sq-AL"/>
        </w:rPr>
        <w:t>Janë trajtuar 24,933 pacientë me radioterapi, shoqëruar me një kosto prej 115 milionë lekë.</w:t>
      </w:r>
    </w:p>
    <w:p w:rsidR="006D0AA9" w:rsidRPr="006D0AA9" w:rsidRDefault="006D0AA9" w:rsidP="006D0AA9">
      <w:pPr>
        <w:numPr>
          <w:ilvl w:val="0"/>
          <w:numId w:val="10"/>
        </w:numPr>
        <w:spacing w:before="0"/>
        <w:ind w:left="630" w:hanging="270"/>
        <w:rPr>
          <w:rFonts w:cs="Calibri"/>
          <w:i/>
          <w:color w:val="000000"/>
          <w:lang w:val="sq-AL"/>
        </w:rPr>
      </w:pPr>
      <w:r w:rsidRPr="006D0AA9">
        <w:rPr>
          <w:rFonts w:cs="Calibri"/>
          <w:i/>
          <w:color w:val="000000"/>
          <w:lang w:val="sq-AL"/>
        </w:rPr>
        <w:t>Gjithashtu, janë kryer rreth 4.2 milionë ekzaminime laboratorike, shoqëruar me një kosto prej 1,625 milionë lekë.</w:t>
      </w:r>
    </w:p>
    <w:p w:rsidR="00B552CA" w:rsidRDefault="00B552CA" w:rsidP="006D0AA9">
      <w:pPr>
        <w:rPr>
          <w:rFonts w:cs="Calibri"/>
          <w:lang w:val="sq-AL"/>
        </w:rPr>
      </w:pPr>
    </w:p>
    <w:p w:rsidR="006D0AA9" w:rsidRPr="00F95C93" w:rsidRDefault="006D0AA9" w:rsidP="006D0AA9">
      <w:pPr>
        <w:rPr>
          <w:rFonts w:cs="Calibri"/>
          <w:lang w:val="sq-AL"/>
        </w:rPr>
      </w:pPr>
      <w:r w:rsidRPr="00F95C93">
        <w:rPr>
          <w:rFonts w:cs="Calibri"/>
          <w:lang w:val="sq-AL"/>
        </w:rPr>
        <w:t xml:space="preserve">Programi </w:t>
      </w:r>
      <w:r w:rsidRPr="00F95C93">
        <w:rPr>
          <w:rFonts w:cs="Calibri"/>
          <w:b/>
          <w:lang w:val="sq-AL"/>
        </w:rPr>
        <w:t>“Shërbime të Shëndetit Publik”</w:t>
      </w:r>
      <w:r w:rsidRPr="00F95C93">
        <w:rPr>
          <w:lang w:val="sq-AL"/>
        </w:rPr>
        <w:t>ofrohet nëpërmjet programeve kombëtare të imunizimit, TBC, HIV/AIDS dhe IST, të survejancës epidemiologjike dhe ndjekjes së sëmundshmërisë infektive (sëmundshmërisë kronike me pasoja në shëndet publik të ndikuara nga kushtet e mjedisit) si dhe të programeve të sigurisë ushqimore, kontrollit të ujit të pijshëm dhe shëndetit riprodhues.</w:t>
      </w:r>
      <w:r w:rsidRPr="00F95C93">
        <w:rPr>
          <w:rFonts w:cs="Calibri"/>
          <w:lang w:val="sq-AL"/>
        </w:rPr>
        <w:t xml:space="preserve"> Gjatë vitit 2022: </w:t>
      </w:r>
    </w:p>
    <w:p w:rsidR="006D0AA9" w:rsidRPr="00F95C93" w:rsidRDefault="006D0AA9" w:rsidP="006D0AA9">
      <w:pPr>
        <w:numPr>
          <w:ilvl w:val="0"/>
          <w:numId w:val="10"/>
        </w:numPr>
        <w:spacing w:before="0" w:line="240" w:lineRule="auto"/>
        <w:rPr>
          <w:rFonts w:cs="Calibri"/>
          <w:i/>
          <w:color w:val="000000"/>
          <w:lang w:val="sq-AL"/>
        </w:rPr>
      </w:pPr>
      <w:r w:rsidRPr="00F95C93">
        <w:rPr>
          <w:rFonts w:cs="Calibri"/>
          <w:i/>
          <w:color w:val="000000"/>
          <w:lang w:val="sq-AL"/>
        </w:rPr>
        <w:t>Janë vaksinuar rreth 240 mijë fëmijë të moshës 0-18 vjeç.</w:t>
      </w:r>
    </w:p>
    <w:p w:rsidR="006D0AA9" w:rsidRPr="00F95C93" w:rsidRDefault="006D0AA9" w:rsidP="006D0AA9">
      <w:pPr>
        <w:numPr>
          <w:ilvl w:val="0"/>
          <w:numId w:val="10"/>
        </w:numPr>
        <w:spacing w:before="0" w:line="240" w:lineRule="auto"/>
        <w:rPr>
          <w:rFonts w:cs="Calibri"/>
          <w:i/>
          <w:color w:val="000000"/>
          <w:lang w:val="sq-AL"/>
        </w:rPr>
      </w:pPr>
      <w:r w:rsidRPr="00F95C93">
        <w:rPr>
          <w:rFonts w:cs="Calibri"/>
          <w:i/>
          <w:color w:val="000000"/>
          <w:lang w:val="sq-AL"/>
        </w:rPr>
        <w:t>Janë kryer rreth  3,827 monitorime të situatave epidemilogjike, me një kosto faktike prej rreth 2,313 milionë lekë.</w:t>
      </w:r>
    </w:p>
    <w:p w:rsidR="006D0AA9" w:rsidRPr="00F95C93" w:rsidRDefault="006D0AA9" w:rsidP="006D0AA9">
      <w:pPr>
        <w:numPr>
          <w:ilvl w:val="0"/>
          <w:numId w:val="10"/>
        </w:numPr>
        <w:spacing w:before="0" w:line="240" w:lineRule="auto"/>
        <w:rPr>
          <w:rFonts w:cs="Calibri"/>
          <w:i/>
          <w:color w:val="000000"/>
          <w:lang w:val="sq-AL"/>
        </w:rPr>
      </w:pPr>
      <w:r w:rsidRPr="00F95C93">
        <w:rPr>
          <w:rFonts w:cs="Calibri"/>
          <w:i/>
          <w:color w:val="000000"/>
          <w:lang w:val="sq-AL"/>
        </w:rPr>
        <w:t>Është kryer depistimi i 5,423 grave për kancerin e gjirit dhe 10,400 grave për kancerin e qafës së mitrës, me një kosto faktike prej 27 milionë lekë.</w:t>
      </w:r>
    </w:p>
    <w:p w:rsidR="006D0AA9" w:rsidRPr="00F95C93" w:rsidRDefault="006D0AA9" w:rsidP="006D0AA9">
      <w:pPr>
        <w:numPr>
          <w:ilvl w:val="0"/>
          <w:numId w:val="10"/>
        </w:numPr>
        <w:spacing w:before="0" w:line="240" w:lineRule="auto"/>
        <w:rPr>
          <w:rFonts w:cs="Calibri"/>
          <w:i/>
          <w:color w:val="000000"/>
          <w:lang w:val="sq-AL"/>
        </w:rPr>
      </w:pPr>
      <w:r w:rsidRPr="00F95C93">
        <w:rPr>
          <w:rFonts w:cs="Calibri"/>
          <w:i/>
          <w:color w:val="000000"/>
          <w:lang w:val="sq-AL"/>
        </w:rPr>
        <w:t>Janë kryer rreth 22,992 inspektime nga inspektoriatet, shoqëruar me një kosto prej prej 357 milion lekë.</w:t>
      </w:r>
    </w:p>
    <w:p w:rsidR="006D0AA9" w:rsidRPr="00F95C93" w:rsidRDefault="006D0AA9" w:rsidP="006D0AA9">
      <w:pPr>
        <w:numPr>
          <w:ilvl w:val="0"/>
          <w:numId w:val="10"/>
        </w:numPr>
        <w:spacing w:before="0" w:line="240" w:lineRule="auto"/>
        <w:rPr>
          <w:rFonts w:cs="Calibri"/>
          <w:i/>
          <w:color w:val="000000"/>
          <w:lang w:val="sq-AL"/>
        </w:rPr>
      </w:pPr>
      <w:r w:rsidRPr="00F95C93">
        <w:rPr>
          <w:rFonts w:cs="Calibri"/>
          <w:i/>
          <w:color w:val="000000"/>
          <w:lang w:val="sq-AL"/>
        </w:rPr>
        <w:t>Janë trajtuar 175 punonjës/personel mjekesor dhe jo mjekësor me bonus për COVID-19”, me kosto faktike rreth 13.6 milionë lekë, për vitin 2022.</w:t>
      </w:r>
    </w:p>
    <w:p w:rsidR="006D0AA9" w:rsidRPr="00F95C93" w:rsidRDefault="006D0AA9" w:rsidP="006D0AA9">
      <w:pPr>
        <w:numPr>
          <w:ilvl w:val="0"/>
          <w:numId w:val="10"/>
        </w:numPr>
        <w:spacing w:before="0" w:line="240" w:lineRule="auto"/>
        <w:rPr>
          <w:rFonts w:cs="Calibri"/>
          <w:i/>
          <w:color w:val="000000"/>
          <w:lang w:val="sq-AL"/>
        </w:rPr>
      </w:pPr>
      <w:r w:rsidRPr="00F95C93">
        <w:rPr>
          <w:rFonts w:cs="Calibri"/>
          <w:i/>
          <w:color w:val="000000"/>
          <w:lang w:val="sq-AL"/>
        </w:rPr>
        <w:t>Janë vaksinuar rreth 534,536 persona me vaksinën anti COVID-19 për vitin 2022.</w:t>
      </w:r>
    </w:p>
    <w:p w:rsidR="00B552CA" w:rsidRDefault="00B552CA" w:rsidP="006D0AA9">
      <w:pPr>
        <w:rPr>
          <w:rFonts w:cs="Calibri"/>
          <w:color w:val="000000"/>
          <w:lang w:val="sq-AL"/>
        </w:rPr>
      </w:pPr>
    </w:p>
    <w:p w:rsidR="006D0AA9" w:rsidRPr="00F95C93" w:rsidRDefault="006D0AA9" w:rsidP="006D0AA9">
      <w:pPr>
        <w:rPr>
          <w:rFonts w:cs="Calibri"/>
          <w:color w:val="000000"/>
          <w:lang w:val="sq-AL"/>
        </w:rPr>
      </w:pPr>
      <w:r w:rsidRPr="00F95C93">
        <w:rPr>
          <w:rFonts w:cs="Calibri"/>
          <w:color w:val="000000"/>
          <w:lang w:val="sq-AL"/>
        </w:rPr>
        <w:t xml:space="preserve">Programi </w:t>
      </w:r>
      <w:r w:rsidRPr="00F95C93">
        <w:rPr>
          <w:rFonts w:cs="Calibri"/>
          <w:b/>
          <w:color w:val="000000"/>
          <w:lang w:val="sq-AL"/>
        </w:rPr>
        <w:t>“Përkujdesi Social”</w:t>
      </w:r>
      <w:r>
        <w:rPr>
          <w:rFonts w:cs="Calibri"/>
          <w:b/>
          <w:color w:val="000000"/>
          <w:lang w:val="sq-AL"/>
        </w:rPr>
        <w:t xml:space="preserve"> </w:t>
      </w:r>
      <w:r w:rsidRPr="00F95C93">
        <w:rPr>
          <w:color w:val="000000"/>
          <w:lang w:val="sq-AL"/>
        </w:rPr>
        <w:t>mbështet nëpërmjet pagesave në cash dhe shërbimeve sociale, familjet në nevojë dhe individët me aftësi të kufizuara, të cilët nuk mund të sigurojnë plotësimin e nevojave bazë jetike, zhvillimin e aftësive dhe mundësive personale, për shkak të aftësive dhe mundësive të kufizuara social ekonomike.</w:t>
      </w:r>
      <w:r w:rsidRPr="00F95C93">
        <w:rPr>
          <w:lang w:val="sq-AL"/>
        </w:rPr>
        <w:t xml:space="preserve">Gjatë vitit 2022, programi i ndihmës ekonomike u zgjerua për të mbështetur me ndihmë ekonomike shtesë për familjet që ishin përfituese nëpërmjet 3 paketave të miratuara gjatë vitit 2022. Më hollësisht, </w:t>
      </w:r>
      <w:r w:rsidRPr="00F95C93">
        <w:rPr>
          <w:rFonts w:cs="Calibri"/>
          <w:color w:val="000000"/>
          <w:lang w:val="sq-AL"/>
        </w:rPr>
        <w:t xml:space="preserve">produktet e financuara nga programi  përfshijnë: </w:t>
      </w:r>
    </w:p>
    <w:p w:rsidR="006D0AA9" w:rsidRPr="00F95C93" w:rsidRDefault="006D0AA9" w:rsidP="006D0AA9">
      <w:pPr>
        <w:numPr>
          <w:ilvl w:val="0"/>
          <w:numId w:val="13"/>
        </w:numPr>
        <w:spacing w:before="0" w:line="240" w:lineRule="auto"/>
        <w:contextualSpacing/>
        <w:rPr>
          <w:rFonts w:cs="Calibri"/>
          <w:i/>
          <w:color w:val="000000"/>
          <w:lang w:val="sq-AL"/>
        </w:rPr>
      </w:pPr>
      <w:r w:rsidRPr="00F95C93">
        <w:rPr>
          <w:rFonts w:cs="Calibri"/>
          <w:i/>
          <w:color w:val="000000"/>
          <w:lang w:val="sq-AL"/>
        </w:rPr>
        <w:t>“Familje dhe individë në nevojë që përfitojnë nga skema e Ndihmës Ekonomike (NE)”, gjatë vitit 2022 kanë përfituar rreth 62,688 familje dhe individë, shoqëruar me një kosto faktike 6.7 miliard lekë.</w:t>
      </w:r>
    </w:p>
    <w:p w:rsidR="006D0AA9" w:rsidRPr="00F95C93" w:rsidRDefault="006D0AA9" w:rsidP="006D0AA9">
      <w:pPr>
        <w:numPr>
          <w:ilvl w:val="0"/>
          <w:numId w:val="13"/>
        </w:numPr>
        <w:spacing w:before="0" w:line="240" w:lineRule="auto"/>
        <w:contextualSpacing/>
        <w:rPr>
          <w:rFonts w:cs="Calibri"/>
          <w:i/>
          <w:color w:val="000000"/>
          <w:lang w:val="sq-AL"/>
        </w:rPr>
      </w:pPr>
      <w:r w:rsidRPr="00F95C93">
        <w:rPr>
          <w:rFonts w:cs="Calibri"/>
          <w:i/>
          <w:color w:val="000000"/>
          <w:lang w:val="sq-AL"/>
        </w:rPr>
        <w:t>“Persona me aftësi të kufizuar nga programi i aftësisë së kufizuar”, kanë përfituar rreth 161,683 persona shoqëruar më një një kosto faktike prej 18.4 miliard lekë.</w:t>
      </w:r>
    </w:p>
    <w:p w:rsidR="006D0AA9" w:rsidRPr="00F95C93" w:rsidRDefault="006D0AA9" w:rsidP="006D0AA9">
      <w:pPr>
        <w:numPr>
          <w:ilvl w:val="0"/>
          <w:numId w:val="13"/>
        </w:numPr>
        <w:spacing w:before="0" w:line="240" w:lineRule="auto"/>
        <w:contextualSpacing/>
        <w:rPr>
          <w:rFonts w:cs="Calibri"/>
          <w:i/>
          <w:color w:val="000000"/>
          <w:lang w:val="sq-AL"/>
        </w:rPr>
      </w:pPr>
      <w:r w:rsidRPr="00F95C93">
        <w:rPr>
          <w:rFonts w:cs="Calibri"/>
          <w:i/>
          <w:color w:val="000000"/>
          <w:lang w:val="sq-AL"/>
        </w:rPr>
        <w:t xml:space="preserve">“Përfitues të shërbimeve të përkujdesit social të ofruara në qëndrat rezidenciale publike”, është realizuar  me një kosto faktike prej rreth 274.5 milionë lekë për 210 persona. Numri i përfituesve në qendrat rezidencial gjatë vitit 2022 ishte rreth 53 % më pak se parashikimi dhe 54% më pak se një vit më parë. </w:t>
      </w:r>
    </w:p>
    <w:p w:rsidR="0034438D" w:rsidRPr="0034438D" w:rsidRDefault="006D0AA9" w:rsidP="006D0AA9">
      <w:pPr>
        <w:numPr>
          <w:ilvl w:val="0"/>
          <w:numId w:val="10"/>
        </w:numPr>
        <w:spacing w:before="0"/>
        <w:rPr>
          <w:rFonts w:cs="Calibri"/>
          <w:i/>
          <w:color w:val="000000"/>
          <w:lang w:val="sq-AL"/>
        </w:rPr>
      </w:pPr>
      <w:r w:rsidRPr="00F95C93">
        <w:rPr>
          <w:rFonts w:cs="Calibri"/>
          <w:i/>
          <w:color w:val="000000"/>
          <w:lang w:val="sq-AL"/>
        </w:rPr>
        <w:t>“Shpërblimi i lindjes” , kanë përfituar 42,504 bebe, me një kosto faktike totale prej rreth 3,100 milionë lekë, apo kanë përfituar bonus rreth 2 % bebe më pak se një vit më parë.</w:t>
      </w:r>
      <w:r w:rsidR="0034438D" w:rsidRPr="0034438D">
        <w:rPr>
          <w:rFonts w:cs="Calibri"/>
          <w:i/>
          <w:color w:val="000000"/>
          <w:lang w:val="sq-AL"/>
        </w:rPr>
        <w:t xml:space="preserve">. </w:t>
      </w:r>
    </w:p>
    <w:p w:rsidR="00B552CA" w:rsidRDefault="00B552CA" w:rsidP="00B552CA">
      <w:pPr>
        <w:spacing w:line="240" w:lineRule="auto"/>
        <w:rPr>
          <w:rFonts w:cs="Calibri"/>
          <w:lang w:val="sq-AL"/>
        </w:rPr>
      </w:pPr>
    </w:p>
    <w:p w:rsidR="00B552CA" w:rsidRPr="002617BE" w:rsidRDefault="007B7B50" w:rsidP="00B552CA">
      <w:pPr>
        <w:spacing w:line="240" w:lineRule="auto"/>
        <w:rPr>
          <w:rFonts w:cs="Calibri"/>
          <w:lang w:val="sq-AL"/>
        </w:rPr>
      </w:pPr>
      <w:r w:rsidRPr="00B552CA">
        <w:rPr>
          <w:rFonts w:cs="Calibri"/>
          <w:lang w:val="sq-AL"/>
        </w:rPr>
        <w:t xml:space="preserve">Për sa u përket </w:t>
      </w:r>
      <w:r w:rsidRPr="00B552CA">
        <w:rPr>
          <w:rFonts w:cs="Calibri"/>
          <w:b/>
          <w:lang w:val="sq-AL"/>
        </w:rPr>
        <w:t xml:space="preserve">investimeve publike, </w:t>
      </w:r>
      <w:r w:rsidR="00B552CA" w:rsidRPr="00B552CA">
        <w:rPr>
          <w:rFonts w:cs="Calibri"/>
          <w:lang w:val="sq-AL"/>
        </w:rPr>
        <w:t>realizimi në vitin 2022 ishte 75.1% e buxhetit fillestar për projektet me</w:t>
      </w:r>
      <w:r w:rsidR="00B552CA" w:rsidRPr="002617BE">
        <w:rPr>
          <w:rFonts w:cs="Calibri"/>
          <w:lang w:val="sq-AL"/>
        </w:rPr>
        <w:t xml:space="preserve"> financim të brendshëm (1 milard</w:t>
      </w:r>
      <w:r w:rsidR="00D65C9E">
        <w:rPr>
          <w:rFonts w:cs="Calibri"/>
          <w:lang w:val="sq-AL"/>
        </w:rPr>
        <w:t>ë</w:t>
      </w:r>
      <w:r w:rsidR="00B552CA" w:rsidRPr="002617BE">
        <w:rPr>
          <w:rFonts w:cs="Calibri"/>
          <w:lang w:val="sq-AL"/>
        </w:rPr>
        <w:t xml:space="preserve"> lekë)</w:t>
      </w:r>
      <w:r w:rsidR="00B552CA" w:rsidRPr="002617BE">
        <w:rPr>
          <w:rFonts w:cs="Calibri"/>
          <w:bCs/>
          <w:iCs/>
          <w:lang w:val="sq-AL"/>
        </w:rPr>
        <w:t xml:space="preserve"> ose 99.7% </w:t>
      </w:r>
      <w:r w:rsidR="00B552CA">
        <w:rPr>
          <w:rFonts w:cs="Calibri"/>
          <w:bCs/>
          <w:iCs/>
          <w:lang w:val="sq-AL"/>
        </w:rPr>
        <w:t>e</w:t>
      </w:r>
      <w:r w:rsidR="00B552CA" w:rsidRPr="002617BE">
        <w:rPr>
          <w:rFonts w:cs="Calibri"/>
          <w:bCs/>
          <w:iCs/>
          <w:lang w:val="sq-AL"/>
        </w:rPr>
        <w:t xml:space="preserve"> planit vjetor të ndryshuar me AN nr.19</w:t>
      </w:r>
      <w:r w:rsidR="00B552CA">
        <w:rPr>
          <w:rFonts w:cs="Calibri"/>
          <w:bCs/>
          <w:iCs/>
          <w:lang w:val="sq-AL"/>
        </w:rPr>
        <w:t>/2022</w:t>
      </w:r>
      <w:r w:rsidR="00B552CA" w:rsidRPr="002617BE">
        <w:rPr>
          <w:rFonts w:cs="Calibri"/>
          <w:lang w:val="sq-AL"/>
        </w:rPr>
        <w:t xml:space="preserve"> dhe 144.4% e buxhetit fillestar për projektet me financim të huaj (2 miliardë lekë) </w:t>
      </w:r>
      <w:r w:rsidR="00B552CA" w:rsidRPr="002617BE">
        <w:rPr>
          <w:rFonts w:cs="Calibri"/>
          <w:bCs/>
          <w:iCs/>
          <w:lang w:val="sq-AL"/>
        </w:rPr>
        <w:t xml:space="preserve">ose 110.3% </w:t>
      </w:r>
      <w:r w:rsidR="00B552CA">
        <w:rPr>
          <w:rFonts w:cs="Calibri"/>
          <w:bCs/>
          <w:iCs/>
          <w:lang w:val="sq-AL"/>
        </w:rPr>
        <w:t>e</w:t>
      </w:r>
      <w:r w:rsidR="00B552CA" w:rsidRPr="002617BE">
        <w:rPr>
          <w:rFonts w:cs="Calibri"/>
          <w:bCs/>
          <w:iCs/>
          <w:lang w:val="sq-AL"/>
        </w:rPr>
        <w:t xml:space="preserve"> planit vjetor të ndryshuar me AN nr.19</w:t>
      </w:r>
      <w:r w:rsidR="00B552CA">
        <w:rPr>
          <w:rFonts w:cs="Calibri"/>
          <w:bCs/>
          <w:iCs/>
          <w:lang w:val="sq-AL"/>
        </w:rPr>
        <w:t>/2022</w:t>
      </w:r>
      <w:r w:rsidR="00B552CA" w:rsidRPr="002617BE">
        <w:rPr>
          <w:rFonts w:cs="Calibri"/>
          <w:bCs/>
          <w:iCs/>
          <w:lang w:val="sq-AL"/>
        </w:rPr>
        <w:t>.</w:t>
      </w:r>
      <w:r w:rsidR="00B552CA" w:rsidRPr="002617BE">
        <w:rPr>
          <w:rFonts w:cs="Calibri"/>
          <w:lang w:val="sq-AL"/>
        </w:rPr>
        <w:t xml:space="preserve"> Buxheti i shpenzimeve kapitale pësoi disa ndryshime duke shtuar fonde për projekte prioritare me financim të huaj, përfshirë edhe disa rialokime. J</w:t>
      </w:r>
      <w:r w:rsidR="00B552CA" w:rsidRPr="002617BE">
        <w:rPr>
          <w:rFonts w:asciiTheme="majorHAnsi" w:hAnsiTheme="majorHAnsi" w:cs="Calibri Light"/>
          <w:szCs w:val="22"/>
          <w:lang w:val="sq-AL"/>
        </w:rPr>
        <w:t>anë mbyllur rreth 35 kontrata investimi në vlerën e rreth 900 milionë lekë, ku ndër më kryesoret veçojmë:</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Rikonstruksion i godines s</w:t>
      </w:r>
      <w:r>
        <w:rPr>
          <w:rFonts w:asciiTheme="majorHAnsi" w:hAnsiTheme="majorHAnsi" w:cs="Calibri Light"/>
          <w:i/>
          <w:szCs w:val="22"/>
          <w:lang w:val="sq-AL"/>
        </w:rPr>
        <w:t>ë</w:t>
      </w:r>
      <w:r w:rsidRPr="002617BE">
        <w:rPr>
          <w:rFonts w:asciiTheme="majorHAnsi" w:hAnsiTheme="majorHAnsi" w:cs="Calibri Light"/>
          <w:i/>
          <w:szCs w:val="22"/>
          <w:lang w:val="sq-AL"/>
        </w:rPr>
        <w:t xml:space="preserve"> pediatris</w:t>
      </w:r>
      <w:r>
        <w:rPr>
          <w:rFonts w:asciiTheme="majorHAnsi" w:hAnsiTheme="majorHAnsi" w:cs="Calibri Light"/>
          <w:i/>
          <w:szCs w:val="22"/>
          <w:lang w:val="sq-AL"/>
        </w:rPr>
        <w:t>ë</w:t>
      </w:r>
      <w:r w:rsidRPr="002617BE">
        <w:rPr>
          <w:rFonts w:asciiTheme="majorHAnsi" w:hAnsiTheme="majorHAnsi" w:cs="Calibri Light"/>
          <w:i/>
          <w:szCs w:val="22"/>
          <w:lang w:val="sq-AL"/>
        </w:rPr>
        <w:t xml:space="preserve"> sp.Elbasan me vlerë rreth 329 milionë lekë;</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Rikonstruksioni i Farmacisë dhe Dispanceris</w:t>
      </w:r>
      <w:r>
        <w:rPr>
          <w:rFonts w:asciiTheme="majorHAnsi" w:hAnsiTheme="majorHAnsi" w:cs="Calibri Light"/>
          <w:i/>
          <w:szCs w:val="22"/>
          <w:lang w:val="sq-AL"/>
        </w:rPr>
        <w:t>ë</w:t>
      </w:r>
      <w:r w:rsidRPr="002617BE">
        <w:rPr>
          <w:rFonts w:asciiTheme="majorHAnsi" w:hAnsiTheme="majorHAnsi" w:cs="Calibri Light"/>
          <w:i/>
          <w:szCs w:val="22"/>
          <w:lang w:val="sq-AL"/>
        </w:rPr>
        <w:t xml:space="preserve"> sp.Vlore;</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lastRenderedPageBreak/>
        <w:t>"F.V aparatura mjek</w:t>
      </w:r>
      <w:r>
        <w:rPr>
          <w:rFonts w:asciiTheme="majorHAnsi" w:hAnsiTheme="majorHAnsi" w:cs="Calibri Light"/>
          <w:i/>
          <w:szCs w:val="22"/>
          <w:lang w:val="sq-AL"/>
        </w:rPr>
        <w:t>ë</w:t>
      </w:r>
      <w:r w:rsidRPr="002617BE">
        <w:rPr>
          <w:rFonts w:asciiTheme="majorHAnsi" w:hAnsiTheme="majorHAnsi" w:cs="Calibri Light"/>
          <w:i/>
          <w:szCs w:val="22"/>
          <w:lang w:val="sq-AL"/>
        </w:rPr>
        <w:t>sore p</w:t>
      </w:r>
      <w:r>
        <w:rPr>
          <w:rFonts w:asciiTheme="majorHAnsi" w:hAnsiTheme="majorHAnsi" w:cs="Calibri Light"/>
          <w:i/>
          <w:szCs w:val="22"/>
          <w:lang w:val="sq-AL"/>
        </w:rPr>
        <w:t>ë</w:t>
      </w:r>
      <w:r w:rsidRPr="002617BE">
        <w:rPr>
          <w:rFonts w:asciiTheme="majorHAnsi" w:hAnsiTheme="majorHAnsi" w:cs="Calibri Light"/>
          <w:i/>
          <w:szCs w:val="22"/>
          <w:lang w:val="sq-AL"/>
        </w:rPr>
        <w:t>r spitali e ri t</w:t>
      </w:r>
      <w:r>
        <w:rPr>
          <w:rFonts w:asciiTheme="majorHAnsi" w:hAnsiTheme="majorHAnsi" w:cs="Calibri Light"/>
          <w:i/>
          <w:szCs w:val="22"/>
          <w:lang w:val="sq-AL"/>
        </w:rPr>
        <w:t>ë</w:t>
      </w:r>
      <w:r w:rsidRPr="002617BE">
        <w:rPr>
          <w:rFonts w:asciiTheme="majorHAnsi" w:hAnsiTheme="majorHAnsi" w:cs="Calibri Light"/>
          <w:i/>
          <w:szCs w:val="22"/>
          <w:lang w:val="sq-AL"/>
        </w:rPr>
        <w:t xml:space="preserve"> nd</w:t>
      </w:r>
      <w:r>
        <w:rPr>
          <w:rFonts w:asciiTheme="majorHAnsi" w:hAnsiTheme="majorHAnsi" w:cs="Calibri Light"/>
          <w:i/>
          <w:szCs w:val="22"/>
          <w:lang w:val="sq-AL"/>
        </w:rPr>
        <w:t>ë</w:t>
      </w:r>
      <w:r w:rsidRPr="002617BE">
        <w:rPr>
          <w:rFonts w:asciiTheme="majorHAnsi" w:hAnsiTheme="majorHAnsi" w:cs="Calibri Light"/>
          <w:i/>
          <w:szCs w:val="22"/>
          <w:lang w:val="sq-AL"/>
        </w:rPr>
        <w:t>rtuar n</w:t>
      </w:r>
      <w:r>
        <w:rPr>
          <w:rFonts w:asciiTheme="majorHAnsi" w:hAnsiTheme="majorHAnsi" w:cs="Calibri Light"/>
          <w:i/>
          <w:szCs w:val="22"/>
          <w:lang w:val="sq-AL"/>
        </w:rPr>
        <w:t>ë</w:t>
      </w:r>
      <w:r w:rsidRPr="002617BE">
        <w:rPr>
          <w:rFonts w:asciiTheme="majorHAnsi" w:hAnsiTheme="majorHAnsi" w:cs="Calibri Light"/>
          <w:i/>
          <w:szCs w:val="22"/>
          <w:lang w:val="sq-AL"/>
        </w:rPr>
        <w:t xml:space="preserve"> QSUT me kredi t</w:t>
      </w:r>
      <w:r>
        <w:rPr>
          <w:rFonts w:asciiTheme="majorHAnsi" w:hAnsiTheme="majorHAnsi" w:cs="Calibri Light"/>
          <w:i/>
          <w:szCs w:val="22"/>
          <w:lang w:val="sq-AL"/>
        </w:rPr>
        <w:t>ë</w:t>
      </w:r>
      <w:r w:rsidRPr="002617BE">
        <w:rPr>
          <w:rFonts w:asciiTheme="majorHAnsi" w:hAnsiTheme="majorHAnsi" w:cs="Calibri Light"/>
          <w:i/>
          <w:szCs w:val="22"/>
          <w:lang w:val="sq-AL"/>
        </w:rPr>
        <w:t xml:space="preserve"> CEB-it (kontributi i qev.shqiptare)";</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Përmirësim i sistemit të barnave dhe pajisjeve mjekësore per AKBPM Tiran</w:t>
      </w:r>
      <w:r>
        <w:rPr>
          <w:rFonts w:asciiTheme="majorHAnsi" w:hAnsiTheme="majorHAnsi" w:cs="Calibri Light"/>
          <w:i/>
          <w:szCs w:val="22"/>
          <w:lang w:val="sq-AL"/>
        </w:rPr>
        <w:t>ë</w:t>
      </w:r>
      <w:r w:rsidRPr="002617BE">
        <w:rPr>
          <w:rFonts w:asciiTheme="majorHAnsi" w:hAnsiTheme="majorHAnsi" w:cs="Calibri Light"/>
          <w:i/>
          <w:szCs w:val="22"/>
          <w:lang w:val="sq-AL"/>
        </w:rPr>
        <w:t>;</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Rikonstruksion i sallave te lindjes, repartit t</w:t>
      </w:r>
      <w:r>
        <w:rPr>
          <w:rFonts w:asciiTheme="majorHAnsi" w:hAnsiTheme="majorHAnsi" w:cs="Calibri Light"/>
          <w:i/>
          <w:szCs w:val="22"/>
          <w:lang w:val="sq-AL"/>
        </w:rPr>
        <w:t>ë</w:t>
      </w:r>
      <w:r w:rsidRPr="002617BE">
        <w:rPr>
          <w:rFonts w:asciiTheme="majorHAnsi" w:hAnsiTheme="majorHAnsi" w:cs="Calibri Light"/>
          <w:i/>
          <w:szCs w:val="22"/>
          <w:lang w:val="sq-AL"/>
        </w:rPr>
        <w:t xml:space="preserve"> neonatologjis</w:t>
      </w:r>
      <w:r>
        <w:rPr>
          <w:rFonts w:asciiTheme="majorHAnsi" w:hAnsiTheme="majorHAnsi" w:cs="Calibri Light"/>
          <w:i/>
          <w:szCs w:val="22"/>
          <w:lang w:val="sq-AL"/>
        </w:rPr>
        <w:t>ë</w:t>
      </w:r>
      <w:r w:rsidRPr="002617BE">
        <w:rPr>
          <w:rFonts w:asciiTheme="majorHAnsi" w:hAnsiTheme="majorHAnsi" w:cs="Calibri Light"/>
          <w:i/>
          <w:szCs w:val="22"/>
          <w:lang w:val="sq-AL"/>
        </w:rPr>
        <w:t xml:space="preserve"> dhe reparti i urgjence-pranimit te Maternitetit Koco Gliozheni Tirane;</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F.V pajisje mjeksore, mobilimi spitalor dhe pajisje biomjekesore per pediatrine e re QSUT;</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Furnizimi vendosje pajisje biomjek</w:t>
      </w:r>
      <w:r>
        <w:rPr>
          <w:rFonts w:asciiTheme="majorHAnsi" w:hAnsiTheme="majorHAnsi" w:cs="Calibri Light"/>
          <w:i/>
          <w:szCs w:val="22"/>
          <w:lang w:val="sq-AL"/>
        </w:rPr>
        <w:t>ë</w:t>
      </w:r>
      <w:r w:rsidRPr="002617BE">
        <w:rPr>
          <w:rFonts w:asciiTheme="majorHAnsi" w:hAnsiTheme="majorHAnsi" w:cs="Calibri Light"/>
          <w:i/>
          <w:szCs w:val="22"/>
          <w:lang w:val="sq-AL"/>
        </w:rPr>
        <w:t>sore p</w:t>
      </w:r>
      <w:r>
        <w:rPr>
          <w:rFonts w:asciiTheme="majorHAnsi" w:hAnsiTheme="majorHAnsi" w:cs="Calibri Light"/>
          <w:i/>
          <w:szCs w:val="22"/>
          <w:lang w:val="sq-AL"/>
        </w:rPr>
        <w:t>ë</w:t>
      </w:r>
      <w:r w:rsidRPr="002617BE">
        <w:rPr>
          <w:rFonts w:asciiTheme="majorHAnsi" w:hAnsiTheme="majorHAnsi" w:cs="Calibri Light"/>
          <w:i/>
          <w:szCs w:val="22"/>
          <w:lang w:val="sq-AL"/>
        </w:rPr>
        <w:t>r sherbimin e okulistikes sp.Elbasan;</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F.V pajisje dhe orendi p</w:t>
      </w:r>
      <w:r>
        <w:rPr>
          <w:rFonts w:asciiTheme="majorHAnsi" w:hAnsiTheme="majorHAnsi" w:cs="Calibri Light"/>
          <w:i/>
          <w:szCs w:val="22"/>
          <w:lang w:val="sq-AL"/>
        </w:rPr>
        <w:t>ë</w:t>
      </w:r>
      <w:r w:rsidRPr="002617BE">
        <w:rPr>
          <w:rFonts w:asciiTheme="majorHAnsi" w:hAnsiTheme="majorHAnsi" w:cs="Calibri Light"/>
          <w:i/>
          <w:szCs w:val="22"/>
          <w:lang w:val="sq-AL"/>
        </w:rPr>
        <w:t>r disa nga sh</w:t>
      </w:r>
      <w:r>
        <w:rPr>
          <w:rFonts w:asciiTheme="majorHAnsi" w:hAnsiTheme="majorHAnsi" w:cs="Calibri Light"/>
          <w:i/>
          <w:szCs w:val="22"/>
          <w:lang w:val="sq-AL"/>
        </w:rPr>
        <w:t>ë</w:t>
      </w:r>
      <w:r w:rsidRPr="002617BE">
        <w:rPr>
          <w:rFonts w:asciiTheme="majorHAnsi" w:hAnsiTheme="majorHAnsi" w:cs="Calibri Light"/>
          <w:i/>
          <w:szCs w:val="22"/>
          <w:lang w:val="sq-AL"/>
        </w:rPr>
        <w:t>rbimet e QSUT;</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 xml:space="preserve">Rikonstruksion </w:t>
      </w:r>
      <w:r>
        <w:rPr>
          <w:rFonts w:asciiTheme="majorHAnsi" w:hAnsiTheme="majorHAnsi" w:cs="Calibri Light"/>
          <w:i/>
          <w:szCs w:val="22"/>
          <w:lang w:val="sq-AL"/>
        </w:rPr>
        <w:t>i</w:t>
      </w:r>
      <w:r w:rsidRPr="002617BE">
        <w:rPr>
          <w:rFonts w:asciiTheme="majorHAnsi" w:hAnsiTheme="majorHAnsi" w:cs="Calibri Light"/>
          <w:i/>
          <w:szCs w:val="22"/>
          <w:lang w:val="sq-AL"/>
        </w:rPr>
        <w:t xml:space="preserve"> QKMZHRF Tiran</w:t>
      </w:r>
      <w:r>
        <w:rPr>
          <w:rFonts w:asciiTheme="majorHAnsi" w:hAnsiTheme="majorHAnsi" w:cs="Calibri Light"/>
          <w:i/>
          <w:szCs w:val="22"/>
          <w:lang w:val="sq-AL"/>
        </w:rPr>
        <w:t>ë</w:t>
      </w:r>
      <w:r w:rsidRPr="002617BE">
        <w:rPr>
          <w:rFonts w:asciiTheme="majorHAnsi" w:hAnsiTheme="majorHAnsi" w:cs="Calibri Light"/>
          <w:i/>
          <w:szCs w:val="22"/>
          <w:lang w:val="sq-AL"/>
        </w:rPr>
        <w:t>;</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Furnizim vendosje pajisje mjek</w:t>
      </w:r>
      <w:r>
        <w:rPr>
          <w:rFonts w:asciiTheme="majorHAnsi" w:hAnsiTheme="majorHAnsi" w:cs="Calibri Light"/>
          <w:i/>
          <w:szCs w:val="22"/>
          <w:lang w:val="sq-AL"/>
        </w:rPr>
        <w:t>ë</w:t>
      </w:r>
      <w:r w:rsidRPr="002617BE">
        <w:rPr>
          <w:rFonts w:asciiTheme="majorHAnsi" w:hAnsiTheme="majorHAnsi" w:cs="Calibri Light"/>
          <w:i/>
          <w:szCs w:val="22"/>
          <w:lang w:val="sq-AL"/>
        </w:rPr>
        <w:t>sore p</w:t>
      </w:r>
      <w:r>
        <w:rPr>
          <w:rFonts w:asciiTheme="majorHAnsi" w:hAnsiTheme="majorHAnsi" w:cs="Calibri Light"/>
          <w:i/>
          <w:szCs w:val="22"/>
          <w:lang w:val="sq-AL"/>
        </w:rPr>
        <w:t>ë</w:t>
      </w:r>
      <w:r w:rsidRPr="002617BE">
        <w:rPr>
          <w:rFonts w:asciiTheme="majorHAnsi" w:hAnsiTheme="majorHAnsi" w:cs="Calibri Light"/>
          <w:i/>
          <w:szCs w:val="22"/>
          <w:lang w:val="sq-AL"/>
        </w:rPr>
        <w:t>r sh</w:t>
      </w:r>
      <w:r>
        <w:rPr>
          <w:rFonts w:asciiTheme="majorHAnsi" w:hAnsiTheme="majorHAnsi" w:cs="Calibri Light"/>
          <w:i/>
          <w:szCs w:val="22"/>
          <w:lang w:val="sq-AL"/>
        </w:rPr>
        <w:t>ë</w:t>
      </w:r>
      <w:r w:rsidRPr="002617BE">
        <w:rPr>
          <w:rFonts w:asciiTheme="majorHAnsi" w:hAnsiTheme="majorHAnsi" w:cs="Calibri Light"/>
          <w:i/>
          <w:szCs w:val="22"/>
          <w:lang w:val="sq-AL"/>
        </w:rPr>
        <w:t>rbimet mjeksore dhe okulistike, spitali Durres;</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Rikonstruksion i pediatrise infektive n</w:t>
      </w:r>
      <w:r>
        <w:rPr>
          <w:rFonts w:asciiTheme="majorHAnsi" w:hAnsiTheme="majorHAnsi" w:cs="Calibri Light"/>
          <w:i/>
          <w:szCs w:val="22"/>
          <w:lang w:val="sq-AL"/>
        </w:rPr>
        <w:t>ë</w:t>
      </w:r>
      <w:r w:rsidRPr="002617BE">
        <w:rPr>
          <w:rFonts w:asciiTheme="majorHAnsi" w:hAnsiTheme="majorHAnsi" w:cs="Calibri Light"/>
          <w:i/>
          <w:szCs w:val="22"/>
          <w:lang w:val="sq-AL"/>
        </w:rPr>
        <w:t xml:space="preserve"> QSUT;</w:t>
      </w:r>
    </w:p>
    <w:p w:rsidR="00B552CA" w:rsidRPr="002617BE" w:rsidRDefault="00B552CA" w:rsidP="00C71069">
      <w:pPr>
        <w:numPr>
          <w:ilvl w:val="0"/>
          <w:numId w:val="18"/>
        </w:numPr>
        <w:shd w:val="clear" w:color="auto" w:fill="FFFFFF" w:themeFill="background1"/>
        <w:spacing w:before="0" w:line="240" w:lineRule="auto"/>
        <w:rPr>
          <w:rFonts w:asciiTheme="majorHAnsi" w:hAnsiTheme="majorHAnsi" w:cs="Calibri Light"/>
          <w:i/>
          <w:szCs w:val="22"/>
          <w:lang w:val="sq-AL"/>
        </w:rPr>
      </w:pPr>
      <w:r w:rsidRPr="002617BE">
        <w:rPr>
          <w:rFonts w:asciiTheme="majorHAnsi" w:hAnsiTheme="majorHAnsi" w:cs="Calibri Light"/>
          <w:i/>
          <w:szCs w:val="22"/>
          <w:lang w:val="sq-AL"/>
        </w:rPr>
        <w:t>Është kryer rikonstruksioni i qendrave shëndet</w:t>
      </w:r>
      <w:r>
        <w:rPr>
          <w:rFonts w:asciiTheme="majorHAnsi" w:hAnsiTheme="majorHAnsi" w:cs="Calibri Light"/>
          <w:i/>
          <w:szCs w:val="22"/>
          <w:lang w:val="sq-AL"/>
        </w:rPr>
        <w:t>ë</w:t>
      </w:r>
      <w:r w:rsidRPr="002617BE">
        <w:rPr>
          <w:rFonts w:asciiTheme="majorHAnsi" w:hAnsiTheme="majorHAnsi" w:cs="Calibri Light"/>
          <w:i/>
          <w:szCs w:val="22"/>
          <w:lang w:val="sq-AL"/>
        </w:rPr>
        <w:t>sorë në rrethe në vlerë e 41 milionë lekë etj,</w:t>
      </w:r>
    </w:p>
    <w:p w:rsidR="00AB4424" w:rsidRDefault="00AB4424" w:rsidP="00B552CA">
      <w:pPr>
        <w:rPr>
          <w:sz w:val="12"/>
          <w:lang w:val="sq-AL"/>
        </w:rPr>
      </w:pPr>
    </w:p>
    <w:p w:rsidR="00AB7A9F" w:rsidRPr="00476D2E" w:rsidRDefault="00AB7A9F" w:rsidP="00FC729E">
      <w:pPr>
        <w:rPr>
          <w:sz w:val="12"/>
          <w:lang w:val="sq-AL"/>
        </w:rPr>
      </w:pPr>
    </w:p>
    <w:p w:rsidR="007B7B50" w:rsidRPr="00476D2E" w:rsidRDefault="007B7B50" w:rsidP="00FC729E">
      <w:pPr>
        <w:pStyle w:val="fiskale3"/>
        <w:rPr>
          <w:rFonts w:ascii="Calibri" w:hAnsi="Calibri" w:cs="Calibri"/>
          <w:b/>
        </w:rPr>
      </w:pPr>
      <w:bookmarkStart w:id="258" w:name="_Toc10721441"/>
      <w:bookmarkStart w:id="259" w:name="_Toc104980361"/>
      <w:bookmarkStart w:id="260" w:name="_Toc10033296"/>
      <w:bookmarkStart w:id="261" w:name="_Toc10721432"/>
      <w:r w:rsidRPr="00476D2E">
        <w:rPr>
          <w:rFonts w:ascii="Calibri" w:hAnsi="Calibri" w:cs="Calibri"/>
          <w:b/>
        </w:rPr>
        <w:t>Arsimi</w:t>
      </w:r>
      <w:bookmarkEnd w:id="258"/>
      <w:bookmarkEnd w:id="259"/>
    </w:p>
    <w:p w:rsidR="007B7B50" w:rsidRPr="00476D2E" w:rsidRDefault="007B7B50" w:rsidP="00FC729E">
      <w:pPr>
        <w:shd w:val="clear" w:color="auto" w:fill="FFFFFF" w:themeFill="background1"/>
        <w:ind w:left="-180"/>
        <w:contextualSpacing/>
        <w:rPr>
          <w:rFonts w:cs="Calibri"/>
          <w:color w:val="000000"/>
          <w:lang w:val="sq-AL"/>
        </w:rPr>
      </w:pPr>
      <w:r w:rsidRPr="00476D2E">
        <w:rPr>
          <w:rFonts w:cs="Calibri"/>
          <w:color w:val="000000"/>
          <w:lang w:val="sq-AL"/>
        </w:rPr>
        <w:t>Në përputhje me drejtimet kryesore të politikës së përgjithshme shtetërore, me fondet buxhetore të miratuara për vitin 202</w:t>
      </w:r>
      <w:r w:rsidR="00A81E0A">
        <w:rPr>
          <w:rFonts w:cs="Calibri"/>
          <w:color w:val="000000"/>
          <w:lang w:val="sq-AL"/>
        </w:rPr>
        <w:t>2</w:t>
      </w:r>
      <w:r w:rsidRPr="00476D2E">
        <w:rPr>
          <w:rFonts w:cs="Calibri"/>
          <w:color w:val="000000"/>
          <w:lang w:val="sq-AL"/>
        </w:rPr>
        <w:t>, performanca e treguesve buxhetorë për këto katër programe kryesore në Ministrinë e Arsimit, Sportit dhe Rinisë, paraqitet si më poshtë:</w:t>
      </w:r>
    </w:p>
    <w:p w:rsidR="007B7B50" w:rsidRPr="00476D2E" w:rsidRDefault="007B7B50" w:rsidP="00FC729E">
      <w:pPr>
        <w:keepNext/>
        <w:rPr>
          <w:rFonts w:cs="Calibri"/>
          <w:i/>
          <w:iCs/>
          <w:color w:val="17406D" w:themeColor="text2"/>
          <w:sz w:val="18"/>
          <w:szCs w:val="18"/>
          <w:lang w:val="sq-AL"/>
        </w:rPr>
      </w:pPr>
      <w:bookmarkStart w:id="262" w:name="_Toc136526352"/>
      <w:r w:rsidRPr="00476D2E">
        <w:rPr>
          <w:rFonts w:cs="Calibri"/>
          <w:i/>
          <w:iCs/>
          <w:color w:val="17406D" w:themeColor="text2"/>
          <w:sz w:val="18"/>
          <w:szCs w:val="18"/>
          <w:lang w:val="sq-AL"/>
        </w:rPr>
        <w:t xml:space="preserve">Tabela </w:t>
      </w:r>
      <w:r w:rsidRPr="00476D2E">
        <w:rPr>
          <w:rFonts w:cs="Calibri"/>
          <w:i/>
          <w:iCs/>
          <w:color w:val="17406D" w:themeColor="text2"/>
          <w:sz w:val="18"/>
          <w:szCs w:val="18"/>
          <w:lang w:val="sq-AL"/>
        </w:rPr>
        <w:fldChar w:fldCharType="begin"/>
      </w:r>
      <w:r w:rsidRPr="00476D2E">
        <w:rPr>
          <w:rFonts w:cs="Calibri"/>
          <w:i/>
          <w:iCs/>
          <w:color w:val="17406D" w:themeColor="text2"/>
          <w:sz w:val="18"/>
          <w:szCs w:val="18"/>
          <w:lang w:val="sq-AL"/>
        </w:rPr>
        <w:instrText xml:space="preserve"> SEQ Tabela \* ARABIC </w:instrText>
      </w:r>
      <w:r w:rsidRPr="00476D2E">
        <w:rPr>
          <w:rFonts w:cs="Calibri"/>
          <w:i/>
          <w:iCs/>
          <w:color w:val="17406D" w:themeColor="text2"/>
          <w:sz w:val="18"/>
          <w:szCs w:val="18"/>
          <w:lang w:val="sq-AL"/>
        </w:rPr>
        <w:fldChar w:fldCharType="separate"/>
      </w:r>
      <w:r w:rsidR="008C3E07">
        <w:rPr>
          <w:rFonts w:cs="Calibri"/>
          <w:i/>
          <w:iCs/>
          <w:noProof/>
          <w:color w:val="17406D" w:themeColor="text2"/>
          <w:sz w:val="18"/>
          <w:szCs w:val="18"/>
          <w:lang w:val="sq-AL"/>
        </w:rPr>
        <w:t>26</w:t>
      </w:r>
      <w:r w:rsidRPr="00476D2E">
        <w:rPr>
          <w:rFonts w:cs="Calibri"/>
          <w:i/>
          <w:iCs/>
          <w:noProof/>
          <w:color w:val="17406D" w:themeColor="text2"/>
          <w:sz w:val="18"/>
          <w:szCs w:val="18"/>
          <w:lang w:val="sq-AL"/>
        </w:rPr>
        <w:fldChar w:fldCharType="end"/>
      </w:r>
      <w:r w:rsidRPr="00476D2E">
        <w:rPr>
          <w:rFonts w:cs="Calibri"/>
          <w:i/>
          <w:iCs/>
          <w:color w:val="17406D" w:themeColor="text2"/>
          <w:sz w:val="18"/>
          <w:szCs w:val="18"/>
          <w:lang w:val="sq-AL"/>
        </w:rPr>
        <w:t xml:space="preserve"> Realizimi i buxhetit 202</w:t>
      </w:r>
      <w:r w:rsidR="00A81E0A">
        <w:rPr>
          <w:rFonts w:cs="Calibri"/>
          <w:i/>
          <w:iCs/>
          <w:color w:val="17406D" w:themeColor="text2"/>
          <w:sz w:val="18"/>
          <w:szCs w:val="18"/>
          <w:lang w:val="sq-AL"/>
        </w:rPr>
        <w:t>2</w:t>
      </w:r>
      <w:r w:rsidRPr="00476D2E">
        <w:rPr>
          <w:rFonts w:cs="Calibri"/>
          <w:i/>
          <w:iCs/>
          <w:color w:val="17406D" w:themeColor="text2"/>
          <w:sz w:val="18"/>
          <w:szCs w:val="18"/>
          <w:lang w:val="sq-AL"/>
        </w:rPr>
        <w:t xml:space="preserve"> për Ministrinë e Arsimit, Sportit dhe Rinisë (në mijë lekë)</w:t>
      </w:r>
      <w:bookmarkEnd w:id="262"/>
    </w:p>
    <w:tbl>
      <w:tblPr>
        <w:tblW w:w="11430" w:type="dxa"/>
        <w:jc w:val="center"/>
        <w:tblLayout w:type="fixed"/>
        <w:tblLook w:val="04A0" w:firstRow="1" w:lastRow="0" w:firstColumn="1" w:lastColumn="0" w:noHBand="0" w:noVBand="1"/>
      </w:tblPr>
      <w:tblGrid>
        <w:gridCol w:w="2610"/>
        <w:gridCol w:w="990"/>
        <w:gridCol w:w="990"/>
        <w:gridCol w:w="990"/>
        <w:gridCol w:w="990"/>
        <w:gridCol w:w="1061"/>
        <w:gridCol w:w="1009"/>
        <w:gridCol w:w="630"/>
        <w:gridCol w:w="810"/>
        <w:gridCol w:w="720"/>
        <w:gridCol w:w="630"/>
      </w:tblGrid>
      <w:tr w:rsidR="00A81E0A" w:rsidRPr="00F95C93" w:rsidTr="00A81E0A">
        <w:trPr>
          <w:trHeight w:val="510"/>
          <w:jc w:val="center"/>
        </w:trPr>
        <w:tc>
          <w:tcPr>
            <w:tcW w:w="2610" w:type="dxa"/>
            <w:vMerge w:val="restart"/>
            <w:tcBorders>
              <w:top w:val="nil"/>
              <w:left w:val="nil"/>
              <w:bottom w:val="nil"/>
              <w:right w:val="nil"/>
            </w:tcBorders>
            <w:shd w:val="clear" w:color="000000" w:fill="366092"/>
            <w:noWrap/>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rPr>
              <w:t>Programi buxhetor</w:t>
            </w:r>
          </w:p>
        </w:tc>
        <w:tc>
          <w:tcPr>
            <w:tcW w:w="1980"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Plani fillestar 2022</w:t>
            </w:r>
          </w:p>
        </w:tc>
        <w:tc>
          <w:tcPr>
            <w:tcW w:w="198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Plani i rishikuar 2022</w:t>
            </w:r>
          </w:p>
        </w:tc>
        <w:tc>
          <w:tcPr>
            <w:tcW w:w="207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Fakti 2022</w:t>
            </w:r>
          </w:p>
        </w:tc>
        <w:tc>
          <w:tcPr>
            <w:tcW w:w="144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A81E0A" w:rsidRPr="00A81E0A" w:rsidRDefault="00A81E0A" w:rsidP="00A81E0A">
            <w:pPr>
              <w:spacing w:before="0" w:line="240" w:lineRule="auto"/>
              <w:jc w:val="center"/>
              <w:rPr>
                <w:b/>
                <w:color w:val="FFFFFF"/>
                <w:sz w:val="18"/>
                <w:szCs w:val="18"/>
              </w:rPr>
            </w:pPr>
            <w:r w:rsidRPr="00A81E0A">
              <w:rPr>
                <w:rFonts w:cs="Calibri"/>
                <w:b/>
                <w:color w:val="FFFFFF" w:themeColor="background1"/>
                <w:sz w:val="18"/>
                <w:szCs w:val="18"/>
              </w:rPr>
              <w:t>Diferenca në % me planin fillestar</w:t>
            </w:r>
          </w:p>
        </w:tc>
        <w:tc>
          <w:tcPr>
            <w:tcW w:w="135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A81E0A" w:rsidRPr="00A81E0A" w:rsidRDefault="00A81E0A" w:rsidP="00A81E0A">
            <w:pPr>
              <w:spacing w:before="0" w:line="240" w:lineRule="auto"/>
              <w:jc w:val="center"/>
              <w:rPr>
                <w:b/>
                <w:color w:val="FFFFFF"/>
                <w:sz w:val="18"/>
                <w:szCs w:val="18"/>
              </w:rPr>
            </w:pPr>
            <w:r w:rsidRPr="00A81E0A">
              <w:rPr>
                <w:rFonts w:cs="Calibri"/>
                <w:b/>
                <w:color w:val="FFFFFF" w:themeColor="background1"/>
                <w:sz w:val="18"/>
                <w:szCs w:val="18"/>
              </w:rPr>
              <w:t>Diferenca në % me planin e rishikuar</w:t>
            </w:r>
          </w:p>
        </w:tc>
      </w:tr>
      <w:tr w:rsidR="00A81E0A" w:rsidRPr="00F95C93" w:rsidTr="00A81E0A">
        <w:trPr>
          <w:trHeight w:val="315"/>
          <w:jc w:val="center"/>
        </w:trPr>
        <w:tc>
          <w:tcPr>
            <w:tcW w:w="2610" w:type="dxa"/>
            <w:vMerge/>
            <w:tcBorders>
              <w:top w:val="nil"/>
              <w:left w:val="nil"/>
              <w:bottom w:val="nil"/>
              <w:right w:val="nil"/>
            </w:tcBorders>
            <w:vAlign w:val="center"/>
            <w:hideMark/>
          </w:tcPr>
          <w:p w:rsidR="00A81E0A" w:rsidRPr="00F95C93" w:rsidRDefault="00A81E0A" w:rsidP="00A81E0A">
            <w:pPr>
              <w:spacing w:before="0" w:line="240" w:lineRule="auto"/>
              <w:jc w:val="left"/>
              <w:rPr>
                <w:b/>
                <w:bCs/>
                <w:color w:val="FFFFFF"/>
                <w:sz w:val="18"/>
                <w:szCs w:val="18"/>
              </w:rPr>
            </w:pPr>
          </w:p>
        </w:tc>
        <w:tc>
          <w:tcPr>
            <w:tcW w:w="990" w:type="dxa"/>
            <w:tcBorders>
              <w:top w:val="nil"/>
              <w:left w:val="nil"/>
              <w:bottom w:val="single" w:sz="8" w:space="0" w:color="B8CCE4"/>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Korrente</w:t>
            </w:r>
          </w:p>
        </w:tc>
        <w:tc>
          <w:tcPr>
            <w:tcW w:w="990" w:type="dxa"/>
            <w:tcBorders>
              <w:top w:val="nil"/>
              <w:left w:val="nil"/>
              <w:bottom w:val="single" w:sz="8" w:space="0" w:color="B8CCE4"/>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Investime</w:t>
            </w:r>
          </w:p>
        </w:tc>
        <w:tc>
          <w:tcPr>
            <w:tcW w:w="990" w:type="dxa"/>
            <w:tcBorders>
              <w:top w:val="nil"/>
              <w:left w:val="nil"/>
              <w:bottom w:val="single" w:sz="8" w:space="0" w:color="B8CCE4"/>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Korrente</w:t>
            </w:r>
          </w:p>
        </w:tc>
        <w:tc>
          <w:tcPr>
            <w:tcW w:w="990" w:type="dxa"/>
            <w:tcBorders>
              <w:top w:val="nil"/>
              <w:left w:val="nil"/>
              <w:bottom w:val="single" w:sz="8" w:space="0" w:color="B8CCE4"/>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Investime</w:t>
            </w:r>
          </w:p>
        </w:tc>
        <w:tc>
          <w:tcPr>
            <w:tcW w:w="1061" w:type="dxa"/>
            <w:tcBorders>
              <w:top w:val="nil"/>
              <w:left w:val="nil"/>
              <w:bottom w:val="single" w:sz="8" w:space="0" w:color="B8CCE4"/>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Korrente</w:t>
            </w:r>
          </w:p>
        </w:tc>
        <w:tc>
          <w:tcPr>
            <w:tcW w:w="1009" w:type="dxa"/>
            <w:tcBorders>
              <w:top w:val="nil"/>
              <w:left w:val="nil"/>
              <w:bottom w:val="single" w:sz="8" w:space="0" w:color="B8CCE4"/>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Investime</w:t>
            </w:r>
          </w:p>
        </w:tc>
        <w:tc>
          <w:tcPr>
            <w:tcW w:w="630" w:type="dxa"/>
            <w:tcBorders>
              <w:top w:val="nil"/>
              <w:left w:val="nil"/>
              <w:bottom w:val="single" w:sz="8" w:space="0" w:color="B8CCE4"/>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Korr.</w:t>
            </w:r>
          </w:p>
        </w:tc>
        <w:tc>
          <w:tcPr>
            <w:tcW w:w="810" w:type="dxa"/>
            <w:tcBorders>
              <w:top w:val="nil"/>
              <w:left w:val="nil"/>
              <w:bottom w:val="single" w:sz="8" w:space="0" w:color="B8CCE4"/>
              <w:right w:val="single" w:sz="8" w:space="0" w:color="B8CCE4"/>
            </w:tcBorders>
            <w:shd w:val="clear" w:color="000000" w:fill="365F91"/>
            <w:vAlign w:val="center"/>
            <w:hideMark/>
          </w:tcPr>
          <w:p w:rsidR="00A81E0A" w:rsidRPr="00F95C93" w:rsidRDefault="00A81E0A" w:rsidP="00A81E0A">
            <w:pPr>
              <w:spacing w:before="0" w:line="240" w:lineRule="auto"/>
              <w:jc w:val="center"/>
              <w:rPr>
                <w:color w:val="FFFFFF"/>
                <w:sz w:val="18"/>
                <w:szCs w:val="18"/>
              </w:rPr>
            </w:pPr>
            <w:r w:rsidRPr="00F95C93">
              <w:rPr>
                <w:color w:val="FFFFFF"/>
                <w:sz w:val="18"/>
                <w:szCs w:val="18"/>
                <w:lang w:val="sq-AL"/>
              </w:rPr>
              <w:t>Inv.</w:t>
            </w:r>
          </w:p>
        </w:tc>
        <w:tc>
          <w:tcPr>
            <w:tcW w:w="720" w:type="dxa"/>
            <w:tcBorders>
              <w:top w:val="nil"/>
              <w:left w:val="nil"/>
              <w:bottom w:val="single" w:sz="8" w:space="0" w:color="B8CCE4"/>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Korr.</w:t>
            </w:r>
          </w:p>
        </w:tc>
        <w:tc>
          <w:tcPr>
            <w:tcW w:w="630" w:type="dxa"/>
            <w:tcBorders>
              <w:top w:val="nil"/>
              <w:left w:val="nil"/>
              <w:bottom w:val="single" w:sz="8" w:space="0" w:color="B8CCE4"/>
              <w:right w:val="single" w:sz="8" w:space="0" w:color="B8CCE4"/>
            </w:tcBorders>
            <w:shd w:val="clear" w:color="000000" w:fill="365F91"/>
            <w:vAlign w:val="center"/>
            <w:hideMark/>
          </w:tcPr>
          <w:p w:rsidR="00A81E0A" w:rsidRPr="00F95C93" w:rsidRDefault="00A81E0A" w:rsidP="00A81E0A">
            <w:pPr>
              <w:spacing w:before="0" w:line="240" w:lineRule="auto"/>
              <w:jc w:val="center"/>
              <w:rPr>
                <w:b/>
                <w:bCs/>
                <w:color w:val="FFFFFF"/>
                <w:sz w:val="18"/>
                <w:szCs w:val="18"/>
              </w:rPr>
            </w:pPr>
            <w:r w:rsidRPr="00F95C93">
              <w:rPr>
                <w:b/>
                <w:bCs/>
                <w:color w:val="FFFFFF"/>
                <w:sz w:val="18"/>
                <w:szCs w:val="18"/>
                <w:lang w:val="sq-AL"/>
              </w:rPr>
              <w:t>Inv.</w:t>
            </w:r>
          </w:p>
        </w:tc>
      </w:tr>
      <w:tr w:rsidR="00A81E0A" w:rsidRPr="00F95C93" w:rsidTr="00A81E0A">
        <w:trPr>
          <w:trHeight w:val="330"/>
          <w:jc w:val="center"/>
        </w:trPr>
        <w:tc>
          <w:tcPr>
            <w:tcW w:w="2610" w:type="dxa"/>
            <w:tcBorders>
              <w:top w:val="nil"/>
              <w:left w:val="single" w:sz="8" w:space="0" w:color="BFBFBF"/>
              <w:bottom w:val="single" w:sz="8" w:space="0" w:color="BFBFBF"/>
              <w:right w:val="single" w:sz="8" w:space="0" w:color="BFBFBF"/>
            </w:tcBorders>
            <w:shd w:val="clear" w:color="auto" w:fill="auto"/>
            <w:vAlign w:val="center"/>
            <w:hideMark/>
          </w:tcPr>
          <w:p w:rsidR="00A81E0A" w:rsidRPr="00F95C93" w:rsidRDefault="00A81E0A" w:rsidP="00A81E0A">
            <w:pPr>
              <w:spacing w:before="0" w:line="240" w:lineRule="auto"/>
              <w:jc w:val="center"/>
              <w:rPr>
                <w:color w:val="000000"/>
                <w:sz w:val="18"/>
                <w:szCs w:val="18"/>
              </w:rPr>
            </w:pPr>
            <w:r w:rsidRPr="00F95C93">
              <w:rPr>
                <w:color w:val="000000"/>
                <w:sz w:val="18"/>
                <w:szCs w:val="18"/>
                <w:lang w:val="sq-AL"/>
              </w:rPr>
              <w:t>Planifikimi, Menaxhimi dhe Administrimi</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736,320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85,000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710,532</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64,615</w:t>
            </w:r>
          </w:p>
        </w:tc>
        <w:tc>
          <w:tcPr>
            <w:tcW w:w="1061"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665,226</w:t>
            </w:r>
          </w:p>
        </w:tc>
        <w:tc>
          <w:tcPr>
            <w:tcW w:w="1009"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63,550</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color w:val="000000"/>
                <w:sz w:val="16"/>
                <w:szCs w:val="16"/>
                <w:lang w:val="sq-AL"/>
              </w:rPr>
              <w:t>90%</w:t>
            </w:r>
          </w:p>
        </w:tc>
        <w:tc>
          <w:tcPr>
            <w:tcW w:w="81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color w:val="000000"/>
                <w:sz w:val="16"/>
                <w:szCs w:val="16"/>
                <w:lang w:val="sq-AL"/>
              </w:rPr>
              <w:t>75%</w:t>
            </w:r>
          </w:p>
        </w:tc>
        <w:tc>
          <w:tcPr>
            <w:tcW w:w="72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color w:val="000000"/>
                <w:sz w:val="16"/>
                <w:szCs w:val="16"/>
              </w:rPr>
              <w:t>94%</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bCs/>
                <w:color w:val="000000"/>
                <w:sz w:val="16"/>
                <w:szCs w:val="16"/>
              </w:rPr>
              <w:t>98%</w:t>
            </w:r>
          </w:p>
        </w:tc>
      </w:tr>
      <w:tr w:rsidR="00A81E0A" w:rsidRPr="00F95C93" w:rsidTr="00A81E0A">
        <w:trPr>
          <w:trHeight w:val="315"/>
          <w:jc w:val="center"/>
        </w:trPr>
        <w:tc>
          <w:tcPr>
            <w:tcW w:w="2610" w:type="dxa"/>
            <w:tcBorders>
              <w:top w:val="nil"/>
              <w:left w:val="single" w:sz="8" w:space="0" w:color="BFBFBF"/>
              <w:bottom w:val="single" w:sz="8" w:space="0" w:color="BFBFBF"/>
              <w:right w:val="single" w:sz="8" w:space="0" w:color="BFBFBF"/>
            </w:tcBorders>
            <w:shd w:val="clear" w:color="auto" w:fill="auto"/>
            <w:vAlign w:val="center"/>
            <w:hideMark/>
          </w:tcPr>
          <w:p w:rsidR="00A81E0A" w:rsidRPr="00F95C93" w:rsidRDefault="00A81E0A" w:rsidP="00A81E0A">
            <w:pPr>
              <w:spacing w:before="0" w:line="240" w:lineRule="auto"/>
              <w:jc w:val="center"/>
              <w:rPr>
                <w:color w:val="000000"/>
                <w:sz w:val="18"/>
                <w:szCs w:val="18"/>
              </w:rPr>
            </w:pPr>
            <w:r w:rsidRPr="00F95C93">
              <w:rPr>
                <w:color w:val="000000"/>
                <w:sz w:val="18"/>
                <w:szCs w:val="18"/>
                <w:lang w:val="sq-AL"/>
              </w:rPr>
              <w:t>Arsimi Baze (përfshire parashkollorin)</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23,649,517</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1,208,000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24,646,887</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775,500</w:t>
            </w:r>
          </w:p>
        </w:tc>
        <w:tc>
          <w:tcPr>
            <w:tcW w:w="1061"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24,524,191</w:t>
            </w:r>
          </w:p>
        </w:tc>
        <w:tc>
          <w:tcPr>
            <w:tcW w:w="1009"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702,547</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color w:val="000000"/>
                <w:sz w:val="16"/>
                <w:szCs w:val="16"/>
                <w:lang w:val="sq-AL"/>
              </w:rPr>
              <w:t>104%</w:t>
            </w:r>
          </w:p>
        </w:tc>
        <w:tc>
          <w:tcPr>
            <w:tcW w:w="81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color w:val="000000"/>
                <w:sz w:val="16"/>
                <w:szCs w:val="16"/>
              </w:rPr>
              <w:t>58%</w:t>
            </w:r>
          </w:p>
        </w:tc>
        <w:tc>
          <w:tcPr>
            <w:tcW w:w="72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100%</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bCs/>
                <w:color w:val="000000"/>
                <w:sz w:val="16"/>
                <w:szCs w:val="16"/>
              </w:rPr>
              <w:t>91%</w:t>
            </w:r>
          </w:p>
        </w:tc>
      </w:tr>
      <w:tr w:rsidR="00A81E0A" w:rsidRPr="00F95C93" w:rsidTr="00A81E0A">
        <w:trPr>
          <w:trHeight w:val="315"/>
          <w:jc w:val="center"/>
        </w:trPr>
        <w:tc>
          <w:tcPr>
            <w:tcW w:w="2610" w:type="dxa"/>
            <w:tcBorders>
              <w:top w:val="nil"/>
              <w:left w:val="single" w:sz="8" w:space="0" w:color="BFBFBF"/>
              <w:bottom w:val="single" w:sz="8" w:space="0" w:color="BFBFBF"/>
              <w:right w:val="single" w:sz="8" w:space="0" w:color="BFBFBF"/>
            </w:tcBorders>
            <w:shd w:val="clear" w:color="auto" w:fill="auto"/>
            <w:vAlign w:val="center"/>
            <w:hideMark/>
          </w:tcPr>
          <w:p w:rsidR="00A81E0A" w:rsidRPr="00F95C93" w:rsidRDefault="00A81E0A" w:rsidP="00A81E0A">
            <w:pPr>
              <w:spacing w:before="0" w:line="240" w:lineRule="auto"/>
              <w:jc w:val="center"/>
              <w:rPr>
                <w:color w:val="000000"/>
                <w:sz w:val="18"/>
                <w:szCs w:val="18"/>
              </w:rPr>
            </w:pPr>
            <w:r w:rsidRPr="00F95C93">
              <w:rPr>
                <w:color w:val="000000"/>
                <w:sz w:val="18"/>
                <w:szCs w:val="18"/>
                <w:lang w:val="sq-AL"/>
              </w:rPr>
              <w:t>Arsimi i Mesëm (i përgjithshëm)</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6,701,600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1,112,000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6,703,472</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892,000</w:t>
            </w:r>
          </w:p>
        </w:tc>
        <w:tc>
          <w:tcPr>
            <w:tcW w:w="1061"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6,683,926</w:t>
            </w:r>
          </w:p>
        </w:tc>
        <w:tc>
          <w:tcPr>
            <w:tcW w:w="1009"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755,310</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100%</w:t>
            </w:r>
          </w:p>
        </w:tc>
        <w:tc>
          <w:tcPr>
            <w:tcW w:w="81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color w:val="000000"/>
                <w:sz w:val="16"/>
                <w:szCs w:val="16"/>
              </w:rPr>
              <w:t>68%</w:t>
            </w:r>
          </w:p>
        </w:tc>
        <w:tc>
          <w:tcPr>
            <w:tcW w:w="72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100%</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bCs/>
                <w:color w:val="000000"/>
                <w:sz w:val="16"/>
                <w:szCs w:val="16"/>
              </w:rPr>
              <w:t>85%</w:t>
            </w:r>
          </w:p>
        </w:tc>
      </w:tr>
      <w:tr w:rsidR="00A81E0A" w:rsidRPr="00F95C93" w:rsidTr="00A81E0A">
        <w:trPr>
          <w:trHeight w:val="315"/>
          <w:jc w:val="center"/>
        </w:trPr>
        <w:tc>
          <w:tcPr>
            <w:tcW w:w="2610" w:type="dxa"/>
            <w:tcBorders>
              <w:top w:val="nil"/>
              <w:left w:val="single" w:sz="8" w:space="0" w:color="BFBFBF"/>
              <w:bottom w:val="single" w:sz="8" w:space="0" w:color="BFBFBF"/>
              <w:right w:val="single" w:sz="8" w:space="0" w:color="BFBFBF"/>
            </w:tcBorders>
            <w:shd w:val="clear" w:color="auto" w:fill="auto"/>
            <w:vAlign w:val="center"/>
            <w:hideMark/>
          </w:tcPr>
          <w:p w:rsidR="00A81E0A" w:rsidRPr="00F95C93" w:rsidRDefault="00A81E0A" w:rsidP="00A81E0A">
            <w:pPr>
              <w:spacing w:before="0" w:line="240" w:lineRule="auto"/>
              <w:jc w:val="center"/>
              <w:rPr>
                <w:color w:val="000000"/>
                <w:sz w:val="18"/>
                <w:szCs w:val="18"/>
              </w:rPr>
            </w:pPr>
            <w:r w:rsidRPr="00F95C93">
              <w:rPr>
                <w:color w:val="000000"/>
                <w:sz w:val="18"/>
                <w:szCs w:val="18"/>
                <w:lang w:val="sq-AL"/>
              </w:rPr>
              <w:t>Arsimi Universitar</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9,600,000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1,206,000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10,710,121</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891,975</w:t>
            </w:r>
          </w:p>
        </w:tc>
        <w:tc>
          <w:tcPr>
            <w:tcW w:w="1061"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9,083,578</w:t>
            </w:r>
          </w:p>
        </w:tc>
        <w:tc>
          <w:tcPr>
            <w:tcW w:w="1009"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271,267</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95%</w:t>
            </w:r>
          </w:p>
        </w:tc>
        <w:tc>
          <w:tcPr>
            <w:tcW w:w="81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color w:val="000000"/>
                <w:sz w:val="16"/>
                <w:szCs w:val="16"/>
              </w:rPr>
              <w:t>22%</w:t>
            </w:r>
          </w:p>
        </w:tc>
        <w:tc>
          <w:tcPr>
            <w:tcW w:w="72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85%</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bCs/>
                <w:color w:val="000000"/>
                <w:sz w:val="16"/>
                <w:szCs w:val="16"/>
              </w:rPr>
              <w:t>30%</w:t>
            </w:r>
          </w:p>
        </w:tc>
      </w:tr>
      <w:tr w:rsidR="00A81E0A" w:rsidRPr="00F95C93" w:rsidTr="00A81E0A">
        <w:trPr>
          <w:trHeight w:val="330"/>
          <w:jc w:val="center"/>
        </w:trPr>
        <w:tc>
          <w:tcPr>
            <w:tcW w:w="2610" w:type="dxa"/>
            <w:tcBorders>
              <w:top w:val="nil"/>
              <w:left w:val="single" w:sz="8" w:space="0" w:color="BFBFBF"/>
              <w:bottom w:val="single" w:sz="8" w:space="0" w:color="BFBFBF"/>
              <w:right w:val="single" w:sz="8" w:space="0" w:color="BFBFBF"/>
            </w:tcBorders>
            <w:shd w:val="clear" w:color="auto" w:fill="auto"/>
            <w:vAlign w:val="center"/>
            <w:hideMark/>
          </w:tcPr>
          <w:p w:rsidR="00A81E0A" w:rsidRPr="00F95C93" w:rsidRDefault="00A81E0A" w:rsidP="00A81E0A">
            <w:pPr>
              <w:spacing w:before="0" w:line="240" w:lineRule="auto"/>
              <w:jc w:val="center"/>
              <w:rPr>
                <w:color w:val="000000"/>
                <w:sz w:val="18"/>
                <w:szCs w:val="18"/>
              </w:rPr>
            </w:pPr>
            <w:r w:rsidRPr="00F95C93">
              <w:rPr>
                <w:color w:val="000000"/>
                <w:sz w:val="18"/>
                <w:szCs w:val="18"/>
                <w:lang w:val="sq-AL"/>
              </w:rPr>
              <w:t>Fonde për Shkencën</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396,240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350,000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389,310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378,600</w:t>
            </w:r>
          </w:p>
        </w:tc>
        <w:tc>
          <w:tcPr>
            <w:tcW w:w="1061"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260,760</w:t>
            </w:r>
          </w:p>
        </w:tc>
        <w:tc>
          <w:tcPr>
            <w:tcW w:w="1009"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363,108</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66%</w:t>
            </w:r>
          </w:p>
        </w:tc>
        <w:tc>
          <w:tcPr>
            <w:tcW w:w="81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color w:val="000000"/>
                <w:sz w:val="16"/>
                <w:szCs w:val="16"/>
              </w:rPr>
              <w:t>104%</w:t>
            </w:r>
          </w:p>
        </w:tc>
        <w:tc>
          <w:tcPr>
            <w:tcW w:w="72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67%</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bCs/>
                <w:color w:val="000000"/>
                <w:sz w:val="16"/>
                <w:szCs w:val="16"/>
              </w:rPr>
              <w:t>96%</w:t>
            </w:r>
          </w:p>
        </w:tc>
      </w:tr>
      <w:tr w:rsidR="00A81E0A" w:rsidRPr="00F95C93" w:rsidTr="00A81E0A">
        <w:trPr>
          <w:trHeight w:val="315"/>
          <w:jc w:val="center"/>
        </w:trPr>
        <w:tc>
          <w:tcPr>
            <w:tcW w:w="2610" w:type="dxa"/>
            <w:tcBorders>
              <w:top w:val="nil"/>
              <w:left w:val="single" w:sz="8" w:space="0" w:color="BFBFBF"/>
              <w:bottom w:val="single" w:sz="8" w:space="0" w:color="BFBFBF"/>
              <w:right w:val="single" w:sz="8" w:space="0" w:color="BFBFBF"/>
            </w:tcBorders>
            <w:shd w:val="clear" w:color="auto" w:fill="auto"/>
            <w:vAlign w:val="center"/>
            <w:hideMark/>
          </w:tcPr>
          <w:p w:rsidR="00A81E0A" w:rsidRPr="00F95C93" w:rsidRDefault="00A81E0A" w:rsidP="00A81E0A">
            <w:pPr>
              <w:spacing w:before="0" w:line="240" w:lineRule="auto"/>
              <w:jc w:val="center"/>
              <w:rPr>
                <w:color w:val="000000"/>
                <w:sz w:val="18"/>
                <w:szCs w:val="18"/>
              </w:rPr>
            </w:pPr>
            <w:r w:rsidRPr="00F95C93">
              <w:rPr>
                <w:color w:val="000000"/>
                <w:sz w:val="18"/>
                <w:szCs w:val="18"/>
                <w:lang w:val="sq-AL"/>
              </w:rPr>
              <w:t xml:space="preserve">Zhvillimi i Sportit </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123,670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290,000</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679,871</w:t>
            </w:r>
          </w:p>
        </w:tc>
        <w:tc>
          <w:tcPr>
            <w:tcW w:w="99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104,700</w:t>
            </w:r>
          </w:p>
        </w:tc>
        <w:tc>
          <w:tcPr>
            <w:tcW w:w="1061"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667,277</w:t>
            </w:r>
          </w:p>
        </w:tc>
        <w:tc>
          <w:tcPr>
            <w:tcW w:w="1009"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87,723</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540%</w:t>
            </w:r>
          </w:p>
        </w:tc>
        <w:tc>
          <w:tcPr>
            <w:tcW w:w="81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color w:val="000000"/>
                <w:sz w:val="16"/>
                <w:szCs w:val="16"/>
              </w:rPr>
              <w:t>30%</w:t>
            </w:r>
          </w:p>
        </w:tc>
        <w:tc>
          <w:tcPr>
            <w:tcW w:w="72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color w:val="000000"/>
                <w:sz w:val="16"/>
                <w:szCs w:val="16"/>
              </w:rPr>
              <w:t>98%</w:t>
            </w:r>
          </w:p>
        </w:tc>
        <w:tc>
          <w:tcPr>
            <w:tcW w:w="630" w:type="dxa"/>
            <w:tcBorders>
              <w:top w:val="nil"/>
              <w:left w:val="nil"/>
              <w:bottom w:val="single" w:sz="8" w:space="0" w:color="B8CCE4"/>
              <w:right w:val="single" w:sz="8" w:space="0" w:color="B8CCE4"/>
            </w:tcBorders>
            <w:shd w:val="clear" w:color="auto" w:fill="auto"/>
            <w:vAlign w:val="center"/>
            <w:hideMark/>
          </w:tcPr>
          <w:p w:rsidR="00A81E0A" w:rsidRPr="00F95C93" w:rsidRDefault="00A81E0A" w:rsidP="00A81E0A">
            <w:pPr>
              <w:spacing w:before="0" w:line="240" w:lineRule="auto"/>
              <w:jc w:val="center"/>
              <w:rPr>
                <w:color w:val="000000"/>
                <w:sz w:val="16"/>
                <w:szCs w:val="16"/>
              </w:rPr>
            </w:pPr>
            <w:r w:rsidRPr="00F95C93">
              <w:rPr>
                <w:rFonts w:cs="Calibri"/>
                <w:bCs/>
                <w:color w:val="000000"/>
                <w:sz w:val="16"/>
                <w:szCs w:val="16"/>
              </w:rPr>
              <w:t>84%</w:t>
            </w:r>
          </w:p>
        </w:tc>
      </w:tr>
      <w:tr w:rsidR="00A81E0A" w:rsidRPr="00F95C93" w:rsidTr="00A81E0A">
        <w:trPr>
          <w:trHeight w:val="330"/>
          <w:jc w:val="center"/>
        </w:trPr>
        <w:tc>
          <w:tcPr>
            <w:tcW w:w="2610" w:type="dxa"/>
            <w:tcBorders>
              <w:top w:val="nil"/>
              <w:left w:val="single" w:sz="8" w:space="0" w:color="BFBFBF"/>
              <w:bottom w:val="single" w:sz="8" w:space="0" w:color="BFBFBF"/>
              <w:right w:val="single" w:sz="8" w:space="0" w:color="BFBFBF"/>
            </w:tcBorders>
            <w:shd w:val="clear" w:color="auto" w:fill="auto"/>
            <w:vAlign w:val="center"/>
            <w:hideMark/>
          </w:tcPr>
          <w:p w:rsidR="00A81E0A" w:rsidRPr="00F95C93" w:rsidRDefault="00A81E0A" w:rsidP="00A81E0A">
            <w:pPr>
              <w:spacing w:before="0" w:line="240" w:lineRule="auto"/>
              <w:jc w:val="center"/>
              <w:rPr>
                <w:color w:val="000000"/>
                <w:sz w:val="18"/>
                <w:szCs w:val="18"/>
              </w:rPr>
            </w:pPr>
            <w:r w:rsidRPr="00F95C93">
              <w:rPr>
                <w:color w:val="000000"/>
                <w:sz w:val="18"/>
                <w:szCs w:val="18"/>
                <w:lang w:val="sq-AL"/>
              </w:rPr>
              <w:t>Grant i trashëguar</w:t>
            </w:r>
          </w:p>
        </w:tc>
        <w:tc>
          <w:tcPr>
            <w:tcW w:w="990" w:type="dxa"/>
            <w:tcBorders>
              <w:top w:val="nil"/>
              <w:left w:val="nil"/>
              <w:bottom w:val="double" w:sz="6" w:space="0" w:color="95B3D7"/>
              <w:right w:val="single" w:sz="8" w:space="0" w:color="B8CCE4"/>
            </w:tcBorders>
            <w:shd w:val="clear" w:color="auto" w:fill="auto"/>
            <w:vAlign w:val="center"/>
            <w:hideMark/>
          </w:tcPr>
          <w:p w:rsidR="00A81E0A" w:rsidRPr="00F95C93" w:rsidRDefault="00A81E0A" w:rsidP="00A81E0A">
            <w:pPr>
              <w:spacing w:before="0" w:line="240" w:lineRule="auto"/>
              <w:jc w:val="center"/>
              <w:rPr>
                <w:b/>
                <w:bCs/>
                <w:i/>
                <w:iCs/>
                <w:color w:val="000000"/>
                <w:sz w:val="16"/>
                <w:szCs w:val="16"/>
              </w:rPr>
            </w:pPr>
            <w:r w:rsidRPr="00F95C93">
              <w:rPr>
                <w:b/>
                <w:bCs/>
                <w:i/>
                <w:iCs/>
                <w:color w:val="000000"/>
                <w:sz w:val="16"/>
                <w:szCs w:val="16"/>
              </w:rPr>
              <w:t>-</w:t>
            </w:r>
          </w:p>
        </w:tc>
        <w:tc>
          <w:tcPr>
            <w:tcW w:w="990" w:type="dxa"/>
            <w:tcBorders>
              <w:top w:val="nil"/>
              <w:left w:val="nil"/>
              <w:bottom w:val="double" w:sz="6" w:space="0" w:color="95B3D7"/>
              <w:right w:val="single" w:sz="8" w:space="0" w:color="B8CCE4"/>
            </w:tcBorders>
            <w:shd w:val="clear" w:color="auto" w:fill="auto"/>
            <w:vAlign w:val="center"/>
            <w:hideMark/>
          </w:tcPr>
          <w:p w:rsidR="00A81E0A" w:rsidRPr="00F95C93" w:rsidRDefault="00A81E0A" w:rsidP="00A81E0A">
            <w:pPr>
              <w:spacing w:before="0" w:line="240" w:lineRule="auto"/>
              <w:jc w:val="center"/>
              <w:rPr>
                <w:b/>
                <w:bCs/>
                <w:i/>
                <w:iCs/>
                <w:color w:val="000000"/>
                <w:sz w:val="16"/>
                <w:szCs w:val="16"/>
              </w:rPr>
            </w:pPr>
            <w:r w:rsidRPr="00F95C93">
              <w:rPr>
                <w:b/>
                <w:bCs/>
                <w:i/>
                <w:iCs/>
                <w:color w:val="000000"/>
                <w:sz w:val="16"/>
                <w:szCs w:val="16"/>
              </w:rPr>
              <w:t>-</w:t>
            </w:r>
          </w:p>
        </w:tc>
        <w:tc>
          <w:tcPr>
            <w:tcW w:w="990" w:type="dxa"/>
            <w:tcBorders>
              <w:top w:val="nil"/>
              <w:left w:val="nil"/>
              <w:bottom w:val="double" w:sz="6" w:space="0" w:color="95B3D7"/>
              <w:right w:val="single" w:sz="8" w:space="0" w:color="B8CCE4"/>
            </w:tcBorders>
            <w:shd w:val="clear" w:color="auto" w:fill="auto"/>
            <w:vAlign w:val="center"/>
            <w:hideMark/>
          </w:tcPr>
          <w:p w:rsidR="00A81E0A" w:rsidRPr="00F95C93" w:rsidRDefault="00A81E0A" w:rsidP="00A81E0A">
            <w:pPr>
              <w:spacing w:before="0" w:line="240" w:lineRule="auto"/>
              <w:jc w:val="center"/>
              <w:rPr>
                <w:b/>
                <w:bCs/>
                <w:i/>
                <w:iCs/>
                <w:color w:val="000000"/>
                <w:sz w:val="16"/>
                <w:szCs w:val="16"/>
              </w:rPr>
            </w:pPr>
            <w:r w:rsidRPr="00F95C93">
              <w:rPr>
                <w:b/>
                <w:bCs/>
                <w:i/>
                <w:iCs/>
                <w:color w:val="000000"/>
                <w:sz w:val="16"/>
                <w:szCs w:val="16"/>
              </w:rPr>
              <w:t>1,280,273</w:t>
            </w:r>
          </w:p>
        </w:tc>
        <w:tc>
          <w:tcPr>
            <w:tcW w:w="990" w:type="dxa"/>
            <w:tcBorders>
              <w:top w:val="nil"/>
              <w:left w:val="nil"/>
              <w:bottom w:val="double" w:sz="6" w:space="0" w:color="95B3D7"/>
              <w:right w:val="single" w:sz="8" w:space="0" w:color="B8CCE4"/>
            </w:tcBorders>
            <w:shd w:val="clear" w:color="auto" w:fill="auto"/>
            <w:vAlign w:val="center"/>
            <w:hideMark/>
          </w:tcPr>
          <w:p w:rsidR="00A81E0A" w:rsidRPr="00F95C93" w:rsidRDefault="00A81E0A" w:rsidP="00A81E0A">
            <w:pPr>
              <w:spacing w:before="0" w:line="240" w:lineRule="auto"/>
              <w:jc w:val="center"/>
              <w:rPr>
                <w:b/>
                <w:bCs/>
                <w:i/>
                <w:iCs/>
                <w:color w:val="000000"/>
                <w:sz w:val="16"/>
                <w:szCs w:val="16"/>
              </w:rPr>
            </w:pPr>
            <w:r w:rsidRPr="00F95C93">
              <w:rPr>
                <w:b/>
                <w:bCs/>
                <w:i/>
                <w:iCs/>
                <w:color w:val="000000"/>
                <w:sz w:val="16"/>
                <w:szCs w:val="16"/>
              </w:rPr>
              <w:t>-</w:t>
            </w:r>
          </w:p>
        </w:tc>
        <w:tc>
          <w:tcPr>
            <w:tcW w:w="1061" w:type="dxa"/>
            <w:tcBorders>
              <w:top w:val="nil"/>
              <w:left w:val="nil"/>
              <w:bottom w:val="double" w:sz="6" w:space="0" w:color="95B3D7"/>
              <w:right w:val="single" w:sz="8" w:space="0" w:color="B8CCE4"/>
            </w:tcBorders>
            <w:shd w:val="clear" w:color="auto" w:fill="auto"/>
            <w:vAlign w:val="center"/>
            <w:hideMark/>
          </w:tcPr>
          <w:p w:rsidR="00A81E0A" w:rsidRPr="00F95C93" w:rsidRDefault="00A81E0A" w:rsidP="00A81E0A">
            <w:pPr>
              <w:spacing w:before="0" w:line="240" w:lineRule="auto"/>
              <w:jc w:val="center"/>
              <w:rPr>
                <w:b/>
                <w:bCs/>
                <w:i/>
                <w:iCs/>
                <w:color w:val="000000"/>
                <w:sz w:val="16"/>
                <w:szCs w:val="16"/>
              </w:rPr>
            </w:pPr>
            <w:r w:rsidRPr="00F95C93">
              <w:rPr>
                <w:b/>
                <w:bCs/>
                <w:i/>
                <w:iCs/>
                <w:color w:val="000000"/>
                <w:sz w:val="16"/>
                <w:szCs w:val="16"/>
              </w:rPr>
              <w:t>-</w:t>
            </w:r>
          </w:p>
        </w:tc>
        <w:tc>
          <w:tcPr>
            <w:tcW w:w="1009" w:type="dxa"/>
            <w:tcBorders>
              <w:top w:val="nil"/>
              <w:left w:val="nil"/>
              <w:bottom w:val="double" w:sz="6" w:space="0" w:color="95B3D7"/>
              <w:right w:val="single" w:sz="8" w:space="0" w:color="B8CCE4"/>
            </w:tcBorders>
            <w:shd w:val="clear" w:color="auto" w:fill="auto"/>
            <w:vAlign w:val="center"/>
            <w:hideMark/>
          </w:tcPr>
          <w:p w:rsidR="00A81E0A" w:rsidRPr="00F95C93" w:rsidRDefault="00A81E0A" w:rsidP="00A81E0A">
            <w:pPr>
              <w:spacing w:before="0" w:line="240" w:lineRule="auto"/>
              <w:jc w:val="center"/>
              <w:rPr>
                <w:b/>
                <w:bCs/>
                <w:i/>
                <w:iCs/>
                <w:color w:val="000000"/>
                <w:sz w:val="16"/>
                <w:szCs w:val="16"/>
              </w:rPr>
            </w:pPr>
            <w:r w:rsidRPr="00F95C93">
              <w:rPr>
                <w:b/>
                <w:bCs/>
                <w:i/>
                <w:iCs/>
                <w:color w:val="000000"/>
                <w:sz w:val="16"/>
                <w:szCs w:val="16"/>
              </w:rPr>
              <w:t>-</w:t>
            </w:r>
          </w:p>
        </w:tc>
        <w:tc>
          <w:tcPr>
            <w:tcW w:w="630" w:type="dxa"/>
            <w:tcBorders>
              <w:top w:val="nil"/>
              <w:left w:val="nil"/>
              <w:bottom w:val="single" w:sz="8" w:space="0" w:color="B8CCE4"/>
              <w:right w:val="single" w:sz="8" w:space="0" w:color="B8CCE4"/>
            </w:tcBorders>
            <w:shd w:val="clear" w:color="auto" w:fill="auto"/>
            <w:vAlign w:val="center"/>
          </w:tcPr>
          <w:p w:rsidR="00A81E0A" w:rsidRPr="00F95C93" w:rsidRDefault="00A81E0A" w:rsidP="00A81E0A">
            <w:pPr>
              <w:spacing w:before="0" w:line="240" w:lineRule="auto"/>
              <w:jc w:val="center"/>
              <w:rPr>
                <w:color w:val="000000"/>
                <w:sz w:val="16"/>
                <w:szCs w:val="16"/>
              </w:rPr>
            </w:pPr>
            <w:r w:rsidRPr="00F95C93">
              <w:rPr>
                <w:color w:val="000000"/>
                <w:sz w:val="16"/>
                <w:szCs w:val="16"/>
              </w:rPr>
              <w:t>-</w:t>
            </w:r>
          </w:p>
        </w:tc>
        <w:tc>
          <w:tcPr>
            <w:tcW w:w="810" w:type="dxa"/>
            <w:tcBorders>
              <w:top w:val="nil"/>
              <w:left w:val="nil"/>
              <w:bottom w:val="single" w:sz="8" w:space="0" w:color="B8CCE4"/>
              <w:right w:val="single" w:sz="8" w:space="0" w:color="B8CCE4"/>
            </w:tcBorders>
            <w:shd w:val="clear" w:color="auto" w:fill="auto"/>
            <w:vAlign w:val="center"/>
          </w:tcPr>
          <w:p w:rsidR="00A81E0A" w:rsidRPr="00F95C93" w:rsidRDefault="00A81E0A" w:rsidP="00A81E0A">
            <w:pPr>
              <w:spacing w:before="0" w:line="240" w:lineRule="auto"/>
              <w:jc w:val="center"/>
              <w:rPr>
                <w:color w:val="000000"/>
                <w:sz w:val="16"/>
                <w:szCs w:val="16"/>
              </w:rPr>
            </w:pPr>
            <w:r w:rsidRPr="00F95C93">
              <w:rPr>
                <w:color w:val="000000"/>
                <w:sz w:val="16"/>
                <w:szCs w:val="16"/>
              </w:rPr>
              <w:t>-</w:t>
            </w:r>
          </w:p>
        </w:tc>
        <w:tc>
          <w:tcPr>
            <w:tcW w:w="720" w:type="dxa"/>
            <w:tcBorders>
              <w:top w:val="nil"/>
              <w:left w:val="nil"/>
              <w:bottom w:val="single" w:sz="8" w:space="0" w:color="B8CCE4"/>
              <w:right w:val="single" w:sz="8" w:space="0" w:color="B8CCE4"/>
            </w:tcBorders>
            <w:shd w:val="clear" w:color="auto" w:fill="auto"/>
            <w:vAlign w:val="center"/>
          </w:tcPr>
          <w:p w:rsidR="00A81E0A" w:rsidRPr="00F95C93" w:rsidRDefault="00A81E0A" w:rsidP="00A81E0A">
            <w:pPr>
              <w:spacing w:before="0" w:line="240" w:lineRule="auto"/>
              <w:jc w:val="center"/>
              <w:rPr>
                <w:color w:val="000000"/>
                <w:sz w:val="16"/>
                <w:szCs w:val="16"/>
              </w:rPr>
            </w:pPr>
            <w:r w:rsidRPr="00F95C93">
              <w:rPr>
                <w:color w:val="000000"/>
                <w:sz w:val="16"/>
                <w:szCs w:val="16"/>
              </w:rPr>
              <w:t>-</w:t>
            </w:r>
          </w:p>
        </w:tc>
        <w:tc>
          <w:tcPr>
            <w:tcW w:w="630" w:type="dxa"/>
            <w:tcBorders>
              <w:top w:val="nil"/>
              <w:left w:val="nil"/>
              <w:bottom w:val="single" w:sz="8" w:space="0" w:color="B8CCE4"/>
              <w:right w:val="single" w:sz="8" w:space="0" w:color="B8CCE4"/>
            </w:tcBorders>
            <w:shd w:val="clear" w:color="auto" w:fill="auto"/>
            <w:vAlign w:val="center"/>
          </w:tcPr>
          <w:p w:rsidR="00A81E0A" w:rsidRPr="00F95C93" w:rsidRDefault="00A81E0A" w:rsidP="00A81E0A">
            <w:pPr>
              <w:spacing w:before="0" w:line="240" w:lineRule="auto"/>
              <w:jc w:val="center"/>
              <w:rPr>
                <w:color w:val="000000"/>
                <w:sz w:val="16"/>
                <w:szCs w:val="16"/>
              </w:rPr>
            </w:pPr>
            <w:r w:rsidRPr="00F95C93">
              <w:rPr>
                <w:color w:val="000000"/>
                <w:sz w:val="16"/>
                <w:szCs w:val="16"/>
              </w:rPr>
              <w:t>-</w:t>
            </w:r>
          </w:p>
        </w:tc>
      </w:tr>
      <w:tr w:rsidR="00A81E0A" w:rsidRPr="00F95C93" w:rsidTr="00A81E0A">
        <w:trPr>
          <w:trHeight w:val="315"/>
          <w:jc w:val="center"/>
        </w:trPr>
        <w:tc>
          <w:tcPr>
            <w:tcW w:w="2610"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8"/>
                <w:szCs w:val="18"/>
              </w:rPr>
            </w:pPr>
            <w:r w:rsidRPr="00F95C93">
              <w:rPr>
                <w:rFonts w:cs="Calibri"/>
                <w:b/>
                <w:bCs/>
                <w:color w:val="FFFFFF"/>
                <w:sz w:val="18"/>
                <w:szCs w:val="18"/>
              </w:rPr>
              <w:t>Gjithsej</w:t>
            </w:r>
          </w:p>
        </w:tc>
        <w:tc>
          <w:tcPr>
            <w:tcW w:w="990"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6"/>
                <w:szCs w:val="16"/>
              </w:rPr>
            </w:pPr>
            <w:r w:rsidRPr="00F95C93">
              <w:rPr>
                <w:b/>
                <w:bCs/>
                <w:color w:val="FFFFFF"/>
                <w:sz w:val="16"/>
                <w:szCs w:val="16"/>
              </w:rPr>
              <w:t>41,207,347</w:t>
            </w:r>
          </w:p>
        </w:tc>
        <w:tc>
          <w:tcPr>
            <w:tcW w:w="990"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6"/>
                <w:szCs w:val="16"/>
              </w:rPr>
            </w:pPr>
            <w:r w:rsidRPr="00F95C93">
              <w:rPr>
                <w:b/>
                <w:bCs/>
                <w:color w:val="FFFFFF"/>
                <w:sz w:val="16"/>
                <w:szCs w:val="16"/>
              </w:rPr>
              <w:t>4,251,000</w:t>
            </w:r>
          </w:p>
        </w:tc>
        <w:tc>
          <w:tcPr>
            <w:tcW w:w="990"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6"/>
                <w:szCs w:val="16"/>
              </w:rPr>
            </w:pPr>
            <w:r w:rsidRPr="00F95C93">
              <w:rPr>
                <w:b/>
                <w:bCs/>
                <w:color w:val="FFFFFF"/>
                <w:sz w:val="16"/>
                <w:szCs w:val="16"/>
              </w:rPr>
              <w:t>45,120,467</w:t>
            </w:r>
          </w:p>
        </w:tc>
        <w:tc>
          <w:tcPr>
            <w:tcW w:w="990"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6"/>
                <w:szCs w:val="16"/>
              </w:rPr>
            </w:pPr>
            <w:r w:rsidRPr="00F95C93">
              <w:rPr>
                <w:b/>
                <w:bCs/>
                <w:color w:val="FFFFFF"/>
                <w:sz w:val="16"/>
                <w:szCs w:val="16"/>
              </w:rPr>
              <w:t>3,107,390</w:t>
            </w:r>
          </w:p>
        </w:tc>
        <w:tc>
          <w:tcPr>
            <w:tcW w:w="1061"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6"/>
                <w:szCs w:val="16"/>
              </w:rPr>
            </w:pPr>
            <w:r w:rsidRPr="00F95C93">
              <w:rPr>
                <w:b/>
                <w:bCs/>
                <w:color w:val="FFFFFF"/>
                <w:sz w:val="16"/>
                <w:szCs w:val="16"/>
              </w:rPr>
              <w:t>41,884,959</w:t>
            </w:r>
          </w:p>
        </w:tc>
        <w:tc>
          <w:tcPr>
            <w:tcW w:w="1009"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6"/>
                <w:szCs w:val="16"/>
              </w:rPr>
            </w:pPr>
            <w:r w:rsidRPr="00F95C93">
              <w:rPr>
                <w:b/>
                <w:bCs/>
                <w:color w:val="FFFFFF"/>
                <w:sz w:val="16"/>
                <w:szCs w:val="16"/>
              </w:rPr>
              <w:t>2,243,504</w:t>
            </w:r>
          </w:p>
        </w:tc>
        <w:tc>
          <w:tcPr>
            <w:tcW w:w="630"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6"/>
                <w:szCs w:val="16"/>
              </w:rPr>
            </w:pPr>
            <w:r w:rsidRPr="00F95C93">
              <w:rPr>
                <w:b/>
                <w:bCs/>
                <w:color w:val="FFFFFF"/>
                <w:sz w:val="16"/>
                <w:szCs w:val="16"/>
              </w:rPr>
              <w:t>102%</w:t>
            </w:r>
          </w:p>
        </w:tc>
        <w:tc>
          <w:tcPr>
            <w:tcW w:w="810"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6"/>
                <w:szCs w:val="16"/>
              </w:rPr>
            </w:pPr>
            <w:r w:rsidRPr="00F95C93">
              <w:rPr>
                <w:b/>
                <w:bCs/>
                <w:color w:val="FFFFFF"/>
                <w:sz w:val="16"/>
                <w:szCs w:val="16"/>
              </w:rPr>
              <w:t>53%</w:t>
            </w:r>
          </w:p>
        </w:tc>
        <w:tc>
          <w:tcPr>
            <w:tcW w:w="720"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6"/>
                <w:szCs w:val="16"/>
              </w:rPr>
            </w:pPr>
            <w:r w:rsidRPr="00F95C93">
              <w:rPr>
                <w:b/>
                <w:bCs/>
                <w:color w:val="FFFFFF"/>
                <w:sz w:val="16"/>
                <w:szCs w:val="16"/>
              </w:rPr>
              <w:t>93%</w:t>
            </w:r>
          </w:p>
        </w:tc>
        <w:tc>
          <w:tcPr>
            <w:tcW w:w="630" w:type="dxa"/>
            <w:tcBorders>
              <w:top w:val="nil"/>
              <w:left w:val="nil"/>
              <w:bottom w:val="single" w:sz="8" w:space="0" w:color="B8CCE4"/>
              <w:right w:val="single" w:sz="8" w:space="0" w:color="B8CCE4"/>
            </w:tcBorders>
            <w:shd w:val="clear" w:color="000000" w:fill="366092"/>
            <w:vAlign w:val="center"/>
            <w:hideMark/>
          </w:tcPr>
          <w:p w:rsidR="00A81E0A" w:rsidRPr="00F95C93" w:rsidRDefault="00A81E0A" w:rsidP="00A81E0A">
            <w:pPr>
              <w:spacing w:before="0" w:line="240" w:lineRule="auto"/>
              <w:jc w:val="center"/>
              <w:rPr>
                <w:b/>
                <w:bCs/>
                <w:color w:val="FFFFFF"/>
                <w:sz w:val="16"/>
                <w:szCs w:val="16"/>
              </w:rPr>
            </w:pPr>
            <w:r w:rsidRPr="00F95C93">
              <w:rPr>
                <w:b/>
                <w:bCs/>
                <w:color w:val="FFFFFF"/>
                <w:sz w:val="16"/>
                <w:szCs w:val="16"/>
              </w:rPr>
              <w:t>72%</w:t>
            </w:r>
          </w:p>
        </w:tc>
      </w:tr>
    </w:tbl>
    <w:p w:rsidR="00A81E0A" w:rsidRPr="00F95C93" w:rsidRDefault="00A81E0A" w:rsidP="00A81E0A">
      <w:pPr>
        <w:rPr>
          <w:lang w:val="sq-AL"/>
        </w:rPr>
      </w:pPr>
      <w:r w:rsidRPr="00F95C93">
        <w:rPr>
          <w:lang w:val="sq-AL"/>
        </w:rPr>
        <w:t xml:space="preserve">Në programin </w:t>
      </w:r>
      <w:r w:rsidRPr="00F95C93">
        <w:rPr>
          <w:b/>
          <w:lang w:val="sq-AL"/>
        </w:rPr>
        <w:t>“Arsimi Bazë”</w:t>
      </w:r>
      <w:r w:rsidRPr="00F95C93">
        <w:rPr>
          <w:lang w:val="sq-AL"/>
        </w:rPr>
        <w:t>është ofruar shërbimi i mësimdhënies për mbi 313</w:t>
      </w:r>
      <w:r w:rsidR="00F40F7F">
        <w:rPr>
          <w:lang w:val="sq-AL"/>
        </w:rPr>
        <w:t xml:space="preserve"> </w:t>
      </w:r>
      <w:r w:rsidRPr="00F95C93">
        <w:rPr>
          <w:lang w:val="sq-AL"/>
        </w:rPr>
        <w:t>mijë fëmijë në arsimin parashkollor dhe arsimin bazë, apo rreth 7% më pak se e njëjta periudhë e një viti më parë. Vëmendje e veçantë i është kushtuar uljes së braktisjes shkollore; tërheqjes së fëmijëve romë/egjiptianë dhe fëmijëve me aftësi të kufizuara. Përgjatë vitit 2022, për arritjen e qëllimit kanë kontribuar produktet, performanca e të cilave është realizuar, si më poshtë:</w:t>
      </w:r>
    </w:p>
    <w:p w:rsidR="00A81E0A" w:rsidRPr="00F95C93" w:rsidRDefault="00A81E0A" w:rsidP="00C71069">
      <w:pPr>
        <w:pStyle w:val="ListParagraph"/>
        <w:numPr>
          <w:ilvl w:val="0"/>
          <w:numId w:val="17"/>
        </w:numPr>
        <w:shd w:val="clear" w:color="auto" w:fill="FFFFFF" w:themeFill="background1"/>
        <w:spacing w:before="0" w:line="240" w:lineRule="auto"/>
        <w:rPr>
          <w:rFonts w:cs="Calibri Light"/>
          <w:i/>
          <w:szCs w:val="22"/>
          <w:lang w:val="sq-AL"/>
        </w:rPr>
      </w:pPr>
      <w:r w:rsidRPr="00F95C93">
        <w:rPr>
          <w:rFonts w:cs="Calibri Light"/>
          <w:i/>
          <w:szCs w:val="22"/>
          <w:lang w:val="sq-AL"/>
        </w:rPr>
        <w:t>Niveli i braktisjes së shkollës është në masën 0.46%, duke synuar braktisjen zero.</w:t>
      </w:r>
    </w:p>
    <w:p w:rsidR="00A81E0A" w:rsidRPr="00F95C93" w:rsidRDefault="00A81E0A" w:rsidP="00C71069">
      <w:pPr>
        <w:pStyle w:val="ListParagraph"/>
        <w:numPr>
          <w:ilvl w:val="0"/>
          <w:numId w:val="17"/>
        </w:numPr>
        <w:shd w:val="clear" w:color="auto" w:fill="FFFFFF" w:themeFill="background1"/>
        <w:spacing w:before="0" w:line="240" w:lineRule="auto"/>
        <w:rPr>
          <w:rFonts w:cs="Calibri Light"/>
          <w:i/>
          <w:szCs w:val="22"/>
          <w:lang w:val="sq-AL"/>
        </w:rPr>
      </w:pPr>
      <w:r w:rsidRPr="00F95C93">
        <w:rPr>
          <w:rFonts w:cs="Calibri Light"/>
          <w:i/>
          <w:szCs w:val="22"/>
          <w:lang w:val="sq-AL"/>
        </w:rPr>
        <w:t>U ofrua shërbimi i transportit me fonde të buxhetit, për të mbuluar shpenzimet për transportin e rreth 35,000 nxënës që kanë vendbanimi mbi 2 km nga shkolla si dhe 9,700 mësues që punojnë mbi 5 km nga vendbanimi/qendra e përhershme e punës në shkollë me një kosto prej rreth 1.2 miliard lekë.</w:t>
      </w:r>
    </w:p>
    <w:p w:rsidR="00A81E0A" w:rsidRPr="00F95C93" w:rsidRDefault="00A81E0A" w:rsidP="00C71069">
      <w:pPr>
        <w:pStyle w:val="ListParagraph"/>
        <w:numPr>
          <w:ilvl w:val="0"/>
          <w:numId w:val="17"/>
        </w:numPr>
        <w:shd w:val="clear" w:color="auto" w:fill="FFFFFF" w:themeFill="background1"/>
        <w:spacing w:before="0" w:line="240" w:lineRule="auto"/>
        <w:rPr>
          <w:rFonts w:cs="Calibri Light"/>
          <w:i/>
          <w:szCs w:val="22"/>
          <w:lang w:val="sq-AL"/>
        </w:rPr>
      </w:pPr>
      <w:r w:rsidRPr="00F95C93">
        <w:rPr>
          <w:rFonts w:cs="Calibri Light"/>
          <w:i/>
          <w:szCs w:val="22"/>
          <w:lang w:val="sq-AL"/>
        </w:rPr>
        <w:t>Për vitin shkollor 2021-2022 përfituan tekste shkollore falas për përdorim rreth 251 mijë nxënës nga klasa e parë në klasën e nëntë me një efekt financiar prej 799 milionë lekë.</w:t>
      </w:r>
    </w:p>
    <w:p w:rsidR="00A81E0A" w:rsidRPr="00F95C93" w:rsidRDefault="00A81E0A" w:rsidP="00C71069">
      <w:pPr>
        <w:pStyle w:val="ListParagraph"/>
        <w:numPr>
          <w:ilvl w:val="0"/>
          <w:numId w:val="17"/>
        </w:numPr>
        <w:shd w:val="clear" w:color="auto" w:fill="FFFFFF" w:themeFill="background1"/>
        <w:spacing w:before="0" w:line="240" w:lineRule="auto"/>
        <w:rPr>
          <w:rFonts w:cs="Calibri Light"/>
          <w:i/>
          <w:szCs w:val="22"/>
          <w:lang w:val="sq-AL"/>
        </w:rPr>
      </w:pPr>
      <w:r w:rsidRPr="00F95C93">
        <w:rPr>
          <w:rFonts w:cs="Calibri Light"/>
          <w:i/>
          <w:szCs w:val="22"/>
          <w:lang w:val="sq-AL"/>
        </w:rPr>
        <w:t>Gjithashtu, janë rreth 140 nxënës me aftësi të veçanta që përfitojnë shërbim arsimor, më një kosto prej 93 milionë lekë për vitin 2022.</w:t>
      </w:r>
    </w:p>
    <w:p w:rsidR="00B552CA" w:rsidRDefault="00B552CA" w:rsidP="00F40F7F">
      <w:pPr>
        <w:rPr>
          <w:lang w:val="sq-AL"/>
        </w:rPr>
      </w:pPr>
    </w:p>
    <w:p w:rsidR="00A81E0A" w:rsidRPr="00F95C93" w:rsidRDefault="00A81E0A" w:rsidP="00F40F7F">
      <w:pPr>
        <w:rPr>
          <w:rFonts w:cs="Calibri"/>
          <w:lang w:val="sq-AL"/>
        </w:rPr>
      </w:pPr>
      <w:r w:rsidRPr="00F95C93">
        <w:rPr>
          <w:lang w:val="sq-AL"/>
        </w:rPr>
        <w:t xml:space="preserve">Në programin </w:t>
      </w:r>
      <w:r w:rsidRPr="00F95C93">
        <w:rPr>
          <w:b/>
          <w:lang w:val="sq-AL"/>
        </w:rPr>
        <w:t>“Arsimi Mesëm i Përgjithshëm”</w:t>
      </w:r>
      <w:r w:rsidRPr="00F95C93">
        <w:rPr>
          <w:lang w:val="sq-AL"/>
        </w:rPr>
        <w:t xml:space="preserve">, </w:t>
      </w:r>
      <w:r w:rsidRPr="00F95C93">
        <w:rPr>
          <w:rFonts w:cs="Calibri"/>
          <w:lang w:val="sq-AL"/>
        </w:rPr>
        <w:t>afërsisht 73 mijë nxënës që përfunduan arsimin e detyrueshëm u regjistruan në arsimin e mesëm, apo rreth 18% më pak se një vit më parë.</w:t>
      </w:r>
    </w:p>
    <w:p w:rsidR="00A81E0A" w:rsidRPr="00F95C93" w:rsidRDefault="00A81E0A" w:rsidP="00C71069">
      <w:pPr>
        <w:pStyle w:val="ListParagraph"/>
        <w:numPr>
          <w:ilvl w:val="0"/>
          <w:numId w:val="17"/>
        </w:numPr>
        <w:shd w:val="clear" w:color="auto" w:fill="FFFFFF" w:themeFill="background1"/>
        <w:spacing w:before="0" w:line="240" w:lineRule="auto"/>
        <w:rPr>
          <w:rFonts w:cs="Calibri Light"/>
          <w:i/>
          <w:szCs w:val="22"/>
          <w:lang w:val="sq-AL"/>
        </w:rPr>
      </w:pPr>
      <w:r w:rsidRPr="00F95C93">
        <w:rPr>
          <w:rFonts w:cs="Calibri Light"/>
          <w:i/>
          <w:szCs w:val="22"/>
          <w:lang w:val="sq-AL"/>
        </w:rPr>
        <w:lastRenderedPageBreak/>
        <w:t>Ofrimi i shërbimit të transportit me fonde të buxhetit, për të mbuluar shpenzimet për transportin e rreth 5,300 mësues  dhe nxënës të AML për vitin shkollor 2021-2022, shoqëruar me një kosto prej 89 milionë lekë.</w:t>
      </w:r>
    </w:p>
    <w:p w:rsidR="00A81E0A" w:rsidRPr="00F95C93" w:rsidRDefault="00A81E0A" w:rsidP="00C71069">
      <w:pPr>
        <w:pStyle w:val="ListParagraph"/>
        <w:numPr>
          <w:ilvl w:val="0"/>
          <w:numId w:val="17"/>
        </w:numPr>
        <w:shd w:val="clear" w:color="auto" w:fill="FFFFFF" w:themeFill="background1"/>
        <w:spacing w:before="0" w:line="240" w:lineRule="auto"/>
        <w:rPr>
          <w:rFonts w:cs="Calibri Light"/>
          <w:i/>
          <w:szCs w:val="22"/>
          <w:lang w:val="sq-AL"/>
        </w:rPr>
      </w:pPr>
      <w:r w:rsidRPr="00F95C93">
        <w:rPr>
          <w:rFonts w:cs="Calibri Light"/>
          <w:i/>
          <w:szCs w:val="22"/>
          <w:lang w:val="sq-AL"/>
        </w:rPr>
        <w:t>Kanë përfituar tekste mësimore falas 16,000 nxënës të grupeve sociale në nevojë, për vitin shkollor 2021-2022, shoqëruar me një kosto prej 101 milionë lekë.</w:t>
      </w:r>
    </w:p>
    <w:p w:rsidR="00A81E0A" w:rsidRPr="00F95C93" w:rsidRDefault="00A81E0A" w:rsidP="00C71069">
      <w:pPr>
        <w:pStyle w:val="ListParagraph"/>
        <w:numPr>
          <w:ilvl w:val="0"/>
          <w:numId w:val="17"/>
        </w:numPr>
        <w:shd w:val="clear" w:color="auto" w:fill="FFFFFF" w:themeFill="background1"/>
        <w:spacing w:before="0" w:line="240" w:lineRule="auto"/>
        <w:rPr>
          <w:rFonts w:cs="Calibri Light"/>
          <w:i/>
          <w:szCs w:val="22"/>
          <w:lang w:val="sq-AL"/>
        </w:rPr>
      </w:pPr>
      <w:r w:rsidRPr="00F95C93">
        <w:rPr>
          <w:rFonts w:cs="Calibri Light"/>
          <w:i/>
          <w:szCs w:val="22"/>
          <w:lang w:val="sq-AL"/>
        </w:rPr>
        <w:t>Rritet numri i shkollave Qender Komunitare, nga 225 shkolla ne 275 shkolla.</w:t>
      </w:r>
    </w:p>
    <w:p w:rsidR="00B552CA" w:rsidRDefault="00B552CA" w:rsidP="00A81E0A">
      <w:pPr>
        <w:rPr>
          <w:rFonts w:eastAsia="Batang"/>
          <w:lang w:val="sq-AL" w:eastAsia="ko-KR"/>
        </w:rPr>
      </w:pPr>
    </w:p>
    <w:p w:rsidR="00A81E0A" w:rsidRPr="00F95C93" w:rsidRDefault="00A81E0A" w:rsidP="00A81E0A">
      <w:pPr>
        <w:rPr>
          <w:lang w:val="sq-AL"/>
        </w:rPr>
      </w:pPr>
      <w:r w:rsidRPr="00F95C93">
        <w:rPr>
          <w:rFonts w:eastAsia="Batang"/>
          <w:lang w:val="sq-AL" w:eastAsia="ko-KR"/>
        </w:rPr>
        <w:t xml:space="preserve">Në programin </w:t>
      </w:r>
      <w:r w:rsidRPr="00F95C93">
        <w:rPr>
          <w:rFonts w:eastAsia="Batang"/>
          <w:b/>
          <w:lang w:val="sq-AL" w:eastAsia="ko-KR"/>
        </w:rPr>
        <w:t>“Arsimi Lartë”,</w:t>
      </w:r>
      <w:r w:rsidRPr="00F95C93">
        <w:rPr>
          <w:rFonts w:eastAsia="Batang"/>
          <w:lang w:val="sq-AL" w:eastAsia="ko-KR"/>
        </w:rPr>
        <w:t xml:space="preserve"> gjatë vitit 2022, tashmë me një reformë tërësore të sistemit të arsimit të lartë, që synon rritjen e cilësisë në të gjithë sistemin, pa cënuar aspak mundësitë e të rinjve për t’u arsimuar,është</w:t>
      </w:r>
      <w:r w:rsidRPr="00F95C93">
        <w:rPr>
          <w:lang w:val="sq-AL"/>
        </w:rPr>
        <w:t xml:space="preserve">ulur lehtësisht numri i studentëve në ciklin e parë të studimeve në rreth 73,000 studentë nga 76,637 studentë që ishin një vit më parë. </w:t>
      </w:r>
    </w:p>
    <w:p w:rsidR="00A81E0A" w:rsidRPr="00F95C93" w:rsidRDefault="00A81E0A" w:rsidP="00C71069">
      <w:pPr>
        <w:pStyle w:val="ListParagraph"/>
        <w:numPr>
          <w:ilvl w:val="0"/>
          <w:numId w:val="17"/>
        </w:numPr>
        <w:shd w:val="clear" w:color="auto" w:fill="FFFFFF" w:themeFill="background1"/>
        <w:spacing w:before="0" w:line="240" w:lineRule="auto"/>
        <w:rPr>
          <w:rFonts w:cs="Calibri Light"/>
          <w:i/>
          <w:szCs w:val="22"/>
          <w:lang w:val="sq-AL"/>
        </w:rPr>
      </w:pPr>
      <w:r w:rsidRPr="00F95C93">
        <w:rPr>
          <w:rFonts w:cs="Calibri Light"/>
          <w:i/>
          <w:szCs w:val="22"/>
          <w:lang w:val="sq-AL"/>
        </w:rPr>
        <w:t>Ka vijuar me prioritet financimi me bursa i studentëve me rezultate të larta i atyre të kategorive sociale në nevojë, si dhe përjashtimi 100 % nga tarifa vjetore e shkollimit apo reduktimi në masën 50% nga tarifa vjetore e shkollimit për studentët e ciklit të dytë.  Kanë përfituar bursa dhe mbështetje financiare për akomodim në shtëpitë e studentëve rreth 19,000 studentë, shoqëruar me një kosto vjetore prej 1.2 miliardë lekë.</w:t>
      </w:r>
    </w:p>
    <w:p w:rsidR="00F40F7F" w:rsidRDefault="00A81E0A" w:rsidP="00C71069">
      <w:pPr>
        <w:pStyle w:val="ListParagraph"/>
        <w:numPr>
          <w:ilvl w:val="0"/>
          <w:numId w:val="17"/>
        </w:numPr>
        <w:shd w:val="clear" w:color="auto" w:fill="FFFFFF" w:themeFill="background1"/>
        <w:spacing w:before="0" w:line="240" w:lineRule="auto"/>
        <w:rPr>
          <w:rFonts w:cs="Calibri Light"/>
          <w:i/>
          <w:szCs w:val="22"/>
          <w:lang w:val="sq-AL"/>
        </w:rPr>
      </w:pPr>
      <w:r w:rsidRPr="00F95C93">
        <w:rPr>
          <w:rFonts w:cs="Calibri Light"/>
          <w:i/>
          <w:szCs w:val="22"/>
          <w:lang w:val="sq-AL"/>
        </w:rPr>
        <w:t>Janë ndërtuar dhe rikonstruktuar 16 laboratorë, me një kosto vjetore prej 93 milionë lekë.</w:t>
      </w:r>
      <w:r w:rsidR="00F40F7F">
        <w:rPr>
          <w:rFonts w:cs="Calibri Light"/>
          <w:i/>
          <w:szCs w:val="22"/>
          <w:lang w:val="sq-AL"/>
        </w:rPr>
        <w:t xml:space="preserve"> </w:t>
      </w:r>
    </w:p>
    <w:p w:rsidR="00B552CA" w:rsidRDefault="00B552CA" w:rsidP="00B552CA">
      <w:pPr>
        <w:shd w:val="clear" w:color="auto" w:fill="FFFFFF" w:themeFill="background1"/>
        <w:spacing w:line="240" w:lineRule="auto"/>
        <w:rPr>
          <w:rFonts w:eastAsiaTheme="minorHAnsi" w:cs="Calibri"/>
          <w:lang w:val="sq-AL"/>
        </w:rPr>
      </w:pPr>
    </w:p>
    <w:p w:rsidR="00B552CA" w:rsidRPr="002617BE" w:rsidRDefault="007B7B50" w:rsidP="00B552CA">
      <w:pPr>
        <w:shd w:val="clear" w:color="auto" w:fill="FFFFFF" w:themeFill="background1"/>
        <w:spacing w:line="240" w:lineRule="auto"/>
        <w:rPr>
          <w:rFonts w:asciiTheme="majorHAnsi" w:eastAsiaTheme="minorHAnsi" w:hAnsiTheme="majorHAnsi" w:cs="Calibri Light"/>
          <w:szCs w:val="22"/>
          <w:lang w:val="sq-AL"/>
        </w:rPr>
      </w:pPr>
      <w:r w:rsidRPr="00B552CA">
        <w:rPr>
          <w:rFonts w:eastAsiaTheme="minorHAnsi" w:cs="Calibri"/>
          <w:lang w:val="sq-AL"/>
        </w:rPr>
        <w:t xml:space="preserve">Për sa u përket </w:t>
      </w:r>
      <w:r w:rsidRPr="00B552CA">
        <w:rPr>
          <w:rFonts w:eastAsiaTheme="minorHAnsi" w:cs="Calibri"/>
          <w:b/>
          <w:bCs/>
          <w:lang w:val="sq-AL"/>
        </w:rPr>
        <w:t xml:space="preserve">investimeve publike, </w:t>
      </w:r>
      <w:r w:rsidR="00B552CA" w:rsidRPr="00B552CA">
        <w:rPr>
          <w:rFonts w:cs="Calibri"/>
          <w:lang w:val="sq-AL"/>
        </w:rPr>
        <w:t>realizimi në vitin 2022 ishte 49.9% e buxhetit fillestar për projektet me</w:t>
      </w:r>
      <w:r w:rsidR="00B552CA" w:rsidRPr="002617BE">
        <w:rPr>
          <w:rFonts w:cs="Calibri"/>
          <w:lang w:val="sq-AL"/>
        </w:rPr>
        <w:t xml:space="preserve"> financim të brendshëm (1.96 milardë lekë)</w:t>
      </w:r>
      <w:r w:rsidR="00B552CA" w:rsidRPr="002617BE">
        <w:rPr>
          <w:rFonts w:cs="Calibri"/>
          <w:bCs/>
          <w:iCs/>
          <w:lang w:val="sq-AL"/>
        </w:rPr>
        <w:t xml:space="preserve"> (87.5% të planit vjetor të ndryshuar me AN nr.19)</w:t>
      </w:r>
      <w:r w:rsidR="00B552CA" w:rsidRPr="002617BE">
        <w:rPr>
          <w:rFonts w:cs="Calibri"/>
          <w:lang w:val="sq-AL"/>
        </w:rPr>
        <w:t xml:space="preserve"> dhe 88.2% e buxhetit fillestar për projektet me financim të huaj (0.28 miliardë lekë) </w:t>
      </w:r>
      <w:r w:rsidR="00B552CA" w:rsidRPr="002617BE">
        <w:rPr>
          <w:rFonts w:cs="Calibri"/>
          <w:bCs/>
          <w:iCs/>
          <w:lang w:val="sq-AL"/>
        </w:rPr>
        <w:t>(79% të planit vjetor të ndryshuar me AN nr.</w:t>
      </w:r>
      <w:r w:rsidR="00B552CA">
        <w:rPr>
          <w:rFonts w:cs="Calibri"/>
          <w:bCs/>
          <w:iCs/>
          <w:lang w:val="sq-AL"/>
        </w:rPr>
        <w:t>19</w:t>
      </w:r>
      <w:r w:rsidR="00B552CA" w:rsidRPr="002617BE">
        <w:rPr>
          <w:rFonts w:cs="Calibri"/>
          <w:bCs/>
          <w:iCs/>
          <w:lang w:val="sq-AL"/>
        </w:rPr>
        <w:t>).</w:t>
      </w:r>
      <w:r w:rsidR="00B552CA" w:rsidRPr="002617BE">
        <w:rPr>
          <w:rFonts w:cs="Calibri"/>
          <w:lang w:val="sq-AL"/>
        </w:rPr>
        <w:t xml:space="preserve"> Buxheti i shpenzimeve kapitale pësoi disa ndryshime, duke shkurtuar fonde për projekte të cilat nuk mund të realizoheshin gjatë vitit.</w:t>
      </w:r>
      <w:r w:rsidR="00B552CA" w:rsidRPr="002617BE">
        <w:rPr>
          <w:rFonts w:eastAsiaTheme="minorHAnsi" w:cs="Calibri"/>
          <w:b/>
          <w:bCs/>
          <w:lang w:val="sq-AL"/>
        </w:rPr>
        <w:t xml:space="preserve"> </w:t>
      </w:r>
      <w:r w:rsidR="00B552CA" w:rsidRPr="002617BE">
        <w:rPr>
          <w:rFonts w:asciiTheme="majorHAnsi" w:eastAsiaTheme="minorHAnsi" w:hAnsiTheme="majorHAnsi" w:cs="Calibri Light"/>
          <w:szCs w:val="22"/>
          <w:lang w:val="sq-AL"/>
        </w:rPr>
        <w:t>Janë mbyllur kontratat e investimit si më poshtë:</w:t>
      </w:r>
    </w:p>
    <w:p w:rsidR="00B552CA" w:rsidRPr="002617BE" w:rsidRDefault="00B552CA" w:rsidP="00C71069">
      <w:pPr>
        <w:pStyle w:val="ListParagraph"/>
        <w:numPr>
          <w:ilvl w:val="0"/>
          <w:numId w:val="17"/>
        </w:numPr>
        <w:shd w:val="clear" w:color="auto" w:fill="FFFFFF" w:themeFill="background1"/>
        <w:spacing w:before="0" w:line="240" w:lineRule="auto"/>
        <w:rPr>
          <w:rFonts w:asciiTheme="majorHAnsi" w:eastAsia="Calibri" w:hAnsiTheme="majorHAnsi" w:cs="Calibri Light"/>
          <w:i/>
          <w:szCs w:val="22"/>
          <w:lang w:val="sq-AL"/>
        </w:rPr>
      </w:pPr>
      <w:r w:rsidRPr="002617BE">
        <w:rPr>
          <w:rFonts w:asciiTheme="majorHAnsi" w:eastAsiaTheme="minorHAnsi" w:hAnsiTheme="majorHAnsi" w:cs="Calibri Light"/>
          <w:szCs w:val="22"/>
          <w:lang w:val="sq-AL"/>
        </w:rPr>
        <w:t>Në programin “</w:t>
      </w:r>
      <w:r w:rsidRPr="002617BE">
        <w:rPr>
          <w:rFonts w:asciiTheme="majorHAnsi" w:eastAsiaTheme="minorHAnsi" w:hAnsiTheme="majorHAnsi" w:cs="Calibri Light"/>
          <w:b/>
          <w:szCs w:val="22"/>
          <w:lang w:val="sq-AL"/>
        </w:rPr>
        <w:t>Planifikim Menaxhim, Administrim</w:t>
      </w:r>
      <w:r w:rsidRPr="002617BE">
        <w:rPr>
          <w:rFonts w:asciiTheme="majorHAnsi" w:eastAsiaTheme="minorHAnsi" w:hAnsiTheme="majorHAnsi" w:cs="Calibri Light"/>
          <w:szCs w:val="22"/>
          <w:lang w:val="sq-AL"/>
        </w:rPr>
        <w:t xml:space="preserve">“ kanë përfunduar disa kontrata rikonstruksioni në disa zyra vendore arsimore si në Gjirokastër, Vlorë etj..  me vlerë të përafërt 28 milionë lekë. </w:t>
      </w:r>
    </w:p>
    <w:p w:rsidR="00B552CA" w:rsidRPr="002617BE" w:rsidRDefault="00B552CA" w:rsidP="00C71069">
      <w:pPr>
        <w:pStyle w:val="ListParagraph"/>
        <w:numPr>
          <w:ilvl w:val="0"/>
          <w:numId w:val="17"/>
        </w:numPr>
        <w:shd w:val="clear" w:color="auto" w:fill="FFFFFF" w:themeFill="background1"/>
        <w:spacing w:before="0" w:line="240" w:lineRule="auto"/>
        <w:rPr>
          <w:rFonts w:asciiTheme="majorHAnsi" w:eastAsiaTheme="minorHAnsi" w:hAnsiTheme="majorHAnsi" w:cs="Calibri Light"/>
          <w:szCs w:val="22"/>
          <w:lang w:val="sq-AL"/>
        </w:rPr>
      </w:pPr>
      <w:r w:rsidRPr="002617BE">
        <w:rPr>
          <w:rFonts w:asciiTheme="majorHAnsi" w:eastAsiaTheme="minorHAnsi" w:hAnsiTheme="majorHAnsi" w:cs="Calibri Light"/>
          <w:szCs w:val="22"/>
          <w:lang w:val="sq-AL"/>
        </w:rPr>
        <w:t xml:space="preserve">Në programin </w:t>
      </w:r>
      <w:r w:rsidRPr="002617BE">
        <w:rPr>
          <w:rFonts w:asciiTheme="majorHAnsi" w:eastAsiaTheme="minorHAnsi" w:hAnsiTheme="majorHAnsi" w:cs="Calibri Light"/>
          <w:b/>
          <w:i/>
          <w:szCs w:val="22"/>
          <w:lang w:val="sq-AL"/>
        </w:rPr>
        <w:t>e Arsimit Bazë</w:t>
      </w:r>
      <w:r w:rsidRPr="002617BE">
        <w:rPr>
          <w:rFonts w:asciiTheme="majorHAnsi" w:eastAsiaTheme="minorHAnsi" w:hAnsiTheme="majorHAnsi" w:cs="Calibri Light"/>
          <w:szCs w:val="22"/>
          <w:lang w:val="sq-AL"/>
        </w:rPr>
        <w:t xml:space="preserve"> kanë përfunduar 3 kontrata investimi konkretisht:</w:t>
      </w:r>
    </w:p>
    <w:p w:rsidR="00B552CA" w:rsidRPr="002617BE" w:rsidRDefault="00B552CA" w:rsidP="00C71069">
      <w:pPr>
        <w:pStyle w:val="ListParagraph"/>
        <w:numPr>
          <w:ilvl w:val="0"/>
          <w:numId w:val="19"/>
        </w:numPr>
        <w:shd w:val="clear" w:color="auto" w:fill="FFFFFF" w:themeFill="background1"/>
        <w:spacing w:before="0" w:line="240" w:lineRule="auto"/>
        <w:rPr>
          <w:rFonts w:asciiTheme="majorHAnsi" w:eastAsiaTheme="minorHAnsi" w:hAnsiTheme="majorHAnsi" w:cs="Calibri Light"/>
          <w:i/>
          <w:szCs w:val="22"/>
          <w:lang w:val="sq-AL"/>
        </w:rPr>
      </w:pPr>
      <w:r w:rsidRPr="002617BE">
        <w:rPr>
          <w:rFonts w:asciiTheme="majorHAnsi" w:eastAsiaTheme="minorHAnsi" w:hAnsiTheme="majorHAnsi" w:cs="Calibri Light"/>
          <w:i/>
          <w:szCs w:val="22"/>
          <w:lang w:val="sq-AL"/>
        </w:rPr>
        <w:t>Blerje Pajisje mobilerie p</w:t>
      </w:r>
      <w:r>
        <w:rPr>
          <w:rFonts w:asciiTheme="majorHAnsi" w:eastAsiaTheme="minorHAnsi" w:hAnsiTheme="majorHAnsi" w:cs="Calibri Light"/>
          <w:i/>
          <w:szCs w:val="22"/>
          <w:lang w:val="sq-AL"/>
        </w:rPr>
        <w:t>ë</w:t>
      </w:r>
      <w:r w:rsidRPr="002617BE">
        <w:rPr>
          <w:rFonts w:asciiTheme="majorHAnsi" w:eastAsiaTheme="minorHAnsi" w:hAnsiTheme="majorHAnsi" w:cs="Calibri Light"/>
          <w:i/>
          <w:szCs w:val="22"/>
          <w:lang w:val="sq-AL"/>
        </w:rPr>
        <w:t>r shkollat e arsimit bazë me vlerë 120 milionë lekë;</w:t>
      </w:r>
    </w:p>
    <w:p w:rsidR="00B552CA" w:rsidRPr="002617BE" w:rsidRDefault="00B552CA" w:rsidP="00C71069">
      <w:pPr>
        <w:pStyle w:val="ListParagraph"/>
        <w:numPr>
          <w:ilvl w:val="0"/>
          <w:numId w:val="19"/>
        </w:numPr>
        <w:shd w:val="clear" w:color="auto" w:fill="FFFFFF" w:themeFill="background1"/>
        <w:spacing w:before="0" w:line="240" w:lineRule="auto"/>
        <w:rPr>
          <w:rFonts w:asciiTheme="majorHAnsi" w:eastAsiaTheme="minorHAnsi" w:hAnsiTheme="majorHAnsi" w:cs="Calibri Light"/>
          <w:i/>
          <w:szCs w:val="22"/>
          <w:lang w:val="sq-AL"/>
        </w:rPr>
      </w:pPr>
      <w:r w:rsidRPr="002617BE">
        <w:rPr>
          <w:rFonts w:asciiTheme="majorHAnsi" w:eastAsiaTheme="minorHAnsi" w:hAnsiTheme="majorHAnsi" w:cs="Calibri Light"/>
          <w:i/>
          <w:szCs w:val="22"/>
          <w:lang w:val="sq-AL"/>
        </w:rPr>
        <w:t>Blerje pajisje elektronike, kompjutera p</w:t>
      </w:r>
      <w:r>
        <w:rPr>
          <w:rFonts w:asciiTheme="majorHAnsi" w:eastAsiaTheme="minorHAnsi" w:hAnsiTheme="majorHAnsi" w:cs="Calibri Light"/>
          <w:i/>
          <w:szCs w:val="22"/>
          <w:lang w:val="sq-AL"/>
        </w:rPr>
        <w:t>ë</w:t>
      </w:r>
      <w:r w:rsidRPr="002617BE">
        <w:rPr>
          <w:rFonts w:asciiTheme="majorHAnsi" w:eastAsiaTheme="minorHAnsi" w:hAnsiTheme="majorHAnsi" w:cs="Calibri Light"/>
          <w:i/>
          <w:szCs w:val="22"/>
          <w:lang w:val="sq-AL"/>
        </w:rPr>
        <w:t>r arsimin bazë me vlerë 110 milionë lekë;</w:t>
      </w:r>
    </w:p>
    <w:p w:rsidR="00B552CA" w:rsidRPr="002617BE" w:rsidRDefault="00B552CA" w:rsidP="00C71069">
      <w:pPr>
        <w:pStyle w:val="ListParagraph"/>
        <w:numPr>
          <w:ilvl w:val="0"/>
          <w:numId w:val="19"/>
        </w:numPr>
        <w:shd w:val="clear" w:color="auto" w:fill="FFFFFF" w:themeFill="background1"/>
        <w:spacing w:before="0" w:line="240" w:lineRule="auto"/>
        <w:rPr>
          <w:rFonts w:asciiTheme="majorHAnsi" w:eastAsiaTheme="minorHAnsi" w:hAnsiTheme="majorHAnsi" w:cs="Calibri Light"/>
          <w:i/>
          <w:szCs w:val="22"/>
          <w:lang w:val="sq-AL"/>
        </w:rPr>
      </w:pPr>
      <w:r w:rsidRPr="002617BE">
        <w:rPr>
          <w:rFonts w:asciiTheme="majorHAnsi" w:eastAsiaTheme="minorHAnsi" w:hAnsiTheme="majorHAnsi" w:cs="Calibri Light"/>
          <w:i/>
          <w:szCs w:val="22"/>
          <w:lang w:val="sq-AL"/>
        </w:rPr>
        <w:t>B</w:t>
      </w:r>
      <w:r>
        <w:rPr>
          <w:rFonts w:asciiTheme="majorHAnsi" w:eastAsiaTheme="minorHAnsi" w:hAnsiTheme="majorHAnsi" w:cs="Calibri Light"/>
          <w:i/>
          <w:szCs w:val="22"/>
          <w:lang w:val="sq-AL"/>
        </w:rPr>
        <w:t>ë</w:t>
      </w:r>
      <w:r w:rsidRPr="002617BE">
        <w:rPr>
          <w:rFonts w:asciiTheme="majorHAnsi" w:eastAsiaTheme="minorHAnsi" w:hAnsiTheme="majorHAnsi" w:cs="Calibri Light"/>
          <w:i/>
          <w:szCs w:val="22"/>
          <w:lang w:val="sq-AL"/>
        </w:rPr>
        <w:t>rë pagesa për “Rikonstruksion i shkollës 9-vjecare+ndërtim palestre Thumanë” (Në referim të Urdhrit të Ekzekutimit Nr.2148/4, të lëshuar më datë 29-Feb-22 nga Gjykata Administrative e Shkallës së Parë Tiranë) në vlerën e 28 milionë lekë.</w:t>
      </w:r>
    </w:p>
    <w:p w:rsidR="00B552CA" w:rsidRPr="002617BE" w:rsidRDefault="00B552CA" w:rsidP="00C71069">
      <w:pPr>
        <w:pStyle w:val="ListParagraph"/>
        <w:numPr>
          <w:ilvl w:val="0"/>
          <w:numId w:val="17"/>
        </w:numPr>
        <w:shd w:val="clear" w:color="auto" w:fill="FFFFFF" w:themeFill="background1"/>
        <w:spacing w:before="0" w:line="240" w:lineRule="auto"/>
        <w:rPr>
          <w:rFonts w:asciiTheme="majorHAnsi" w:eastAsiaTheme="minorHAnsi" w:hAnsiTheme="majorHAnsi" w:cs="Calibri Light"/>
          <w:szCs w:val="22"/>
          <w:lang w:val="sq-AL"/>
        </w:rPr>
      </w:pPr>
      <w:r w:rsidRPr="002617BE">
        <w:rPr>
          <w:rFonts w:asciiTheme="majorHAnsi" w:eastAsiaTheme="minorHAnsi" w:hAnsiTheme="majorHAnsi" w:cs="Calibri Light"/>
          <w:szCs w:val="22"/>
          <w:lang w:val="sq-AL"/>
        </w:rPr>
        <w:t xml:space="preserve">Në programin </w:t>
      </w:r>
      <w:r w:rsidRPr="002617BE">
        <w:rPr>
          <w:rFonts w:asciiTheme="majorHAnsi" w:eastAsiaTheme="minorHAnsi" w:hAnsiTheme="majorHAnsi" w:cs="Calibri Light"/>
          <w:b/>
          <w:i/>
          <w:szCs w:val="22"/>
          <w:lang w:val="sq-AL"/>
        </w:rPr>
        <w:t xml:space="preserve">e Arsimit të Mesëm </w:t>
      </w:r>
      <w:r w:rsidRPr="002617BE">
        <w:rPr>
          <w:rFonts w:asciiTheme="majorHAnsi" w:eastAsiaTheme="minorHAnsi" w:hAnsiTheme="majorHAnsi" w:cs="Calibri Light"/>
          <w:szCs w:val="22"/>
          <w:lang w:val="sq-AL"/>
        </w:rPr>
        <w:t xml:space="preserve"> kanë përfunduar 2 kontrata investimi konkretisht:</w:t>
      </w:r>
    </w:p>
    <w:p w:rsidR="00B552CA" w:rsidRPr="002617BE" w:rsidRDefault="00B552CA" w:rsidP="00C71069">
      <w:pPr>
        <w:pStyle w:val="ListParagraph"/>
        <w:numPr>
          <w:ilvl w:val="0"/>
          <w:numId w:val="19"/>
        </w:numPr>
        <w:shd w:val="clear" w:color="auto" w:fill="FFFFFF" w:themeFill="background1"/>
        <w:spacing w:before="0" w:line="240" w:lineRule="auto"/>
        <w:rPr>
          <w:rFonts w:asciiTheme="majorHAnsi" w:eastAsiaTheme="minorHAnsi" w:hAnsiTheme="majorHAnsi" w:cs="Calibri Light"/>
          <w:i/>
          <w:szCs w:val="22"/>
          <w:lang w:val="sq-AL"/>
        </w:rPr>
      </w:pPr>
      <w:r w:rsidRPr="002617BE">
        <w:rPr>
          <w:rFonts w:asciiTheme="majorHAnsi" w:eastAsiaTheme="minorHAnsi" w:hAnsiTheme="majorHAnsi" w:cs="Calibri Light"/>
          <w:i/>
          <w:szCs w:val="22"/>
          <w:lang w:val="sq-AL"/>
        </w:rPr>
        <w:t>Blerje Pajisje mobilerie p</w:t>
      </w:r>
      <w:r>
        <w:rPr>
          <w:rFonts w:asciiTheme="majorHAnsi" w:eastAsiaTheme="minorHAnsi" w:hAnsiTheme="majorHAnsi" w:cs="Calibri Light"/>
          <w:i/>
          <w:szCs w:val="22"/>
          <w:lang w:val="sq-AL"/>
        </w:rPr>
        <w:t>ë</w:t>
      </w:r>
      <w:r w:rsidRPr="002617BE">
        <w:rPr>
          <w:rFonts w:asciiTheme="majorHAnsi" w:eastAsiaTheme="minorHAnsi" w:hAnsiTheme="majorHAnsi" w:cs="Calibri Light"/>
          <w:i/>
          <w:szCs w:val="22"/>
          <w:lang w:val="sq-AL"/>
        </w:rPr>
        <w:t>r shkollat e arsimit të mesëm me vlerë 200 milionë lekë;</w:t>
      </w:r>
    </w:p>
    <w:p w:rsidR="00B552CA" w:rsidRPr="002617BE" w:rsidRDefault="00B552CA" w:rsidP="00C71069">
      <w:pPr>
        <w:pStyle w:val="ListParagraph"/>
        <w:numPr>
          <w:ilvl w:val="0"/>
          <w:numId w:val="19"/>
        </w:numPr>
        <w:shd w:val="clear" w:color="auto" w:fill="FFFFFF" w:themeFill="background1"/>
        <w:spacing w:before="0" w:line="240" w:lineRule="auto"/>
        <w:rPr>
          <w:rFonts w:asciiTheme="majorHAnsi" w:eastAsiaTheme="minorHAnsi" w:hAnsiTheme="majorHAnsi" w:cs="Calibri Light"/>
          <w:i/>
          <w:szCs w:val="22"/>
          <w:lang w:val="sq-AL"/>
        </w:rPr>
      </w:pPr>
      <w:r w:rsidRPr="002617BE">
        <w:rPr>
          <w:rFonts w:asciiTheme="majorHAnsi" w:eastAsiaTheme="minorHAnsi" w:hAnsiTheme="majorHAnsi" w:cs="Calibri Light"/>
          <w:i/>
          <w:szCs w:val="22"/>
          <w:lang w:val="sq-AL"/>
        </w:rPr>
        <w:t>Blerje pajisje elektronike, kompjutera për arsimin e mesëm me vlerë 60 milionë lekë;</w:t>
      </w:r>
    </w:p>
    <w:p w:rsidR="00B552CA" w:rsidRPr="002617BE" w:rsidRDefault="00B552CA" w:rsidP="00C71069">
      <w:pPr>
        <w:pStyle w:val="ListParagraph"/>
        <w:numPr>
          <w:ilvl w:val="0"/>
          <w:numId w:val="20"/>
        </w:numPr>
        <w:shd w:val="clear" w:color="auto" w:fill="FFFFFF" w:themeFill="background1"/>
        <w:spacing w:before="0" w:line="240" w:lineRule="auto"/>
        <w:rPr>
          <w:rFonts w:asciiTheme="majorHAnsi" w:eastAsiaTheme="minorHAnsi" w:hAnsiTheme="majorHAnsi" w:cs="Calibri Light"/>
          <w:szCs w:val="22"/>
          <w:lang w:val="sq-AL"/>
        </w:rPr>
      </w:pPr>
      <w:r w:rsidRPr="002617BE">
        <w:rPr>
          <w:rFonts w:asciiTheme="majorHAnsi" w:eastAsiaTheme="minorHAnsi" w:hAnsiTheme="majorHAnsi" w:cs="Calibri Light"/>
          <w:szCs w:val="22"/>
          <w:lang w:val="sq-AL"/>
        </w:rPr>
        <w:t xml:space="preserve">Në programin e </w:t>
      </w:r>
      <w:r w:rsidRPr="002617BE">
        <w:rPr>
          <w:rFonts w:asciiTheme="majorHAnsi" w:eastAsiaTheme="minorHAnsi" w:hAnsiTheme="majorHAnsi" w:cs="Calibri Light"/>
          <w:b/>
          <w:i/>
          <w:szCs w:val="22"/>
          <w:lang w:val="sq-AL"/>
        </w:rPr>
        <w:t>Arsimit të Lartë</w:t>
      </w:r>
      <w:r w:rsidRPr="002617BE">
        <w:rPr>
          <w:rFonts w:asciiTheme="majorHAnsi" w:eastAsiaTheme="minorHAnsi" w:hAnsiTheme="majorHAnsi" w:cs="Calibri Light"/>
          <w:szCs w:val="22"/>
          <w:lang w:val="sq-AL"/>
        </w:rPr>
        <w:t xml:space="preserve"> janë mbyllur 5 kontrata ndërkombëtarizimi  në Universitetin e Tiranës dhe Universitetin e Vlorës në vlerën 51 milionë lekë. </w:t>
      </w:r>
    </w:p>
    <w:p w:rsidR="00B552CA" w:rsidRPr="002617BE" w:rsidRDefault="00B552CA" w:rsidP="00C71069">
      <w:pPr>
        <w:pStyle w:val="ListParagraph"/>
        <w:numPr>
          <w:ilvl w:val="0"/>
          <w:numId w:val="21"/>
        </w:numPr>
        <w:spacing w:line="240" w:lineRule="auto"/>
        <w:rPr>
          <w:rFonts w:eastAsiaTheme="minorHAnsi" w:cs="Calibri"/>
          <w:lang w:val="sq-AL"/>
        </w:rPr>
      </w:pPr>
      <w:r w:rsidRPr="002617BE">
        <w:rPr>
          <w:rFonts w:asciiTheme="majorHAnsi" w:eastAsiaTheme="minorHAnsi" w:hAnsiTheme="majorHAnsi" w:cs="Calibri Light"/>
          <w:szCs w:val="22"/>
          <w:lang w:val="sq-AL"/>
        </w:rPr>
        <w:t xml:space="preserve">Në programin e </w:t>
      </w:r>
      <w:r w:rsidRPr="002617BE">
        <w:rPr>
          <w:rFonts w:asciiTheme="majorHAnsi" w:eastAsiaTheme="minorHAnsi" w:hAnsiTheme="majorHAnsi" w:cs="Calibri Light"/>
          <w:b/>
          <w:i/>
          <w:szCs w:val="22"/>
          <w:lang w:val="sq-AL"/>
        </w:rPr>
        <w:t>Zhvillimit të Sportit</w:t>
      </w:r>
      <w:r w:rsidRPr="002617BE">
        <w:rPr>
          <w:rFonts w:asciiTheme="majorHAnsi" w:eastAsiaTheme="minorHAnsi" w:hAnsiTheme="majorHAnsi" w:cs="Calibri Light"/>
          <w:szCs w:val="22"/>
          <w:lang w:val="sq-AL"/>
        </w:rPr>
        <w:t xml:space="preserve"> dhe Rinisë është  mbyllur 1 kontratë “Rikonstruksioni i Fushes se Minikalcetos dhe rrethimi verior i kompleksit sportiv "Shefqet Lamce", Bashkia Elbasan”me vlerë 7 milionë lekë</w:t>
      </w:r>
      <w:r w:rsidRPr="002617BE">
        <w:rPr>
          <w:rFonts w:eastAsiaTheme="minorHAnsi" w:cs="Calibri"/>
          <w:lang w:val="sq-AL"/>
        </w:rPr>
        <w:t xml:space="preserve">. </w:t>
      </w:r>
    </w:p>
    <w:p w:rsidR="00B552CA" w:rsidRDefault="00B552CA" w:rsidP="00C71069">
      <w:pPr>
        <w:pStyle w:val="ListParagraph"/>
        <w:numPr>
          <w:ilvl w:val="0"/>
          <w:numId w:val="21"/>
        </w:numPr>
        <w:shd w:val="clear" w:color="auto" w:fill="FFFFFF" w:themeFill="background1"/>
        <w:spacing w:before="0" w:line="240" w:lineRule="auto"/>
        <w:rPr>
          <w:rFonts w:asciiTheme="majorHAnsi" w:eastAsiaTheme="minorHAnsi" w:hAnsiTheme="majorHAnsi" w:cs="Calibri Light"/>
          <w:szCs w:val="22"/>
          <w:lang w:val="sq-AL"/>
        </w:rPr>
      </w:pPr>
      <w:r w:rsidRPr="002617BE">
        <w:rPr>
          <w:rFonts w:asciiTheme="majorHAnsi" w:eastAsiaTheme="minorHAnsi" w:hAnsiTheme="majorHAnsi" w:cs="Calibri Light"/>
          <w:szCs w:val="22"/>
          <w:lang w:val="sq-AL"/>
        </w:rPr>
        <w:t xml:space="preserve">Në programin e </w:t>
      </w:r>
      <w:r w:rsidRPr="002617BE">
        <w:rPr>
          <w:rFonts w:asciiTheme="majorHAnsi" w:eastAsiaTheme="minorHAnsi" w:hAnsiTheme="majorHAnsi" w:cs="Calibri Light"/>
          <w:b/>
          <w:i/>
          <w:szCs w:val="22"/>
          <w:lang w:val="sq-AL"/>
        </w:rPr>
        <w:t xml:space="preserve">Fonde për Shkencën </w:t>
      </w:r>
      <w:r w:rsidRPr="002617BE">
        <w:rPr>
          <w:rFonts w:asciiTheme="majorHAnsi" w:eastAsiaTheme="minorHAnsi" w:hAnsiTheme="majorHAnsi" w:cs="Calibri Light"/>
          <w:szCs w:val="22"/>
          <w:lang w:val="sq-AL"/>
        </w:rPr>
        <w:t xml:space="preserve"> janë mbyllur 14 kontrata në Universitete të dhe kryesisht për ngritje laboratorësh, qendra kërkimi shkencor etj  në vlerën 151 milionë lekë. </w:t>
      </w:r>
    </w:p>
    <w:p w:rsidR="00F40F7F" w:rsidRDefault="00F40F7F" w:rsidP="00F40F7F">
      <w:pPr>
        <w:pStyle w:val="ListParagraph"/>
        <w:rPr>
          <w:rFonts w:eastAsiaTheme="minorHAnsi" w:cs="Calibri"/>
          <w:lang w:val="sq-AL"/>
        </w:rPr>
      </w:pPr>
    </w:p>
    <w:p w:rsidR="00B552CA" w:rsidRDefault="00B552CA" w:rsidP="00F40F7F">
      <w:pPr>
        <w:pStyle w:val="ListParagraph"/>
        <w:rPr>
          <w:rFonts w:eastAsiaTheme="minorHAnsi" w:cs="Calibri"/>
          <w:lang w:val="sq-AL"/>
        </w:rPr>
      </w:pPr>
    </w:p>
    <w:p w:rsidR="00B552CA" w:rsidRDefault="00B552CA" w:rsidP="00F40F7F">
      <w:pPr>
        <w:pStyle w:val="ListParagraph"/>
        <w:rPr>
          <w:rFonts w:eastAsiaTheme="minorHAnsi" w:cs="Calibri"/>
          <w:lang w:val="sq-AL"/>
        </w:rPr>
      </w:pPr>
    </w:p>
    <w:p w:rsidR="00B552CA" w:rsidRDefault="00B552CA" w:rsidP="00F40F7F">
      <w:pPr>
        <w:pStyle w:val="ListParagraph"/>
        <w:rPr>
          <w:rFonts w:eastAsiaTheme="minorHAnsi" w:cs="Calibri"/>
          <w:lang w:val="sq-AL"/>
        </w:rPr>
      </w:pPr>
    </w:p>
    <w:p w:rsidR="004E5E8E" w:rsidRDefault="004E5E8E" w:rsidP="00F40F7F">
      <w:pPr>
        <w:pStyle w:val="ListParagraph"/>
        <w:rPr>
          <w:rFonts w:eastAsiaTheme="minorHAnsi" w:cs="Calibri"/>
          <w:lang w:val="sq-AL"/>
        </w:rPr>
      </w:pPr>
    </w:p>
    <w:p w:rsidR="004E5E8E" w:rsidRDefault="004E5E8E" w:rsidP="00F40F7F">
      <w:pPr>
        <w:pStyle w:val="ListParagraph"/>
        <w:rPr>
          <w:rFonts w:eastAsiaTheme="minorHAnsi" w:cs="Calibri"/>
          <w:lang w:val="sq-AL"/>
        </w:rPr>
      </w:pPr>
    </w:p>
    <w:p w:rsidR="00B552CA" w:rsidRDefault="00B552CA" w:rsidP="00F40F7F">
      <w:pPr>
        <w:pStyle w:val="ListParagraph"/>
        <w:rPr>
          <w:rFonts w:eastAsiaTheme="minorHAnsi" w:cs="Calibri"/>
          <w:lang w:val="sq-AL"/>
        </w:rPr>
      </w:pPr>
    </w:p>
    <w:p w:rsidR="00F40F7F" w:rsidRPr="00C37319" w:rsidRDefault="00F40F7F" w:rsidP="00F40F7F">
      <w:pPr>
        <w:pStyle w:val="ListParagraph"/>
        <w:rPr>
          <w:rFonts w:eastAsiaTheme="minorHAnsi" w:cs="Calibri"/>
          <w:lang w:val="sq-AL"/>
        </w:rPr>
      </w:pPr>
    </w:p>
    <w:p w:rsidR="007B7B50" w:rsidRPr="00476D2E" w:rsidRDefault="007B7B50" w:rsidP="00FC729E">
      <w:pPr>
        <w:pStyle w:val="fiskale3"/>
        <w:rPr>
          <w:rFonts w:ascii="Calibri" w:hAnsi="Calibri" w:cs="Calibri"/>
          <w:b/>
        </w:rPr>
      </w:pPr>
      <w:bookmarkStart w:id="263" w:name="_Toc104980362"/>
      <w:r w:rsidRPr="00476D2E">
        <w:rPr>
          <w:rFonts w:ascii="Calibri" w:hAnsi="Calibri" w:cs="Calibri"/>
          <w:b/>
        </w:rPr>
        <w:lastRenderedPageBreak/>
        <w:t>Bujqësia dhe Zhvillimi Rural</w:t>
      </w:r>
      <w:bookmarkEnd w:id="260"/>
      <w:bookmarkEnd w:id="261"/>
      <w:bookmarkEnd w:id="263"/>
    </w:p>
    <w:p w:rsidR="007B7B50" w:rsidRPr="00476D2E" w:rsidRDefault="007B7B50" w:rsidP="004E5E8E">
      <w:pPr>
        <w:spacing w:line="240" w:lineRule="auto"/>
        <w:rPr>
          <w:rFonts w:cs="Calibri"/>
          <w:lang w:val="sq-AL"/>
        </w:rPr>
      </w:pPr>
      <w:r w:rsidRPr="00476D2E">
        <w:rPr>
          <w:rFonts w:cs="Calibri"/>
          <w:lang w:val="sq-AL"/>
        </w:rPr>
        <w:t>Performanca e treguesve buxhetorë për shtatë programet e Ministrisë së Bujqësisë dhe Zh</w:t>
      </w:r>
      <w:r w:rsidR="003B75A6">
        <w:rPr>
          <w:rFonts w:cs="Calibri"/>
          <w:lang w:val="sq-AL"/>
        </w:rPr>
        <w:t>villimit Rural, paraqitet si më</w:t>
      </w:r>
      <w:r w:rsidRPr="00476D2E">
        <w:rPr>
          <w:rFonts w:cs="Calibri"/>
          <w:lang w:val="sq-AL"/>
        </w:rPr>
        <w:t>poshtë:</w:t>
      </w:r>
    </w:p>
    <w:p w:rsidR="007B7B50" w:rsidRPr="00476D2E" w:rsidRDefault="007B7B50" w:rsidP="00FC729E">
      <w:pPr>
        <w:keepNext/>
        <w:rPr>
          <w:rFonts w:cs="Calibri"/>
          <w:i/>
          <w:iCs/>
          <w:sz w:val="18"/>
          <w:szCs w:val="18"/>
          <w:lang w:val="sq-AL"/>
        </w:rPr>
      </w:pPr>
      <w:bookmarkStart w:id="264" w:name="_Toc136526353"/>
      <w:r w:rsidRPr="00476D2E">
        <w:rPr>
          <w:rFonts w:cs="Calibri"/>
          <w:i/>
          <w:iCs/>
          <w:sz w:val="18"/>
          <w:szCs w:val="18"/>
          <w:lang w:val="sq-AL"/>
        </w:rPr>
        <w:t xml:space="preserve">Tabela </w:t>
      </w:r>
      <w:r w:rsidRPr="00476D2E">
        <w:rPr>
          <w:rFonts w:cs="Calibri"/>
          <w:i/>
          <w:iCs/>
          <w:sz w:val="18"/>
          <w:szCs w:val="18"/>
          <w:lang w:val="sq-AL"/>
        </w:rPr>
        <w:fldChar w:fldCharType="begin"/>
      </w:r>
      <w:r w:rsidRPr="00476D2E">
        <w:rPr>
          <w:rFonts w:cs="Calibri"/>
          <w:i/>
          <w:iCs/>
          <w:sz w:val="18"/>
          <w:szCs w:val="18"/>
          <w:lang w:val="sq-AL"/>
        </w:rPr>
        <w:instrText xml:space="preserve"> SEQ Tabela \* ARABIC </w:instrText>
      </w:r>
      <w:r w:rsidRPr="00476D2E">
        <w:rPr>
          <w:rFonts w:cs="Calibri"/>
          <w:i/>
          <w:iCs/>
          <w:sz w:val="18"/>
          <w:szCs w:val="18"/>
          <w:lang w:val="sq-AL"/>
        </w:rPr>
        <w:fldChar w:fldCharType="separate"/>
      </w:r>
      <w:r w:rsidR="008C3E07">
        <w:rPr>
          <w:rFonts w:cs="Calibri"/>
          <w:i/>
          <w:iCs/>
          <w:noProof/>
          <w:sz w:val="18"/>
          <w:szCs w:val="18"/>
          <w:lang w:val="sq-AL"/>
        </w:rPr>
        <w:t>27</w:t>
      </w:r>
      <w:r w:rsidRPr="00476D2E">
        <w:rPr>
          <w:rFonts w:cs="Calibri"/>
          <w:i/>
          <w:iCs/>
          <w:noProof/>
          <w:sz w:val="18"/>
          <w:szCs w:val="18"/>
          <w:lang w:val="sq-AL"/>
        </w:rPr>
        <w:fldChar w:fldCharType="end"/>
      </w:r>
      <w:r w:rsidRPr="00476D2E">
        <w:rPr>
          <w:rFonts w:cs="Calibri"/>
          <w:i/>
          <w:iCs/>
          <w:sz w:val="18"/>
          <w:szCs w:val="18"/>
          <w:lang w:val="sq-AL"/>
        </w:rPr>
        <w:t xml:space="preserve"> Realizimi i buxhetit 202</w:t>
      </w:r>
      <w:r w:rsidR="00F40F7F">
        <w:rPr>
          <w:rFonts w:cs="Calibri"/>
          <w:i/>
          <w:iCs/>
          <w:sz w:val="18"/>
          <w:szCs w:val="18"/>
          <w:lang w:val="sq-AL"/>
        </w:rPr>
        <w:t>2</w:t>
      </w:r>
      <w:r w:rsidRPr="00476D2E">
        <w:rPr>
          <w:rFonts w:cs="Calibri"/>
          <w:i/>
          <w:iCs/>
          <w:sz w:val="18"/>
          <w:szCs w:val="18"/>
          <w:lang w:val="sq-AL"/>
        </w:rPr>
        <w:t xml:space="preserve"> për Ministrinë e Bujqësisë dhe Zhvillimit Rural (në mijë lekë)</w:t>
      </w:r>
      <w:bookmarkEnd w:id="264"/>
    </w:p>
    <w:tbl>
      <w:tblPr>
        <w:tblW w:w="11250" w:type="dxa"/>
        <w:jc w:val="center"/>
        <w:tblLook w:val="04A0" w:firstRow="1" w:lastRow="0" w:firstColumn="1" w:lastColumn="0" w:noHBand="0" w:noVBand="1"/>
      </w:tblPr>
      <w:tblGrid>
        <w:gridCol w:w="3161"/>
        <w:gridCol w:w="864"/>
        <w:gridCol w:w="871"/>
        <w:gridCol w:w="864"/>
        <w:gridCol w:w="871"/>
        <w:gridCol w:w="864"/>
        <w:gridCol w:w="871"/>
        <w:gridCol w:w="710"/>
        <w:gridCol w:w="710"/>
        <w:gridCol w:w="732"/>
        <w:gridCol w:w="732"/>
      </w:tblGrid>
      <w:tr w:rsidR="00F40F7F" w:rsidRPr="00F95C93" w:rsidTr="00F40F7F">
        <w:trPr>
          <w:trHeight w:val="555"/>
          <w:jc w:val="center"/>
        </w:trPr>
        <w:tc>
          <w:tcPr>
            <w:tcW w:w="3161" w:type="dxa"/>
            <w:vMerge w:val="restart"/>
            <w:tcBorders>
              <w:top w:val="single" w:sz="8" w:space="0" w:color="BFBFBF"/>
              <w:left w:val="single" w:sz="8" w:space="0" w:color="BFBFBF"/>
              <w:bottom w:val="single" w:sz="8" w:space="0" w:color="BFBFBF"/>
              <w:right w:val="single" w:sz="8" w:space="0" w:color="BFBFBF"/>
            </w:tcBorders>
            <w:shd w:val="clear" w:color="000000" w:fill="365F91"/>
            <w:vAlign w:val="center"/>
            <w:hideMark/>
          </w:tcPr>
          <w:p w:rsidR="00F40F7F" w:rsidRPr="00F95C93" w:rsidRDefault="00F40F7F" w:rsidP="00F40F7F">
            <w:pPr>
              <w:spacing w:before="0" w:line="240" w:lineRule="auto"/>
              <w:jc w:val="center"/>
              <w:rPr>
                <w:color w:val="FFFFFF"/>
                <w:sz w:val="16"/>
                <w:szCs w:val="16"/>
              </w:rPr>
            </w:pPr>
            <w:r w:rsidRPr="00F95C93">
              <w:rPr>
                <w:color w:val="FFFFFF"/>
                <w:sz w:val="16"/>
                <w:szCs w:val="16"/>
              </w:rPr>
              <w:t>Programi</w:t>
            </w:r>
            <w:r w:rsidR="004E5E8E">
              <w:rPr>
                <w:color w:val="FFFFFF"/>
                <w:sz w:val="16"/>
                <w:szCs w:val="16"/>
              </w:rPr>
              <w:t xml:space="preserve"> </w:t>
            </w:r>
            <w:r w:rsidRPr="00F95C93">
              <w:rPr>
                <w:color w:val="FFFFFF"/>
                <w:sz w:val="16"/>
                <w:szCs w:val="16"/>
              </w:rPr>
              <w:t>buxhetor</w:t>
            </w:r>
          </w:p>
        </w:tc>
        <w:tc>
          <w:tcPr>
            <w:tcW w:w="0" w:type="auto"/>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Planifillestar 2022</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Plani i rishikuar 2022</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Fakti 2022</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F40F7F" w:rsidRPr="00F95C93" w:rsidRDefault="00F40F7F" w:rsidP="00F40F7F">
            <w:pPr>
              <w:spacing w:before="0" w:line="240" w:lineRule="auto"/>
              <w:jc w:val="center"/>
              <w:rPr>
                <w:color w:val="FFFFFF"/>
                <w:sz w:val="16"/>
                <w:szCs w:val="16"/>
              </w:rPr>
            </w:pPr>
            <w:r w:rsidRPr="00F95C93">
              <w:rPr>
                <w:color w:val="FFFFFF"/>
                <w:sz w:val="16"/>
                <w:szCs w:val="16"/>
              </w:rPr>
              <w:t>Realizimi në % me planin fillestar</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F40F7F" w:rsidRPr="00F95C93" w:rsidRDefault="00F40F7F" w:rsidP="00F40F7F">
            <w:pPr>
              <w:spacing w:before="0" w:line="240" w:lineRule="auto"/>
              <w:jc w:val="center"/>
              <w:rPr>
                <w:color w:val="FFFFFF"/>
                <w:sz w:val="16"/>
                <w:szCs w:val="16"/>
              </w:rPr>
            </w:pPr>
            <w:r w:rsidRPr="00F95C93">
              <w:rPr>
                <w:color w:val="FFFFFF"/>
                <w:sz w:val="16"/>
                <w:szCs w:val="16"/>
              </w:rPr>
              <w:t>Realizimi në % me planin e rishikuar</w:t>
            </w:r>
          </w:p>
        </w:tc>
      </w:tr>
      <w:tr w:rsidR="00F40F7F" w:rsidRPr="00F95C93" w:rsidTr="00F40F7F">
        <w:trPr>
          <w:trHeight w:val="330"/>
          <w:jc w:val="center"/>
        </w:trPr>
        <w:tc>
          <w:tcPr>
            <w:tcW w:w="3161" w:type="dxa"/>
            <w:vMerge/>
            <w:tcBorders>
              <w:top w:val="single" w:sz="8" w:space="0" w:color="BFBFBF"/>
              <w:left w:val="single" w:sz="8" w:space="0" w:color="BFBFBF"/>
              <w:bottom w:val="single" w:sz="8" w:space="0" w:color="BFBFBF"/>
              <w:right w:val="single" w:sz="8" w:space="0" w:color="BFBFBF"/>
            </w:tcBorders>
            <w:vAlign w:val="center"/>
            <w:hideMark/>
          </w:tcPr>
          <w:p w:rsidR="00F40F7F" w:rsidRPr="00F95C93" w:rsidRDefault="00F40F7F" w:rsidP="00F40F7F">
            <w:pPr>
              <w:spacing w:before="0" w:line="240" w:lineRule="auto"/>
              <w:jc w:val="left"/>
              <w:rPr>
                <w:color w:val="FFFFFF"/>
                <w:sz w:val="16"/>
                <w:szCs w:val="16"/>
              </w:rPr>
            </w:pPr>
          </w:p>
        </w:tc>
        <w:tc>
          <w:tcPr>
            <w:tcW w:w="0" w:type="auto"/>
            <w:tcBorders>
              <w:top w:val="nil"/>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Korrente</w:t>
            </w:r>
          </w:p>
        </w:tc>
        <w:tc>
          <w:tcPr>
            <w:tcW w:w="0" w:type="auto"/>
            <w:tcBorders>
              <w:top w:val="nil"/>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Investime</w:t>
            </w:r>
          </w:p>
        </w:tc>
        <w:tc>
          <w:tcPr>
            <w:tcW w:w="0" w:type="auto"/>
            <w:tcBorders>
              <w:top w:val="nil"/>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Korrente</w:t>
            </w:r>
          </w:p>
        </w:tc>
        <w:tc>
          <w:tcPr>
            <w:tcW w:w="0" w:type="auto"/>
            <w:tcBorders>
              <w:top w:val="nil"/>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Investime</w:t>
            </w:r>
          </w:p>
        </w:tc>
        <w:tc>
          <w:tcPr>
            <w:tcW w:w="0" w:type="auto"/>
            <w:tcBorders>
              <w:top w:val="nil"/>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Korrente</w:t>
            </w:r>
          </w:p>
        </w:tc>
        <w:tc>
          <w:tcPr>
            <w:tcW w:w="0" w:type="auto"/>
            <w:tcBorders>
              <w:top w:val="nil"/>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Investime</w:t>
            </w:r>
          </w:p>
        </w:tc>
        <w:tc>
          <w:tcPr>
            <w:tcW w:w="0" w:type="auto"/>
            <w:tcBorders>
              <w:top w:val="nil"/>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Korr.</w:t>
            </w:r>
          </w:p>
        </w:tc>
        <w:tc>
          <w:tcPr>
            <w:tcW w:w="0" w:type="auto"/>
            <w:tcBorders>
              <w:top w:val="nil"/>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color w:val="FFFFFF"/>
                <w:sz w:val="16"/>
                <w:szCs w:val="16"/>
              </w:rPr>
            </w:pPr>
            <w:r w:rsidRPr="00F95C93">
              <w:rPr>
                <w:color w:val="FFFFFF"/>
                <w:sz w:val="16"/>
                <w:szCs w:val="16"/>
              </w:rPr>
              <w:t>Inv.</w:t>
            </w:r>
          </w:p>
        </w:tc>
        <w:tc>
          <w:tcPr>
            <w:tcW w:w="0" w:type="auto"/>
            <w:tcBorders>
              <w:top w:val="nil"/>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Korr.</w:t>
            </w:r>
          </w:p>
        </w:tc>
        <w:tc>
          <w:tcPr>
            <w:tcW w:w="0" w:type="auto"/>
            <w:tcBorders>
              <w:top w:val="nil"/>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Inv.</w:t>
            </w:r>
          </w:p>
        </w:tc>
      </w:tr>
      <w:tr w:rsidR="00F40F7F" w:rsidRPr="00F95C93" w:rsidTr="00F40F7F">
        <w:trPr>
          <w:trHeight w:val="315"/>
          <w:jc w:val="center"/>
        </w:trPr>
        <w:tc>
          <w:tcPr>
            <w:tcW w:w="3161" w:type="dxa"/>
            <w:tcBorders>
              <w:top w:val="nil"/>
              <w:left w:val="single" w:sz="8" w:space="0" w:color="BFBFBF"/>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left"/>
              <w:rPr>
                <w:b/>
                <w:bCs/>
                <w:color w:val="000000"/>
                <w:sz w:val="16"/>
                <w:szCs w:val="16"/>
              </w:rPr>
            </w:pPr>
            <w:r w:rsidRPr="00F95C93">
              <w:rPr>
                <w:b/>
                <w:bCs/>
                <w:color w:val="000000"/>
                <w:sz w:val="16"/>
                <w:szCs w:val="16"/>
              </w:rPr>
              <w:t>Planifikim menaxhim administrimi</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317,600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15,000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335,724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4,500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334,964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4,457</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105%</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30%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99%</w:t>
            </w:r>
          </w:p>
        </w:tc>
      </w:tr>
      <w:tr w:rsidR="00F40F7F" w:rsidRPr="00F95C93" w:rsidTr="00F40F7F">
        <w:trPr>
          <w:trHeight w:val="448"/>
          <w:jc w:val="center"/>
        </w:trPr>
        <w:tc>
          <w:tcPr>
            <w:tcW w:w="3161" w:type="dxa"/>
            <w:tcBorders>
              <w:top w:val="nil"/>
              <w:left w:val="single" w:sz="8" w:space="0" w:color="BFBFBF"/>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left"/>
              <w:rPr>
                <w:b/>
                <w:bCs/>
                <w:color w:val="000000"/>
                <w:sz w:val="16"/>
                <w:szCs w:val="16"/>
              </w:rPr>
            </w:pPr>
            <w:r w:rsidRPr="00F95C93">
              <w:rPr>
                <w:b/>
                <w:bCs/>
                <w:color w:val="000000"/>
                <w:sz w:val="16"/>
                <w:szCs w:val="16"/>
              </w:rPr>
              <w:t>Siguria ushqimore dhe mbrojtja e konsumatorit</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1,590,674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302,509</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1,442,001</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86,350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1,434,500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83,444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28%</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99%</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97%</w:t>
            </w:r>
          </w:p>
        </w:tc>
      </w:tr>
      <w:tr w:rsidR="00F40F7F" w:rsidRPr="00F95C93" w:rsidTr="00F40F7F">
        <w:trPr>
          <w:trHeight w:val="315"/>
          <w:jc w:val="center"/>
        </w:trPr>
        <w:tc>
          <w:tcPr>
            <w:tcW w:w="3161" w:type="dxa"/>
            <w:tcBorders>
              <w:top w:val="nil"/>
              <w:left w:val="single" w:sz="8" w:space="0" w:color="BFBFBF"/>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right"/>
              <w:rPr>
                <w:b/>
                <w:bCs/>
                <w:color w:val="000000"/>
                <w:sz w:val="16"/>
                <w:szCs w:val="16"/>
              </w:rPr>
            </w:pPr>
            <w:r w:rsidRPr="00F95C93">
              <w:rPr>
                <w:b/>
                <w:bCs/>
                <w:color w:val="000000"/>
                <w:sz w:val="16"/>
                <w:szCs w:val="16"/>
              </w:rPr>
              <w:t>Financim i huaj</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388,014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193,014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205,516</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53%</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106%</w:t>
            </w:r>
          </w:p>
        </w:tc>
      </w:tr>
      <w:tr w:rsidR="00F40F7F" w:rsidRPr="00F95C93" w:rsidTr="00F40F7F">
        <w:trPr>
          <w:trHeight w:val="315"/>
          <w:jc w:val="center"/>
        </w:trPr>
        <w:tc>
          <w:tcPr>
            <w:tcW w:w="3161" w:type="dxa"/>
            <w:tcBorders>
              <w:top w:val="nil"/>
              <w:left w:val="single" w:sz="8" w:space="0" w:color="BFBFBF"/>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left"/>
              <w:rPr>
                <w:b/>
                <w:bCs/>
                <w:color w:val="000000"/>
                <w:sz w:val="16"/>
                <w:szCs w:val="16"/>
              </w:rPr>
            </w:pPr>
            <w:r w:rsidRPr="00F95C93">
              <w:rPr>
                <w:b/>
                <w:bCs/>
                <w:color w:val="000000"/>
                <w:sz w:val="16"/>
                <w:szCs w:val="16"/>
              </w:rPr>
              <w:t>Mbeshtetje per peshkimin</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133,800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207,000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136,040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136,050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135,005</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133,404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101%</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64%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99%</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98%</w:t>
            </w:r>
          </w:p>
        </w:tc>
      </w:tr>
      <w:tr w:rsidR="00F40F7F" w:rsidRPr="00F95C93" w:rsidTr="00F40F7F">
        <w:trPr>
          <w:trHeight w:val="315"/>
          <w:jc w:val="center"/>
        </w:trPr>
        <w:tc>
          <w:tcPr>
            <w:tcW w:w="3161" w:type="dxa"/>
            <w:tcBorders>
              <w:top w:val="nil"/>
              <w:left w:val="single" w:sz="8" w:space="0" w:color="BFBFBF"/>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right"/>
              <w:rPr>
                <w:b/>
                <w:bCs/>
                <w:color w:val="000000"/>
                <w:sz w:val="16"/>
                <w:szCs w:val="16"/>
              </w:rPr>
            </w:pPr>
            <w:r w:rsidRPr="00F95C93">
              <w:rPr>
                <w:b/>
                <w:bCs/>
                <w:color w:val="000000"/>
                <w:sz w:val="16"/>
                <w:szCs w:val="16"/>
              </w:rPr>
              <w:t>Financim i huaj</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361,482</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0%</w:t>
            </w:r>
          </w:p>
        </w:tc>
      </w:tr>
      <w:tr w:rsidR="00F40F7F" w:rsidRPr="00F95C93" w:rsidTr="00F40F7F">
        <w:trPr>
          <w:trHeight w:val="495"/>
          <w:jc w:val="center"/>
        </w:trPr>
        <w:tc>
          <w:tcPr>
            <w:tcW w:w="3161" w:type="dxa"/>
            <w:tcBorders>
              <w:top w:val="nil"/>
              <w:left w:val="single" w:sz="8" w:space="0" w:color="BFBFBF"/>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left"/>
              <w:rPr>
                <w:b/>
                <w:bCs/>
                <w:color w:val="000000"/>
                <w:sz w:val="16"/>
                <w:szCs w:val="16"/>
              </w:rPr>
            </w:pPr>
            <w:r w:rsidRPr="00F95C93">
              <w:rPr>
                <w:b/>
                <w:bCs/>
                <w:color w:val="000000"/>
                <w:sz w:val="16"/>
                <w:szCs w:val="16"/>
              </w:rPr>
              <w:t>Menaxhimi i infrastruktures se kullimit dhe ujitjes</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667,600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1,013,491</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685,583</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1,168,911</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678,891</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1,142,493</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102%</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113%</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99%</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98%</w:t>
            </w:r>
          </w:p>
        </w:tc>
      </w:tr>
      <w:tr w:rsidR="00F40F7F" w:rsidRPr="00F95C93" w:rsidTr="00F40F7F">
        <w:trPr>
          <w:trHeight w:val="495"/>
          <w:jc w:val="center"/>
        </w:trPr>
        <w:tc>
          <w:tcPr>
            <w:tcW w:w="3161" w:type="dxa"/>
            <w:tcBorders>
              <w:top w:val="nil"/>
              <w:left w:val="single" w:sz="8" w:space="0" w:color="BFBFBF"/>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left"/>
              <w:rPr>
                <w:b/>
                <w:bCs/>
                <w:color w:val="000000"/>
                <w:sz w:val="16"/>
                <w:szCs w:val="16"/>
              </w:rPr>
            </w:pPr>
            <w:r w:rsidRPr="00F95C93">
              <w:rPr>
                <w:b/>
                <w:bCs/>
                <w:color w:val="000000"/>
                <w:sz w:val="16"/>
                <w:szCs w:val="16"/>
              </w:rPr>
              <w:t>Zhvillimi rural duke mbeshtetur bujqesine, blegtorine dhe agroindustrine</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3,619,600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1,051,844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5,550,244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899,144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5,489,053</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889,918</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152%</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85%</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99%</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99%</w:t>
            </w:r>
          </w:p>
        </w:tc>
      </w:tr>
      <w:tr w:rsidR="00F40F7F" w:rsidRPr="00F95C93" w:rsidTr="00F40F7F">
        <w:trPr>
          <w:trHeight w:val="315"/>
          <w:jc w:val="center"/>
        </w:trPr>
        <w:tc>
          <w:tcPr>
            <w:tcW w:w="3161" w:type="dxa"/>
            <w:tcBorders>
              <w:top w:val="nil"/>
              <w:left w:val="single" w:sz="8" w:space="0" w:color="BFBFBF"/>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right"/>
              <w:rPr>
                <w:b/>
                <w:bCs/>
                <w:color w:val="000000"/>
                <w:sz w:val="16"/>
                <w:szCs w:val="16"/>
              </w:rPr>
            </w:pPr>
            <w:r w:rsidRPr="00F95C93">
              <w:rPr>
                <w:b/>
                <w:bCs/>
                <w:color w:val="000000"/>
                <w:sz w:val="16"/>
                <w:szCs w:val="16"/>
              </w:rPr>
              <w:t>Financim i huaj</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2,413,755</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2,320,755</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2,408,003</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 </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104%</w:t>
            </w:r>
          </w:p>
        </w:tc>
      </w:tr>
      <w:tr w:rsidR="00F40F7F" w:rsidRPr="00F95C93" w:rsidTr="00F40F7F">
        <w:trPr>
          <w:trHeight w:val="315"/>
          <w:jc w:val="center"/>
        </w:trPr>
        <w:tc>
          <w:tcPr>
            <w:tcW w:w="3161" w:type="dxa"/>
            <w:tcBorders>
              <w:top w:val="nil"/>
              <w:left w:val="single" w:sz="8" w:space="0" w:color="BFBFBF"/>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left"/>
              <w:rPr>
                <w:b/>
                <w:bCs/>
                <w:color w:val="000000"/>
                <w:sz w:val="16"/>
                <w:szCs w:val="16"/>
              </w:rPr>
            </w:pPr>
            <w:r w:rsidRPr="00F95C93">
              <w:rPr>
                <w:b/>
                <w:bCs/>
                <w:color w:val="000000"/>
                <w:sz w:val="16"/>
                <w:szCs w:val="16"/>
              </w:rPr>
              <w:t>Keshillimi dhe informaioni bujqesor</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458,000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176,000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453,838</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170,000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446,661</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170,076</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98%</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97%</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98%</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100%</w:t>
            </w:r>
          </w:p>
        </w:tc>
      </w:tr>
      <w:tr w:rsidR="00F40F7F" w:rsidRPr="00F95C93" w:rsidTr="00F40F7F">
        <w:trPr>
          <w:trHeight w:val="315"/>
          <w:jc w:val="center"/>
        </w:trPr>
        <w:tc>
          <w:tcPr>
            <w:tcW w:w="3161" w:type="dxa"/>
            <w:tcBorders>
              <w:top w:val="nil"/>
              <w:left w:val="single" w:sz="8" w:space="0" w:color="BFBFBF"/>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left"/>
              <w:rPr>
                <w:b/>
                <w:bCs/>
                <w:color w:val="000000"/>
                <w:sz w:val="16"/>
                <w:szCs w:val="16"/>
              </w:rPr>
            </w:pPr>
            <w:r w:rsidRPr="00F95C93">
              <w:rPr>
                <w:b/>
                <w:bCs/>
                <w:color w:val="000000"/>
                <w:sz w:val="16"/>
                <w:szCs w:val="16"/>
              </w:rPr>
              <w:t>Menaxhimi i qendrueshem i tokes bujqesore</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20,000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18,000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17,681</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88%</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98%</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color w:val="000000"/>
                <w:sz w:val="16"/>
                <w:szCs w:val="16"/>
              </w:rPr>
            </w:pPr>
            <w:r w:rsidRPr="00F95C93">
              <w:rPr>
                <w:color w:val="000000"/>
                <w:sz w:val="16"/>
                <w:szCs w:val="16"/>
              </w:rPr>
              <w:t>0%</w:t>
            </w:r>
          </w:p>
        </w:tc>
      </w:tr>
      <w:tr w:rsidR="00F40F7F" w:rsidRPr="00F95C93" w:rsidTr="00F40F7F">
        <w:trPr>
          <w:trHeight w:val="315"/>
          <w:jc w:val="center"/>
        </w:trPr>
        <w:tc>
          <w:tcPr>
            <w:tcW w:w="3161" w:type="dxa"/>
            <w:tcBorders>
              <w:top w:val="nil"/>
              <w:left w:val="single" w:sz="8" w:space="0" w:color="B8CCE4"/>
              <w:bottom w:val="double" w:sz="6" w:space="0" w:color="95B3D7"/>
              <w:right w:val="single" w:sz="8" w:space="0" w:color="B8CCE4"/>
            </w:tcBorders>
            <w:shd w:val="clear" w:color="auto" w:fill="auto"/>
            <w:vAlign w:val="center"/>
            <w:hideMark/>
          </w:tcPr>
          <w:p w:rsidR="00F40F7F" w:rsidRPr="00F95C93" w:rsidRDefault="00F40F7F" w:rsidP="00F40F7F">
            <w:pPr>
              <w:spacing w:before="0" w:line="240" w:lineRule="auto"/>
              <w:jc w:val="left"/>
              <w:rPr>
                <w:b/>
                <w:bCs/>
                <w:i/>
                <w:iCs/>
                <w:color w:val="000000"/>
                <w:sz w:val="16"/>
                <w:szCs w:val="16"/>
              </w:rPr>
            </w:pPr>
            <w:r w:rsidRPr="00F95C93">
              <w:rPr>
                <w:b/>
                <w:bCs/>
                <w:i/>
                <w:iCs/>
                <w:color w:val="000000"/>
                <w:sz w:val="16"/>
                <w:szCs w:val="16"/>
              </w:rPr>
              <w:t>Gjithsej</w:t>
            </w:r>
            <w:r>
              <w:rPr>
                <w:b/>
                <w:bCs/>
                <w:i/>
                <w:iCs/>
                <w:color w:val="000000"/>
                <w:sz w:val="16"/>
                <w:szCs w:val="16"/>
              </w:rPr>
              <w:t xml:space="preserve"> </w:t>
            </w:r>
            <w:r w:rsidRPr="00F95C93">
              <w:rPr>
                <w:b/>
                <w:bCs/>
                <w:i/>
                <w:iCs/>
                <w:color w:val="000000"/>
                <w:sz w:val="16"/>
                <w:szCs w:val="16"/>
              </w:rPr>
              <w:t>sipas</w:t>
            </w:r>
            <w:r>
              <w:rPr>
                <w:b/>
                <w:bCs/>
                <w:i/>
                <w:iCs/>
                <w:color w:val="000000"/>
                <w:sz w:val="16"/>
                <w:szCs w:val="16"/>
              </w:rPr>
              <w:t xml:space="preserve"> </w:t>
            </w:r>
            <w:r w:rsidRPr="00F95C93">
              <w:rPr>
                <w:b/>
                <w:bCs/>
                <w:i/>
                <w:iCs/>
                <w:color w:val="000000"/>
                <w:sz w:val="16"/>
                <w:szCs w:val="16"/>
              </w:rPr>
              <w:t>natyrës</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i/>
                <w:iCs/>
                <w:color w:val="000000"/>
                <w:sz w:val="16"/>
                <w:szCs w:val="16"/>
              </w:rPr>
            </w:pPr>
            <w:r w:rsidRPr="00F95C93">
              <w:rPr>
                <w:i/>
                <w:iCs/>
                <w:color w:val="000000"/>
                <w:sz w:val="16"/>
                <w:szCs w:val="16"/>
              </w:rPr>
              <w:t>6,807,274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i/>
                <w:iCs/>
                <w:color w:val="000000"/>
                <w:sz w:val="16"/>
                <w:szCs w:val="16"/>
              </w:rPr>
            </w:pPr>
            <w:r w:rsidRPr="00F95C93">
              <w:rPr>
                <w:i/>
                <w:iCs/>
                <w:color w:val="000000"/>
                <w:sz w:val="16"/>
                <w:szCs w:val="16"/>
              </w:rPr>
              <w:t>5,929,095</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i/>
                <w:iCs/>
                <w:color w:val="000000"/>
                <w:sz w:val="16"/>
                <w:szCs w:val="16"/>
              </w:rPr>
            </w:pPr>
            <w:r w:rsidRPr="00F95C93">
              <w:rPr>
                <w:i/>
                <w:iCs/>
                <w:color w:val="000000"/>
                <w:sz w:val="16"/>
                <w:szCs w:val="16"/>
              </w:rPr>
              <w:t>8,621,430</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i/>
                <w:iCs/>
                <w:color w:val="000000"/>
                <w:sz w:val="16"/>
                <w:szCs w:val="16"/>
              </w:rPr>
            </w:pPr>
            <w:r w:rsidRPr="00F95C93">
              <w:rPr>
                <w:i/>
                <w:iCs/>
                <w:color w:val="000000"/>
                <w:sz w:val="16"/>
                <w:szCs w:val="16"/>
              </w:rPr>
              <w:t>4,978,724</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i/>
                <w:iCs/>
                <w:color w:val="000000"/>
                <w:sz w:val="16"/>
                <w:szCs w:val="16"/>
              </w:rPr>
            </w:pPr>
            <w:r w:rsidRPr="00F95C93">
              <w:rPr>
                <w:i/>
                <w:iCs/>
                <w:color w:val="000000"/>
                <w:sz w:val="16"/>
                <w:szCs w:val="16"/>
              </w:rPr>
              <w:t>8,536,755</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i/>
                <w:iCs/>
                <w:color w:val="000000"/>
                <w:sz w:val="16"/>
                <w:szCs w:val="16"/>
              </w:rPr>
            </w:pPr>
            <w:r w:rsidRPr="00F95C93">
              <w:rPr>
                <w:i/>
                <w:iCs/>
                <w:color w:val="000000"/>
                <w:sz w:val="16"/>
                <w:szCs w:val="16"/>
              </w:rPr>
              <w:t>5,037,312</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i/>
                <w:iCs/>
                <w:color w:val="000000"/>
                <w:sz w:val="16"/>
                <w:szCs w:val="16"/>
              </w:rPr>
            </w:pPr>
            <w:r w:rsidRPr="00F95C93">
              <w:rPr>
                <w:i/>
                <w:iCs/>
                <w:color w:val="000000"/>
                <w:sz w:val="16"/>
                <w:szCs w:val="16"/>
              </w:rPr>
              <w:t>125%</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i/>
                <w:iCs/>
                <w:color w:val="000000"/>
                <w:sz w:val="16"/>
                <w:szCs w:val="16"/>
              </w:rPr>
            </w:pPr>
            <w:r w:rsidRPr="00F95C93">
              <w:rPr>
                <w:i/>
                <w:iCs/>
                <w:color w:val="000000"/>
                <w:sz w:val="16"/>
                <w:szCs w:val="16"/>
              </w:rPr>
              <w:t>85%</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i/>
                <w:iCs/>
                <w:color w:val="000000"/>
                <w:sz w:val="16"/>
                <w:szCs w:val="16"/>
              </w:rPr>
            </w:pPr>
            <w:r w:rsidRPr="00F95C93">
              <w:rPr>
                <w:i/>
                <w:iCs/>
                <w:color w:val="000000"/>
                <w:sz w:val="16"/>
                <w:szCs w:val="16"/>
              </w:rPr>
              <w:t>99%</w:t>
            </w:r>
          </w:p>
        </w:tc>
        <w:tc>
          <w:tcPr>
            <w:tcW w:w="0" w:type="auto"/>
            <w:tcBorders>
              <w:top w:val="nil"/>
              <w:left w:val="nil"/>
              <w:bottom w:val="single" w:sz="8" w:space="0" w:color="BFBFBF"/>
              <w:right w:val="single" w:sz="8" w:space="0" w:color="BFBFBF"/>
            </w:tcBorders>
            <w:shd w:val="clear" w:color="auto" w:fill="auto"/>
            <w:vAlign w:val="center"/>
            <w:hideMark/>
          </w:tcPr>
          <w:p w:rsidR="00F40F7F" w:rsidRPr="00F95C93" w:rsidRDefault="00F40F7F" w:rsidP="00F40F7F">
            <w:pPr>
              <w:spacing w:before="0" w:line="240" w:lineRule="auto"/>
              <w:jc w:val="center"/>
              <w:rPr>
                <w:i/>
                <w:iCs/>
                <w:color w:val="000000"/>
                <w:sz w:val="16"/>
                <w:szCs w:val="16"/>
              </w:rPr>
            </w:pPr>
            <w:r w:rsidRPr="00F95C93">
              <w:rPr>
                <w:i/>
                <w:iCs/>
                <w:color w:val="000000"/>
                <w:sz w:val="16"/>
                <w:szCs w:val="16"/>
              </w:rPr>
              <w:t>101%</w:t>
            </w:r>
          </w:p>
        </w:tc>
      </w:tr>
      <w:tr w:rsidR="00F40F7F" w:rsidRPr="00F95C93" w:rsidTr="00F40F7F">
        <w:trPr>
          <w:trHeight w:val="330"/>
          <w:jc w:val="center"/>
        </w:trPr>
        <w:tc>
          <w:tcPr>
            <w:tcW w:w="3161" w:type="dxa"/>
            <w:tcBorders>
              <w:top w:val="nil"/>
              <w:left w:val="single" w:sz="8" w:space="0" w:color="B8CCE4"/>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Gjithsej</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12,736,369</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13,600,154</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13,574,067</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107%</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F40F7F" w:rsidRPr="00F95C93" w:rsidRDefault="00F40F7F" w:rsidP="00F40F7F">
            <w:pPr>
              <w:spacing w:before="0" w:line="240" w:lineRule="auto"/>
              <w:jc w:val="center"/>
              <w:rPr>
                <w:b/>
                <w:bCs/>
                <w:color w:val="FFFFFF"/>
                <w:sz w:val="16"/>
                <w:szCs w:val="16"/>
              </w:rPr>
            </w:pPr>
            <w:r w:rsidRPr="00F95C93">
              <w:rPr>
                <w:b/>
                <w:bCs/>
                <w:color w:val="FFFFFF"/>
                <w:sz w:val="16"/>
                <w:szCs w:val="16"/>
              </w:rPr>
              <w:t>100%</w:t>
            </w:r>
          </w:p>
        </w:tc>
      </w:tr>
    </w:tbl>
    <w:p w:rsidR="00F40F7F" w:rsidRPr="00F95C93" w:rsidRDefault="00F40F7F" w:rsidP="00FE77FC">
      <w:pPr>
        <w:spacing w:line="240" w:lineRule="auto"/>
        <w:rPr>
          <w:color w:val="000000"/>
          <w:spacing w:val="11"/>
          <w:szCs w:val="22"/>
        </w:rPr>
      </w:pPr>
      <w:r w:rsidRPr="00F95C93">
        <w:rPr>
          <w:spacing w:val="-2"/>
          <w:szCs w:val="22"/>
        </w:rPr>
        <w:t>B</w:t>
      </w:r>
      <w:r w:rsidRPr="00F95C93">
        <w:rPr>
          <w:szCs w:val="22"/>
        </w:rPr>
        <w:t>u</w:t>
      </w:r>
      <w:r w:rsidRPr="00F95C93">
        <w:rPr>
          <w:spacing w:val="2"/>
          <w:szCs w:val="22"/>
        </w:rPr>
        <w:t>x</w:t>
      </w:r>
      <w:r w:rsidRPr="00F95C93">
        <w:rPr>
          <w:szCs w:val="22"/>
        </w:rPr>
        <w:t>h</w:t>
      </w:r>
      <w:r w:rsidRPr="00F95C93">
        <w:rPr>
          <w:spacing w:val="-1"/>
          <w:szCs w:val="22"/>
        </w:rPr>
        <w:t>e</w:t>
      </w:r>
      <w:r w:rsidRPr="00F95C93">
        <w:rPr>
          <w:szCs w:val="22"/>
        </w:rPr>
        <w:t xml:space="preserve">ti vjetor fillestar i Ministrisë së Bujqësisë dhe Zhvillimit Rural u rishikua në rritje të lehtë (+6.7%) gjatë vitit 2022 nëpërmjet 4 Akteve Normative për rishikimin e buxhetit. Realizimi faktik ishte </w:t>
      </w:r>
      <w:r w:rsidRPr="00F95C93">
        <w:rPr>
          <w:color w:val="000000"/>
          <w:szCs w:val="22"/>
        </w:rPr>
        <w:t xml:space="preserve">13.6 miliardë </w:t>
      </w:r>
      <w:r w:rsidRPr="00F95C93">
        <w:rPr>
          <w:szCs w:val="22"/>
        </w:rPr>
        <w:t xml:space="preserve">lekë, ose 107% e buxhetit fillestar dhe 100% e buxhetit të rishikuar. </w:t>
      </w:r>
      <w:r w:rsidRPr="00F95C93">
        <w:rPr>
          <w:spacing w:val="-2"/>
          <w:szCs w:val="22"/>
        </w:rPr>
        <w:t>Real</w:t>
      </w:r>
      <w:r w:rsidRPr="00F95C93">
        <w:rPr>
          <w:spacing w:val="1"/>
          <w:szCs w:val="22"/>
        </w:rPr>
        <w:t>iz</w:t>
      </w:r>
      <w:r w:rsidRPr="00F95C93">
        <w:rPr>
          <w:szCs w:val="22"/>
        </w:rPr>
        <w:t>i</w:t>
      </w:r>
      <w:r w:rsidRPr="00F95C93">
        <w:rPr>
          <w:spacing w:val="1"/>
          <w:szCs w:val="22"/>
        </w:rPr>
        <w:t>m</w:t>
      </w:r>
      <w:r w:rsidRPr="00F95C93">
        <w:rPr>
          <w:spacing w:val="-1"/>
          <w:szCs w:val="22"/>
        </w:rPr>
        <w:t xml:space="preserve">i </w:t>
      </w:r>
      <w:r w:rsidRPr="00F95C93">
        <w:rPr>
          <w:spacing w:val="2"/>
          <w:szCs w:val="22"/>
        </w:rPr>
        <w:t xml:space="preserve">i </w:t>
      </w:r>
      <w:r w:rsidRPr="00F95C93">
        <w:rPr>
          <w:szCs w:val="22"/>
        </w:rPr>
        <w:t>shpe</w:t>
      </w:r>
      <w:r w:rsidRPr="00F95C93">
        <w:rPr>
          <w:spacing w:val="-1"/>
          <w:szCs w:val="22"/>
        </w:rPr>
        <w:t>n</w:t>
      </w:r>
      <w:r w:rsidRPr="00F95C93">
        <w:rPr>
          <w:spacing w:val="1"/>
          <w:szCs w:val="22"/>
        </w:rPr>
        <w:t>z</w:t>
      </w:r>
      <w:r w:rsidRPr="00F95C93">
        <w:rPr>
          <w:szCs w:val="22"/>
        </w:rPr>
        <w:t>i</w:t>
      </w:r>
      <w:r w:rsidRPr="00F95C93">
        <w:rPr>
          <w:spacing w:val="1"/>
          <w:szCs w:val="22"/>
        </w:rPr>
        <w:t>m</w:t>
      </w:r>
      <w:r w:rsidRPr="00F95C93">
        <w:rPr>
          <w:szCs w:val="22"/>
        </w:rPr>
        <w:t>eve kor</w:t>
      </w:r>
      <w:r w:rsidRPr="00F95C93">
        <w:rPr>
          <w:spacing w:val="-1"/>
          <w:szCs w:val="22"/>
        </w:rPr>
        <w:t>re</w:t>
      </w:r>
      <w:r w:rsidRPr="00F95C93">
        <w:rPr>
          <w:szCs w:val="22"/>
        </w:rPr>
        <w:t xml:space="preserve">nte ishte </w:t>
      </w:r>
      <w:r w:rsidRPr="00F95C93">
        <w:rPr>
          <w:spacing w:val="11"/>
          <w:szCs w:val="22"/>
        </w:rPr>
        <w:t>99</w:t>
      </w:r>
      <w:r w:rsidRPr="00F95C93">
        <w:rPr>
          <w:color w:val="000000"/>
          <w:spacing w:val="-1"/>
          <w:szCs w:val="22"/>
        </w:rPr>
        <w:t xml:space="preserve">% </w:t>
      </w:r>
      <w:r w:rsidRPr="00F95C93">
        <w:rPr>
          <w:color w:val="000000"/>
          <w:szCs w:val="22"/>
        </w:rPr>
        <w:t>dhe I investim</w:t>
      </w:r>
      <w:r w:rsidRPr="00F95C93">
        <w:rPr>
          <w:color w:val="000000"/>
          <w:spacing w:val="-3"/>
          <w:szCs w:val="22"/>
        </w:rPr>
        <w:t>e</w:t>
      </w:r>
      <w:r w:rsidRPr="00F95C93">
        <w:rPr>
          <w:color w:val="000000"/>
          <w:szCs w:val="22"/>
        </w:rPr>
        <w:t xml:space="preserve">ve </w:t>
      </w:r>
      <w:r w:rsidRPr="00F95C93">
        <w:rPr>
          <w:color w:val="000000"/>
          <w:spacing w:val="1"/>
          <w:szCs w:val="22"/>
        </w:rPr>
        <w:t>100% e planit të rishikuar.</w:t>
      </w:r>
    </w:p>
    <w:p w:rsidR="00F40F7F" w:rsidRPr="00F95C93" w:rsidRDefault="00F40F7F" w:rsidP="00FE77FC">
      <w:pPr>
        <w:shd w:val="clear" w:color="auto" w:fill="FFFFFF" w:themeFill="background1"/>
        <w:spacing w:line="240" w:lineRule="auto"/>
        <w:rPr>
          <w:szCs w:val="22"/>
          <w:lang w:val="sq-AL"/>
        </w:rPr>
      </w:pPr>
      <w:r w:rsidRPr="00F95C93">
        <w:rPr>
          <w:szCs w:val="22"/>
          <w:lang w:val="sq-AL"/>
        </w:rPr>
        <w:t xml:space="preserve">Në programin e </w:t>
      </w:r>
      <w:r w:rsidRPr="00F95C93">
        <w:rPr>
          <w:b/>
          <w:szCs w:val="22"/>
          <w:lang w:val="sq-AL"/>
        </w:rPr>
        <w:t>“Zhvillimi Rural duke mbeshtetur bujqësinë, blegtorinë dhe agroindustrinë”,</w:t>
      </w:r>
      <w:r w:rsidRPr="00F95C93">
        <w:rPr>
          <w:szCs w:val="22"/>
          <w:lang w:val="sq-AL"/>
        </w:rPr>
        <w:t xml:space="preserve"> janë realizuar produkte me një kosto faktike prej 8.7 miliard lekë (nga 7 miliardë të planifikuara në buxhetin fillestar), ku: </w:t>
      </w:r>
    </w:p>
    <w:p w:rsidR="00F40F7F" w:rsidRPr="00F95C93" w:rsidRDefault="00F40F7F" w:rsidP="00C71069">
      <w:pPr>
        <w:pStyle w:val="ListParagraph"/>
        <w:numPr>
          <w:ilvl w:val="0"/>
          <w:numId w:val="20"/>
        </w:numPr>
        <w:shd w:val="clear" w:color="auto" w:fill="FFFFFF" w:themeFill="background1"/>
        <w:spacing w:before="0" w:line="240" w:lineRule="auto"/>
        <w:ind w:left="270" w:hanging="270"/>
        <w:rPr>
          <w:rFonts w:eastAsiaTheme="minorHAnsi" w:cs="Calibri Light"/>
          <w:i/>
          <w:szCs w:val="22"/>
          <w:lang w:val="sq-AL"/>
        </w:rPr>
      </w:pPr>
      <w:r w:rsidRPr="00F95C93">
        <w:rPr>
          <w:rFonts w:eastAsiaTheme="minorHAnsi" w:cs="Calibri Light"/>
          <w:i/>
          <w:szCs w:val="22"/>
          <w:lang w:val="sq-AL"/>
        </w:rPr>
        <w:t xml:space="preserve">Kanë aplikuar dhe janë kualifikuar në fazën fillestare për mbështetjen nga skema kombëtare rreth 19 708 aplikantë për nga të cilët kanë përfituar 13 925 fermerë, me rreth 14% e tyre ishin përfituese femra.  Numri më i lartë i përfituesve ka qenë masa e blegtorisë, ndjekur nga masat për kultivimin e grurit dhe mbështetja për bletarinë, etj. </w:t>
      </w:r>
    </w:p>
    <w:p w:rsidR="00F40F7F" w:rsidRPr="00F95C93" w:rsidRDefault="00F40F7F" w:rsidP="00C71069">
      <w:pPr>
        <w:pStyle w:val="ListParagraph"/>
        <w:numPr>
          <w:ilvl w:val="0"/>
          <w:numId w:val="20"/>
        </w:numPr>
        <w:shd w:val="clear" w:color="auto" w:fill="FFFFFF" w:themeFill="background1"/>
        <w:spacing w:before="0" w:line="240" w:lineRule="auto"/>
        <w:ind w:left="270" w:hanging="270"/>
        <w:rPr>
          <w:rFonts w:eastAsiaTheme="minorHAnsi" w:cs="Calibri Light"/>
          <w:i/>
          <w:szCs w:val="22"/>
          <w:lang w:val="sq-AL"/>
        </w:rPr>
      </w:pPr>
      <w:r w:rsidRPr="00F95C93">
        <w:rPr>
          <w:rFonts w:eastAsiaTheme="minorHAnsi" w:cs="Calibri Light"/>
          <w:i/>
          <w:szCs w:val="22"/>
          <w:lang w:val="sq-AL"/>
        </w:rPr>
        <w:t>Skema e subvencionimit me naftë për bujqësinë ka pasur rreth 49 654 aplikime në total nga të cilët, kanë përfituar rreth 34 731 aplikime me rreth 8.3 milion litra naftë. Fondi iplanifikuar ështërealizuar në masën 100% ose në vlerën 1.9 miliard lekë.</w:t>
      </w:r>
    </w:p>
    <w:p w:rsidR="00F40F7F" w:rsidRPr="00F95C93" w:rsidRDefault="00F40F7F" w:rsidP="00C71069">
      <w:pPr>
        <w:pStyle w:val="ListParagraph"/>
        <w:numPr>
          <w:ilvl w:val="0"/>
          <w:numId w:val="20"/>
        </w:numPr>
        <w:shd w:val="clear" w:color="auto" w:fill="FFFFFF" w:themeFill="background1"/>
        <w:spacing w:before="0" w:line="240" w:lineRule="auto"/>
        <w:ind w:left="270" w:hanging="270"/>
        <w:rPr>
          <w:rFonts w:eastAsiaTheme="minorHAnsi" w:cs="Calibri Light"/>
          <w:i/>
          <w:szCs w:val="22"/>
          <w:lang w:val="sq-AL"/>
        </w:rPr>
      </w:pPr>
      <w:r w:rsidRPr="00F95C93">
        <w:rPr>
          <w:rFonts w:eastAsiaTheme="minorHAnsi" w:cs="Calibri Light"/>
          <w:i/>
          <w:szCs w:val="22"/>
          <w:lang w:val="sq-AL"/>
        </w:rPr>
        <w:t xml:space="preserve">Përfitues nga programi IPARD II, janë vlerësuar dhe disbursuar fonde për 195 kontrata nga të cilat 33 femra. </w:t>
      </w:r>
    </w:p>
    <w:p w:rsidR="00F40F7F" w:rsidRPr="00F95C93" w:rsidRDefault="00F40F7F" w:rsidP="00FE77FC">
      <w:pPr>
        <w:shd w:val="clear" w:color="auto" w:fill="FFFFFF" w:themeFill="background1"/>
        <w:spacing w:line="240" w:lineRule="auto"/>
        <w:rPr>
          <w:rFonts w:eastAsiaTheme="minorHAnsi"/>
          <w:szCs w:val="22"/>
          <w:lang w:val="sq-AL"/>
        </w:rPr>
      </w:pPr>
      <w:r w:rsidRPr="00F95C93">
        <w:rPr>
          <w:szCs w:val="22"/>
          <w:lang w:val="sq-AL"/>
        </w:rPr>
        <w:t xml:space="preserve">Në programin </w:t>
      </w:r>
      <w:r w:rsidRPr="00F95C93">
        <w:rPr>
          <w:b/>
          <w:szCs w:val="22"/>
          <w:lang w:val="sq-AL"/>
        </w:rPr>
        <w:t>“Siguria ushqimore dhe mbrojtja e konsumatorit”,</w:t>
      </w:r>
      <w:r w:rsidRPr="00F95C93">
        <w:rPr>
          <w:szCs w:val="22"/>
          <w:lang w:val="sq-AL"/>
        </w:rPr>
        <w:t xml:space="preserve"> janë realizuar produkte me një kosto faktike prej  1,7 miliardë lekë (ose 76% e planit fillestar dhe 100% e të rishikuarit), përfshirë: </w:t>
      </w:r>
    </w:p>
    <w:p w:rsidR="00F40F7F" w:rsidRPr="00F95C93" w:rsidRDefault="00F40F7F" w:rsidP="00C71069">
      <w:pPr>
        <w:pStyle w:val="ListParagraph"/>
        <w:numPr>
          <w:ilvl w:val="0"/>
          <w:numId w:val="20"/>
        </w:numPr>
        <w:shd w:val="clear" w:color="auto" w:fill="FFFFFF" w:themeFill="background1"/>
        <w:spacing w:before="0" w:line="240" w:lineRule="auto"/>
        <w:ind w:left="270" w:hanging="270"/>
        <w:rPr>
          <w:rFonts w:eastAsiaTheme="minorHAnsi" w:cs="Calibri Light"/>
          <w:i/>
          <w:szCs w:val="22"/>
          <w:lang w:val="sq-AL"/>
        </w:rPr>
      </w:pPr>
      <w:r w:rsidRPr="00F95C93">
        <w:rPr>
          <w:rFonts w:eastAsiaTheme="minorHAnsi" w:cs="Calibri Light"/>
          <w:i/>
          <w:szCs w:val="22"/>
          <w:lang w:val="sq-AL"/>
        </w:rPr>
        <w:t>Kafshë të vaksinuara dhe të gjurmuara: është realizuar vaksinimi i 362 mijë krerëve dhe gjurmimi i 30.8 mijë krerëve, me një kosto faktike prej 55 milionë lekë.</w:t>
      </w:r>
    </w:p>
    <w:p w:rsidR="00F40F7F" w:rsidRPr="00F95C93" w:rsidRDefault="00F40F7F" w:rsidP="00C71069">
      <w:pPr>
        <w:pStyle w:val="ListParagraph"/>
        <w:numPr>
          <w:ilvl w:val="0"/>
          <w:numId w:val="20"/>
        </w:numPr>
        <w:shd w:val="clear" w:color="auto" w:fill="FFFFFF" w:themeFill="background1"/>
        <w:spacing w:before="0" w:line="240" w:lineRule="auto"/>
        <w:ind w:left="270" w:hanging="270"/>
        <w:rPr>
          <w:rFonts w:eastAsiaTheme="minorHAnsi" w:cs="Calibri Light"/>
          <w:i/>
          <w:szCs w:val="22"/>
          <w:lang w:val="sq-AL"/>
        </w:rPr>
      </w:pPr>
      <w:r w:rsidRPr="00F95C93">
        <w:rPr>
          <w:rFonts w:eastAsiaTheme="minorHAnsi" w:cs="Calibri Light"/>
          <w:i/>
          <w:szCs w:val="22"/>
          <w:lang w:val="sq-AL"/>
        </w:rPr>
        <w:t>Përveç kontrolleve të realizuara në fermat e kafshëve të gjalla si dhe kontrolle në farmacitë veterinare dhe depot farmaceutike, janë realizuar kontrolle dhe në pulari për shkak të shpërthimit të gripit të shpendëve, në total janë realizuar 33 140 kontrolle në terren, me një kosto faktike prej 535 milion lekë.</w:t>
      </w:r>
    </w:p>
    <w:p w:rsidR="00F40F7F" w:rsidRPr="00F95C93" w:rsidRDefault="00F40F7F" w:rsidP="00C71069">
      <w:pPr>
        <w:pStyle w:val="ListParagraph"/>
        <w:numPr>
          <w:ilvl w:val="0"/>
          <w:numId w:val="20"/>
        </w:numPr>
        <w:shd w:val="clear" w:color="auto" w:fill="FFFFFF" w:themeFill="background1"/>
        <w:spacing w:before="0" w:line="240" w:lineRule="auto"/>
        <w:ind w:left="270" w:hanging="270"/>
        <w:rPr>
          <w:rFonts w:eastAsiaTheme="minorHAnsi" w:cs="Calibri Light"/>
          <w:i/>
          <w:szCs w:val="22"/>
          <w:lang w:val="sq-AL"/>
        </w:rPr>
      </w:pPr>
      <w:r w:rsidRPr="00F95C93">
        <w:rPr>
          <w:rFonts w:eastAsiaTheme="minorHAnsi" w:cs="Calibri Light"/>
          <w:i/>
          <w:szCs w:val="22"/>
          <w:lang w:val="sq-AL"/>
        </w:rPr>
        <w:t xml:space="preserve">Janë realizuar për vitin 2022 në të gjithë territorin e vendit deri në fund të vitit 101 479 inspektime në fushën e sigurisë ushqimore, me një kosto faktike prej 497 milion lekë. </w:t>
      </w:r>
    </w:p>
    <w:p w:rsidR="00F40F7F" w:rsidRPr="00F95C93" w:rsidRDefault="00F40F7F" w:rsidP="00C71069">
      <w:pPr>
        <w:pStyle w:val="ListParagraph"/>
        <w:numPr>
          <w:ilvl w:val="0"/>
          <w:numId w:val="20"/>
        </w:numPr>
        <w:shd w:val="clear" w:color="auto" w:fill="FFFFFF" w:themeFill="background1"/>
        <w:spacing w:before="0" w:line="240" w:lineRule="auto"/>
        <w:ind w:left="270" w:hanging="270"/>
        <w:rPr>
          <w:rFonts w:eastAsiaTheme="minorHAnsi" w:cs="Calibri Light"/>
          <w:i/>
          <w:szCs w:val="22"/>
          <w:lang w:val="sq-AL"/>
        </w:rPr>
      </w:pPr>
      <w:r w:rsidRPr="00F95C93">
        <w:rPr>
          <w:rFonts w:eastAsiaTheme="minorHAnsi" w:cs="Calibri Light"/>
          <w:i/>
          <w:szCs w:val="22"/>
          <w:lang w:val="sq-AL"/>
        </w:rPr>
        <w:t>Autoritetit Kombëtar Veterinar dhe Mbrojtjes të Bimëve, me fokus shëndetin dhe mirëqenien e kafshëve dhe shëndetin e bimëve ka kryer 495 inspektime në terren, më një kosto faktike prej 13.7 milionë lekë.</w:t>
      </w:r>
    </w:p>
    <w:p w:rsidR="00F40F7F" w:rsidRPr="00F95C93" w:rsidRDefault="00F40F7F" w:rsidP="00FE77FC">
      <w:pPr>
        <w:shd w:val="clear" w:color="auto" w:fill="FFFFFF" w:themeFill="background1"/>
        <w:spacing w:line="240" w:lineRule="auto"/>
        <w:rPr>
          <w:rFonts w:cs="Calibri"/>
          <w:szCs w:val="22"/>
          <w:lang w:val="sq-AL"/>
        </w:rPr>
      </w:pPr>
      <w:r w:rsidRPr="00F95C93">
        <w:rPr>
          <w:szCs w:val="22"/>
          <w:lang w:val="sq-AL"/>
        </w:rPr>
        <w:lastRenderedPageBreak/>
        <w:t>Në programin “</w:t>
      </w:r>
      <w:r w:rsidRPr="00F95C93">
        <w:rPr>
          <w:b/>
          <w:szCs w:val="22"/>
          <w:lang w:val="sq-AL"/>
        </w:rPr>
        <w:t>Infrastruktura e ujitjes dhe kullimit</w:t>
      </w:r>
      <w:r w:rsidRPr="00F95C93">
        <w:rPr>
          <w:szCs w:val="22"/>
          <w:lang w:val="sq-AL"/>
        </w:rPr>
        <w:t>”, janë realizuar produkte me një kosto faktike prej 1.8 miliardë lekë (ose 108% e planit fillestar dhe 98% e të rishikuarit), përfshirë:</w:t>
      </w:r>
    </w:p>
    <w:p w:rsidR="00F40F7F" w:rsidRPr="00FE77FC" w:rsidRDefault="00F40F7F" w:rsidP="00C71069">
      <w:pPr>
        <w:pStyle w:val="ListParagraph"/>
        <w:numPr>
          <w:ilvl w:val="0"/>
          <w:numId w:val="20"/>
        </w:numPr>
        <w:shd w:val="clear" w:color="auto" w:fill="FFFFFF" w:themeFill="background1"/>
        <w:spacing w:before="0" w:line="240" w:lineRule="auto"/>
        <w:ind w:left="270" w:hanging="270"/>
        <w:rPr>
          <w:rFonts w:eastAsiaTheme="minorHAnsi" w:cs="Calibri Light"/>
          <w:i/>
          <w:szCs w:val="22"/>
          <w:lang w:val="sq-AL"/>
        </w:rPr>
      </w:pPr>
      <w:r w:rsidRPr="00FE77FC">
        <w:rPr>
          <w:rFonts w:eastAsiaTheme="minorHAnsi" w:cs="Calibri Light"/>
          <w:i/>
          <w:szCs w:val="22"/>
          <w:lang w:val="sq-AL"/>
        </w:rPr>
        <w:t xml:space="preserve">Janë punuar rreth 50 000 hektar sipërfaqe kulluese me rrjetin kryesor të pastruar, me një kosto faktike prej 171 milion lekë. </w:t>
      </w:r>
    </w:p>
    <w:p w:rsidR="00F40F7F" w:rsidRPr="00FE77FC" w:rsidRDefault="00F40F7F" w:rsidP="00C71069">
      <w:pPr>
        <w:pStyle w:val="ListParagraph"/>
        <w:numPr>
          <w:ilvl w:val="0"/>
          <w:numId w:val="20"/>
        </w:numPr>
        <w:shd w:val="clear" w:color="auto" w:fill="FFFFFF" w:themeFill="background1"/>
        <w:spacing w:before="0" w:line="240" w:lineRule="auto"/>
        <w:ind w:left="270" w:hanging="270"/>
        <w:rPr>
          <w:rFonts w:eastAsiaTheme="minorHAnsi" w:cs="Calibri Light"/>
          <w:i/>
          <w:szCs w:val="22"/>
          <w:lang w:val="sq-AL"/>
        </w:rPr>
      </w:pPr>
      <w:r w:rsidRPr="00FE77FC">
        <w:rPr>
          <w:rFonts w:eastAsiaTheme="minorHAnsi" w:cs="Calibri Light"/>
          <w:i/>
          <w:szCs w:val="22"/>
          <w:lang w:val="sq-AL"/>
        </w:rPr>
        <w:t>Rreth 25 000 hektar sipërfaqe ujitëse me rrjet kryesor ujitës te mirëmbajtur, me një kosto faktike prej 55 milion lekë.</w:t>
      </w:r>
    </w:p>
    <w:p w:rsidR="00F40F7F" w:rsidRPr="00FE77FC" w:rsidRDefault="00F40F7F" w:rsidP="00C71069">
      <w:pPr>
        <w:pStyle w:val="ListParagraph"/>
        <w:numPr>
          <w:ilvl w:val="0"/>
          <w:numId w:val="20"/>
        </w:numPr>
        <w:shd w:val="clear" w:color="auto" w:fill="FFFFFF" w:themeFill="background1"/>
        <w:spacing w:before="0" w:line="240" w:lineRule="auto"/>
        <w:ind w:left="270" w:hanging="270"/>
        <w:rPr>
          <w:rFonts w:eastAsiaTheme="minorHAnsi" w:cs="Calibri Light"/>
          <w:i/>
          <w:szCs w:val="22"/>
          <w:lang w:val="sq-AL"/>
        </w:rPr>
      </w:pPr>
      <w:r w:rsidRPr="00FE77FC">
        <w:rPr>
          <w:rFonts w:eastAsiaTheme="minorHAnsi" w:cs="Calibri Light"/>
          <w:i/>
          <w:szCs w:val="22"/>
          <w:lang w:val="sq-AL"/>
        </w:rPr>
        <w:t>Mirëmbajtje për funksionimin normal të 27 hidroforëve për kullimin e rreth 70 000 hektarëve, me një kosto prej 163 milionë lekë;</w:t>
      </w:r>
    </w:p>
    <w:p w:rsidR="00B552CA" w:rsidRPr="002617BE" w:rsidRDefault="007B7B50" w:rsidP="00B552CA">
      <w:pPr>
        <w:shd w:val="clear" w:color="auto" w:fill="FFFFFF" w:themeFill="background1"/>
        <w:spacing w:line="240" w:lineRule="auto"/>
        <w:rPr>
          <w:rFonts w:asciiTheme="majorHAnsi" w:eastAsiaTheme="minorHAnsi" w:hAnsiTheme="majorHAnsi" w:cs="Calibri Light"/>
          <w:szCs w:val="22"/>
          <w:lang w:val="sq-AL"/>
        </w:rPr>
      </w:pPr>
      <w:r w:rsidRPr="00B552CA">
        <w:rPr>
          <w:rFonts w:eastAsiaTheme="minorHAnsi" w:cs="Calibri"/>
          <w:lang w:val="sq-AL"/>
        </w:rPr>
        <w:t xml:space="preserve">Për sa u përket </w:t>
      </w:r>
      <w:r w:rsidRPr="00B552CA">
        <w:rPr>
          <w:rFonts w:eastAsiaTheme="minorHAnsi" w:cs="Calibri"/>
          <w:b/>
          <w:bCs/>
          <w:lang w:val="sq-AL"/>
        </w:rPr>
        <w:t>investimeve publike</w:t>
      </w:r>
      <w:r w:rsidRPr="00B552CA">
        <w:rPr>
          <w:rFonts w:eastAsiaTheme="minorHAnsi" w:cs="Calibri"/>
          <w:lang w:val="sq-AL"/>
        </w:rPr>
        <w:t xml:space="preserve"> </w:t>
      </w:r>
      <w:r w:rsidR="00B552CA" w:rsidRPr="002617BE">
        <w:rPr>
          <w:rFonts w:cs="Calibri"/>
          <w:lang w:val="sq-AL"/>
        </w:rPr>
        <w:t>realizimi në vitin 2022 ishte 87.6% e buxhetit fillestar për projektet me financim të brendshëm (2.4 milardë lekë)</w:t>
      </w:r>
      <w:r w:rsidR="00B552CA" w:rsidRPr="002617BE">
        <w:rPr>
          <w:rFonts w:cs="Calibri"/>
          <w:bCs/>
          <w:iCs/>
          <w:lang w:val="sq-AL"/>
        </w:rPr>
        <w:t xml:space="preserve"> (98.3% të planit vjetor të ndryshuar me AN nr.19)</w:t>
      </w:r>
      <w:r w:rsidR="00B552CA" w:rsidRPr="002617BE">
        <w:rPr>
          <w:rFonts w:cs="Calibri"/>
          <w:lang w:val="sq-AL"/>
        </w:rPr>
        <w:t xml:space="preserve"> dhe 82.6% e buxhetit fillestar për projektet me financim të huaj (2.6 miliardë lekë) </w:t>
      </w:r>
      <w:r w:rsidR="00B552CA" w:rsidRPr="002617BE">
        <w:rPr>
          <w:rFonts w:cs="Calibri"/>
          <w:bCs/>
          <w:iCs/>
          <w:lang w:val="sq-AL"/>
        </w:rPr>
        <w:t>(104 % të planit vjetor të ndryshuar me AN nr.19).</w:t>
      </w:r>
      <w:r w:rsidR="00B552CA" w:rsidRPr="002617BE">
        <w:rPr>
          <w:rFonts w:cs="Calibri"/>
          <w:lang w:val="sq-AL"/>
        </w:rPr>
        <w:t xml:space="preserve"> Buxheti i shpenzimeve kapitale pësoi disa ndryshime gjatë vitit. </w:t>
      </w:r>
      <w:r w:rsidR="00B552CA" w:rsidRPr="002617BE">
        <w:rPr>
          <w:rFonts w:asciiTheme="majorHAnsi" w:eastAsiaTheme="minorHAnsi" w:hAnsiTheme="majorHAnsi" w:cs="Calibri Light"/>
          <w:szCs w:val="22"/>
          <w:lang w:val="sq-AL"/>
        </w:rPr>
        <w:t>Janë mbyllur rreth 60 kontrata  investimi në vlerën e 1.8 miliardë lekë, ku ndër më kryesoret veçojmë:</w:t>
      </w:r>
    </w:p>
    <w:p w:rsidR="00B552CA" w:rsidRPr="002617BE" w:rsidRDefault="00B552CA" w:rsidP="00C71069">
      <w:pPr>
        <w:pStyle w:val="ListParagraph"/>
        <w:numPr>
          <w:ilvl w:val="0"/>
          <w:numId w:val="16"/>
        </w:numPr>
        <w:shd w:val="clear" w:color="auto" w:fill="FFFFFF" w:themeFill="background1"/>
        <w:spacing w:before="0" w:line="240" w:lineRule="auto"/>
        <w:rPr>
          <w:rFonts w:asciiTheme="majorHAnsi" w:hAnsiTheme="majorHAnsi" w:cs="Calibri Light"/>
          <w:bCs/>
          <w:szCs w:val="22"/>
          <w:lang w:val="sq-AL" w:eastAsia="en-GB"/>
        </w:rPr>
      </w:pPr>
      <w:r w:rsidRPr="002617BE">
        <w:rPr>
          <w:rFonts w:asciiTheme="majorHAnsi" w:hAnsiTheme="majorHAnsi" w:cs="Calibri Light"/>
          <w:bCs/>
          <w:szCs w:val="22"/>
          <w:lang w:val="sq-AL" w:eastAsia="en-GB"/>
        </w:rPr>
        <w:t>Në programin “</w:t>
      </w:r>
      <w:r w:rsidRPr="002617BE">
        <w:rPr>
          <w:rFonts w:asciiTheme="majorHAnsi" w:hAnsiTheme="majorHAnsi" w:cs="Calibri Light"/>
          <w:b/>
          <w:bCs/>
          <w:szCs w:val="22"/>
          <w:lang w:val="sq-AL" w:eastAsia="en-GB"/>
        </w:rPr>
        <w:t xml:space="preserve">Siguria Ushqimore dhe Mrojtja e Konsumatorit” </w:t>
      </w:r>
      <w:r w:rsidRPr="002617BE">
        <w:rPr>
          <w:rFonts w:asciiTheme="majorHAnsi" w:hAnsiTheme="majorHAnsi" w:cs="Calibri Light"/>
          <w:bCs/>
          <w:szCs w:val="22"/>
          <w:lang w:val="sq-AL" w:eastAsia="en-GB"/>
        </w:rPr>
        <w:t>kanë përfunduar kontratat:</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Rikonstruksioni i ISUV në vlerën e 125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Blerja e Pajisjeve kompjuterike për Agjencitë Rajonale të Shërbimit Veterinar dhe Mbrojtjes së Bimëve” në vlerën e 26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 xml:space="preserve">Paisje ftohëse dhe ngrirëse (frigorifer), (Sektorët e Laboratorëve dhe PIK) në vlerën e 6 milionë lekë. </w:t>
      </w:r>
    </w:p>
    <w:p w:rsidR="00B552CA" w:rsidRPr="002617BE" w:rsidRDefault="00B552CA" w:rsidP="00C71069">
      <w:pPr>
        <w:pStyle w:val="ListParagraph"/>
        <w:numPr>
          <w:ilvl w:val="0"/>
          <w:numId w:val="16"/>
        </w:numPr>
        <w:shd w:val="clear" w:color="auto" w:fill="FFFFFF" w:themeFill="background1"/>
        <w:spacing w:before="0" w:line="240" w:lineRule="auto"/>
        <w:rPr>
          <w:rFonts w:asciiTheme="majorHAnsi" w:hAnsiTheme="majorHAnsi" w:cs="Calibri Light"/>
          <w:bCs/>
          <w:szCs w:val="22"/>
          <w:lang w:val="sq-AL" w:eastAsia="en-GB"/>
        </w:rPr>
      </w:pPr>
      <w:r w:rsidRPr="002617BE">
        <w:rPr>
          <w:rFonts w:asciiTheme="majorHAnsi" w:hAnsiTheme="majorHAnsi" w:cs="Calibri Light"/>
          <w:bCs/>
          <w:szCs w:val="22"/>
          <w:lang w:val="sq-AL" w:eastAsia="en-GB"/>
        </w:rPr>
        <w:t xml:space="preserve">Në programin e </w:t>
      </w:r>
      <w:r w:rsidRPr="002617BE">
        <w:rPr>
          <w:rFonts w:asciiTheme="majorHAnsi" w:hAnsiTheme="majorHAnsi" w:cs="Calibri Light"/>
          <w:b/>
          <w:bCs/>
          <w:i/>
          <w:szCs w:val="22"/>
          <w:lang w:val="sq-AL" w:eastAsia="en-GB"/>
        </w:rPr>
        <w:t xml:space="preserve">Menaxhimi i Infrastrukturës së kullimit dhe Ujitjes </w:t>
      </w:r>
      <w:r w:rsidRPr="002617BE">
        <w:rPr>
          <w:rFonts w:asciiTheme="majorHAnsi" w:hAnsiTheme="majorHAnsi" w:cs="Calibri Light"/>
          <w:bCs/>
          <w:szCs w:val="22"/>
          <w:lang w:val="sq-AL" w:eastAsia="en-GB"/>
        </w:rPr>
        <w:t xml:space="preserve"> kanë përfunduar 38 kontrata  me vlerë të plotë investimi prej rreth 1666 milionë lekë ku veçojmë kontratat e mëposhtme:</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GJU 1, Dropull Posht</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m Rezervuari  Dofti (Rez. Lume + Stp.p) në vlerën 15 milionë lelë;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Rehabilitim pjesor në kanalin kryesor ujitës Peqin Kavajë, zona Gosë. (Ndërtim ure dhe riveshje kanali) në vlerën 22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Rehabilitim hidrovorit te Karavastase në vlerën 267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Rikonstruksion i Argjinatur</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s s</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xml:space="preserve"> Selevecit,Vlore në vlerën 173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Mbrojtje nga p</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rmbytja nga lumi Osum n</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xml:space="preserve"> Uznove, Berat në vlrën 52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Mbrojtja nga g</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rryerja, krahu i majte i lumit Shkumbin, zona nga mbrojtja ekzistuese ne Muriqan deri tek zona e quajtur Shelgu ne Cerrik në vlerën 74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Argjinatura Mbrojt</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se nga lumi Shkumbin n</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xml:space="preserve"> fshatin Ullishtaj – Paper në vlerën 38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Mbrojtje lumore e zon</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s perendimore t</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xml:space="preserve"> qytetit Librazhd në vlerën 61 milionë lelë;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Mbrojtje nga lumi Fan, fshati Rreth i Eperm Mirdite në vlerën 86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Rehabilitim i mekanizmit të komandimit të portave të ujëlëshuesit dhe shkarkuesit katastrofik anësor të rezervuarit  Gjyslikonje në vlerën 41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Rehabilitimi i KUL Sanxhak, Kurbin në vlerën 23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Mbrojtje nga lumi Kir në vlerën e 25 milionë lekë etj.</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Mbrojtja nga Lumi Vjosë në Bishan, krahu i majtë, bashkia Vlorë në vlerën 14 milion lekë</w:t>
      </w:r>
      <w:r>
        <w:rPr>
          <w:rFonts w:asciiTheme="majorHAnsi" w:hAnsiTheme="majorHAnsi" w:cs="Calibri Light"/>
          <w:bCs/>
          <w:i/>
          <w:szCs w:val="22"/>
          <w:lang w:val="sq-AL" w:eastAsia="en-GB"/>
        </w:rPr>
        <w:t>;</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Rikonstruksion i Godines se hidrovorit Droje në vlerën 18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Rikonstruksion i Godines se hidrovorit Balldre në vlerën 15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Vepra e marrjes Kanali Ujites Llakatund, në vlerën 24 milion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Kanali ujites Mjedë Kotërr, në vlerën 6 milion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Rehabilitimi i kanalit ujitës Ksamil, pjesa e I në vlerën 18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Mbrojtje nga Lumi Buna Bahçallëk, Shkodër, në vlerën 6 milion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Rehabilitimi Skem</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s Ujit</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se Radigos-Stranik-Berezeshte në vlerën 21 milionë lekë etj</w:t>
      </w:r>
    </w:p>
    <w:p w:rsidR="00B552CA" w:rsidRPr="00015D40" w:rsidRDefault="00B552CA" w:rsidP="00C71069">
      <w:pPr>
        <w:pStyle w:val="ListParagraph"/>
        <w:numPr>
          <w:ilvl w:val="0"/>
          <w:numId w:val="51"/>
        </w:numPr>
        <w:shd w:val="clear" w:color="auto" w:fill="FFFFFF" w:themeFill="background1"/>
        <w:spacing w:before="0" w:line="240" w:lineRule="auto"/>
        <w:rPr>
          <w:rFonts w:asciiTheme="majorHAnsi" w:hAnsiTheme="majorHAnsi" w:cs="Calibri Light"/>
          <w:bCs/>
          <w:szCs w:val="22"/>
          <w:lang w:val="sq-AL" w:eastAsia="en-GB"/>
        </w:rPr>
      </w:pPr>
      <w:r w:rsidRPr="00015D40">
        <w:rPr>
          <w:rFonts w:asciiTheme="majorHAnsi" w:hAnsiTheme="majorHAnsi" w:cs="Calibri Light"/>
          <w:bCs/>
          <w:szCs w:val="22"/>
          <w:lang w:val="sq-AL" w:eastAsia="en-GB"/>
        </w:rPr>
        <w:t xml:space="preserve">Programi “ </w:t>
      </w:r>
      <w:r w:rsidRPr="00015D40">
        <w:rPr>
          <w:rFonts w:asciiTheme="majorHAnsi" w:hAnsiTheme="majorHAnsi" w:cs="Calibri Light"/>
          <w:b/>
          <w:bCs/>
          <w:i/>
          <w:szCs w:val="22"/>
          <w:lang w:val="sq-AL" w:eastAsia="en-GB"/>
        </w:rPr>
        <w:t>Zhvillimi rural</w:t>
      </w:r>
      <w:r w:rsidRPr="00015D40">
        <w:rPr>
          <w:rFonts w:asciiTheme="majorHAnsi" w:hAnsiTheme="majorHAnsi" w:cs="Calibri Light"/>
          <w:bCs/>
          <w:szCs w:val="22"/>
          <w:lang w:val="sq-AL" w:eastAsia="en-GB"/>
        </w:rPr>
        <w:t>” kanë përfunduar  disa kontrata me vlerë totale 24 milionë lekë konkretisht:</w:t>
      </w:r>
    </w:p>
    <w:p w:rsidR="00B552CA" w:rsidRPr="002617BE" w:rsidRDefault="00B552CA" w:rsidP="00C71069">
      <w:pPr>
        <w:pStyle w:val="ListParagraph"/>
        <w:numPr>
          <w:ilvl w:val="0"/>
          <w:numId w:val="23"/>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Blerje paisjesh elektronike laboratorike etj.</w:t>
      </w:r>
    </w:p>
    <w:p w:rsidR="00B552CA" w:rsidRPr="002617BE" w:rsidRDefault="00B552CA" w:rsidP="00C71069">
      <w:pPr>
        <w:pStyle w:val="ListParagraph"/>
        <w:numPr>
          <w:ilvl w:val="0"/>
          <w:numId w:val="16"/>
        </w:numPr>
        <w:shd w:val="clear" w:color="auto" w:fill="FFFFFF" w:themeFill="background1"/>
        <w:spacing w:before="0" w:line="240" w:lineRule="auto"/>
        <w:rPr>
          <w:rFonts w:asciiTheme="majorHAnsi" w:eastAsiaTheme="minorHAnsi" w:hAnsiTheme="majorHAnsi" w:cs="Calibri Light"/>
          <w:szCs w:val="22"/>
          <w:lang w:val="sq-AL"/>
        </w:rPr>
      </w:pPr>
      <w:r w:rsidRPr="002617BE">
        <w:rPr>
          <w:rFonts w:asciiTheme="majorHAnsi" w:eastAsiaTheme="minorHAnsi" w:hAnsiTheme="majorHAnsi" w:cs="Calibri Light"/>
          <w:szCs w:val="22"/>
          <w:lang w:val="sq-AL"/>
        </w:rPr>
        <w:t xml:space="preserve">Programi </w:t>
      </w:r>
      <w:r w:rsidRPr="002617BE">
        <w:rPr>
          <w:rFonts w:asciiTheme="majorHAnsi" w:eastAsiaTheme="minorHAnsi" w:hAnsiTheme="majorHAnsi" w:cs="Calibri Light"/>
          <w:b/>
          <w:i/>
          <w:szCs w:val="22"/>
          <w:lang w:val="sq-AL"/>
        </w:rPr>
        <w:t>“Mbështetja për peshkimin</w:t>
      </w:r>
      <w:r w:rsidRPr="002617BE">
        <w:rPr>
          <w:rFonts w:asciiTheme="majorHAnsi" w:eastAsiaTheme="minorHAnsi" w:hAnsiTheme="majorHAnsi" w:cs="Calibri Light"/>
          <w:szCs w:val="22"/>
          <w:lang w:val="sq-AL"/>
        </w:rPr>
        <w:t>” kanë përfunduar  kontratat kontratat në vlerën e 215 milionë lekë dhe konkretisht:</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“Nd</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rtimi i tregut t</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xml:space="preserve"> peshkut Vlore” me vlerë  182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Shtim kapacitetesh n</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xml:space="preserve"> Ekonomin</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xml:space="preserve"> e Rritjes s</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xml:space="preserve"> Rasateve t</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xml:space="preserve"> Krapit Zvezd</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Korc</w:t>
      </w:r>
      <w:r>
        <w:rPr>
          <w:rFonts w:asciiTheme="majorHAnsi" w:hAnsiTheme="majorHAnsi" w:cs="Calibri Light"/>
          <w:bCs/>
          <w:i/>
          <w:szCs w:val="22"/>
          <w:lang w:val="sq-AL" w:eastAsia="en-GB"/>
        </w:rPr>
        <w:t>ë</w:t>
      </w:r>
      <w:r w:rsidRPr="002617BE">
        <w:rPr>
          <w:rFonts w:asciiTheme="majorHAnsi" w:hAnsiTheme="majorHAnsi" w:cs="Calibri Light"/>
          <w:bCs/>
          <w:i/>
          <w:szCs w:val="22"/>
          <w:lang w:val="sq-AL" w:eastAsia="en-GB"/>
        </w:rPr>
        <w:t xml:space="preserve"> në vlerën 11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Blerje automjetesh, paisjesh teknologjike, informatike zyre etj në vlerën 20 milionë lekë.</w:t>
      </w:r>
    </w:p>
    <w:p w:rsidR="004E5E8E" w:rsidRDefault="004E5E8E" w:rsidP="004E5E8E">
      <w:pPr>
        <w:pStyle w:val="ListParagraph"/>
        <w:shd w:val="clear" w:color="auto" w:fill="FFFFFF" w:themeFill="background1"/>
        <w:spacing w:before="0" w:line="240" w:lineRule="auto"/>
        <w:rPr>
          <w:rFonts w:asciiTheme="majorHAnsi" w:hAnsiTheme="majorHAnsi" w:cs="Calibri Light"/>
          <w:bCs/>
          <w:i/>
          <w:szCs w:val="22"/>
          <w:lang w:val="sq-AL" w:eastAsia="en-GB"/>
        </w:rPr>
      </w:pPr>
    </w:p>
    <w:p w:rsidR="004E5E8E" w:rsidRPr="004E5E8E" w:rsidRDefault="004E5E8E" w:rsidP="004E5E8E">
      <w:pPr>
        <w:pStyle w:val="ListParagraph"/>
        <w:shd w:val="clear" w:color="auto" w:fill="FFFFFF" w:themeFill="background1"/>
        <w:spacing w:before="0" w:line="240" w:lineRule="auto"/>
        <w:rPr>
          <w:rFonts w:asciiTheme="majorHAnsi" w:hAnsiTheme="majorHAnsi" w:cs="Calibri Light"/>
          <w:bCs/>
          <w:i/>
          <w:szCs w:val="22"/>
          <w:lang w:val="sq-AL" w:eastAsia="en-GB"/>
        </w:rPr>
      </w:pPr>
    </w:p>
    <w:p w:rsidR="00B552CA" w:rsidRPr="002617BE" w:rsidRDefault="00B552CA" w:rsidP="00C71069">
      <w:pPr>
        <w:pStyle w:val="ListParagraph"/>
        <w:numPr>
          <w:ilvl w:val="0"/>
          <w:numId w:val="50"/>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eastAsiaTheme="minorHAnsi" w:hAnsiTheme="majorHAnsi" w:cs="Calibri Light"/>
          <w:szCs w:val="22"/>
          <w:lang w:val="sq-AL"/>
        </w:rPr>
        <w:lastRenderedPageBreak/>
        <w:t>Në programin “</w:t>
      </w:r>
      <w:r w:rsidRPr="002617BE">
        <w:rPr>
          <w:rFonts w:asciiTheme="majorHAnsi" w:eastAsiaTheme="minorHAnsi" w:hAnsiTheme="majorHAnsi" w:cs="Calibri Light"/>
          <w:b/>
          <w:szCs w:val="22"/>
          <w:lang w:val="sq-AL"/>
        </w:rPr>
        <w:t>Këshillimi i Informacionit Bujqësor</w:t>
      </w:r>
      <w:r w:rsidRPr="002617BE">
        <w:rPr>
          <w:rFonts w:asciiTheme="majorHAnsi" w:eastAsiaTheme="minorHAnsi" w:hAnsiTheme="majorHAnsi" w:cs="Calibri Light"/>
          <w:szCs w:val="22"/>
          <w:lang w:val="sq-AL"/>
        </w:rPr>
        <w:t>” kanë përfunduar rreth 10 projekte dhe</w:t>
      </w:r>
      <w:r w:rsidRPr="002617BE">
        <w:rPr>
          <w:rFonts w:asciiTheme="majorHAnsi" w:hAnsiTheme="majorHAnsi" w:cs="Calibri Light"/>
          <w:bCs/>
          <w:szCs w:val="22"/>
          <w:lang w:val="sq-AL" w:eastAsia="en-GB"/>
        </w:rPr>
        <w:t xml:space="preserve"> konkretisht:</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Projektet e zbatimit për modernizimin e kërkimit dhe vlerësimit teknologjik në sektorin e bujqësisë si dhe në sektorin e blegtorisë për Qendrën e Transferimit të Teknologjive Bujqësore Fushë-Krujë në vlerën 320 milionë lekë;</w:t>
      </w:r>
    </w:p>
    <w:p w:rsidR="00B552CA" w:rsidRPr="002617BE" w:rsidRDefault="00B552CA" w:rsidP="00C71069">
      <w:pPr>
        <w:pStyle w:val="ListParagraph"/>
        <w:numPr>
          <w:ilvl w:val="0"/>
          <w:numId w:val="22"/>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Ndërtim serash, rikonstruksione magazinash etj në vlerën 16 milionë lekë.</w:t>
      </w:r>
    </w:p>
    <w:p w:rsidR="00B552CA" w:rsidRPr="002617BE" w:rsidRDefault="00B552CA" w:rsidP="00B552CA">
      <w:pPr>
        <w:shd w:val="clear" w:color="auto" w:fill="FFFFFF" w:themeFill="background1"/>
        <w:spacing w:before="0" w:line="240" w:lineRule="auto"/>
        <w:rPr>
          <w:rFonts w:cs="Calibri"/>
          <w:bCs/>
          <w:lang w:val="sq-AL" w:eastAsia="en-GB"/>
        </w:rPr>
      </w:pPr>
    </w:p>
    <w:p w:rsidR="00A57647" w:rsidRDefault="00A57647" w:rsidP="00FC729E">
      <w:pPr>
        <w:shd w:val="clear" w:color="auto" w:fill="FFFFFF" w:themeFill="background1"/>
        <w:spacing w:before="0"/>
        <w:ind w:left="720"/>
        <w:rPr>
          <w:rFonts w:cs="Calibri"/>
          <w:bCs/>
          <w:lang w:val="sq-AL" w:eastAsia="en-GB"/>
        </w:rPr>
      </w:pPr>
    </w:p>
    <w:p w:rsidR="007B7B50" w:rsidRPr="00476D2E" w:rsidRDefault="007B7B50" w:rsidP="00FC729E">
      <w:pPr>
        <w:pStyle w:val="fiskale3"/>
        <w:rPr>
          <w:rFonts w:ascii="Calibri" w:hAnsi="Calibri" w:cs="Calibri"/>
          <w:b/>
        </w:rPr>
      </w:pPr>
      <w:bookmarkStart w:id="265" w:name="_Toc10033297"/>
      <w:bookmarkStart w:id="266" w:name="_Toc10721433"/>
      <w:bookmarkStart w:id="267" w:name="_Toc104980363"/>
      <w:r w:rsidRPr="00476D2E">
        <w:rPr>
          <w:rFonts w:ascii="Calibri" w:hAnsi="Calibri" w:cs="Calibri"/>
          <w:b/>
        </w:rPr>
        <w:t>Infrastruktura dhe Energjia</w:t>
      </w:r>
      <w:bookmarkEnd w:id="265"/>
      <w:bookmarkEnd w:id="266"/>
      <w:bookmarkEnd w:id="267"/>
    </w:p>
    <w:p w:rsidR="007B7B50" w:rsidRPr="00476D2E" w:rsidRDefault="007B7B50" w:rsidP="00FC729E">
      <w:pPr>
        <w:rPr>
          <w:rFonts w:cs="Calibri"/>
          <w:color w:val="000000"/>
          <w:lang w:val="sq-AL"/>
        </w:rPr>
      </w:pPr>
      <w:r w:rsidRPr="00476D2E">
        <w:rPr>
          <w:rFonts w:cs="Calibri"/>
          <w:color w:val="000000"/>
          <w:lang w:val="sq-AL"/>
        </w:rPr>
        <w:t>Performanca e treguesve buxhetorë për programet kryesore të Ministrisë së Infrastrukturës dhe Energjisë, paraqitet si më poshtë:</w:t>
      </w:r>
    </w:p>
    <w:p w:rsidR="007B7B50" w:rsidRPr="00476D2E" w:rsidRDefault="007B7B50" w:rsidP="00FC729E">
      <w:pPr>
        <w:rPr>
          <w:rFonts w:cs="Calibri"/>
          <w:iCs/>
          <w:color w:val="000000"/>
          <w:sz w:val="20"/>
          <w:szCs w:val="18"/>
          <w:u w:val="single"/>
          <w:lang w:val="sq-AL"/>
        </w:rPr>
      </w:pPr>
      <w:bookmarkStart w:id="268" w:name="_Toc136526354"/>
      <w:r w:rsidRPr="00476D2E">
        <w:rPr>
          <w:rFonts w:cs="Calibri"/>
          <w:i/>
          <w:iCs/>
          <w:color w:val="1F497D"/>
          <w:sz w:val="18"/>
          <w:szCs w:val="18"/>
          <w:lang w:val="sq-AL"/>
        </w:rPr>
        <w:t xml:space="preserve">Tabela </w:t>
      </w:r>
      <w:r w:rsidRPr="00476D2E">
        <w:rPr>
          <w:rFonts w:cs="Calibri"/>
          <w:i/>
          <w:iCs/>
          <w:color w:val="1F497D"/>
          <w:sz w:val="18"/>
          <w:szCs w:val="18"/>
          <w:lang w:val="sq-AL"/>
        </w:rPr>
        <w:fldChar w:fldCharType="begin"/>
      </w:r>
      <w:r w:rsidRPr="00476D2E">
        <w:rPr>
          <w:rFonts w:cs="Calibri"/>
          <w:i/>
          <w:iCs/>
          <w:color w:val="1F497D"/>
          <w:sz w:val="18"/>
          <w:szCs w:val="18"/>
          <w:lang w:val="sq-AL"/>
        </w:rPr>
        <w:instrText xml:space="preserve"> SEQ Tabela \* ARABIC </w:instrText>
      </w:r>
      <w:r w:rsidRPr="00476D2E">
        <w:rPr>
          <w:rFonts w:cs="Calibri"/>
          <w:i/>
          <w:iCs/>
          <w:color w:val="1F497D"/>
          <w:sz w:val="18"/>
          <w:szCs w:val="18"/>
          <w:lang w:val="sq-AL"/>
        </w:rPr>
        <w:fldChar w:fldCharType="separate"/>
      </w:r>
      <w:r w:rsidR="008C3E07">
        <w:rPr>
          <w:rFonts w:cs="Calibri"/>
          <w:i/>
          <w:iCs/>
          <w:noProof/>
          <w:color w:val="1F497D"/>
          <w:sz w:val="18"/>
          <w:szCs w:val="18"/>
          <w:lang w:val="sq-AL"/>
        </w:rPr>
        <w:t>28</w:t>
      </w:r>
      <w:r w:rsidRPr="00476D2E">
        <w:rPr>
          <w:rFonts w:cs="Calibri"/>
          <w:i/>
          <w:iCs/>
          <w:noProof/>
          <w:color w:val="1F497D"/>
          <w:sz w:val="18"/>
          <w:szCs w:val="18"/>
          <w:lang w:val="sq-AL"/>
        </w:rPr>
        <w:fldChar w:fldCharType="end"/>
      </w:r>
      <w:r w:rsidRPr="00476D2E">
        <w:rPr>
          <w:rFonts w:cs="Calibri"/>
          <w:i/>
          <w:iCs/>
          <w:color w:val="1F497D"/>
          <w:sz w:val="18"/>
          <w:szCs w:val="18"/>
          <w:lang w:val="sq-AL"/>
        </w:rPr>
        <w:t xml:space="preserve"> Realizimi i buxhetit 202</w:t>
      </w:r>
      <w:r w:rsidR="00EC35CB">
        <w:rPr>
          <w:rFonts w:cs="Calibri"/>
          <w:i/>
          <w:iCs/>
          <w:color w:val="1F497D"/>
          <w:sz w:val="18"/>
          <w:szCs w:val="18"/>
          <w:lang w:val="sq-AL"/>
        </w:rPr>
        <w:t>2</w:t>
      </w:r>
      <w:r w:rsidRPr="00476D2E">
        <w:rPr>
          <w:rFonts w:cs="Calibri"/>
          <w:i/>
          <w:iCs/>
          <w:color w:val="1F497D"/>
          <w:sz w:val="18"/>
          <w:szCs w:val="18"/>
          <w:lang w:val="sq-AL"/>
        </w:rPr>
        <w:t xml:space="preserve"> për Ministrinë e Infrastrukturës dhe Energjisë (në mijë lekë)</w:t>
      </w:r>
      <w:bookmarkEnd w:id="268"/>
    </w:p>
    <w:tbl>
      <w:tblPr>
        <w:tblW w:w="11178" w:type="dxa"/>
        <w:tblInd w:w="-639" w:type="dxa"/>
        <w:tblLook w:val="04A0" w:firstRow="1" w:lastRow="0" w:firstColumn="1" w:lastColumn="0" w:noHBand="0" w:noVBand="1"/>
      </w:tblPr>
      <w:tblGrid>
        <w:gridCol w:w="2250"/>
        <w:gridCol w:w="987"/>
        <w:gridCol w:w="948"/>
        <w:gridCol w:w="1035"/>
        <w:gridCol w:w="1080"/>
        <w:gridCol w:w="990"/>
        <w:gridCol w:w="990"/>
        <w:gridCol w:w="810"/>
        <w:gridCol w:w="630"/>
        <w:gridCol w:w="721"/>
        <w:gridCol w:w="737"/>
      </w:tblGrid>
      <w:tr w:rsidR="00EC35CB" w:rsidRPr="00EC35CB" w:rsidTr="006E5E97">
        <w:trPr>
          <w:trHeight w:val="705"/>
        </w:trPr>
        <w:tc>
          <w:tcPr>
            <w:tcW w:w="2250" w:type="dxa"/>
            <w:vMerge w:val="restart"/>
            <w:tcBorders>
              <w:top w:val="nil"/>
              <w:left w:val="nil"/>
              <w:bottom w:val="nil"/>
              <w:right w:val="nil"/>
            </w:tcBorders>
            <w:shd w:val="clear" w:color="000000" w:fill="366092"/>
            <w:noWrap/>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Programi buxhetor</w:t>
            </w:r>
          </w:p>
        </w:tc>
        <w:tc>
          <w:tcPr>
            <w:tcW w:w="1935"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Plani fillestar 2022</w:t>
            </w:r>
          </w:p>
        </w:tc>
        <w:tc>
          <w:tcPr>
            <w:tcW w:w="2115"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Plani i rishikuar 2022</w:t>
            </w:r>
          </w:p>
        </w:tc>
        <w:tc>
          <w:tcPr>
            <w:tcW w:w="198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Fakti 2022</w:t>
            </w:r>
          </w:p>
        </w:tc>
        <w:tc>
          <w:tcPr>
            <w:tcW w:w="144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color w:val="FFFFFF"/>
                <w:sz w:val="16"/>
                <w:szCs w:val="18"/>
              </w:rPr>
            </w:pPr>
            <w:r w:rsidRPr="00EC35CB">
              <w:rPr>
                <w:rFonts w:asciiTheme="majorHAnsi" w:hAnsiTheme="majorHAnsi" w:cs="Calibri"/>
                <w:color w:val="FFFFFF" w:themeColor="background1"/>
                <w:sz w:val="16"/>
                <w:szCs w:val="18"/>
              </w:rPr>
              <w:t>Diferenca në % me planin fillestar</w:t>
            </w:r>
          </w:p>
        </w:tc>
        <w:tc>
          <w:tcPr>
            <w:tcW w:w="1458"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color w:val="FFFFFF"/>
                <w:sz w:val="16"/>
                <w:szCs w:val="18"/>
              </w:rPr>
            </w:pPr>
            <w:r w:rsidRPr="00EC35CB">
              <w:rPr>
                <w:rFonts w:asciiTheme="majorHAnsi" w:hAnsiTheme="majorHAnsi" w:cs="Calibri"/>
                <w:color w:val="FFFFFF" w:themeColor="background1"/>
                <w:sz w:val="16"/>
                <w:szCs w:val="18"/>
              </w:rPr>
              <w:t>Diferenca në % me planin e rishikuar</w:t>
            </w:r>
          </w:p>
        </w:tc>
      </w:tr>
      <w:tr w:rsidR="00EC35CB" w:rsidRPr="00EC35CB" w:rsidTr="006E5E97">
        <w:trPr>
          <w:trHeight w:val="330"/>
        </w:trPr>
        <w:tc>
          <w:tcPr>
            <w:tcW w:w="2250" w:type="dxa"/>
            <w:vMerge/>
            <w:tcBorders>
              <w:top w:val="nil"/>
              <w:left w:val="nil"/>
              <w:bottom w:val="nil"/>
              <w:right w:val="nil"/>
            </w:tcBorders>
            <w:vAlign w:val="center"/>
            <w:hideMark/>
          </w:tcPr>
          <w:p w:rsidR="00EC35CB" w:rsidRPr="00EC35CB" w:rsidRDefault="00EC35CB" w:rsidP="006E5E97">
            <w:pPr>
              <w:spacing w:before="0" w:line="240" w:lineRule="auto"/>
              <w:jc w:val="left"/>
              <w:rPr>
                <w:rFonts w:asciiTheme="majorHAnsi" w:hAnsiTheme="majorHAnsi"/>
                <w:b/>
                <w:bCs/>
                <w:color w:val="FFFFFF"/>
                <w:sz w:val="16"/>
                <w:szCs w:val="18"/>
              </w:rPr>
            </w:pPr>
          </w:p>
        </w:tc>
        <w:tc>
          <w:tcPr>
            <w:tcW w:w="987" w:type="dxa"/>
            <w:tcBorders>
              <w:top w:val="nil"/>
              <w:left w:val="nil"/>
              <w:bottom w:val="single" w:sz="8" w:space="0" w:color="B8CCE4"/>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Korrente</w:t>
            </w:r>
          </w:p>
        </w:tc>
        <w:tc>
          <w:tcPr>
            <w:tcW w:w="948" w:type="dxa"/>
            <w:tcBorders>
              <w:top w:val="nil"/>
              <w:left w:val="nil"/>
              <w:bottom w:val="single" w:sz="8" w:space="0" w:color="B8CCE4"/>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Investime</w:t>
            </w:r>
          </w:p>
        </w:tc>
        <w:tc>
          <w:tcPr>
            <w:tcW w:w="1035" w:type="dxa"/>
            <w:tcBorders>
              <w:top w:val="nil"/>
              <w:left w:val="nil"/>
              <w:bottom w:val="single" w:sz="8" w:space="0" w:color="B8CCE4"/>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Korrente</w:t>
            </w:r>
          </w:p>
        </w:tc>
        <w:tc>
          <w:tcPr>
            <w:tcW w:w="1080" w:type="dxa"/>
            <w:tcBorders>
              <w:top w:val="nil"/>
              <w:left w:val="nil"/>
              <w:bottom w:val="single" w:sz="8" w:space="0" w:color="B8CCE4"/>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Investime</w:t>
            </w:r>
          </w:p>
        </w:tc>
        <w:tc>
          <w:tcPr>
            <w:tcW w:w="990" w:type="dxa"/>
            <w:tcBorders>
              <w:top w:val="nil"/>
              <w:left w:val="nil"/>
              <w:bottom w:val="single" w:sz="8" w:space="0" w:color="B8CCE4"/>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Korrente</w:t>
            </w:r>
          </w:p>
        </w:tc>
        <w:tc>
          <w:tcPr>
            <w:tcW w:w="990" w:type="dxa"/>
            <w:tcBorders>
              <w:top w:val="nil"/>
              <w:left w:val="nil"/>
              <w:bottom w:val="single" w:sz="8" w:space="0" w:color="B8CCE4"/>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Investime</w:t>
            </w:r>
          </w:p>
        </w:tc>
        <w:tc>
          <w:tcPr>
            <w:tcW w:w="810" w:type="dxa"/>
            <w:tcBorders>
              <w:top w:val="nil"/>
              <w:left w:val="nil"/>
              <w:bottom w:val="single" w:sz="8" w:space="0" w:color="B8CCE4"/>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Korr.</w:t>
            </w:r>
          </w:p>
        </w:tc>
        <w:tc>
          <w:tcPr>
            <w:tcW w:w="630" w:type="dxa"/>
            <w:tcBorders>
              <w:top w:val="nil"/>
              <w:left w:val="nil"/>
              <w:bottom w:val="single" w:sz="8" w:space="0" w:color="B8CCE4"/>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color w:val="FFFFFF"/>
                <w:sz w:val="16"/>
                <w:szCs w:val="18"/>
              </w:rPr>
            </w:pPr>
            <w:r w:rsidRPr="00EC35CB">
              <w:rPr>
                <w:rFonts w:asciiTheme="majorHAnsi" w:hAnsiTheme="majorHAnsi"/>
                <w:color w:val="FFFFFF"/>
                <w:sz w:val="16"/>
                <w:szCs w:val="18"/>
                <w:lang w:val="sq-AL"/>
              </w:rPr>
              <w:t>Inv.</w:t>
            </w:r>
          </w:p>
        </w:tc>
        <w:tc>
          <w:tcPr>
            <w:tcW w:w="721" w:type="dxa"/>
            <w:tcBorders>
              <w:top w:val="nil"/>
              <w:left w:val="nil"/>
              <w:bottom w:val="single" w:sz="8" w:space="0" w:color="B8CCE4"/>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Korr.</w:t>
            </w:r>
          </w:p>
        </w:tc>
        <w:tc>
          <w:tcPr>
            <w:tcW w:w="737" w:type="dxa"/>
            <w:tcBorders>
              <w:top w:val="nil"/>
              <w:left w:val="nil"/>
              <w:bottom w:val="single" w:sz="8" w:space="0" w:color="B8CCE4"/>
              <w:right w:val="single" w:sz="8" w:space="0" w:color="B8CCE4"/>
            </w:tcBorders>
            <w:shd w:val="clear" w:color="000000" w:fill="365F91"/>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lang w:val="sq-AL"/>
              </w:rPr>
              <w:t>Inv.</w:t>
            </w:r>
          </w:p>
        </w:tc>
      </w:tr>
      <w:tr w:rsidR="00EC35CB" w:rsidRPr="00EC35CB" w:rsidTr="006E5E97">
        <w:trPr>
          <w:trHeight w:val="315"/>
        </w:trPr>
        <w:tc>
          <w:tcPr>
            <w:tcW w:w="2250" w:type="dxa"/>
            <w:tcBorders>
              <w:top w:val="single" w:sz="8" w:space="0" w:color="BFBFBF"/>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Plan. men admin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510,224</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13,000</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465,763</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79,755</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465,664</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69,953</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lang w:val="sq-AL"/>
              </w:rPr>
              <w:t>91%</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lang w:val="sq-AL"/>
              </w:rPr>
              <w:t>538%</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100%</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88%</w:t>
            </w:r>
          </w:p>
        </w:tc>
      </w:tr>
      <w:tr w:rsidR="00EC35CB" w:rsidRPr="00EC35CB" w:rsidTr="006E5E97">
        <w:trPr>
          <w:trHeight w:val="31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Transporti rrugor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2,819,136</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21,202,019</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3,385,844</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23,385,296</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3,375,850</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24,280,410</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lang w:val="sq-AL"/>
              </w:rPr>
              <w:t>120%</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lang w:val="sq-AL"/>
              </w:rPr>
              <w:t>115%</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100%</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104%</w:t>
            </w:r>
          </w:p>
        </w:tc>
      </w:tr>
      <w:tr w:rsidR="00EC35CB" w:rsidRPr="00EC35CB" w:rsidTr="006E5E97">
        <w:trPr>
          <w:trHeight w:val="31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Transporti Hekurudhor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414,000</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2,358,349</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516,201</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2,095,349</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515,214</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999,409</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124%</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42%</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100%</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48%</w:t>
            </w:r>
          </w:p>
        </w:tc>
      </w:tr>
      <w:tr w:rsidR="00EC35CB" w:rsidRPr="00EC35CB" w:rsidTr="006E5E97">
        <w:trPr>
          <w:trHeight w:val="31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Transporti Detar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109,400</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90,000</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99,573</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43,000</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97,737</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37,253</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89%</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41%</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98%</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87%</w:t>
            </w:r>
          </w:p>
        </w:tc>
      </w:tr>
      <w:tr w:rsidR="00EC35CB" w:rsidRPr="00EC35CB" w:rsidTr="006E5E97">
        <w:trPr>
          <w:trHeight w:val="31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Transporti Ajror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21,112</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71,200</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2,010,793</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76,300</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2,009,031</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76,232</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9516%</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107%</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100%</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100%</w:t>
            </w:r>
          </w:p>
        </w:tc>
      </w:tr>
      <w:tr w:rsidR="00EC35CB" w:rsidRPr="00EC35CB" w:rsidTr="006E5E97">
        <w:trPr>
          <w:trHeight w:val="49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Mbështetje për rrjetet e komunikacionit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0</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24,000</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0</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1,000</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0</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0</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lang w:val="sq-AL"/>
              </w:rPr>
              <w:t>-</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lang w:val="sq-AL"/>
              </w:rPr>
              <w:t>0%</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0%</w:t>
            </w:r>
          </w:p>
        </w:tc>
      </w:tr>
      <w:tr w:rsidR="00EC35CB" w:rsidRPr="00EC35CB" w:rsidTr="006E5E97">
        <w:trPr>
          <w:trHeight w:val="31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Furniz me Ujë dhe kanaliz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454,400</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13,787,459</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435,418</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10,172,459</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425,898</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9,755,504</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94%</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71%</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98%</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96%</w:t>
            </w:r>
          </w:p>
        </w:tc>
      </w:tr>
      <w:tr w:rsidR="00EC35CB" w:rsidRPr="00EC35CB" w:rsidTr="006E5E97">
        <w:trPr>
          <w:trHeight w:val="31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Menaxhimi i Mbetjeve urbane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200,000</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1,543,042</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180,000</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1,037,042</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179,722</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1,208,728</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90%</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78%</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100%</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117%</w:t>
            </w:r>
          </w:p>
        </w:tc>
      </w:tr>
      <w:tr w:rsidR="00EC35CB" w:rsidRPr="00EC35CB" w:rsidTr="006E5E97">
        <w:trPr>
          <w:trHeight w:val="31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Planifikimi Urban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68,343</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94,000</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56,402</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45,000</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54,580</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42,055</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80%</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45%</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97%</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93%</w:t>
            </w:r>
          </w:p>
        </w:tc>
      </w:tr>
      <w:tr w:rsidR="00EC35CB" w:rsidRPr="00EC35CB" w:rsidTr="006E5E97">
        <w:trPr>
          <w:trHeight w:val="31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Mbështetje për Energjinë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55,495</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2,980,000</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127,991</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2,494,228</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126,494</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892,037</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228%</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30%</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99%</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36%</w:t>
            </w:r>
          </w:p>
        </w:tc>
      </w:tr>
      <w:tr w:rsidR="00EC35CB" w:rsidRPr="00EC35CB" w:rsidTr="006E5E97">
        <w:trPr>
          <w:trHeight w:val="31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Mbësh për Bur Natyrore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224,385</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91,000</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264,141</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138,000</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261,416</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136,894</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117%</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150%</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99%</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bCs/>
                <w:color w:val="000000"/>
                <w:sz w:val="16"/>
                <w:szCs w:val="18"/>
              </w:rPr>
              <w:t>99%</w:t>
            </w:r>
          </w:p>
        </w:tc>
      </w:tr>
      <w:tr w:rsidR="00EC35CB" w:rsidRPr="00EC35CB" w:rsidTr="006E5E97">
        <w:trPr>
          <w:trHeight w:val="315"/>
        </w:trPr>
        <w:tc>
          <w:tcPr>
            <w:tcW w:w="2250" w:type="dxa"/>
            <w:tcBorders>
              <w:top w:val="nil"/>
              <w:left w:val="single" w:sz="8" w:space="0" w:color="BFBFBF"/>
              <w:bottom w:val="single" w:sz="8" w:space="0" w:color="BFBFBF"/>
              <w:right w:val="single" w:sz="8" w:space="0" w:color="BFBFBF"/>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 xml:space="preserve">Mbështetje për Industrinë </w:t>
            </w:r>
          </w:p>
        </w:tc>
        <w:tc>
          <w:tcPr>
            <w:tcW w:w="98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277,160</w:t>
            </w:r>
          </w:p>
        </w:tc>
        <w:tc>
          <w:tcPr>
            <w:tcW w:w="948"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64,000</w:t>
            </w:r>
          </w:p>
        </w:tc>
        <w:tc>
          <w:tcPr>
            <w:tcW w:w="1035"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267,616</w:t>
            </w:r>
          </w:p>
        </w:tc>
        <w:tc>
          <w:tcPr>
            <w:tcW w:w="108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58,000</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267,596</w:t>
            </w:r>
          </w:p>
        </w:tc>
        <w:tc>
          <w:tcPr>
            <w:tcW w:w="99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50,807</w:t>
            </w:r>
          </w:p>
        </w:tc>
        <w:tc>
          <w:tcPr>
            <w:tcW w:w="81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97%</w:t>
            </w:r>
          </w:p>
        </w:tc>
        <w:tc>
          <w:tcPr>
            <w:tcW w:w="630"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79%</w:t>
            </w:r>
          </w:p>
        </w:tc>
        <w:tc>
          <w:tcPr>
            <w:tcW w:w="721"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olor w:val="000000"/>
                <w:sz w:val="16"/>
                <w:szCs w:val="18"/>
              </w:rPr>
              <w:t>100%</w:t>
            </w:r>
          </w:p>
        </w:tc>
        <w:tc>
          <w:tcPr>
            <w:tcW w:w="737" w:type="dxa"/>
            <w:tcBorders>
              <w:top w:val="nil"/>
              <w:left w:val="nil"/>
              <w:bottom w:val="single" w:sz="8" w:space="0" w:color="B8CCE4"/>
              <w:right w:val="single" w:sz="8" w:space="0" w:color="B8CCE4"/>
            </w:tcBorders>
            <w:shd w:val="clear" w:color="auto" w:fill="auto"/>
            <w:vAlign w:val="center"/>
            <w:hideMark/>
          </w:tcPr>
          <w:p w:rsidR="00EC35CB" w:rsidRPr="00EC35CB" w:rsidRDefault="00EC35CB" w:rsidP="006E5E97">
            <w:pPr>
              <w:spacing w:before="0" w:line="240" w:lineRule="auto"/>
              <w:jc w:val="center"/>
              <w:rPr>
                <w:rFonts w:asciiTheme="majorHAnsi" w:hAnsiTheme="majorHAnsi"/>
                <w:color w:val="000000"/>
                <w:sz w:val="16"/>
                <w:szCs w:val="18"/>
              </w:rPr>
            </w:pPr>
            <w:r w:rsidRPr="00EC35CB">
              <w:rPr>
                <w:rFonts w:asciiTheme="majorHAnsi" w:hAnsiTheme="majorHAnsi" w:cs="Calibri"/>
                <w:color w:val="000000"/>
                <w:sz w:val="16"/>
                <w:szCs w:val="18"/>
              </w:rPr>
              <w:t>88%</w:t>
            </w:r>
          </w:p>
        </w:tc>
      </w:tr>
      <w:tr w:rsidR="00EC35CB" w:rsidRPr="00EC35CB" w:rsidTr="006E5E97">
        <w:trPr>
          <w:trHeight w:val="315"/>
        </w:trPr>
        <w:tc>
          <w:tcPr>
            <w:tcW w:w="2250"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cs="Calibri"/>
                <w:b/>
                <w:bCs/>
                <w:color w:val="FFFFFF"/>
                <w:sz w:val="16"/>
                <w:szCs w:val="18"/>
              </w:rPr>
              <w:t>Gjithsej</w:t>
            </w:r>
          </w:p>
        </w:tc>
        <w:tc>
          <w:tcPr>
            <w:tcW w:w="987"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5,153,656</w:t>
            </w:r>
          </w:p>
        </w:tc>
        <w:tc>
          <w:tcPr>
            <w:tcW w:w="948"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42,318,069</w:t>
            </w:r>
          </w:p>
        </w:tc>
        <w:tc>
          <w:tcPr>
            <w:tcW w:w="1035"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7,809,742</w:t>
            </w:r>
          </w:p>
        </w:tc>
        <w:tc>
          <w:tcPr>
            <w:tcW w:w="1080"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39,625,429</w:t>
            </w:r>
          </w:p>
        </w:tc>
        <w:tc>
          <w:tcPr>
            <w:tcW w:w="990"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7,779,201</w:t>
            </w:r>
          </w:p>
        </w:tc>
        <w:tc>
          <w:tcPr>
            <w:tcW w:w="990"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37,549,283</w:t>
            </w:r>
          </w:p>
        </w:tc>
        <w:tc>
          <w:tcPr>
            <w:tcW w:w="810"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151%</w:t>
            </w:r>
          </w:p>
        </w:tc>
        <w:tc>
          <w:tcPr>
            <w:tcW w:w="630"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89%</w:t>
            </w:r>
          </w:p>
        </w:tc>
        <w:tc>
          <w:tcPr>
            <w:tcW w:w="721"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100%</w:t>
            </w:r>
          </w:p>
        </w:tc>
        <w:tc>
          <w:tcPr>
            <w:tcW w:w="737" w:type="dxa"/>
            <w:tcBorders>
              <w:top w:val="nil"/>
              <w:left w:val="nil"/>
              <w:bottom w:val="single" w:sz="8" w:space="0" w:color="B8CCE4"/>
              <w:right w:val="single" w:sz="8" w:space="0" w:color="B8CCE4"/>
            </w:tcBorders>
            <w:shd w:val="clear" w:color="000000" w:fill="366092"/>
            <w:vAlign w:val="center"/>
            <w:hideMark/>
          </w:tcPr>
          <w:p w:rsidR="00EC35CB" w:rsidRPr="00EC35CB" w:rsidRDefault="00EC35CB" w:rsidP="006E5E97">
            <w:pPr>
              <w:spacing w:before="0" w:line="240" w:lineRule="auto"/>
              <w:jc w:val="center"/>
              <w:rPr>
                <w:rFonts w:asciiTheme="majorHAnsi" w:hAnsiTheme="majorHAnsi"/>
                <w:b/>
                <w:bCs/>
                <w:color w:val="FFFFFF"/>
                <w:sz w:val="16"/>
                <w:szCs w:val="18"/>
              </w:rPr>
            </w:pPr>
            <w:r w:rsidRPr="00EC35CB">
              <w:rPr>
                <w:rFonts w:asciiTheme="majorHAnsi" w:hAnsiTheme="majorHAnsi"/>
                <w:b/>
                <w:bCs/>
                <w:color w:val="FFFFFF"/>
                <w:sz w:val="16"/>
                <w:szCs w:val="18"/>
              </w:rPr>
              <w:t>95%</w:t>
            </w:r>
          </w:p>
        </w:tc>
      </w:tr>
    </w:tbl>
    <w:p w:rsidR="007B7B50" w:rsidRPr="00476D2E" w:rsidRDefault="007B7B50" w:rsidP="00FC729E">
      <w:pPr>
        <w:jc w:val="center"/>
        <w:rPr>
          <w:rFonts w:cs="Calibri"/>
          <w:b/>
          <w:bCs/>
          <w:i/>
          <w:iCs/>
          <w:sz w:val="2"/>
          <w:lang w:val="sq-AL"/>
        </w:rPr>
      </w:pPr>
    </w:p>
    <w:p w:rsidR="00EC35CB" w:rsidRPr="00F95C93" w:rsidRDefault="00EC35CB" w:rsidP="00EC35CB">
      <w:pPr>
        <w:spacing w:line="240" w:lineRule="auto"/>
        <w:rPr>
          <w:rFonts w:cs="Calibri"/>
          <w:color w:val="000000"/>
          <w:spacing w:val="11"/>
          <w:szCs w:val="22"/>
        </w:rPr>
      </w:pPr>
      <w:r w:rsidRPr="00F95C93">
        <w:rPr>
          <w:rFonts w:cs="Calibri"/>
          <w:spacing w:val="-2"/>
          <w:szCs w:val="22"/>
        </w:rPr>
        <w:t>B</w:t>
      </w:r>
      <w:r w:rsidRPr="00F95C93">
        <w:rPr>
          <w:rFonts w:cs="Calibri"/>
          <w:szCs w:val="22"/>
        </w:rPr>
        <w:t>u</w:t>
      </w:r>
      <w:r w:rsidRPr="00F95C93">
        <w:rPr>
          <w:rFonts w:cs="Calibri"/>
          <w:spacing w:val="2"/>
          <w:szCs w:val="22"/>
        </w:rPr>
        <w:t>x</w:t>
      </w:r>
      <w:r w:rsidRPr="00F95C93">
        <w:rPr>
          <w:rFonts w:cs="Calibri"/>
          <w:szCs w:val="22"/>
        </w:rPr>
        <w:t>h</w:t>
      </w:r>
      <w:r w:rsidRPr="00F95C93">
        <w:rPr>
          <w:rFonts w:cs="Calibri"/>
          <w:spacing w:val="-1"/>
          <w:szCs w:val="22"/>
        </w:rPr>
        <w:t>e</w:t>
      </w:r>
      <w:r w:rsidRPr="00F95C93">
        <w:rPr>
          <w:rFonts w:cs="Calibri"/>
          <w:szCs w:val="22"/>
        </w:rPr>
        <w:t>ti</w:t>
      </w:r>
      <w:r>
        <w:rPr>
          <w:rFonts w:cs="Calibri"/>
          <w:szCs w:val="22"/>
        </w:rPr>
        <w:t xml:space="preserve"> </w:t>
      </w:r>
      <w:r w:rsidRPr="00F95C93">
        <w:rPr>
          <w:rFonts w:cs="Calibri"/>
          <w:szCs w:val="22"/>
        </w:rPr>
        <w:t xml:space="preserve">vjetor fillestar i Ministrisë së Infrastrukturës dhe Energjisë fillestar u rishikua në ulje të lehtë gjatë vitit 2022 nëpërmjet akteve normative për rishikimin e buxhetit, duke pakësuar fondet e parashikuara për tu mos u realizuar deri në fund të vitit buxhetor. Realizimi faktik ishte </w:t>
      </w:r>
      <w:r w:rsidRPr="00F95C93">
        <w:rPr>
          <w:rFonts w:cs="Calibri"/>
          <w:color w:val="000000"/>
          <w:szCs w:val="22"/>
        </w:rPr>
        <w:t>45.3 miliard</w:t>
      </w:r>
      <w:r w:rsidRPr="00F95C93">
        <w:rPr>
          <w:rFonts w:cs="Calibri"/>
          <w:szCs w:val="22"/>
        </w:rPr>
        <w:t xml:space="preserve"> lekë, ose 28% më pak se </w:t>
      </w:r>
      <w:r>
        <w:rPr>
          <w:rFonts w:cs="Calibri"/>
          <w:szCs w:val="22"/>
        </w:rPr>
        <w:t>2021</w:t>
      </w:r>
      <w:r w:rsidRPr="00F95C93">
        <w:rPr>
          <w:rFonts w:cs="Calibri"/>
          <w:szCs w:val="22"/>
        </w:rPr>
        <w:t>.</w:t>
      </w:r>
    </w:p>
    <w:p w:rsidR="00EC35CB" w:rsidRPr="00F95C93" w:rsidRDefault="00EC35CB" w:rsidP="00EC35CB">
      <w:pPr>
        <w:spacing w:line="240" w:lineRule="auto"/>
        <w:rPr>
          <w:rFonts w:cs="Calibri"/>
          <w:lang w:val="sq-AL"/>
        </w:rPr>
      </w:pPr>
      <w:r w:rsidRPr="00F95C93">
        <w:rPr>
          <w:rFonts w:cs="Calibri"/>
          <w:b/>
          <w:lang w:val="sq-AL"/>
        </w:rPr>
        <w:t>Në programin “Transporti Rrugor”</w:t>
      </w:r>
      <w:r w:rsidRPr="00F95C93">
        <w:rPr>
          <w:rFonts w:cs="Calibri"/>
          <w:lang w:val="sq-AL"/>
        </w:rPr>
        <w:t xml:space="preserve"> ka vijuar puna për zhvillimin më tej të sistemit kombëtar të transportit, përmirësimin e ndjeshëm të qëndrueshmërisë, ndërlidhjes, ndërveprimit dhe integrimin e tij me gjerë, me sistemin ndërkombëtar dhe evropian të transportit dhe rajonin si dhe mbulimin me financim dhe zgjerimin, rritjen e standarteve dhe mirëmbajtjen e rrjetit kombëtar të rrugëve, me synim krijimin e një transporti të qëndrueshëm. </w:t>
      </w:r>
      <w:r w:rsidRPr="00F95C93">
        <w:rPr>
          <w:lang w:val="sq-AL"/>
        </w:rPr>
        <w:t>Në këtë kuadër, janë realizuar objektivat dhe produktet si vijon:</w:t>
      </w:r>
    </w:p>
    <w:p w:rsidR="00EC35CB" w:rsidRPr="00F95C93" w:rsidRDefault="00EC35CB" w:rsidP="00EC35CB">
      <w:pPr>
        <w:spacing w:line="240" w:lineRule="auto"/>
        <w:rPr>
          <w:lang w:val="sq-AL"/>
        </w:rPr>
      </w:pPr>
      <w:r w:rsidRPr="00F95C93">
        <w:rPr>
          <w:lang w:val="sq-AL"/>
        </w:rPr>
        <w:t>Produkti “</w:t>
      </w:r>
      <w:r w:rsidRPr="00F95C93">
        <w:rPr>
          <w:i/>
          <w:lang w:val="sq-AL"/>
        </w:rPr>
        <w:t>Ndërtim dhe rehabilitim sipas standarteve të projektimit, rrugë të rrjetit kombëtar</w:t>
      </w:r>
      <w:r w:rsidRPr="00F95C93">
        <w:rPr>
          <w:lang w:val="sq-AL"/>
        </w:rPr>
        <w:t xml:space="preserve">”, janë realizuar fondet në masën 100% të planit  vjetor të akorduar për vitin 2022. Disa nga produktet kryesore të realizuara përgjatë periudhës janë:   </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szCs w:val="22"/>
          <w:lang w:val="sq-AL" w:eastAsia="en-GB"/>
        </w:rPr>
      </w:pPr>
      <w:r w:rsidRPr="00F95C93">
        <w:rPr>
          <w:rFonts w:cs="Calibri Light"/>
          <w:bCs/>
          <w:szCs w:val="22"/>
          <w:lang w:val="sq-AL" w:eastAsia="en-GB"/>
        </w:rPr>
        <w:t>Tipi i rrugës A me katër korsi (2x2) sipas standarteve të reja, për të cilin fondet e planifikuara për vitin 2022 paraqiten të realizuar në masën 2.8 miliard lekë apo 100% e fondeve të planifikuara për këtë qëllim. Disa nga objektet e rëndësishme, që janë në proces paraqiten si më poshtë:</w:t>
      </w:r>
    </w:p>
    <w:p w:rsidR="00EC35CB" w:rsidRPr="00EC35CB" w:rsidRDefault="00EC35CB" w:rsidP="00C71069">
      <w:pPr>
        <w:pStyle w:val="ListParagraph"/>
        <w:numPr>
          <w:ilvl w:val="1"/>
          <w:numId w:val="24"/>
        </w:numPr>
        <w:shd w:val="clear" w:color="auto" w:fill="FFFFFF" w:themeFill="background1"/>
        <w:spacing w:before="0" w:line="240" w:lineRule="auto"/>
        <w:rPr>
          <w:rFonts w:cs="Calibri Light"/>
          <w:bCs/>
          <w:i/>
          <w:szCs w:val="22"/>
          <w:lang w:val="sq-AL" w:eastAsia="en-GB"/>
        </w:rPr>
      </w:pPr>
      <w:r w:rsidRPr="00EC35CB">
        <w:rPr>
          <w:rFonts w:cs="Calibri Light"/>
          <w:bCs/>
          <w:i/>
          <w:szCs w:val="22"/>
          <w:lang w:val="sq-AL" w:eastAsia="en-GB"/>
        </w:rPr>
        <w:t>“Rehabilitimi i segmentit rrugore mbikalimi pallati me shigjeta rrethrrotullimi Shqiponja Loti1, Loti 2, Loti 3”;</w:t>
      </w:r>
    </w:p>
    <w:p w:rsidR="00EC35CB" w:rsidRPr="00EC35CB" w:rsidRDefault="00EC35CB" w:rsidP="00C71069">
      <w:pPr>
        <w:pStyle w:val="ListParagraph"/>
        <w:numPr>
          <w:ilvl w:val="1"/>
          <w:numId w:val="24"/>
        </w:numPr>
        <w:shd w:val="clear" w:color="auto" w:fill="FFFFFF" w:themeFill="background1"/>
        <w:spacing w:before="0" w:line="240" w:lineRule="auto"/>
        <w:rPr>
          <w:rFonts w:cs="Calibri Light"/>
          <w:bCs/>
          <w:i/>
          <w:szCs w:val="22"/>
          <w:lang w:val="sq-AL" w:eastAsia="en-GB"/>
        </w:rPr>
      </w:pPr>
      <w:r w:rsidRPr="00EC35CB">
        <w:rPr>
          <w:rFonts w:cs="Calibri Light"/>
          <w:bCs/>
          <w:i/>
          <w:szCs w:val="22"/>
          <w:lang w:val="sq-AL" w:eastAsia="en-GB"/>
        </w:rPr>
        <w:t>"Ndërtimi rruga mbikalimi TEG dhe rrugët lidhëse të tij”;</w:t>
      </w:r>
    </w:p>
    <w:p w:rsidR="00EC35CB" w:rsidRPr="00EC35CB" w:rsidRDefault="00EC35CB" w:rsidP="00C71069">
      <w:pPr>
        <w:pStyle w:val="ListParagraph"/>
        <w:numPr>
          <w:ilvl w:val="1"/>
          <w:numId w:val="24"/>
        </w:numPr>
        <w:shd w:val="clear" w:color="auto" w:fill="FFFFFF" w:themeFill="background1"/>
        <w:spacing w:before="0" w:line="240" w:lineRule="auto"/>
        <w:rPr>
          <w:rFonts w:cs="Calibri Light"/>
          <w:bCs/>
          <w:i/>
          <w:szCs w:val="22"/>
          <w:lang w:val="sq-AL" w:eastAsia="en-GB"/>
        </w:rPr>
      </w:pPr>
      <w:r w:rsidRPr="00EC35CB">
        <w:rPr>
          <w:rFonts w:cs="Calibri Light"/>
          <w:bCs/>
          <w:i/>
          <w:szCs w:val="22"/>
          <w:lang w:val="sq-AL" w:eastAsia="en-GB"/>
        </w:rPr>
        <w:t>“Ndërtimi i Unazës së jashtme të Tiranës, Loti 4, Loti 5, Loti 6, Loti 7”.</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szCs w:val="22"/>
          <w:lang w:val="sq-AL" w:eastAsia="en-GB"/>
        </w:rPr>
      </w:pPr>
      <w:r w:rsidRPr="00F95C93">
        <w:rPr>
          <w:rFonts w:cs="Calibri Light"/>
          <w:bCs/>
          <w:szCs w:val="22"/>
          <w:lang w:val="sq-AL" w:eastAsia="en-GB"/>
        </w:rPr>
        <w:lastRenderedPageBreak/>
        <w:t>Rruga tip B1’ me dy korsi, për të cilën janë realizuar fondet në masën prej 1.4 miliard lekë ose 100% ndaj totalit të planifikuar për vitin 2022.  Objekti, në të cilin punohet me ritme të parashikuara është:</w:t>
      </w:r>
    </w:p>
    <w:p w:rsidR="00EC35CB" w:rsidRPr="00F95C93" w:rsidRDefault="00EC35CB" w:rsidP="00C71069">
      <w:pPr>
        <w:pStyle w:val="ListParagraph"/>
        <w:numPr>
          <w:ilvl w:val="1"/>
          <w:numId w:val="24"/>
        </w:numPr>
        <w:shd w:val="clear" w:color="auto" w:fill="FFFFFF" w:themeFill="background1"/>
        <w:spacing w:before="0" w:line="240" w:lineRule="auto"/>
        <w:rPr>
          <w:rFonts w:cs="Calibri Light"/>
          <w:bCs/>
          <w:szCs w:val="22"/>
          <w:lang w:val="sq-AL" w:eastAsia="en-GB"/>
        </w:rPr>
      </w:pPr>
      <w:r w:rsidRPr="00F95C93">
        <w:rPr>
          <w:rFonts w:cs="Calibri Light"/>
          <w:bCs/>
          <w:szCs w:val="22"/>
          <w:lang w:val="sq-AL" w:eastAsia="en-GB"/>
        </w:rPr>
        <w:t>"Ndërtim Rruga Kardhiq-Delvinë Loti 4, shtesë punimesh, Loti 7 dhe Loti 8, "</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szCs w:val="22"/>
          <w:lang w:val="sq-AL" w:eastAsia="en-GB"/>
        </w:rPr>
      </w:pPr>
      <w:r w:rsidRPr="00F95C93">
        <w:rPr>
          <w:rFonts w:cs="Calibri Light"/>
          <w:bCs/>
          <w:szCs w:val="22"/>
          <w:lang w:val="sq-AL" w:eastAsia="en-GB"/>
        </w:rPr>
        <w:t>Për rrugën tip C2 me dy korsi, janë realizuar fondet përgjatë vitit 2022 në masën 3.4 miliard lekë ose 99.9% e fondeve të planifikuara. Disa nga objektet e rëndësishme, në të cilat punohet normalisht dhe që janë në proces janë:</w:t>
      </w:r>
    </w:p>
    <w:p w:rsidR="00EC35CB" w:rsidRPr="00EC35CB" w:rsidRDefault="00EC35CB" w:rsidP="00C71069">
      <w:pPr>
        <w:pStyle w:val="ListParagraph"/>
        <w:numPr>
          <w:ilvl w:val="1"/>
          <w:numId w:val="24"/>
        </w:numPr>
        <w:shd w:val="clear" w:color="auto" w:fill="FFFFFF" w:themeFill="background1"/>
        <w:spacing w:before="0" w:line="240" w:lineRule="auto"/>
        <w:rPr>
          <w:rFonts w:cs="Calibri Light"/>
          <w:bCs/>
          <w:i/>
          <w:szCs w:val="22"/>
          <w:lang w:val="sq-AL" w:eastAsia="en-GB"/>
        </w:rPr>
      </w:pPr>
      <w:r w:rsidRPr="00EC35CB">
        <w:rPr>
          <w:rFonts w:cs="Calibri Light"/>
          <w:bCs/>
          <w:i/>
          <w:szCs w:val="22"/>
          <w:lang w:val="sq-AL" w:eastAsia="en-GB"/>
        </w:rPr>
        <w:t>Ndërtim By Pass Tepelenë Loti 1+shtesë punimesh;</w:t>
      </w:r>
    </w:p>
    <w:p w:rsidR="00EC35CB" w:rsidRPr="00EC35CB" w:rsidRDefault="00EC35CB" w:rsidP="00C71069">
      <w:pPr>
        <w:pStyle w:val="ListParagraph"/>
        <w:numPr>
          <w:ilvl w:val="1"/>
          <w:numId w:val="24"/>
        </w:numPr>
        <w:shd w:val="clear" w:color="auto" w:fill="FFFFFF" w:themeFill="background1"/>
        <w:spacing w:before="0" w:line="240" w:lineRule="auto"/>
        <w:rPr>
          <w:rFonts w:cs="Calibri Light"/>
          <w:bCs/>
          <w:i/>
          <w:szCs w:val="22"/>
          <w:lang w:val="sq-AL" w:eastAsia="en-GB"/>
        </w:rPr>
      </w:pPr>
      <w:r w:rsidRPr="00EC35CB">
        <w:rPr>
          <w:rFonts w:cs="Calibri Light"/>
          <w:bCs/>
          <w:i/>
          <w:szCs w:val="22"/>
          <w:lang w:val="sq-AL" w:eastAsia="en-GB"/>
        </w:rPr>
        <w:t>Ndërtim rruga Korcë – Ersekë, Loti 2 (pjesa e parë) dhe pjesa e dytë;</w:t>
      </w:r>
    </w:p>
    <w:p w:rsidR="00EC35CB" w:rsidRPr="00EC35CB" w:rsidRDefault="00EC35CB" w:rsidP="00C71069">
      <w:pPr>
        <w:pStyle w:val="ListParagraph"/>
        <w:numPr>
          <w:ilvl w:val="1"/>
          <w:numId w:val="24"/>
        </w:numPr>
        <w:shd w:val="clear" w:color="auto" w:fill="FFFFFF" w:themeFill="background1"/>
        <w:spacing w:before="0" w:line="240" w:lineRule="auto"/>
        <w:rPr>
          <w:rFonts w:cs="Calibri Light"/>
          <w:bCs/>
          <w:i/>
          <w:szCs w:val="22"/>
          <w:lang w:val="sq-AL" w:eastAsia="en-GB"/>
        </w:rPr>
      </w:pPr>
      <w:r w:rsidRPr="00EC35CB">
        <w:rPr>
          <w:rFonts w:cs="Calibri Light"/>
          <w:bCs/>
          <w:i/>
          <w:szCs w:val="22"/>
          <w:lang w:val="sq-AL" w:eastAsia="en-GB"/>
        </w:rPr>
        <w:t>Ndërtim rruga Palas – Dhërmi;</w:t>
      </w:r>
    </w:p>
    <w:p w:rsidR="00EC35CB" w:rsidRPr="00EC35CB" w:rsidRDefault="00EC35CB" w:rsidP="00C71069">
      <w:pPr>
        <w:pStyle w:val="ListParagraph"/>
        <w:numPr>
          <w:ilvl w:val="1"/>
          <w:numId w:val="24"/>
        </w:numPr>
        <w:shd w:val="clear" w:color="auto" w:fill="FFFFFF" w:themeFill="background1"/>
        <w:spacing w:before="0" w:line="240" w:lineRule="auto"/>
        <w:rPr>
          <w:rFonts w:cs="Calibri Light"/>
          <w:bCs/>
          <w:i/>
          <w:szCs w:val="22"/>
          <w:lang w:val="sq-AL" w:eastAsia="en-GB"/>
        </w:rPr>
      </w:pPr>
      <w:r w:rsidRPr="00EC35CB">
        <w:rPr>
          <w:rFonts w:cs="Calibri Light"/>
          <w:bCs/>
          <w:i/>
          <w:szCs w:val="22"/>
          <w:lang w:val="sq-AL" w:eastAsia="en-GB"/>
        </w:rPr>
        <w:t>Rikonstruksion i rrugës Dukaj - Sinanaj, Tepelenë;</w:t>
      </w:r>
    </w:p>
    <w:p w:rsidR="00EC35CB" w:rsidRPr="00EC35CB" w:rsidRDefault="00EC35CB" w:rsidP="00C71069">
      <w:pPr>
        <w:pStyle w:val="ListParagraph"/>
        <w:numPr>
          <w:ilvl w:val="1"/>
          <w:numId w:val="24"/>
        </w:numPr>
        <w:shd w:val="clear" w:color="auto" w:fill="FFFFFF" w:themeFill="background1"/>
        <w:spacing w:before="0" w:line="240" w:lineRule="auto"/>
        <w:rPr>
          <w:rFonts w:cs="Calibri Light"/>
          <w:bCs/>
          <w:i/>
          <w:szCs w:val="22"/>
          <w:lang w:val="sq-AL" w:eastAsia="en-GB"/>
        </w:rPr>
      </w:pPr>
      <w:r w:rsidRPr="00EC35CB">
        <w:rPr>
          <w:rFonts w:cs="Calibri Light"/>
          <w:bCs/>
          <w:i/>
          <w:szCs w:val="22"/>
          <w:lang w:val="sq-AL" w:eastAsia="en-GB"/>
        </w:rPr>
        <w:t>Ndërtim i rrugës, lidhja e Autostradës Milot - Morinë me Aeroportin e Kukësit;</w:t>
      </w:r>
    </w:p>
    <w:p w:rsidR="00EC35CB" w:rsidRPr="00EC35CB" w:rsidRDefault="00EC35CB" w:rsidP="00C71069">
      <w:pPr>
        <w:pStyle w:val="ListParagraph"/>
        <w:numPr>
          <w:ilvl w:val="1"/>
          <w:numId w:val="24"/>
        </w:numPr>
        <w:shd w:val="clear" w:color="auto" w:fill="FFFFFF" w:themeFill="background1"/>
        <w:spacing w:before="0" w:line="240" w:lineRule="auto"/>
        <w:rPr>
          <w:rFonts w:cs="Calibri Light"/>
          <w:bCs/>
          <w:i/>
          <w:szCs w:val="22"/>
          <w:lang w:val="sq-AL" w:eastAsia="en-GB"/>
        </w:rPr>
      </w:pPr>
      <w:r w:rsidRPr="00EC35CB">
        <w:rPr>
          <w:rFonts w:cs="Calibri Light"/>
          <w:bCs/>
          <w:i/>
          <w:szCs w:val="22"/>
          <w:lang w:val="sq-AL" w:eastAsia="en-GB"/>
        </w:rPr>
        <w:t>Zgjerim i rrugës Elbasan – Qafë – Thanë (Faza I)</w:t>
      </w:r>
    </w:p>
    <w:p w:rsidR="00EC35CB" w:rsidRPr="00EC35CB" w:rsidRDefault="00EC35CB" w:rsidP="00C71069">
      <w:pPr>
        <w:pStyle w:val="ListParagraph"/>
        <w:numPr>
          <w:ilvl w:val="1"/>
          <w:numId w:val="24"/>
        </w:numPr>
        <w:shd w:val="clear" w:color="auto" w:fill="FFFFFF" w:themeFill="background1"/>
        <w:spacing w:before="0" w:line="240" w:lineRule="auto"/>
        <w:rPr>
          <w:rFonts w:cs="Calibri Light"/>
          <w:bCs/>
          <w:i/>
          <w:szCs w:val="22"/>
          <w:lang w:val="sq-AL" w:eastAsia="en-GB"/>
        </w:rPr>
      </w:pPr>
      <w:r w:rsidRPr="00EC35CB">
        <w:rPr>
          <w:rFonts w:cs="Calibri Light"/>
          <w:bCs/>
          <w:i/>
          <w:szCs w:val="22"/>
          <w:lang w:val="sq-AL" w:eastAsia="en-GB"/>
        </w:rPr>
        <w:t>Ndërtim  rruga lidhëse e Aeroportit Ndërkombëtar të Vlorës (VIA)-Autostrada Fier-Vlorë.</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szCs w:val="22"/>
          <w:lang w:val="sq-AL" w:eastAsia="en-GB"/>
        </w:rPr>
      </w:pPr>
      <w:r w:rsidRPr="00F95C93">
        <w:rPr>
          <w:rFonts w:cs="Calibri Light"/>
          <w:bCs/>
          <w:szCs w:val="22"/>
          <w:lang w:val="sq-AL" w:eastAsia="en-GB"/>
        </w:rPr>
        <w:t>Për rrugën Tip A e modifikuar, janë realizuar fondet në masën 306 milionë lekë ose 100% e fondeve të planifikuara për këtë qëllim. Objekti që përfshihen në këtë kategori rruge është Ndërtim rruga Porto Romano Durrës, Loti 3.</w:t>
      </w:r>
    </w:p>
    <w:p w:rsidR="00EC35CB" w:rsidRPr="00F95C93" w:rsidRDefault="00EC35CB" w:rsidP="00EC35CB">
      <w:pPr>
        <w:spacing w:line="240" w:lineRule="auto"/>
        <w:rPr>
          <w:lang w:val="sq-AL"/>
        </w:rPr>
      </w:pPr>
      <w:r w:rsidRPr="00F95C93">
        <w:rPr>
          <w:lang w:val="sq-AL"/>
        </w:rPr>
        <w:t>Produkti “Sinjalistikë dhe siguri rrugore”,  janë realizuar fonde në masën 132 milionë lekë përgjatë vitit 2022 apo rreth 100% e fondeve vjetore të planifikuara.</w:t>
      </w:r>
    </w:p>
    <w:p w:rsidR="00EC35CB" w:rsidRPr="00F95C93" w:rsidRDefault="00EC35CB" w:rsidP="00EC35CB">
      <w:pPr>
        <w:spacing w:line="240" w:lineRule="auto"/>
        <w:rPr>
          <w:rFonts w:cs="Calibri"/>
          <w:lang w:val="sq-AL"/>
        </w:rPr>
      </w:pPr>
      <w:r w:rsidRPr="00F95C93">
        <w:rPr>
          <w:rFonts w:cs="Calibri"/>
          <w:lang w:val="sq-AL"/>
        </w:rPr>
        <w:t xml:space="preserve">Për programin </w:t>
      </w:r>
      <w:r w:rsidRPr="00F95C93">
        <w:rPr>
          <w:rFonts w:cs="Calibri"/>
          <w:b/>
          <w:lang w:val="sq-AL"/>
        </w:rPr>
        <w:t>“Furnizimi me Ujë dhe Kanalizime”,</w:t>
      </w:r>
      <w:r w:rsidRPr="00F95C93">
        <w:rPr>
          <w:rFonts w:cs="Calibri"/>
          <w:lang w:val="sq-AL"/>
        </w:rPr>
        <w:t xml:space="preserve"> për të mundësuar ofrimin e shërbimit me furnizim me ujë dhe kanalizime për të gjithë popullsinë me cilësi dhe sipas standarteve ndërkombëtare u realizuan shpenzime në masën 10.2 miliardë lekë, ose 36% se një vit më parë.</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U realizuan 516,193 ml linja të reja ujësjellësi për furnizimin me ujë, shoqëruar me një kosto prej 5,132 milionë lekë.</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Gjithashtu u krye rreth 98% e sasisë së planifikuar për vitin 2022 për produktin “Kanalizimi i Ri”.</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Si  dhe u rikonstruktua 157,403 ml ujësjellës apo 99% e sasisë së planifikuar për vitin 2022.</w:t>
      </w:r>
    </w:p>
    <w:p w:rsidR="00EC35CB" w:rsidRPr="00EC35CB" w:rsidRDefault="00EC35CB" w:rsidP="00EC35CB">
      <w:pPr>
        <w:shd w:val="clear" w:color="auto" w:fill="FFFFFF" w:themeFill="background1"/>
        <w:spacing w:before="0" w:line="240" w:lineRule="auto"/>
        <w:rPr>
          <w:rFonts w:cs="Calibri Light"/>
          <w:bCs/>
          <w:i/>
          <w:sz w:val="12"/>
          <w:szCs w:val="22"/>
          <w:lang w:val="sq-AL" w:eastAsia="en-GB"/>
        </w:rPr>
      </w:pPr>
    </w:p>
    <w:p w:rsidR="00EC35CB" w:rsidRPr="00F95C93" w:rsidRDefault="00EC35CB" w:rsidP="00EC35CB">
      <w:pPr>
        <w:shd w:val="clear" w:color="auto" w:fill="FFFFFF" w:themeFill="background1"/>
        <w:spacing w:before="0" w:line="240" w:lineRule="auto"/>
        <w:rPr>
          <w:rFonts w:cs="Calibri Light"/>
          <w:bCs/>
          <w:szCs w:val="22"/>
          <w:lang w:val="sq-AL" w:eastAsia="en-GB"/>
        </w:rPr>
      </w:pPr>
      <w:r w:rsidRPr="00F95C93">
        <w:rPr>
          <w:rFonts w:cs="Calibri Light"/>
          <w:bCs/>
          <w:szCs w:val="22"/>
          <w:lang w:val="sq-AL" w:eastAsia="en-GB"/>
        </w:rPr>
        <w:t>Për programin</w:t>
      </w:r>
      <w:r w:rsidRPr="00F95C93">
        <w:rPr>
          <w:rFonts w:cs="Calibri Light"/>
          <w:b/>
          <w:bCs/>
          <w:szCs w:val="22"/>
          <w:lang w:val="sq-AL" w:eastAsia="en-GB"/>
        </w:rPr>
        <w:t xml:space="preserve"> “Mbështetje për Burimet Natyrore”</w:t>
      </w:r>
      <w:r w:rsidRPr="00F95C93">
        <w:rPr>
          <w:rFonts w:cs="Calibri Light"/>
          <w:bCs/>
          <w:szCs w:val="22"/>
          <w:lang w:val="sq-AL" w:eastAsia="en-GB"/>
        </w:rPr>
        <w:t xml:space="preserve">, </w:t>
      </w:r>
      <w:r w:rsidRPr="00F95C93">
        <w:rPr>
          <w:rFonts w:cs="Calibri"/>
          <w:lang w:val="sq-AL"/>
        </w:rPr>
        <w:t>është realizuar qëllimi i programit lidhur me realizimin e politikave të promovimit, mbikëqyrjes, monitorimit dhe transparencës në fushën e gjeologjisë, minierave, ambientit dhe ujërave. Në këtë kuadër:</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Janë përditësuar 695 të dhëna të lejeve minerare gjeohapsinor, me kosto prej 4 milionë lekë.</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U realizua mbikqyrja e 360 burimeve të shfrytëzimit minerare, metalore dhe jo metalore, me kosto prej 15.2 milionë lekë.</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Është realizuar promovimi i minerave të rinj dhe kërkimeve teknologjike e mjedisore me një kosto prej 3.5 milionë lekë.</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Është kryer monitorimi i Fenomeneve të post shfrytezimit në minierat e mbyllura me një kosto prej 6.4 milionë lekë.</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Është realizuar projekti i studimit mbi zonimin minerar dhe hartimit të planit vjetor dhe 3-vjecar minerar, me një kosto prej rreth 4 milionë lekë.</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U realizua projekti mbi “Raportin vjetor të gjëndjes mjedisore në industrinë minerare dhe metalurgji”, me një kosto prej 4 milionë lekë.</w:t>
      </w:r>
    </w:p>
    <w:p w:rsidR="00EC35CB" w:rsidRPr="00F95C93" w:rsidRDefault="00EC35CB" w:rsidP="00EC35CB">
      <w:pPr>
        <w:shd w:val="clear" w:color="auto" w:fill="FFFFFF"/>
        <w:spacing w:line="240" w:lineRule="auto"/>
        <w:rPr>
          <w:rFonts w:cs="Calibri"/>
          <w:lang w:val="sq-AL"/>
        </w:rPr>
      </w:pPr>
      <w:r w:rsidRPr="00F95C93">
        <w:rPr>
          <w:rFonts w:cs="Calibri Light"/>
          <w:bCs/>
          <w:szCs w:val="22"/>
          <w:lang w:val="sq-AL" w:eastAsia="en-GB"/>
        </w:rPr>
        <w:t>Në programin</w:t>
      </w:r>
      <w:r w:rsidRPr="00F95C93">
        <w:rPr>
          <w:rFonts w:cs="Calibri Light"/>
          <w:b/>
          <w:bCs/>
          <w:szCs w:val="22"/>
          <w:lang w:val="sq-AL" w:eastAsia="en-GB"/>
        </w:rPr>
        <w:t xml:space="preserve"> “Mbështetje për Energjinë” </w:t>
      </w:r>
      <w:r w:rsidRPr="00F95C93">
        <w:rPr>
          <w:rFonts w:cs="Calibri"/>
          <w:lang w:val="sq-AL"/>
        </w:rPr>
        <w:t>u realizuan fonde në masën 2.6</w:t>
      </w:r>
      <w:r>
        <w:rPr>
          <w:rFonts w:cs="Calibri"/>
          <w:lang w:val="sq-AL"/>
        </w:rPr>
        <w:t xml:space="preserve">mld </w:t>
      </w:r>
      <w:r w:rsidRPr="00F95C93">
        <w:rPr>
          <w:rFonts w:cs="Calibri"/>
          <w:lang w:val="sq-AL"/>
        </w:rPr>
        <w:t>lekë me qëllim k</w:t>
      </w:r>
      <w:r w:rsidRPr="00F95C93">
        <w:rPr>
          <w:rFonts w:cs="Calibri Light"/>
          <w:bCs/>
          <w:szCs w:val="22"/>
          <w:lang w:val="sq-AL" w:eastAsia="en-GB"/>
        </w:rPr>
        <w:t>rijimin e kushteve dhe mundësive për zhvillimin e politikave</w:t>
      </w:r>
      <w:r>
        <w:rPr>
          <w:rFonts w:cs="Calibri Light"/>
          <w:bCs/>
          <w:szCs w:val="22"/>
          <w:lang w:val="sq-AL" w:eastAsia="en-GB"/>
        </w:rPr>
        <w:t>/</w:t>
      </w:r>
      <w:r w:rsidRPr="00F95C93">
        <w:rPr>
          <w:rFonts w:cs="Calibri Light"/>
          <w:bCs/>
          <w:szCs w:val="22"/>
          <w:lang w:val="sq-AL" w:eastAsia="en-GB"/>
        </w:rPr>
        <w:t>strategjive për një ecuri të qëndrueshme dhe të sigurt të sektorit të energjisë, në zbatim të programit</w:t>
      </w:r>
      <w:r>
        <w:rPr>
          <w:rFonts w:cs="Calibri Light"/>
          <w:bCs/>
          <w:szCs w:val="22"/>
          <w:lang w:val="sq-AL" w:eastAsia="en-GB"/>
        </w:rPr>
        <w:t>/</w:t>
      </w:r>
      <w:r w:rsidRPr="00F95C93">
        <w:rPr>
          <w:rFonts w:cs="Calibri Light"/>
          <w:bCs/>
          <w:szCs w:val="22"/>
          <w:lang w:val="sq-AL" w:eastAsia="en-GB"/>
        </w:rPr>
        <w:t xml:space="preserve">prioriteteve të qeverisë. </w:t>
      </w:r>
      <w:r w:rsidRPr="00F95C93">
        <w:rPr>
          <w:rFonts w:cs="Calibri"/>
          <w:lang w:val="sq-AL"/>
        </w:rPr>
        <w:t>Projektet k</w:t>
      </w:r>
      <w:r>
        <w:rPr>
          <w:rFonts w:cs="Calibri"/>
          <w:lang w:val="sq-AL"/>
        </w:rPr>
        <w:t>yç</w:t>
      </w:r>
      <w:r w:rsidRPr="00F95C93">
        <w:rPr>
          <w:rFonts w:cs="Calibri"/>
          <w:lang w:val="sq-AL"/>
        </w:rPr>
        <w:t xml:space="preserve"> të realizuara përfshijnë:</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Monitorime të kryera në sektorin energjitik</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 xml:space="preserve">Kryerjes së 18 studimeve për përmirësimin e sektorit energjitik, përmirësimin e efiçencës së energjisë, zhvillimin e burimeve të rinovueshme apo 78% e sasisë së planifikuar për vitin 2022. </w:t>
      </w:r>
    </w:p>
    <w:p w:rsidR="00EC35CB" w:rsidRPr="00F95C93" w:rsidRDefault="00EC35CB"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Janë kryer 5 ndërtime/rikonstruksione për promovimin e efiçencës së energjisë apo është realizuar 36% e sasisë së planifikuar për vitin 2022.</w:t>
      </w:r>
    </w:p>
    <w:p w:rsidR="007B7B50" w:rsidRDefault="007B7B50" w:rsidP="00EC35CB">
      <w:pPr>
        <w:shd w:val="clear" w:color="auto" w:fill="FFFFFF"/>
        <w:spacing w:line="240" w:lineRule="auto"/>
        <w:rPr>
          <w:rFonts w:cs="Calibri"/>
          <w:lang w:val="sq-AL"/>
        </w:rPr>
      </w:pPr>
    </w:p>
    <w:p w:rsidR="00B552CA" w:rsidRDefault="00B552CA" w:rsidP="00EC35CB">
      <w:pPr>
        <w:shd w:val="clear" w:color="auto" w:fill="FFFFFF"/>
        <w:spacing w:line="240" w:lineRule="auto"/>
        <w:rPr>
          <w:rFonts w:cs="Calibri"/>
          <w:lang w:val="sq-AL"/>
        </w:rPr>
      </w:pPr>
    </w:p>
    <w:p w:rsidR="00B552CA" w:rsidRDefault="00B552CA" w:rsidP="00EC35CB">
      <w:pPr>
        <w:shd w:val="clear" w:color="auto" w:fill="FFFFFF"/>
        <w:spacing w:line="240" w:lineRule="auto"/>
        <w:rPr>
          <w:rFonts w:cs="Calibri"/>
          <w:lang w:val="sq-AL"/>
        </w:rPr>
      </w:pPr>
    </w:p>
    <w:p w:rsidR="00B552CA" w:rsidRDefault="003F3B2D" w:rsidP="00B552CA">
      <w:pPr>
        <w:shd w:val="clear" w:color="auto" w:fill="FFFFFF" w:themeFill="background1"/>
        <w:spacing w:line="240" w:lineRule="auto"/>
        <w:rPr>
          <w:rFonts w:asciiTheme="majorHAnsi" w:eastAsiaTheme="minorHAnsi" w:hAnsiTheme="majorHAnsi" w:cs="Calibri Light"/>
          <w:szCs w:val="22"/>
          <w:lang w:val="sq-AL"/>
        </w:rPr>
      </w:pPr>
      <w:r w:rsidRPr="00B552CA">
        <w:rPr>
          <w:rFonts w:asciiTheme="majorHAnsi" w:eastAsiaTheme="minorHAnsi" w:hAnsiTheme="majorHAnsi" w:cs="Calibri Light"/>
          <w:szCs w:val="22"/>
          <w:lang w:val="sq-AL"/>
        </w:rPr>
        <w:lastRenderedPageBreak/>
        <w:t xml:space="preserve">Për sa i përket </w:t>
      </w:r>
      <w:r w:rsidRPr="00B552CA">
        <w:rPr>
          <w:rFonts w:asciiTheme="majorHAnsi" w:eastAsiaTheme="minorHAnsi" w:hAnsiTheme="majorHAnsi" w:cs="Calibri Light"/>
          <w:b/>
          <w:bCs/>
          <w:szCs w:val="22"/>
          <w:lang w:val="sq-AL"/>
        </w:rPr>
        <w:t>investimeve publike</w:t>
      </w:r>
      <w:r w:rsidR="007A5DCB" w:rsidRPr="00B552CA">
        <w:rPr>
          <w:rFonts w:asciiTheme="majorHAnsi" w:eastAsiaTheme="minorHAnsi" w:hAnsiTheme="majorHAnsi" w:cs="Calibri Light"/>
          <w:b/>
          <w:bCs/>
          <w:szCs w:val="22"/>
          <w:lang w:val="sq-AL"/>
        </w:rPr>
        <w:t>,</w:t>
      </w:r>
      <w:r w:rsidRPr="00B552CA">
        <w:rPr>
          <w:rFonts w:asciiTheme="majorHAnsi" w:eastAsiaTheme="minorHAnsi" w:hAnsiTheme="majorHAnsi" w:cs="Calibri Light"/>
          <w:szCs w:val="22"/>
          <w:lang w:val="sq-AL"/>
        </w:rPr>
        <w:t xml:space="preserve"> </w:t>
      </w:r>
      <w:r w:rsidR="00B552CA" w:rsidRPr="002617BE">
        <w:rPr>
          <w:rFonts w:cs="Calibri"/>
          <w:lang w:val="sq-AL"/>
        </w:rPr>
        <w:t>realizimi në vitin 2022 ishte 125% e buxhetit fillestar për projektet me financim të brendshëm ( 31.8 milard lekë)</w:t>
      </w:r>
      <w:r w:rsidR="00B552CA" w:rsidRPr="002617BE">
        <w:rPr>
          <w:rFonts w:cs="Calibri"/>
          <w:bCs/>
          <w:iCs/>
          <w:lang w:val="sq-AL"/>
        </w:rPr>
        <w:t xml:space="preserve"> (99.6 % të planit vjetor të ndryshuar me AN nr.19)</w:t>
      </w:r>
      <w:r w:rsidR="00B552CA" w:rsidRPr="002617BE">
        <w:rPr>
          <w:rFonts w:cs="Calibri"/>
          <w:lang w:val="sq-AL"/>
        </w:rPr>
        <w:t xml:space="preserve"> dhe 40.7% e buxhetit fillestar për projektet me financim të huaj (40.7 miliardë lekë) </w:t>
      </w:r>
      <w:r w:rsidR="00B552CA" w:rsidRPr="002617BE">
        <w:rPr>
          <w:rFonts w:cs="Calibri"/>
          <w:bCs/>
          <w:iCs/>
          <w:lang w:val="sq-AL"/>
        </w:rPr>
        <w:t>(78.1 % të planit vjetor të ndryshuar me AN nr.19).</w:t>
      </w:r>
      <w:r w:rsidR="00B552CA" w:rsidRPr="002617BE">
        <w:rPr>
          <w:rFonts w:cs="Calibri"/>
          <w:lang w:val="sq-AL"/>
        </w:rPr>
        <w:t xml:space="preserve"> Buxheti i shpenzimeve kapitale pësoi shumë ndryshime gjatë vitit, duke shtuar fonde për projekte të cilat kishin ecuri të mirë fizike dhe për mbulimin e detyrimeve të prapambetura kryesisht në programin buxhetor “Furnizimi me ujë dhe kanalizime” dhe “Transporti rrugor”. Njëkohësisht është financuar 1.2 miliardë transfert</w:t>
      </w:r>
      <w:r w:rsidR="00B552CA">
        <w:rPr>
          <w:rFonts w:cs="Calibri"/>
          <w:lang w:val="sq-AL"/>
        </w:rPr>
        <w:t>ë</w:t>
      </w:r>
      <w:r w:rsidR="00B552CA" w:rsidRPr="002617BE">
        <w:rPr>
          <w:rFonts w:cs="Calibri"/>
          <w:lang w:val="sq-AL"/>
        </w:rPr>
        <w:t xml:space="preserve"> kapitale për shoqërinë Albgaz Sha. </w:t>
      </w:r>
      <w:r w:rsidR="00B552CA" w:rsidRPr="002617BE">
        <w:rPr>
          <w:rFonts w:asciiTheme="majorHAnsi" w:eastAsiaTheme="minorHAnsi" w:hAnsiTheme="majorHAnsi" w:cs="Calibri Light"/>
          <w:szCs w:val="22"/>
          <w:lang w:val="sq-AL"/>
        </w:rPr>
        <w:t>Janë mbyllur kontratat e investimit si më poshtë, ku veçojmë:</w:t>
      </w:r>
    </w:p>
    <w:p w:rsidR="00B552CA" w:rsidRPr="00B552CA" w:rsidRDefault="00B552CA" w:rsidP="00B552CA">
      <w:pPr>
        <w:shd w:val="clear" w:color="auto" w:fill="FFFFFF" w:themeFill="background1"/>
        <w:spacing w:line="240" w:lineRule="auto"/>
        <w:rPr>
          <w:rFonts w:asciiTheme="majorHAnsi" w:eastAsiaTheme="minorHAnsi" w:hAnsiTheme="majorHAnsi" w:cs="Calibri Light"/>
          <w:sz w:val="12"/>
          <w:szCs w:val="12"/>
          <w:lang w:val="sq-AL"/>
        </w:rPr>
      </w:pPr>
    </w:p>
    <w:p w:rsidR="00B552CA" w:rsidRPr="002617BE" w:rsidRDefault="00B552CA" w:rsidP="00C71069">
      <w:pPr>
        <w:pStyle w:val="ListParagraph"/>
        <w:numPr>
          <w:ilvl w:val="0"/>
          <w:numId w:val="16"/>
        </w:numPr>
        <w:spacing w:before="0" w:line="240" w:lineRule="auto"/>
        <w:rPr>
          <w:rFonts w:asciiTheme="majorHAnsi" w:hAnsiTheme="majorHAnsi" w:cs="Calibri Light"/>
          <w:color w:val="000000" w:themeColor="text1"/>
          <w:szCs w:val="22"/>
          <w:lang w:val="sq-AL"/>
        </w:rPr>
      </w:pPr>
      <w:r w:rsidRPr="002617BE">
        <w:rPr>
          <w:rFonts w:asciiTheme="majorHAnsi" w:hAnsiTheme="majorHAnsi" w:cs="Calibri Light"/>
          <w:b/>
          <w:i/>
          <w:color w:val="000000" w:themeColor="text1"/>
          <w:szCs w:val="22"/>
          <w:lang w:val="sq-AL"/>
        </w:rPr>
        <w:t>Transporti rrugor</w:t>
      </w:r>
      <w:r w:rsidRPr="002617BE">
        <w:rPr>
          <w:rFonts w:asciiTheme="majorHAnsi" w:hAnsiTheme="majorHAnsi" w:cs="Calibri Light"/>
          <w:color w:val="000000" w:themeColor="text1"/>
          <w:szCs w:val="22"/>
          <w:lang w:val="sq-AL"/>
        </w:rPr>
        <w:t xml:space="preserve"> janë financuar plotësisht 20 kontrata investimi me vlerë totale rreth 1</w:t>
      </w:r>
      <w:r w:rsidR="001A7510">
        <w:rPr>
          <w:rFonts w:asciiTheme="majorHAnsi" w:hAnsiTheme="majorHAnsi" w:cs="Calibri Light"/>
          <w:color w:val="000000" w:themeColor="text1"/>
          <w:szCs w:val="22"/>
          <w:lang w:val="sq-AL"/>
        </w:rPr>
        <w:t>5</w:t>
      </w:r>
      <w:r w:rsidRPr="002617BE">
        <w:rPr>
          <w:rFonts w:asciiTheme="majorHAnsi" w:hAnsiTheme="majorHAnsi" w:cs="Calibri Light"/>
          <w:color w:val="000000" w:themeColor="text1"/>
          <w:szCs w:val="22"/>
          <w:lang w:val="sq-AL"/>
        </w:rPr>
        <w:t xml:space="preserve"> miliard lekë ku ndër më kryesoret përmendim: </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Perfundim i Punimeve te mbetura dhe plotesimi me rruge dytesore nyja e Milotit me vlerë 1.5</w:t>
      </w:r>
      <w:r>
        <w:rPr>
          <w:rFonts w:asciiTheme="majorHAnsi" w:eastAsia="Calibri" w:hAnsiTheme="majorHAnsi" w:cs="Calibri Light"/>
          <w:i/>
          <w:szCs w:val="22"/>
          <w:lang w:val="sq-AL"/>
        </w:rPr>
        <w:t>mld</w:t>
      </w:r>
      <w:r w:rsidRPr="001A7510">
        <w:rPr>
          <w:rFonts w:asciiTheme="majorHAnsi" w:eastAsia="Calibri" w:hAnsiTheme="majorHAnsi" w:cs="Calibri Light"/>
          <w:i/>
          <w:szCs w:val="22"/>
          <w:lang w:val="sq-AL"/>
        </w:rPr>
        <w:t xml:space="preserve">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Studim projektim rruga Kardhiq - Delvinë Loti 8 (rishikimi dhe plotësimi i sinjalistikës nga Loti 1 deri në Lotin 7) dhe ndërtimi i rrugës lidhëse Shijan - Ura e Gajdarit dhe rehabilitimi i segmentit rrugor Shijan</w:t>
      </w:r>
      <w:r>
        <w:rPr>
          <w:rFonts w:asciiTheme="majorHAnsi" w:eastAsia="Calibri" w:hAnsiTheme="majorHAnsi" w:cs="Calibri Light"/>
          <w:i/>
          <w:szCs w:val="22"/>
          <w:lang w:val="sq-AL"/>
        </w:rPr>
        <w:t>-</w:t>
      </w:r>
      <w:r w:rsidRPr="001A7510">
        <w:rPr>
          <w:rFonts w:asciiTheme="majorHAnsi" w:eastAsia="Calibri" w:hAnsiTheme="majorHAnsi" w:cs="Calibri Light"/>
          <w:i/>
          <w:szCs w:val="22"/>
          <w:lang w:val="sq-AL"/>
        </w:rPr>
        <w:t>Delvinë me vlerë 32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Studim projektim rruga Berat – Ballaban me vlerë 70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Ndertim By Pass Tepelene Loti 1, (shtese punimesh) me vlerë 540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Rikonstruksion i rruges Dukaj - Sinanaj, Tepelene me vlerë 456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Ndertim i lidhjes se rruges se Oroshit me rrugen e Kombit me vlerë 139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Permiresim i sinjalistikes horizontale ne akset dhe segmentet rrugore te Rajonit Qendror me vlerë 190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Ndërtim rruga Kardhiq - Delvinë Loti 8 (Sinjalistike dhe Siguri rrugore nga Loti 1 deri ne Lotin 6) me vlerë 263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Ndërtim rruga Kardhiq - Delvinë Loti 8 (Sinjalistike dhe Siguri rrugore nga Loti 1 deri ne Lotin 6), shtese punimesh me vlerë 51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Rikonstruksion i Ures se Vores me vlerë 15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Emergjence mbrojtje lumore per uren e Drojes me vlerë 77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Ndertim rruga By Pass Perendimor Shkoder, Loti 1 (shtese punimesh) me vlerë 282 milionë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Rehabilitim i segmentit rrugore mbikalimi pallati me shigjeta  rrethrrotullimi Shqiponja Loti 1 me vlerë 2.1 miliardë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Rehabilitim i segmentit rrugore mbikalimi pallati me shigjeta  rrethrrotullimi Shqiponja Loti 2 me vlerë 1.9 miliardë lekë;</w:t>
      </w:r>
    </w:p>
    <w:p w:rsidR="001A7510" w:rsidRPr="001A7510"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1A7510">
        <w:rPr>
          <w:rFonts w:asciiTheme="majorHAnsi" w:eastAsia="Calibri" w:hAnsiTheme="majorHAnsi" w:cs="Calibri Light"/>
          <w:i/>
          <w:szCs w:val="22"/>
          <w:lang w:val="sq-AL"/>
        </w:rPr>
        <w:t>Supervizion Punimesh Rehabilitim I segmentit rrugore mbikalimi pallati me shigjeta  rrethrrotullimi Shqiponja Loti 1 me vlerë 18 milionë lekë;</w:t>
      </w:r>
    </w:p>
    <w:p w:rsidR="00B552CA" w:rsidRPr="001A7510" w:rsidRDefault="00B552CA" w:rsidP="001A7510">
      <w:pPr>
        <w:spacing w:before="0" w:line="240" w:lineRule="auto"/>
        <w:rPr>
          <w:rFonts w:asciiTheme="majorHAnsi" w:eastAsia="Calibri" w:hAnsiTheme="majorHAnsi" w:cs="Calibri Light"/>
          <w:i/>
          <w:sz w:val="12"/>
          <w:szCs w:val="22"/>
          <w:lang w:val="sq-AL"/>
        </w:rPr>
      </w:pPr>
    </w:p>
    <w:p w:rsidR="001A7510" w:rsidRPr="00422A01" w:rsidRDefault="001A7510" w:rsidP="001A7510">
      <w:pPr>
        <w:spacing w:before="0" w:line="240" w:lineRule="auto"/>
        <w:ind w:firstLine="540"/>
        <w:rPr>
          <w:rFonts w:asciiTheme="majorHAnsi" w:eastAsia="Calibri" w:hAnsiTheme="majorHAnsi" w:cs="Calibri Light"/>
          <w:i/>
          <w:szCs w:val="22"/>
          <w:lang w:val="sq-AL"/>
        </w:rPr>
      </w:pPr>
      <w:r w:rsidRPr="00422A01">
        <w:rPr>
          <w:rFonts w:asciiTheme="majorHAnsi" w:eastAsia="Calibri" w:hAnsiTheme="majorHAnsi" w:cs="Calibri Light"/>
          <w:i/>
          <w:szCs w:val="22"/>
          <w:lang w:val="sq-AL"/>
        </w:rPr>
        <w:t>Ndërkohë kanë përfunduar edhe rrugët si më poshtë por që për të cilat financimi vijon edhe në vitin 2023:</w:t>
      </w:r>
    </w:p>
    <w:p w:rsidR="001A7510" w:rsidRPr="00422A01"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422A01">
        <w:rPr>
          <w:rFonts w:asciiTheme="majorHAnsi" w:eastAsia="Calibri" w:hAnsiTheme="majorHAnsi" w:cs="Calibri Light"/>
          <w:i/>
          <w:szCs w:val="22"/>
          <w:lang w:val="sq-AL"/>
        </w:rPr>
        <w:t>Ndertim rruga Kardhiq - Delvine Loti 4 Shtese punimesh;</w:t>
      </w:r>
    </w:p>
    <w:p w:rsidR="001A7510" w:rsidRPr="00422A01"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422A01">
        <w:rPr>
          <w:rFonts w:asciiTheme="majorHAnsi" w:eastAsia="Calibri" w:hAnsiTheme="majorHAnsi" w:cs="Calibri Light"/>
          <w:i/>
          <w:szCs w:val="22"/>
          <w:lang w:val="sq-AL"/>
        </w:rPr>
        <w:t>Perfundim i Punimeve te mbetura dhe plotesimi me rruge dytesore nyja e Milotit, shtese punimesh;</w:t>
      </w:r>
    </w:p>
    <w:p w:rsidR="001A7510" w:rsidRPr="00422A01"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422A01">
        <w:rPr>
          <w:rFonts w:asciiTheme="majorHAnsi" w:eastAsia="Calibri" w:hAnsiTheme="majorHAnsi" w:cs="Calibri Light"/>
          <w:i/>
          <w:szCs w:val="22"/>
          <w:lang w:val="sq-AL"/>
        </w:rPr>
        <w:t>Rehabilitim i segmentit rrugore mbikalimi pallati me shigjeta  rrethrrotullimi Shqiponja Loti 2 (shtese  punimesh;</w:t>
      </w:r>
    </w:p>
    <w:p w:rsidR="001A7510" w:rsidRPr="00422A01"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422A01">
        <w:rPr>
          <w:rFonts w:asciiTheme="majorHAnsi" w:eastAsia="Calibri" w:hAnsiTheme="majorHAnsi" w:cs="Calibri Light"/>
          <w:i/>
          <w:szCs w:val="22"/>
          <w:lang w:val="sq-AL"/>
        </w:rPr>
        <w:t>Ndertim rruga By Pass Perendimor Shkoder, Loti 1;</w:t>
      </w:r>
    </w:p>
    <w:p w:rsidR="001A7510" w:rsidRPr="00422A01"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422A01">
        <w:rPr>
          <w:rFonts w:asciiTheme="majorHAnsi" w:eastAsia="Calibri" w:hAnsiTheme="majorHAnsi" w:cs="Calibri Light"/>
          <w:i/>
          <w:szCs w:val="22"/>
          <w:lang w:val="sq-AL"/>
        </w:rPr>
        <w:t>Ndertim rruga Korce - Erseke Loti 2 (pjesa e pare);</w:t>
      </w:r>
    </w:p>
    <w:p w:rsidR="001A7510" w:rsidRPr="00422A01"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422A01">
        <w:rPr>
          <w:rFonts w:asciiTheme="majorHAnsi" w:eastAsia="Calibri" w:hAnsiTheme="majorHAnsi" w:cs="Calibri Light"/>
          <w:i/>
          <w:szCs w:val="22"/>
          <w:lang w:val="sq-AL"/>
        </w:rPr>
        <w:t>Ndertim i rruges se Fush - Bardhes, lidhja me rrugen Kardhiq – Delvine;</w:t>
      </w:r>
    </w:p>
    <w:p w:rsidR="001A7510" w:rsidRPr="00422A01"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422A01">
        <w:rPr>
          <w:rFonts w:asciiTheme="majorHAnsi" w:eastAsia="Calibri" w:hAnsiTheme="majorHAnsi" w:cs="Calibri Light"/>
          <w:i/>
          <w:szCs w:val="22"/>
          <w:lang w:val="sq-AL"/>
        </w:rPr>
        <w:t>Permiresim i sinjalistikes horizontale, vertikale dhe pajisjeve te siguris rrugore ne akset e Rajonit Qendror, LOTI 2 (2022);</w:t>
      </w:r>
    </w:p>
    <w:p w:rsidR="001A7510" w:rsidRPr="00422A01" w:rsidRDefault="001A7510" w:rsidP="001A7510">
      <w:pPr>
        <w:pStyle w:val="ListParagraph"/>
        <w:numPr>
          <w:ilvl w:val="0"/>
          <w:numId w:val="25"/>
        </w:numPr>
        <w:spacing w:before="0" w:line="240" w:lineRule="auto"/>
        <w:rPr>
          <w:rFonts w:asciiTheme="majorHAnsi" w:eastAsia="Calibri" w:hAnsiTheme="majorHAnsi" w:cs="Calibri Light"/>
          <w:i/>
          <w:szCs w:val="22"/>
          <w:lang w:val="sq-AL"/>
        </w:rPr>
      </w:pPr>
      <w:r w:rsidRPr="00422A01">
        <w:rPr>
          <w:rFonts w:asciiTheme="majorHAnsi" w:eastAsia="Calibri" w:hAnsiTheme="majorHAnsi" w:cs="Calibri Light"/>
          <w:i/>
          <w:szCs w:val="22"/>
          <w:lang w:val="sq-AL"/>
        </w:rPr>
        <w:t>Permiresim i sinjalistikes horizontale, vertikale dhe pajisjeve te siguris rrugore ne akset e Rajonit Jugor, LOTI 3 (2022).</w:t>
      </w:r>
    </w:p>
    <w:p w:rsidR="001A7510" w:rsidRDefault="001A7510" w:rsidP="001A7510">
      <w:pPr>
        <w:spacing w:before="0" w:line="240" w:lineRule="auto"/>
        <w:rPr>
          <w:rFonts w:asciiTheme="majorHAnsi" w:eastAsia="Calibri" w:hAnsiTheme="majorHAnsi" w:cs="Calibri Light"/>
          <w:i/>
          <w:szCs w:val="22"/>
          <w:lang w:val="sq-AL"/>
        </w:rPr>
      </w:pPr>
    </w:p>
    <w:p w:rsidR="001A7510" w:rsidRPr="001A7510" w:rsidRDefault="001A7510" w:rsidP="001A7510">
      <w:pPr>
        <w:spacing w:before="0" w:line="240" w:lineRule="auto"/>
        <w:rPr>
          <w:rFonts w:asciiTheme="majorHAnsi" w:eastAsia="Calibri" w:hAnsiTheme="majorHAnsi" w:cs="Calibri Light"/>
          <w:i/>
          <w:szCs w:val="22"/>
          <w:lang w:val="sq-AL"/>
        </w:rPr>
      </w:pPr>
    </w:p>
    <w:p w:rsidR="00B552CA" w:rsidRPr="002617BE" w:rsidRDefault="00B552CA" w:rsidP="00C71069">
      <w:pPr>
        <w:pStyle w:val="ListParagraph"/>
        <w:numPr>
          <w:ilvl w:val="0"/>
          <w:numId w:val="16"/>
        </w:numPr>
        <w:spacing w:before="0" w:line="240" w:lineRule="auto"/>
        <w:rPr>
          <w:rFonts w:asciiTheme="majorHAnsi" w:eastAsia="Calibri" w:hAnsiTheme="majorHAnsi" w:cs="Calibri Light"/>
          <w:color w:val="000000" w:themeColor="text1"/>
          <w:szCs w:val="22"/>
          <w:lang w:val="sq-AL"/>
        </w:rPr>
      </w:pPr>
      <w:r w:rsidRPr="002617BE">
        <w:rPr>
          <w:rFonts w:asciiTheme="majorHAnsi" w:eastAsia="Calibri" w:hAnsiTheme="majorHAnsi" w:cs="Calibri Light"/>
          <w:color w:val="000000" w:themeColor="text1"/>
          <w:szCs w:val="22"/>
          <w:lang w:val="sq-AL"/>
        </w:rPr>
        <w:t xml:space="preserve">Programi </w:t>
      </w:r>
      <w:r w:rsidRPr="002617BE">
        <w:rPr>
          <w:rFonts w:asciiTheme="majorHAnsi" w:eastAsia="Calibri" w:hAnsiTheme="majorHAnsi" w:cs="Calibri Light"/>
          <w:b/>
          <w:color w:val="000000" w:themeColor="text1"/>
          <w:szCs w:val="22"/>
          <w:lang w:val="sq-AL"/>
        </w:rPr>
        <w:t>“</w:t>
      </w:r>
      <w:r w:rsidRPr="002617BE">
        <w:rPr>
          <w:rFonts w:asciiTheme="majorHAnsi" w:eastAsia="Calibri" w:hAnsiTheme="majorHAnsi" w:cs="Calibri Light"/>
          <w:b/>
          <w:i/>
          <w:color w:val="000000" w:themeColor="text1"/>
          <w:szCs w:val="22"/>
          <w:lang w:val="sq-AL"/>
        </w:rPr>
        <w:t>Ujësjellës kanalizime”</w:t>
      </w:r>
      <w:r w:rsidRPr="002617BE">
        <w:rPr>
          <w:rFonts w:asciiTheme="majorHAnsi" w:eastAsia="Calibri" w:hAnsiTheme="majorHAnsi" w:cs="Calibri Light"/>
          <w:color w:val="000000" w:themeColor="text1"/>
          <w:szCs w:val="22"/>
          <w:lang w:val="sq-AL"/>
        </w:rPr>
        <w:t xml:space="preserve"> janë financuar 35 kontrata investimi me vlerë rreth 4 miliardë lekë, ku ndër më të rëndësishmet përmendim:</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 xml:space="preserve">Përmirësimi </w:t>
      </w:r>
      <w:r w:rsidR="00EE419E">
        <w:rPr>
          <w:rFonts w:asciiTheme="majorHAnsi" w:eastAsia="Calibri" w:hAnsiTheme="majorHAnsi" w:cs="Calibri Light"/>
          <w:i/>
          <w:szCs w:val="22"/>
          <w:lang w:val="sq-AL"/>
        </w:rPr>
        <w:t>i</w:t>
      </w:r>
      <w:r w:rsidRPr="002617BE">
        <w:rPr>
          <w:rFonts w:asciiTheme="majorHAnsi" w:eastAsia="Calibri" w:hAnsiTheme="majorHAnsi" w:cs="Calibri Light"/>
          <w:i/>
          <w:szCs w:val="22"/>
          <w:lang w:val="sq-AL"/>
        </w:rPr>
        <w:t xml:space="preserve"> infrastruktures se ujrave te zeza ne zonën bregdetare Vlorë me vlerë 462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Ujesjellesi i fshatit Hoçisht,Bashkia Devoll me vlerë 80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Projekt per vendosje matesash, Loti II,</w:t>
      </w:r>
      <w:r w:rsidR="00EE419E">
        <w:rPr>
          <w:rFonts w:asciiTheme="majorHAnsi" w:eastAsia="Calibri" w:hAnsiTheme="majorHAnsi" w:cs="Calibri Light"/>
          <w:i/>
          <w:szCs w:val="22"/>
          <w:lang w:val="sq-AL"/>
        </w:rPr>
        <w:t xml:space="preserve"> </w:t>
      </w:r>
      <w:r w:rsidRPr="002617BE">
        <w:rPr>
          <w:rFonts w:asciiTheme="majorHAnsi" w:eastAsia="Calibri" w:hAnsiTheme="majorHAnsi" w:cs="Calibri Light"/>
          <w:i/>
          <w:szCs w:val="22"/>
          <w:lang w:val="sq-AL"/>
        </w:rPr>
        <w:t>Qytet Durres me vlerë 39</w:t>
      </w:r>
      <w:r w:rsidR="00A50ADB">
        <w:rPr>
          <w:rFonts w:asciiTheme="majorHAnsi" w:eastAsia="Calibri" w:hAnsiTheme="majorHAnsi" w:cs="Calibri Light"/>
          <w:i/>
          <w:szCs w:val="22"/>
          <w:lang w:val="sq-AL"/>
        </w:rPr>
        <w:t>mln</w:t>
      </w:r>
      <w:r w:rsidRPr="002617BE">
        <w:rPr>
          <w:rFonts w:asciiTheme="majorHAnsi" w:eastAsia="Calibri" w:hAnsiTheme="majorHAnsi" w:cs="Calibri Light"/>
          <w:i/>
          <w:szCs w:val="22"/>
          <w:lang w:val="sq-AL"/>
        </w:rPr>
        <w:t xml:space="preserve">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lastRenderedPageBreak/>
        <w:t>Rikonstruksioni me riveshje  te kolektoreve ne ITUN, Instalim makinerie ne stacionet ekzistuese dhe pastrim kolektori ne zonen e qytetit,Bashkia Durres me vlerë 116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Ndertim i Sistemit te trajtimit dhe largimit te ujrave te perdoruara te spitalit memorial Fier me vlerë 24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Rikonstruksion  i magjistralit kryesor dhe rrjetit te brendshem te ujesjellesit ne Bashkine Rrogozhine Loti III me vlerë 246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Rikonstruksion i ujësjellësit Sineballaj me vlerë 135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Rikonstruksioni i rrjetit të brendshëm dhe të jashtëm të furnizimit me ujë të qytetit të Leskovikut me vlerë 275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Ndertim ujesjellesi per qytetin Ersekë dhe fshatrat, Faza II Burimet e Kozelit me vlerë 497</w:t>
      </w:r>
      <w:r w:rsidR="00A50ADB">
        <w:rPr>
          <w:rFonts w:asciiTheme="majorHAnsi" w:eastAsia="Calibri" w:hAnsiTheme="majorHAnsi" w:cs="Calibri Light"/>
          <w:i/>
          <w:szCs w:val="22"/>
          <w:lang w:val="sq-AL"/>
        </w:rPr>
        <w:t>mln</w:t>
      </w:r>
      <w:r w:rsidRPr="002617BE">
        <w:rPr>
          <w:rFonts w:asciiTheme="majorHAnsi" w:eastAsia="Calibri" w:hAnsiTheme="majorHAnsi" w:cs="Calibri Light"/>
          <w:i/>
          <w:szCs w:val="22"/>
          <w:lang w:val="sq-AL"/>
        </w:rPr>
        <w:t xml:space="preserve">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Rikonstruksion i linjave te jashtme e te brendshme te rrjetit te ujesjellasave te fshatrave Borove,Taç dhe Mesicke,bashkia Kolonjë me vlerë 39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Ndertim i rrjetit te kuz Blloku Drita nr.1</w:t>
      </w:r>
      <w:r w:rsidR="00A50ADB">
        <w:rPr>
          <w:rFonts w:asciiTheme="majorHAnsi" w:eastAsia="Calibri" w:hAnsiTheme="majorHAnsi" w:cs="Calibri Light"/>
          <w:i/>
          <w:szCs w:val="22"/>
          <w:lang w:val="sq-AL"/>
        </w:rPr>
        <w:t xml:space="preserve"> </w:t>
      </w:r>
      <w:r w:rsidRPr="002617BE">
        <w:rPr>
          <w:rFonts w:asciiTheme="majorHAnsi" w:eastAsia="Calibri" w:hAnsiTheme="majorHAnsi" w:cs="Calibri Light"/>
          <w:i/>
          <w:szCs w:val="22"/>
          <w:lang w:val="sq-AL"/>
        </w:rPr>
        <w:t xml:space="preserve">e Drita </w:t>
      </w:r>
      <w:r w:rsidR="00A50ADB">
        <w:rPr>
          <w:rFonts w:asciiTheme="majorHAnsi" w:eastAsia="Calibri" w:hAnsiTheme="majorHAnsi" w:cs="Calibri Light"/>
          <w:i/>
          <w:szCs w:val="22"/>
          <w:lang w:val="sq-AL"/>
        </w:rPr>
        <w:t>n</w:t>
      </w:r>
      <w:r w:rsidRPr="002617BE">
        <w:rPr>
          <w:rFonts w:asciiTheme="majorHAnsi" w:eastAsia="Calibri" w:hAnsiTheme="majorHAnsi" w:cs="Calibri Light"/>
          <w:i/>
          <w:szCs w:val="22"/>
          <w:lang w:val="sq-AL"/>
        </w:rPr>
        <w:t>r.2 dhe lagjja e re, qytet Burrel me vlerë 86</w:t>
      </w:r>
      <w:r w:rsidR="00A50ADB">
        <w:rPr>
          <w:rFonts w:asciiTheme="majorHAnsi" w:eastAsia="Calibri" w:hAnsiTheme="majorHAnsi" w:cs="Calibri Light"/>
          <w:i/>
          <w:szCs w:val="22"/>
          <w:lang w:val="sq-AL"/>
        </w:rPr>
        <w:t>mln</w:t>
      </w:r>
      <w:r w:rsidRPr="002617BE">
        <w:rPr>
          <w:rFonts w:asciiTheme="majorHAnsi" w:eastAsia="Calibri" w:hAnsiTheme="majorHAnsi" w:cs="Calibri Light"/>
          <w:i/>
          <w:szCs w:val="22"/>
          <w:lang w:val="sq-AL"/>
        </w:rPr>
        <w:t xml:space="preserve">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Ujësjellësi fshatit Bishqem Xhami dhe ndërtim Pusi në fshatin Bardhës me vlerë 57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Mbulimi me rrjet Kanalizimi per fshatin e Gurrasit dhe zona e Drilonit,Pogradec me vlerë 72</w:t>
      </w:r>
      <w:r w:rsidR="00A50ADB">
        <w:rPr>
          <w:rFonts w:asciiTheme="majorHAnsi" w:eastAsia="Calibri" w:hAnsiTheme="majorHAnsi" w:cs="Calibri Light"/>
          <w:i/>
          <w:szCs w:val="22"/>
          <w:lang w:val="sq-AL"/>
        </w:rPr>
        <w:t>mln</w:t>
      </w:r>
      <w:r w:rsidRPr="002617BE">
        <w:rPr>
          <w:rFonts w:asciiTheme="majorHAnsi" w:eastAsia="Calibri" w:hAnsiTheme="majorHAnsi" w:cs="Calibri Light"/>
          <w:i/>
          <w:szCs w:val="22"/>
          <w:lang w:val="sq-AL"/>
        </w:rPr>
        <w:t xml:space="preserve">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Ujësjellësit i fshatit Luf , bashkia Puke me vlerë 96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Rikonstruksion i ujesjellesit Ksamil(Depo+Rrjeti shperndares-lagjja nr.3</w:t>
      </w:r>
      <w:r w:rsidR="00A50ADB">
        <w:rPr>
          <w:rFonts w:asciiTheme="majorHAnsi" w:eastAsia="Calibri" w:hAnsiTheme="majorHAnsi" w:cs="Calibri Light"/>
          <w:i/>
          <w:szCs w:val="22"/>
          <w:lang w:val="sq-AL"/>
        </w:rPr>
        <w:t xml:space="preserve"> e n</w:t>
      </w:r>
      <w:r w:rsidRPr="002617BE">
        <w:rPr>
          <w:rFonts w:asciiTheme="majorHAnsi" w:eastAsia="Calibri" w:hAnsiTheme="majorHAnsi" w:cs="Calibri Light"/>
          <w:i/>
          <w:szCs w:val="22"/>
          <w:lang w:val="sq-AL"/>
        </w:rPr>
        <w:t>r.4) me vlerë 157</w:t>
      </w:r>
      <w:r w:rsidR="00A50ADB">
        <w:rPr>
          <w:rFonts w:asciiTheme="majorHAnsi" w:eastAsia="Calibri" w:hAnsiTheme="majorHAnsi" w:cs="Calibri Light"/>
          <w:i/>
          <w:szCs w:val="22"/>
          <w:lang w:val="sq-AL"/>
        </w:rPr>
        <w:t>mln</w:t>
      </w:r>
      <w:r w:rsidRPr="002617BE">
        <w:rPr>
          <w:rFonts w:asciiTheme="majorHAnsi" w:eastAsia="Calibri" w:hAnsiTheme="majorHAnsi" w:cs="Calibri Light"/>
          <w:i/>
          <w:szCs w:val="22"/>
          <w:lang w:val="sq-AL"/>
        </w:rPr>
        <w:t xml:space="preserve"> lekë</w:t>
      </w:r>
      <w:r w:rsidR="00A50ADB">
        <w:rPr>
          <w:rFonts w:asciiTheme="majorHAnsi" w:eastAsia="Calibri" w:hAnsiTheme="majorHAnsi" w:cs="Calibri Light"/>
          <w:i/>
          <w:szCs w:val="22"/>
          <w:lang w:val="sq-AL"/>
        </w:rPr>
        <w:t>;</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Furnizimi me ujë i fshtatrave Gjerbes dhe Kakruk, bashkia Skrapar me vlerë 107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Rikonstruksioni i rrjetit te jashtem dhe te brendshem te ujesjellesit ne fshatrat Sinanaj,</w:t>
      </w:r>
      <w:r w:rsidR="00EE419E">
        <w:rPr>
          <w:rFonts w:asciiTheme="majorHAnsi" w:eastAsia="Calibri" w:hAnsiTheme="majorHAnsi" w:cs="Calibri Light"/>
          <w:i/>
          <w:szCs w:val="22"/>
          <w:lang w:val="sq-AL"/>
        </w:rPr>
        <w:t xml:space="preserve"> </w:t>
      </w:r>
      <w:r w:rsidRPr="002617BE">
        <w:rPr>
          <w:rFonts w:asciiTheme="majorHAnsi" w:eastAsia="Calibri" w:hAnsiTheme="majorHAnsi" w:cs="Calibri Light"/>
          <w:i/>
          <w:szCs w:val="22"/>
          <w:lang w:val="sq-AL"/>
        </w:rPr>
        <w:t>Dhemblan dhe Progonat, Bashkia Tepelene me vlerë 126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Rrjeti shperndares I ujesjellesit Prrenjas me vlerë 214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Rikonstruksion i rrjetit te brendshem te fshatit Xarre me vlerë 58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Ujësjellësi  i Vau- Dejes me vlerë 164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Rikonstruksion I ujesjellesit Klos dhe zonave perreth, Lugina e Klosit, Lagjia Dalti, Ura e Deges, Bashkia Klos me vlerë 99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Rrjeti shpendarës i Urës Vajgurore me vlerë 72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Pompat per UK Vore,stacioni i pompimit, Fushe Preze,Uk Vore me vlerë 24 milionë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Rikonstruksion i rrjetit  shperndares Selenicë Kote dhe Armen,Bashkia Selenice me vlerë 93</w:t>
      </w:r>
      <w:r w:rsidR="00A50ADB">
        <w:rPr>
          <w:rFonts w:asciiTheme="majorHAnsi" w:eastAsia="Calibri" w:hAnsiTheme="majorHAnsi" w:cs="Calibri Light"/>
          <w:i/>
          <w:szCs w:val="22"/>
          <w:lang w:val="sq-AL"/>
        </w:rPr>
        <w:t>mln</w:t>
      </w:r>
      <w:r w:rsidRPr="002617BE">
        <w:rPr>
          <w:rFonts w:asciiTheme="majorHAnsi" w:eastAsia="Calibri" w:hAnsiTheme="majorHAnsi" w:cs="Calibri Light"/>
          <w:i/>
          <w:szCs w:val="22"/>
          <w:lang w:val="sq-AL"/>
        </w:rPr>
        <w:t xml:space="preserve"> lekë;</w:t>
      </w:r>
    </w:p>
    <w:p w:rsidR="00B552CA" w:rsidRPr="002617BE" w:rsidRDefault="00B552CA" w:rsidP="00C71069">
      <w:pPr>
        <w:pStyle w:val="ListParagraph"/>
        <w:numPr>
          <w:ilvl w:val="0"/>
          <w:numId w:val="25"/>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Ndertim i KUZ ne bllokun mbi rrugen 5,Lagjja Nr.3,Sarande me vlerë 38 milionë lekë etj.</w:t>
      </w:r>
    </w:p>
    <w:p w:rsidR="00B552CA" w:rsidRPr="00B552CA" w:rsidRDefault="00B552CA" w:rsidP="00B552CA">
      <w:pPr>
        <w:pStyle w:val="ListParagraph"/>
        <w:spacing w:before="0" w:line="240" w:lineRule="auto"/>
        <w:ind w:left="900"/>
        <w:rPr>
          <w:rFonts w:asciiTheme="majorHAnsi" w:eastAsia="Calibri" w:hAnsiTheme="majorHAnsi" w:cs="Calibri Light"/>
          <w:i/>
          <w:sz w:val="12"/>
          <w:szCs w:val="22"/>
          <w:lang w:val="sq-AL"/>
        </w:rPr>
      </w:pPr>
    </w:p>
    <w:p w:rsidR="00B552CA" w:rsidRPr="002617BE" w:rsidRDefault="00B552CA" w:rsidP="00C71069">
      <w:pPr>
        <w:pStyle w:val="ListParagraph"/>
        <w:numPr>
          <w:ilvl w:val="0"/>
          <w:numId w:val="16"/>
        </w:numPr>
        <w:spacing w:before="0" w:line="240" w:lineRule="auto"/>
        <w:rPr>
          <w:rFonts w:asciiTheme="majorHAnsi" w:eastAsia="Calibri" w:hAnsiTheme="majorHAnsi" w:cs="Calibri Light"/>
          <w:color w:val="000000" w:themeColor="text1"/>
          <w:szCs w:val="22"/>
          <w:lang w:val="sq-AL"/>
        </w:rPr>
      </w:pPr>
      <w:r w:rsidRPr="002617BE">
        <w:rPr>
          <w:rFonts w:asciiTheme="majorHAnsi" w:eastAsia="Calibri" w:hAnsiTheme="majorHAnsi" w:cs="Calibri Light"/>
          <w:b/>
          <w:color w:val="000000" w:themeColor="text1"/>
          <w:szCs w:val="22"/>
          <w:lang w:val="sq-AL"/>
        </w:rPr>
        <w:t xml:space="preserve">Programi “Planifikimi, Menaxhimi dhe Administrimi” </w:t>
      </w:r>
      <w:r w:rsidRPr="002617BE">
        <w:rPr>
          <w:rFonts w:asciiTheme="majorHAnsi" w:eastAsia="Calibri" w:hAnsiTheme="majorHAnsi" w:cs="Calibri Light"/>
          <w:color w:val="000000" w:themeColor="text1"/>
          <w:szCs w:val="22"/>
          <w:lang w:val="sq-AL"/>
        </w:rPr>
        <w:t>është kryer rikonstruksiooni i godinës së Institutit të Ndërtimit në vlerën e 67 milionë lekë;</w:t>
      </w:r>
    </w:p>
    <w:p w:rsidR="00B552CA" w:rsidRPr="00B552CA" w:rsidRDefault="00B552CA" w:rsidP="00B552CA">
      <w:pPr>
        <w:pStyle w:val="ListParagraph"/>
        <w:spacing w:before="0" w:line="240" w:lineRule="auto"/>
        <w:ind w:left="630"/>
        <w:rPr>
          <w:rFonts w:asciiTheme="majorHAnsi" w:eastAsia="Calibri" w:hAnsiTheme="majorHAnsi" w:cs="Calibri Light"/>
          <w:color w:val="000000" w:themeColor="text1"/>
          <w:sz w:val="12"/>
          <w:szCs w:val="12"/>
          <w:lang w:val="sq-AL"/>
        </w:rPr>
      </w:pPr>
    </w:p>
    <w:p w:rsidR="00B552CA" w:rsidRPr="002617BE" w:rsidRDefault="00B552CA" w:rsidP="00C71069">
      <w:pPr>
        <w:pStyle w:val="ListParagraph"/>
        <w:numPr>
          <w:ilvl w:val="0"/>
          <w:numId w:val="16"/>
        </w:numPr>
        <w:spacing w:before="0" w:line="240" w:lineRule="auto"/>
        <w:rPr>
          <w:rFonts w:asciiTheme="majorHAnsi" w:eastAsia="Calibri" w:hAnsiTheme="majorHAnsi" w:cs="Calibri Light"/>
          <w:color w:val="000000" w:themeColor="text1"/>
          <w:szCs w:val="22"/>
          <w:lang w:val="sq-AL"/>
        </w:rPr>
      </w:pPr>
      <w:r w:rsidRPr="002617BE">
        <w:rPr>
          <w:rFonts w:asciiTheme="majorHAnsi" w:eastAsia="Calibri" w:hAnsiTheme="majorHAnsi" w:cs="Calibri Light"/>
          <w:b/>
          <w:color w:val="000000" w:themeColor="text1"/>
          <w:szCs w:val="22"/>
          <w:lang w:val="sq-AL"/>
        </w:rPr>
        <w:t>Programi “</w:t>
      </w:r>
      <w:r w:rsidRPr="002617BE">
        <w:rPr>
          <w:rFonts w:asciiTheme="majorHAnsi" w:eastAsia="Calibri" w:hAnsiTheme="majorHAnsi" w:cs="Calibri Light"/>
          <w:b/>
          <w:i/>
          <w:color w:val="000000" w:themeColor="text1"/>
          <w:szCs w:val="22"/>
          <w:lang w:val="sq-AL"/>
        </w:rPr>
        <w:t>Mbështetje për energjinë</w:t>
      </w:r>
      <w:r w:rsidRPr="002617BE">
        <w:rPr>
          <w:rFonts w:asciiTheme="majorHAnsi" w:eastAsia="Calibri" w:hAnsiTheme="majorHAnsi" w:cs="Calibri Light"/>
          <w:color w:val="000000" w:themeColor="text1"/>
          <w:szCs w:val="22"/>
          <w:lang w:val="sq-AL"/>
        </w:rPr>
        <w:t>” kanë përfunduar 9 kontrata me vlerë rreth 225 milionë lekë:</w:t>
      </w:r>
    </w:p>
    <w:p w:rsidR="00B552CA" w:rsidRPr="002617BE" w:rsidRDefault="00B552CA" w:rsidP="00C71069">
      <w:pPr>
        <w:pStyle w:val="ListParagraph"/>
        <w:numPr>
          <w:ilvl w:val="0"/>
          <w:numId w:val="27"/>
        </w:numPr>
        <w:spacing w:before="0" w:line="240" w:lineRule="auto"/>
        <w:rPr>
          <w:rFonts w:asciiTheme="majorHAnsi" w:eastAsia="Calibri" w:hAnsiTheme="majorHAnsi" w:cs="Calibri Light"/>
          <w:i/>
          <w:color w:val="000000" w:themeColor="text1"/>
          <w:szCs w:val="22"/>
          <w:lang w:val="sq-AL"/>
        </w:rPr>
      </w:pPr>
      <w:r w:rsidRPr="002617BE">
        <w:rPr>
          <w:rFonts w:asciiTheme="majorHAnsi" w:eastAsia="Calibri" w:hAnsiTheme="majorHAnsi" w:cs="Calibri Light"/>
          <w:i/>
          <w:szCs w:val="22"/>
          <w:lang w:val="sq-AL"/>
        </w:rPr>
        <w:t>Projekt ide, studim fisibiliteti dhe projekt zbatimi i sistemit te ngrohjes qendrore te Korçës duke perjashtuar lenden drusore (projekt i ri)  me vlerë rreth 38 milionë lekë;</w:t>
      </w:r>
    </w:p>
    <w:p w:rsidR="00B552CA" w:rsidRPr="002617BE" w:rsidRDefault="00B552CA" w:rsidP="00C71069">
      <w:pPr>
        <w:pStyle w:val="ListParagraph"/>
        <w:numPr>
          <w:ilvl w:val="0"/>
          <w:numId w:val="27"/>
        </w:numPr>
        <w:spacing w:before="0" w:line="240" w:lineRule="auto"/>
        <w:rPr>
          <w:rFonts w:asciiTheme="majorHAnsi" w:eastAsia="Calibri" w:hAnsiTheme="majorHAnsi" w:cs="Calibri Light"/>
          <w:i/>
          <w:color w:val="000000" w:themeColor="text1"/>
          <w:szCs w:val="22"/>
          <w:lang w:val="sq-AL"/>
        </w:rPr>
      </w:pPr>
      <w:r w:rsidRPr="002617BE">
        <w:rPr>
          <w:rFonts w:asciiTheme="majorHAnsi" w:eastAsia="Calibri" w:hAnsiTheme="majorHAnsi" w:cs="Calibri Light"/>
          <w:i/>
          <w:color w:val="000000" w:themeColor="text1"/>
          <w:szCs w:val="22"/>
          <w:lang w:val="sq-AL"/>
        </w:rPr>
        <w:t>Studimi i plote i fisibilitetit per vendosjen e Kullave te Karikimit per makinat elektrike ne Republiken e Shqiperise me vlerë 79 milionë lekë;</w:t>
      </w:r>
    </w:p>
    <w:p w:rsidR="00B552CA" w:rsidRPr="002617BE" w:rsidRDefault="00B552CA" w:rsidP="00C71069">
      <w:pPr>
        <w:pStyle w:val="ListParagraph"/>
        <w:numPr>
          <w:ilvl w:val="0"/>
          <w:numId w:val="27"/>
        </w:numPr>
        <w:spacing w:before="0" w:line="240" w:lineRule="auto"/>
        <w:rPr>
          <w:rFonts w:asciiTheme="majorHAnsi" w:eastAsia="Calibri" w:hAnsiTheme="majorHAnsi" w:cs="Calibri Light"/>
          <w:i/>
          <w:color w:val="000000" w:themeColor="text1"/>
          <w:szCs w:val="22"/>
          <w:lang w:val="sq-AL"/>
        </w:rPr>
      </w:pPr>
      <w:r w:rsidRPr="002617BE">
        <w:rPr>
          <w:rFonts w:asciiTheme="majorHAnsi" w:eastAsia="Calibri" w:hAnsiTheme="majorHAnsi" w:cs="Calibri Light"/>
          <w:i/>
          <w:color w:val="000000" w:themeColor="text1"/>
          <w:szCs w:val="22"/>
          <w:lang w:val="sq-AL"/>
        </w:rPr>
        <w:t>Projekt Pilot për përmirësimin e Eficencës së Energjisë në impiantet e trajtimit të ujërave të zeza me vlerë 62 milionë lekë etj</w:t>
      </w:r>
    </w:p>
    <w:p w:rsidR="00B552CA" w:rsidRPr="00B552CA" w:rsidRDefault="00B552CA" w:rsidP="00EE419E">
      <w:pPr>
        <w:pStyle w:val="ListParagraph"/>
        <w:spacing w:before="0" w:line="240" w:lineRule="auto"/>
        <w:ind w:left="630"/>
        <w:rPr>
          <w:rFonts w:asciiTheme="majorHAnsi" w:eastAsia="Calibri" w:hAnsiTheme="majorHAnsi" w:cs="Calibri Light"/>
          <w:color w:val="000000" w:themeColor="text1"/>
          <w:sz w:val="12"/>
          <w:szCs w:val="12"/>
          <w:lang w:val="sq-AL"/>
        </w:rPr>
      </w:pPr>
    </w:p>
    <w:p w:rsidR="00B552CA" w:rsidRPr="002617BE" w:rsidRDefault="00B552CA" w:rsidP="00C71069">
      <w:pPr>
        <w:pStyle w:val="ListParagraph"/>
        <w:numPr>
          <w:ilvl w:val="0"/>
          <w:numId w:val="16"/>
        </w:numPr>
        <w:spacing w:before="0" w:line="240" w:lineRule="auto"/>
        <w:rPr>
          <w:rFonts w:asciiTheme="majorHAnsi" w:eastAsia="Calibri" w:hAnsiTheme="majorHAnsi" w:cs="Calibri Light"/>
          <w:color w:val="000000" w:themeColor="text1"/>
          <w:szCs w:val="22"/>
          <w:lang w:val="sq-AL"/>
        </w:rPr>
      </w:pPr>
      <w:r w:rsidRPr="00B552CA">
        <w:rPr>
          <w:rFonts w:asciiTheme="majorHAnsi" w:eastAsia="Calibri" w:hAnsiTheme="majorHAnsi" w:cs="Calibri Light"/>
          <w:b/>
          <w:color w:val="000000" w:themeColor="text1"/>
          <w:szCs w:val="22"/>
          <w:lang w:val="sq-AL"/>
        </w:rPr>
        <w:t>Programi “</w:t>
      </w:r>
      <w:r w:rsidRPr="002617BE">
        <w:rPr>
          <w:rFonts w:asciiTheme="majorHAnsi" w:eastAsia="Calibri" w:hAnsiTheme="majorHAnsi" w:cs="Calibri Light"/>
          <w:b/>
          <w:i/>
          <w:color w:val="000000" w:themeColor="text1"/>
          <w:szCs w:val="22"/>
          <w:lang w:val="sq-AL"/>
        </w:rPr>
        <w:t>Menaxhimi i mbetjeve urbane</w:t>
      </w:r>
      <w:r w:rsidRPr="002617BE">
        <w:rPr>
          <w:rFonts w:asciiTheme="majorHAnsi" w:eastAsia="Calibri" w:hAnsiTheme="majorHAnsi" w:cs="Calibri Light"/>
          <w:color w:val="000000" w:themeColor="text1"/>
          <w:szCs w:val="22"/>
          <w:lang w:val="sq-AL"/>
        </w:rPr>
        <w:t>” përfunduar “Impjanti i prodhimit të energjisë nga mbetjet në Fier” me vlerë rreth 4. 5 miliardë lekë.</w:t>
      </w:r>
    </w:p>
    <w:p w:rsidR="007B7B50" w:rsidRDefault="007B7B50" w:rsidP="00B552CA">
      <w:pPr>
        <w:shd w:val="clear" w:color="auto" w:fill="FFFFFF" w:themeFill="background1"/>
        <w:rPr>
          <w:rFonts w:eastAsia="Calibri" w:cs="Calibri"/>
          <w:lang w:val="sq-AL"/>
        </w:rPr>
      </w:pPr>
    </w:p>
    <w:p w:rsidR="004E5E8E" w:rsidRDefault="004E5E8E" w:rsidP="00B552CA">
      <w:pPr>
        <w:shd w:val="clear" w:color="auto" w:fill="FFFFFF" w:themeFill="background1"/>
        <w:rPr>
          <w:rFonts w:eastAsia="Calibri" w:cs="Calibri"/>
          <w:lang w:val="sq-AL"/>
        </w:rPr>
      </w:pPr>
    </w:p>
    <w:p w:rsidR="001A7510" w:rsidRDefault="001A7510" w:rsidP="00B552CA">
      <w:pPr>
        <w:shd w:val="clear" w:color="auto" w:fill="FFFFFF" w:themeFill="background1"/>
        <w:rPr>
          <w:rFonts w:eastAsia="Calibri" w:cs="Calibri"/>
          <w:lang w:val="sq-AL"/>
        </w:rPr>
      </w:pPr>
    </w:p>
    <w:p w:rsidR="001A7510" w:rsidRDefault="001A7510" w:rsidP="00B552CA">
      <w:pPr>
        <w:shd w:val="clear" w:color="auto" w:fill="FFFFFF" w:themeFill="background1"/>
        <w:rPr>
          <w:rFonts w:eastAsia="Calibri" w:cs="Calibri"/>
          <w:lang w:val="sq-AL"/>
        </w:rPr>
      </w:pPr>
    </w:p>
    <w:p w:rsidR="001A7510" w:rsidRDefault="001A7510" w:rsidP="00B552CA">
      <w:pPr>
        <w:shd w:val="clear" w:color="auto" w:fill="FFFFFF" w:themeFill="background1"/>
        <w:rPr>
          <w:rFonts w:eastAsia="Calibri" w:cs="Calibri"/>
          <w:lang w:val="sq-AL"/>
        </w:rPr>
      </w:pPr>
    </w:p>
    <w:p w:rsidR="001A7510" w:rsidRDefault="001A7510" w:rsidP="00B552CA">
      <w:pPr>
        <w:shd w:val="clear" w:color="auto" w:fill="FFFFFF" w:themeFill="background1"/>
        <w:rPr>
          <w:rFonts w:eastAsia="Calibri" w:cs="Calibri"/>
          <w:lang w:val="sq-AL"/>
        </w:rPr>
      </w:pPr>
    </w:p>
    <w:p w:rsidR="007B7B50" w:rsidRPr="00476D2E" w:rsidRDefault="007B7B50" w:rsidP="00FC729E">
      <w:pPr>
        <w:pStyle w:val="fiskale3"/>
        <w:rPr>
          <w:rFonts w:ascii="Calibri" w:hAnsi="Calibri" w:cs="Calibri"/>
          <w:b/>
        </w:rPr>
      </w:pPr>
      <w:bookmarkStart w:id="269" w:name="_Toc10033298"/>
      <w:bookmarkStart w:id="270" w:name="_Toc10721434"/>
      <w:bookmarkStart w:id="271" w:name="_Toc104980364"/>
      <w:r w:rsidRPr="00476D2E">
        <w:rPr>
          <w:rFonts w:ascii="Calibri" w:hAnsi="Calibri" w:cs="Calibri"/>
          <w:b/>
        </w:rPr>
        <w:lastRenderedPageBreak/>
        <w:t>Turizmi dhe Mjedisi</w:t>
      </w:r>
      <w:bookmarkEnd w:id="269"/>
      <w:bookmarkEnd w:id="270"/>
      <w:bookmarkEnd w:id="271"/>
    </w:p>
    <w:p w:rsidR="007B7B50" w:rsidRPr="00476D2E" w:rsidRDefault="007B7B50" w:rsidP="00EE419E">
      <w:pPr>
        <w:spacing w:before="0" w:line="240" w:lineRule="auto"/>
        <w:rPr>
          <w:rFonts w:cs="Calibri"/>
          <w:color w:val="000000"/>
          <w:lang w:val="sq-AL"/>
        </w:rPr>
      </w:pPr>
      <w:r w:rsidRPr="00476D2E">
        <w:rPr>
          <w:rFonts w:cs="Calibri"/>
          <w:color w:val="000000"/>
          <w:lang w:val="sq-AL"/>
        </w:rPr>
        <w:t>Performanca e treguesve buxhetorë për programet kryesore në Ministrinë e Mjedis</w:t>
      </w:r>
      <w:r w:rsidR="00AB7A9F">
        <w:rPr>
          <w:rFonts w:cs="Calibri"/>
          <w:color w:val="000000"/>
          <w:lang w:val="sq-AL"/>
        </w:rPr>
        <w:t>it dhe Turizmit paraqitet si më</w:t>
      </w:r>
      <w:r w:rsidRPr="00476D2E">
        <w:rPr>
          <w:rFonts w:cs="Calibri"/>
          <w:color w:val="000000"/>
          <w:lang w:val="sq-AL"/>
        </w:rPr>
        <w:t>poshtë:</w:t>
      </w:r>
    </w:p>
    <w:p w:rsidR="007B7B50" w:rsidRPr="00476D2E" w:rsidRDefault="007B7B50" w:rsidP="00EE419E">
      <w:pPr>
        <w:pStyle w:val="Caption"/>
        <w:spacing w:after="0" w:line="240" w:lineRule="auto"/>
        <w:rPr>
          <w:rFonts w:cs="Calibri"/>
          <w:lang w:val="sq-AL"/>
        </w:rPr>
      </w:pPr>
      <w:bookmarkStart w:id="272" w:name="_Toc136526355"/>
      <w:r w:rsidRPr="00476D2E">
        <w:rPr>
          <w:rFonts w:cs="Calibri"/>
          <w:lang w:val="sq-AL"/>
        </w:rPr>
        <w:t xml:space="preserve">Tabela </w:t>
      </w:r>
      <w:r w:rsidRPr="00476D2E">
        <w:rPr>
          <w:rFonts w:cs="Calibri"/>
          <w:lang w:val="sq-AL"/>
        </w:rPr>
        <w:fldChar w:fldCharType="begin"/>
      </w:r>
      <w:r w:rsidRPr="00476D2E">
        <w:rPr>
          <w:rFonts w:cs="Calibri"/>
          <w:lang w:val="sq-AL"/>
        </w:rPr>
        <w:instrText xml:space="preserve"> SEQ Tabela \* ARABIC </w:instrText>
      </w:r>
      <w:r w:rsidRPr="00476D2E">
        <w:rPr>
          <w:rFonts w:cs="Calibri"/>
          <w:lang w:val="sq-AL"/>
        </w:rPr>
        <w:fldChar w:fldCharType="separate"/>
      </w:r>
      <w:r w:rsidR="008C3E07">
        <w:rPr>
          <w:rFonts w:cs="Calibri"/>
          <w:noProof/>
          <w:lang w:val="sq-AL"/>
        </w:rPr>
        <w:t>29</w:t>
      </w:r>
      <w:r w:rsidRPr="00476D2E">
        <w:rPr>
          <w:rFonts w:cs="Calibri"/>
          <w:noProof/>
          <w:lang w:val="sq-AL"/>
        </w:rPr>
        <w:fldChar w:fldCharType="end"/>
      </w:r>
      <w:r w:rsidRPr="00476D2E">
        <w:rPr>
          <w:rFonts w:cs="Calibri"/>
          <w:lang w:val="sq-AL"/>
        </w:rPr>
        <w:t xml:space="preserve"> Realizimi i buxhetit 202</w:t>
      </w:r>
      <w:r w:rsidR="00EC35CB">
        <w:rPr>
          <w:rFonts w:cs="Calibri"/>
          <w:lang w:val="sq-AL"/>
        </w:rPr>
        <w:t>2</w:t>
      </w:r>
      <w:r w:rsidRPr="00476D2E">
        <w:rPr>
          <w:rFonts w:cs="Calibri"/>
          <w:lang w:val="sq-AL"/>
        </w:rPr>
        <w:t xml:space="preserve"> për Ministrinë e Turi</w:t>
      </w:r>
      <w:r w:rsidR="00746150" w:rsidRPr="00476D2E">
        <w:rPr>
          <w:rFonts w:cs="Calibri"/>
          <w:lang w:val="sq-AL"/>
        </w:rPr>
        <w:t>z</w:t>
      </w:r>
      <w:r w:rsidRPr="00476D2E">
        <w:rPr>
          <w:rFonts w:cs="Calibri"/>
          <w:lang w:val="sq-AL"/>
        </w:rPr>
        <w:t>mit dhe Mjedisit</w:t>
      </w:r>
      <w:bookmarkEnd w:id="272"/>
      <w:r w:rsidRPr="00476D2E">
        <w:rPr>
          <w:rFonts w:cs="Calibri"/>
          <w:lang w:val="sq-AL"/>
        </w:rPr>
        <w:t xml:space="preserve"> </w:t>
      </w:r>
    </w:p>
    <w:tbl>
      <w:tblPr>
        <w:tblW w:w="10800" w:type="dxa"/>
        <w:jc w:val="center"/>
        <w:tblLook w:val="04A0" w:firstRow="1" w:lastRow="0" w:firstColumn="1" w:lastColumn="0" w:noHBand="0" w:noVBand="1"/>
      </w:tblPr>
      <w:tblGrid>
        <w:gridCol w:w="2314"/>
        <w:gridCol w:w="933"/>
        <w:gridCol w:w="936"/>
        <w:gridCol w:w="932"/>
        <w:gridCol w:w="936"/>
        <w:gridCol w:w="932"/>
        <w:gridCol w:w="936"/>
        <w:gridCol w:w="649"/>
        <w:gridCol w:w="792"/>
        <w:gridCol w:w="630"/>
        <w:gridCol w:w="810"/>
      </w:tblGrid>
      <w:tr w:rsidR="006E5E97" w:rsidRPr="006E5E97" w:rsidTr="006E5E97">
        <w:trPr>
          <w:trHeight w:val="480"/>
          <w:jc w:val="center"/>
        </w:trPr>
        <w:tc>
          <w:tcPr>
            <w:tcW w:w="2313" w:type="dxa"/>
            <w:tcBorders>
              <w:top w:val="single" w:sz="8" w:space="0" w:color="B8CCE4"/>
              <w:left w:val="single" w:sz="8" w:space="0" w:color="B8CCE4"/>
              <w:bottom w:val="single" w:sz="12" w:space="0" w:color="95B3D7"/>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Programibuxhetor</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Planifillestar 2022</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Plani i rishikuar 2022</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Fakti 2022</w:t>
            </w:r>
          </w:p>
        </w:tc>
        <w:tc>
          <w:tcPr>
            <w:tcW w:w="1396"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color w:val="FFFFFF"/>
                <w:sz w:val="16"/>
                <w:szCs w:val="18"/>
              </w:rPr>
            </w:pPr>
            <w:r w:rsidRPr="006E5E97">
              <w:rPr>
                <w:rFonts w:asciiTheme="majorHAnsi" w:hAnsiTheme="majorHAnsi"/>
                <w:color w:val="FFFFFF"/>
                <w:sz w:val="16"/>
                <w:szCs w:val="18"/>
              </w:rPr>
              <w:t>Diferenca</w:t>
            </w:r>
            <w:r>
              <w:rPr>
                <w:rFonts w:asciiTheme="majorHAnsi" w:hAnsiTheme="majorHAnsi"/>
                <w:color w:val="FFFFFF"/>
                <w:sz w:val="16"/>
                <w:szCs w:val="18"/>
              </w:rPr>
              <w:t xml:space="preserve"> </w:t>
            </w:r>
            <w:r w:rsidRPr="006E5E97">
              <w:rPr>
                <w:rFonts w:asciiTheme="majorHAnsi" w:hAnsiTheme="majorHAnsi"/>
                <w:color w:val="FFFFFF"/>
                <w:sz w:val="16"/>
                <w:szCs w:val="18"/>
              </w:rPr>
              <w:t>në % me planin</w:t>
            </w:r>
            <w:r>
              <w:rPr>
                <w:rFonts w:asciiTheme="majorHAnsi" w:hAnsiTheme="majorHAnsi"/>
                <w:color w:val="FFFFFF"/>
                <w:sz w:val="16"/>
                <w:szCs w:val="18"/>
              </w:rPr>
              <w:t xml:space="preserve"> </w:t>
            </w:r>
            <w:r w:rsidRPr="006E5E97">
              <w:rPr>
                <w:rFonts w:asciiTheme="majorHAnsi" w:hAnsiTheme="majorHAnsi"/>
                <w:color w:val="FFFFFF"/>
                <w:sz w:val="16"/>
                <w:szCs w:val="18"/>
              </w:rPr>
              <w:t>fillestar</w:t>
            </w:r>
          </w:p>
        </w:tc>
        <w:tc>
          <w:tcPr>
            <w:tcW w:w="144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color w:val="FFFFFF"/>
                <w:sz w:val="16"/>
                <w:szCs w:val="18"/>
              </w:rPr>
            </w:pPr>
            <w:r w:rsidRPr="006E5E97">
              <w:rPr>
                <w:rFonts w:asciiTheme="majorHAnsi" w:hAnsiTheme="majorHAnsi"/>
                <w:color w:val="FFFFFF"/>
                <w:sz w:val="16"/>
                <w:szCs w:val="18"/>
              </w:rPr>
              <w:t>Diferenca</w:t>
            </w:r>
            <w:r>
              <w:rPr>
                <w:rFonts w:asciiTheme="majorHAnsi" w:hAnsiTheme="majorHAnsi"/>
                <w:color w:val="FFFFFF"/>
                <w:sz w:val="16"/>
                <w:szCs w:val="18"/>
              </w:rPr>
              <w:t xml:space="preserve"> </w:t>
            </w:r>
            <w:r w:rsidRPr="006E5E97">
              <w:rPr>
                <w:rFonts w:asciiTheme="majorHAnsi" w:hAnsiTheme="majorHAnsi"/>
                <w:color w:val="FFFFFF"/>
                <w:sz w:val="16"/>
                <w:szCs w:val="18"/>
              </w:rPr>
              <w:t>në % me planin e rishikuar</w:t>
            </w:r>
          </w:p>
        </w:tc>
      </w:tr>
      <w:tr w:rsidR="006E5E97" w:rsidRPr="006E5E97" w:rsidTr="006E5E97">
        <w:trPr>
          <w:trHeight w:val="330"/>
          <w:jc w:val="center"/>
        </w:trPr>
        <w:tc>
          <w:tcPr>
            <w:tcW w:w="2313" w:type="dxa"/>
            <w:tcBorders>
              <w:top w:val="nil"/>
              <w:left w:val="single" w:sz="8" w:space="0" w:color="B8CCE4"/>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i/>
                <w:iCs/>
                <w:color w:val="FFFFFF"/>
                <w:sz w:val="16"/>
                <w:szCs w:val="18"/>
              </w:rPr>
            </w:pPr>
            <w:r w:rsidRPr="006E5E97">
              <w:rPr>
                <w:rFonts w:asciiTheme="majorHAnsi" w:hAnsiTheme="majorHAnsi"/>
                <w:b/>
                <w:bCs/>
                <w:i/>
                <w:iCs/>
                <w:color w:val="FFFFFF"/>
                <w:sz w:val="16"/>
                <w:szCs w:val="18"/>
              </w:rPr>
              <w:t>(nëmijëlekë)</w:t>
            </w:r>
          </w:p>
        </w:tc>
        <w:tc>
          <w:tcPr>
            <w:tcW w:w="0" w:type="auto"/>
            <w:tcBorders>
              <w:top w:val="nil"/>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Korrente</w:t>
            </w:r>
          </w:p>
        </w:tc>
        <w:tc>
          <w:tcPr>
            <w:tcW w:w="0" w:type="auto"/>
            <w:tcBorders>
              <w:top w:val="nil"/>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Investime</w:t>
            </w:r>
          </w:p>
        </w:tc>
        <w:tc>
          <w:tcPr>
            <w:tcW w:w="0" w:type="auto"/>
            <w:tcBorders>
              <w:top w:val="nil"/>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Korrente</w:t>
            </w:r>
          </w:p>
        </w:tc>
        <w:tc>
          <w:tcPr>
            <w:tcW w:w="0" w:type="auto"/>
            <w:tcBorders>
              <w:top w:val="nil"/>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Investime</w:t>
            </w:r>
          </w:p>
        </w:tc>
        <w:tc>
          <w:tcPr>
            <w:tcW w:w="0" w:type="auto"/>
            <w:tcBorders>
              <w:top w:val="nil"/>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Korrente</w:t>
            </w:r>
          </w:p>
        </w:tc>
        <w:tc>
          <w:tcPr>
            <w:tcW w:w="0" w:type="auto"/>
            <w:tcBorders>
              <w:top w:val="nil"/>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Investime</w:t>
            </w:r>
          </w:p>
        </w:tc>
        <w:tc>
          <w:tcPr>
            <w:tcW w:w="0" w:type="auto"/>
            <w:tcBorders>
              <w:top w:val="nil"/>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Korr.</w:t>
            </w:r>
          </w:p>
        </w:tc>
        <w:tc>
          <w:tcPr>
            <w:tcW w:w="752" w:type="dxa"/>
            <w:tcBorders>
              <w:top w:val="nil"/>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color w:val="FFFFFF"/>
                <w:sz w:val="16"/>
                <w:szCs w:val="18"/>
              </w:rPr>
            </w:pPr>
            <w:r w:rsidRPr="006E5E97">
              <w:rPr>
                <w:rFonts w:asciiTheme="majorHAnsi" w:hAnsiTheme="majorHAnsi"/>
                <w:color w:val="FFFFFF"/>
                <w:sz w:val="16"/>
                <w:szCs w:val="18"/>
              </w:rPr>
              <w:t>Inv.</w:t>
            </w:r>
          </w:p>
        </w:tc>
        <w:tc>
          <w:tcPr>
            <w:tcW w:w="630" w:type="dxa"/>
            <w:tcBorders>
              <w:top w:val="nil"/>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Korr.</w:t>
            </w:r>
          </w:p>
        </w:tc>
        <w:tc>
          <w:tcPr>
            <w:tcW w:w="810" w:type="dxa"/>
            <w:tcBorders>
              <w:top w:val="nil"/>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Inv.</w:t>
            </w:r>
          </w:p>
        </w:tc>
      </w:tr>
      <w:tr w:rsidR="006E5E97" w:rsidRPr="006E5E97" w:rsidTr="006E5E97">
        <w:trPr>
          <w:trHeight w:val="315"/>
          <w:jc w:val="center"/>
        </w:trPr>
        <w:tc>
          <w:tcPr>
            <w:tcW w:w="2313" w:type="dxa"/>
            <w:tcBorders>
              <w:top w:val="nil"/>
              <w:left w:val="single" w:sz="8" w:space="0" w:color="B8CCE4"/>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b/>
                <w:bCs/>
                <w:color w:val="000000"/>
                <w:sz w:val="16"/>
                <w:szCs w:val="18"/>
              </w:rPr>
            </w:pPr>
            <w:r w:rsidRPr="006E5E97">
              <w:rPr>
                <w:rFonts w:asciiTheme="majorHAnsi" w:hAnsiTheme="majorHAnsi"/>
                <w:b/>
                <w:bCs/>
                <w:color w:val="000000"/>
                <w:sz w:val="16"/>
                <w:szCs w:val="18"/>
              </w:rPr>
              <w:t>Planifikim, Menaxhim, Administrim</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194,040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3,000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256,753</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1,800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212,073</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1,704</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109%</w:t>
            </w:r>
          </w:p>
        </w:tc>
        <w:tc>
          <w:tcPr>
            <w:tcW w:w="752"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57%</w:t>
            </w:r>
          </w:p>
        </w:tc>
        <w:tc>
          <w:tcPr>
            <w:tcW w:w="63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83%</w:t>
            </w:r>
          </w:p>
        </w:tc>
        <w:tc>
          <w:tcPr>
            <w:tcW w:w="81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95%</w:t>
            </w:r>
          </w:p>
        </w:tc>
      </w:tr>
      <w:tr w:rsidR="006E5E97" w:rsidRPr="006E5E97" w:rsidTr="006E5E97">
        <w:trPr>
          <w:trHeight w:val="315"/>
          <w:jc w:val="center"/>
        </w:trPr>
        <w:tc>
          <w:tcPr>
            <w:tcW w:w="2313" w:type="dxa"/>
            <w:tcBorders>
              <w:top w:val="nil"/>
              <w:left w:val="single" w:sz="8" w:space="0" w:color="B8CCE4"/>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b/>
                <w:bCs/>
                <w:color w:val="000000"/>
                <w:sz w:val="16"/>
                <w:szCs w:val="18"/>
              </w:rPr>
            </w:pPr>
            <w:r w:rsidRPr="006E5E97">
              <w:rPr>
                <w:rFonts w:asciiTheme="majorHAnsi" w:hAnsiTheme="majorHAnsi"/>
                <w:b/>
                <w:bCs/>
                <w:color w:val="000000"/>
                <w:sz w:val="16"/>
                <w:szCs w:val="18"/>
              </w:rPr>
              <w:t>Administrimi i Pyjeve</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339,200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78,500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324,239</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35,100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320,008</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34,904</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94%</w:t>
            </w:r>
          </w:p>
        </w:tc>
        <w:tc>
          <w:tcPr>
            <w:tcW w:w="752"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44%</w:t>
            </w:r>
          </w:p>
        </w:tc>
        <w:tc>
          <w:tcPr>
            <w:tcW w:w="63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99%</w:t>
            </w:r>
          </w:p>
        </w:tc>
        <w:tc>
          <w:tcPr>
            <w:tcW w:w="81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99%</w:t>
            </w:r>
          </w:p>
        </w:tc>
      </w:tr>
      <w:tr w:rsidR="006E5E97" w:rsidRPr="006E5E97" w:rsidTr="006E5E97">
        <w:trPr>
          <w:trHeight w:val="315"/>
          <w:jc w:val="center"/>
        </w:trPr>
        <w:tc>
          <w:tcPr>
            <w:tcW w:w="2313" w:type="dxa"/>
            <w:tcBorders>
              <w:top w:val="nil"/>
              <w:left w:val="single" w:sz="8" w:space="0" w:color="B8CCE4"/>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b/>
                <w:bCs/>
                <w:color w:val="000000"/>
                <w:sz w:val="16"/>
                <w:szCs w:val="18"/>
              </w:rPr>
            </w:pPr>
            <w:r w:rsidRPr="006E5E97">
              <w:rPr>
                <w:rFonts w:asciiTheme="majorHAnsi" w:hAnsiTheme="majorHAnsi"/>
                <w:b/>
                <w:bCs/>
                <w:color w:val="000000"/>
                <w:sz w:val="16"/>
                <w:szCs w:val="18"/>
              </w:rPr>
              <w:t>Zhvillimi i Turizmit</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394,160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379,240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335,149</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379,285</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316,756</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367,580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80%</w:t>
            </w:r>
          </w:p>
        </w:tc>
        <w:tc>
          <w:tcPr>
            <w:tcW w:w="752"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97%</w:t>
            </w:r>
          </w:p>
        </w:tc>
        <w:tc>
          <w:tcPr>
            <w:tcW w:w="63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95%</w:t>
            </w:r>
          </w:p>
        </w:tc>
        <w:tc>
          <w:tcPr>
            <w:tcW w:w="81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97%</w:t>
            </w:r>
          </w:p>
        </w:tc>
      </w:tr>
      <w:tr w:rsidR="006E5E97" w:rsidRPr="006E5E97" w:rsidTr="006E5E97">
        <w:trPr>
          <w:trHeight w:val="315"/>
          <w:jc w:val="center"/>
        </w:trPr>
        <w:tc>
          <w:tcPr>
            <w:tcW w:w="2313" w:type="dxa"/>
            <w:tcBorders>
              <w:top w:val="nil"/>
              <w:left w:val="single" w:sz="8" w:space="0" w:color="B8CCE4"/>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right"/>
              <w:rPr>
                <w:rFonts w:asciiTheme="majorHAnsi" w:hAnsiTheme="majorHAnsi"/>
                <w:b/>
                <w:bCs/>
                <w:color w:val="000000"/>
                <w:sz w:val="16"/>
                <w:szCs w:val="18"/>
              </w:rPr>
            </w:pPr>
            <w:r w:rsidRPr="006E5E97">
              <w:rPr>
                <w:rFonts w:asciiTheme="majorHAnsi" w:hAnsiTheme="majorHAnsi"/>
                <w:b/>
                <w:bCs/>
                <w:color w:val="000000"/>
                <w:sz w:val="16"/>
                <w:szCs w:val="18"/>
              </w:rPr>
              <w:t>Financimi i huaj</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color w:val="000000"/>
                <w:sz w:val="16"/>
                <w:szCs w:val="18"/>
              </w:rPr>
            </w:pPr>
            <w:r w:rsidRPr="006E5E97">
              <w:rPr>
                <w:rFonts w:asciiTheme="majorHAnsi" w:hAnsiTheme="majorHAnsi"/>
                <w:color w:val="000000"/>
                <w:sz w:val="16"/>
                <w:szCs w:val="18"/>
              </w:rPr>
              <w:t> </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100,000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color w:val="000000"/>
                <w:sz w:val="16"/>
                <w:szCs w:val="18"/>
              </w:rPr>
            </w:pPr>
            <w:r w:rsidRPr="006E5E97">
              <w:rPr>
                <w:rFonts w:asciiTheme="majorHAnsi" w:hAnsiTheme="majorHAnsi"/>
                <w:color w:val="000000"/>
                <w:sz w:val="16"/>
                <w:szCs w:val="18"/>
              </w:rPr>
              <w:t> </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29,000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color w:val="000000"/>
                <w:sz w:val="16"/>
                <w:szCs w:val="18"/>
              </w:rPr>
            </w:pPr>
            <w:r w:rsidRPr="006E5E97">
              <w:rPr>
                <w:rFonts w:asciiTheme="majorHAnsi" w:hAnsiTheme="majorHAnsi"/>
                <w:color w:val="000000"/>
                <w:sz w:val="16"/>
                <w:szCs w:val="18"/>
              </w:rPr>
              <w:t> </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15,102</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0%</w:t>
            </w:r>
          </w:p>
        </w:tc>
        <w:tc>
          <w:tcPr>
            <w:tcW w:w="752"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15%</w:t>
            </w:r>
          </w:p>
        </w:tc>
        <w:tc>
          <w:tcPr>
            <w:tcW w:w="63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0%</w:t>
            </w:r>
          </w:p>
        </w:tc>
        <w:tc>
          <w:tcPr>
            <w:tcW w:w="81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52%</w:t>
            </w:r>
          </w:p>
        </w:tc>
      </w:tr>
      <w:tr w:rsidR="006E5E97" w:rsidRPr="006E5E97" w:rsidTr="006E5E97">
        <w:trPr>
          <w:trHeight w:val="315"/>
          <w:jc w:val="center"/>
        </w:trPr>
        <w:tc>
          <w:tcPr>
            <w:tcW w:w="2313" w:type="dxa"/>
            <w:tcBorders>
              <w:top w:val="nil"/>
              <w:left w:val="single" w:sz="8" w:space="0" w:color="B8CCE4"/>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b/>
                <w:bCs/>
                <w:color w:val="000000"/>
                <w:sz w:val="16"/>
                <w:szCs w:val="18"/>
              </w:rPr>
            </w:pPr>
            <w:r w:rsidRPr="006E5E97">
              <w:rPr>
                <w:rFonts w:asciiTheme="majorHAnsi" w:hAnsiTheme="majorHAnsi"/>
                <w:b/>
                <w:bCs/>
                <w:color w:val="000000"/>
                <w:sz w:val="16"/>
                <w:szCs w:val="18"/>
              </w:rPr>
              <w:t>Mbrojtja e Mjedisit</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441,320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120,000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371,898</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134,055</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351,698</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130,007</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80%</w:t>
            </w:r>
          </w:p>
        </w:tc>
        <w:tc>
          <w:tcPr>
            <w:tcW w:w="752"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108%</w:t>
            </w:r>
          </w:p>
        </w:tc>
        <w:tc>
          <w:tcPr>
            <w:tcW w:w="63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95%</w:t>
            </w:r>
          </w:p>
        </w:tc>
        <w:tc>
          <w:tcPr>
            <w:tcW w:w="81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97%</w:t>
            </w:r>
          </w:p>
        </w:tc>
      </w:tr>
      <w:tr w:rsidR="006E5E97" w:rsidRPr="006E5E97" w:rsidTr="006E5E97">
        <w:trPr>
          <w:trHeight w:val="315"/>
          <w:jc w:val="center"/>
        </w:trPr>
        <w:tc>
          <w:tcPr>
            <w:tcW w:w="2313" w:type="dxa"/>
            <w:tcBorders>
              <w:top w:val="nil"/>
              <w:left w:val="single" w:sz="8" w:space="0" w:color="B8CCE4"/>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right"/>
              <w:rPr>
                <w:rFonts w:asciiTheme="majorHAnsi" w:hAnsiTheme="majorHAnsi"/>
                <w:b/>
                <w:bCs/>
                <w:color w:val="000000"/>
                <w:sz w:val="16"/>
                <w:szCs w:val="18"/>
              </w:rPr>
            </w:pPr>
            <w:r w:rsidRPr="006E5E97">
              <w:rPr>
                <w:rFonts w:asciiTheme="majorHAnsi" w:hAnsiTheme="majorHAnsi"/>
                <w:b/>
                <w:bCs/>
                <w:color w:val="000000"/>
                <w:sz w:val="16"/>
                <w:szCs w:val="18"/>
              </w:rPr>
              <w:t>Financimi i huaj</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color w:val="000000"/>
                <w:sz w:val="16"/>
                <w:szCs w:val="18"/>
              </w:rPr>
            </w:pPr>
            <w:r w:rsidRPr="006E5E97">
              <w:rPr>
                <w:rFonts w:asciiTheme="majorHAnsi" w:hAnsiTheme="majorHAnsi"/>
                <w:color w:val="000000"/>
                <w:sz w:val="16"/>
                <w:szCs w:val="18"/>
              </w:rPr>
              <w:t> </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390,000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color w:val="000000"/>
                <w:sz w:val="16"/>
                <w:szCs w:val="18"/>
              </w:rPr>
            </w:pPr>
            <w:r w:rsidRPr="006E5E97">
              <w:rPr>
                <w:rFonts w:asciiTheme="majorHAnsi" w:hAnsiTheme="majorHAnsi"/>
                <w:color w:val="000000"/>
                <w:sz w:val="16"/>
                <w:szCs w:val="18"/>
              </w:rPr>
              <w:t> </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400,000</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color w:val="000000"/>
                <w:sz w:val="16"/>
                <w:szCs w:val="18"/>
              </w:rPr>
            </w:pPr>
            <w:r w:rsidRPr="006E5E97">
              <w:rPr>
                <w:rFonts w:asciiTheme="majorHAnsi" w:hAnsiTheme="majorHAnsi"/>
                <w:color w:val="000000"/>
                <w:sz w:val="16"/>
                <w:szCs w:val="18"/>
              </w:rPr>
              <w:t> </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356,377</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0%</w:t>
            </w:r>
          </w:p>
        </w:tc>
        <w:tc>
          <w:tcPr>
            <w:tcW w:w="752"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91%</w:t>
            </w:r>
          </w:p>
        </w:tc>
        <w:tc>
          <w:tcPr>
            <w:tcW w:w="63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0%</w:t>
            </w:r>
          </w:p>
        </w:tc>
        <w:tc>
          <w:tcPr>
            <w:tcW w:w="81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color w:val="000000"/>
                <w:sz w:val="16"/>
                <w:szCs w:val="18"/>
              </w:rPr>
            </w:pPr>
            <w:r w:rsidRPr="006E5E97">
              <w:rPr>
                <w:rFonts w:asciiTheme="majorHAnsi" w:hAnsiTheme="majorHAnsi"/>
                <w:color w:val="000000"/>
                <w:sz w:val="16"/>
                <w:szCs w:val="18"/>
              </w:rPr>
              <w:t>89%</w:t>
            </w:r>
          </w:p>
        </w:tc>
      </w:tr>
      <w:tr w:rsidR="006E5E97" w:rsidRPr="006E5E97" w:rsidTr="006E5E97">
        <w:trPr>
          <w:trHeight w:val="315"/>
          <w:jc w:val="center"/>
        </w:trPr>
        <w:tc>
          <w:tcPr>
            <w:tcW w:w="2313" w:type="dxa"/>
            <w:tcBorders>
              <w:top w:val="nil"/>
              <w:left w:val="single" w:sz="8" w:space="0" w:color="B8CCE4"/>
              <w:bottom w:val="double" w:sz="6" w:space="0" w:color="95B3D7"/>
              <w:right w:val="single" w:sz="8" w:space="0" w:color="B8CCE4"/>
            </w:tcBorders>
            <w:shd w:val="clear" w:color="auto" w:fill="auto"/>
            <w:vAlign w:val="center"/>
            <w:hideMark/>
          </w:tcPr>
          <w:p w:rsidR="006E5E97" w:rsidRPr="006E5E97" w:rsidRDefault="006E5E97" w:rsidP="006E5E97">
            <w:pPr>
              <w:spacing w:before="0" w:line="240" w:lineRule="auto"/>
              <w:jc w:val="left"/>
              <w:rPr>
                <w:rFonts w:asciiTheme="majorHAnsi" w:hAnsiTheme="majorHAnsi"/>
                <w:b/>
                <w:bCs/>
                <w:i/>
                <w:iCs/>
                <w:color w:val="000000"/>
                <w:sz w:val="16"/>
                <w:szCs w:val="18"/>
              </w:rPr>
            </w:pPr>
            <w:r w:rsidRPr="006E5E97">
              <w:rPr>
                <w:rFonts w:asciiTheme="majorHAnsi" w:hAnsiTheme="majorHAnsi"/>
                <w:b/>
                <w:bCs/>
                <w:i/>
                <w:iCs/>
                <w:color w:val="000000"/>
                <w:sz w:val="16"/>
                <w:szCs w:val="18"/>
              </w:rPr>
              <w:t>Gjithsejsipasnatyrës</w:t>
            </w:r>
          </w:p>
        </w:tc>
        <w:tc>
          <w:tcPr>
            <w:tcW w:w="0" w:type="auto"/>
            <w:tcBorders>
              <w:top w:val="nil"/>
              <w:left w:val="nil"/>
              <w:bottom w:val="double" w:sz="6" w:space="0" w:color="95B3D7"/>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b/>
                <w:bCs/>
                <w:i/>
                <w:iCs/>
                <w:color w:val="000000"/>
                <w:sz w:val="16"/>
                <w:szCs w:val="18"/>
              </w:rPr>
            </w:pPr>
            <w:r w:rsidRPr="006E5E97">
              <w:rPr>
                <w:rFonts w:asciiTheme="majorHAnsi" w:hAnsiTheme="majorHAnsi"/>
                <w:b/>
                <w:bCs/>
                <w:i/>
                <w:iCs/>
                <w:color w:val="000000"/>
                <w:sz w:val="16"/>
                <w:szCs w:val="18"/>
              </w:rPr>
              <w:t>1,368,720</w:t>
            </w:r>
          </w:p>
        </w:tc>
        <w:tc>
          <w:tcPr>
            <w:tcW w:w="0" w:type="auto"/>
            <w:tcBorders>
              <w:top w:val="nil"/>
              <w:left w:val="nil"/>
              <w:bottom w:val="double" w:sz="6" w:space="0" w:color="95B3D7"/>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b/>
                <w:bCs/>
                <w:i/>
                <w:iCs/>
                <w:color w:val="000000"/>
                <w:sz w:val="16"/>
                <w:szCs w:val="18"/>
              </w:rPr>
            </w:pPr>
            <w:r w:rsidRPr="006E5E97">
              <w:rPr>
                <w:rFonts w:asciiTheme="majorHAnsi" w:hAnsiTheme="majorHAnsi"/>
                <w:b/>
                <w:bCs/>
                <w:i/>
                <w:iCs/>
                <w:color w:val="000000"/>
                <w:sz w:val="16"/>
                <w:szCs w:val="18"/>
              </w:rPr>
              <w:t>1,070,740</w:t>
            </w:r>
          </w:p>
        </w:tc>
        <w:tc>
          <w:tcPr>
            <w:tcW w:w="0" w:type="auto"/>
            <w:tcBorders>
              <w:top w:val="nil"/>
              <w:left w:val="nil"/>
              <w:bottom w:val="double" w:sz="6" w:space="0" w:color="95B3D7"/>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b/>
                <w:bCs/>
                <w:i/>
                <w:iCs/>
                <w:color w:val="000000"/>
                <w:sz w:val="16"/>
                <w:szCs w:val="18"/>
              </w:rPr>
            </w:pPr>
            <w:r w:rsidRPr="006E5E97">
              <w:rPr>
                <w:rFonts w:asciiTheme="majorHAnsi" w:hAnsiTheme="majorHAnsi"/>
                <w:b/>
                <w:bCs/>
                <w:i/>
                <w:iCs/>
                <w:color w:val="000000"/>
                <w:sz w:val="16"/>
                <w:szCs w:val="18"/>
              </w:rPr>
              <w:t>1,288,039</w:t>
            </w:r>
          </w:p>
        </w:tc>
        <w:tc>
          <w:tcPr>
            <w:tcW w:w="0" w:type="auto"/>
            <w:tcBorders>
              <w:top w:val="nil"/>
              <w:left w:val="nil"/>
              <w:bottom w:val="double" w:sz="6" w:space="0" w:color="95B3D7"/>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b/>
                <w:bCs/>
                <w:i/>
                <w:iCs/>
                <w:color w:val="000000"/>
                <w:sz w:val="16"/>
                <w:szCs w:val="18"/>
              </w:rPr>
            </w:pPr>
            <w:r w:rsidRPr="006E5E97">
              <w:rPr>
                <w:rFonts w:asciiTheme="majorHAnsi" w:hAnsiTheme="majorHAnsi"/>
                <w:b/>
                <w:bCs/>
                <w:i/>
                <w:iCs/>
                <w:color w:val="000000"/>
                <w:sz w:val="16"/>
                <w:szCs w:val="18"/>
              </w:rPr>
              <w:t>979,240</w:t>
            </w:r>
          </w:p>
        </w:tc>
        <w:tc>
          <w:tcPr>
            <w:tcW w:w="0" w:type="auto"/>
            <w:tcBorders>
              <w:top w:val="nil"/>
              <w:left w:val="nil"/>
              <w:bottom w:val="double" w:sz="6" w:space="0" w:color="95B3D7"/>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b/>
                <w:bCs/>
                <w:i/>
                <w:iCs/>
                <w:color w:val="000000"/>
                <w:sz w:val="16"/>
                <w:szCs w:val="18"/>
              </w:rPr>
            </w:pPr>
            <w:r w:rsidRPr="006E5E97">
              <w:rPr>
                <w:rFonts w:asciiTheme="majorHAnsi" w:hAnsiTheme="majorHAnsi"/>
                <w:b/>
                <w:bCs/>
                <w:i/>
                <w:iCs/>
                <w:color w:val="000000"/>
                <w:sz w:val="16"/>
                <w:szCs w:val="18"/>
              </w:rPr>
              <w:t>1,200,535</w:t>
            </w:r>
          </w:p>
        </w:tc>
        <w:tc>
          <w:tcPr>
            <w:tcW w:w="0" w:type="auto"/>
            <w:tcBorders>
              <w:top w:val="nil"/>
              <w:left w:val="nil"/>
              <w:bottom w:val="double" w:sz="6" w:space="0" w:color="95B3D7"/>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b/>
                <w:bCs/>
                <w:i/>
                <w:iCs/>
                <w:color w:val="000000"/>
                <w:sz w:val="16"/>
                <w:szCs w:val="18"/>
              </w:rPr>
            </w:pPr>
            <w:r w:rsidRPr="006E5E97">
              <w:rPr>
                <w:rFonts w:asciiTheme="majorHAnsi" w:hAnsiTheme="majorHAnsi"/>
                <w:b/>
                <w:bCs/>
                <w:i/>
                <w:iCs/>
                <w:color w:val="000000"/>
                <w:sz w:val="16"/>
                <w:szCs w:val="18"/>
              </w:rPr>
              <w:t>905,673</w:t>
            </w:r>
          </w:p>
        </w:tc>
        <w:tc>
          <w:tcPr>
            <w:tcW w:w="0" w:type="auto"/>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b/>
                <w:i/>
                <w:color w:val="000000"/>
                <w:sz w:val="16"/>
                <w:szCs w:val="18"/>
              </w:rPr>
            </w:pPr>
            <w:r w:rsidRPr="006E5E97">
              <w:rPr>
                <w:rFonts w:asciiTheme="majorHAnsi" w:hAnsiTheme="majorHAnsi"/>
                <w:b/>
                <w:i/>
                <w:color w:val="000000"/>
                <w:sz w:val="16"/>
                <w:szCs w:val="18"/>
              </w:rPr>
              <w:t>88%</w:t>
            </w:r>
          </w:p>
        </w:tc>
        <w:tc>
          <w:tcPr>
            <w:tcW w:w="752"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b/>
                <w:i/>
                <w:color w:val="000000"/>
                <w:sz w:val="16"/>
                <w:szCs w:val="18"/>
              </w:rPr>
            </w:pPr>
            <w:r w:rsidRPr="006E5E97">
              <w:rPr>
                <w:rFonts w:asciiTheme="majorHAnsi" w:hAnsiTheme="majorHAnsi"/>
                <w:b/>
                <w:i/>
                <w:color w:val="000000"/>
                <w:sz w:val="16"/>
                <w:szCs w:val="18"/>
              </w:rPr>
              <w:t>85%</w:t>
            </w:r>
          </w:p>
        </w:tc>
        <w:tc>
          <w:tcPr>
            <w:tcW w:w="63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b/>
                <w:i/>
                <w:color w:val="000000"/>
                <w:sz w:val="16"/>
                <w:szCs w:val="18"/>
              </w:rPr>
            </w:pPr>
            <w:r w:rsidRPr="006E5E97">
              <w:rPr>
                <w:rFonts w:asciiTheme="majorHAnsi" w:hAnsiTheme="majorHAnsi"/>
                <w:b/>
                <w:i/>
                <w:color w:val="000000"/>
                <w:sz w:val="16"/>
                <w:szCs w:val="18"/>
              </w:rPr>
              <w:t>93%</w:t>
            </w:r>
          </w:p>
        </w:tc>
        <w:tc>
          <w:tcPr>
            <w:tcW w:w="810" w:type="dxa"/>
            <w:tcBorders>
              <w:top w:val="nil"/>
              <w:left w:val="nil"/>
              <w:bottom w:val="single" w:sz="8" w:space="0" w:color="B8CCE4"/>
              <w:right w:val="single" w:sz="8" w:space="0" w:color="B8CCE4"/>
            </w:tcBorders>
            <w:shd w:val="clear" w:color="auto" w:fill="auto"/>
            <w:vAlign w:val="center"/>
            <w:hideMark/>
          </w:tcPr>
          <w:p w:rsidR="006E5E97" w:rsidRPr="006E5E97" w:rsidRDefault="006E5E97" w:rsidP="006E5E97">
            <w:pPr>
              <w:spacing w:before="0" w:line="240" w:lineRule="auto"/>
              <w:jc w:val="center"/>
              <w:rPr>
                <w:rFonts w:asciiTheme="majorHAnsi" w:hAnsiTheme="majorHAnsi"/>
                <w:b/>
                <w:i/>
                <w:color w:val="000000"/>
                <w:sz w:val="16"/>
                <w:szCs w:val="18"/>
              </w:rPr>
            </w:pPr>
            <w:r w:rsidRPr="006E5E97">
              <w:rPr>
                <w:rFonts w:asciiTheme="majorHAnsi" w:hAnsiTheme="majorHAnsi"/>
                <w:b/>
                <w:i/>
                <w:color w:val="000000"/>
                <w:sz w:val="16"/>
                <w:szCs w:val="18"/>
              </w:rPr>
              <w:t>92%</w:t>
            </w:r>
          </w:p>
        </w:tc>
      </w:tr>
      <w:tr w:rsidR="006E5E97" w:rsidRPr="006E5E97" w:rsidTr="006E5E97">
        <w:trPr>
          <w:trHeight w:val="330"/>
          <w:jc w:val="center"/>
        </w:trPr>
        <w:tc>
          <w:tcPr>
            <w:tcW w:w="2313" w:type="dxa"/>
            <w:tcBorders>
              <w:top w:val="nil"/>
              <w:left w:val="single" w:sz="8" w:space="0" w:color="B8CCE4"/>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Gjithsej</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2,439,460</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2,267,279</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2,106,208</w:t>
            </w:r>
          </w:p>
        </w:tc>
        <w:tc>
          <w:tcPr>
            <w:tcW w:w="1396" w:type="dxa"/>
            <w:gridSpan w:val="2"/>
            <w:tcBorders>
              <w:top w:val="double" w:sz="6" w:space="0" w:color="95B3D7"/>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86%</w:t>
            </w:r>
          </w:p>
        </w:tc>
        <w:tc>
          <w:tcPr>
            <w:tcW w:w="1440" w:type="dxa"/>
            <w:gridSpan w:val="2"/>
            <w:tcBorders>
              <w:top w:val="double" w:sz="6" w:space="0" w:color="95B3D7"/>
              <w:left w:val="nil"/>
              <w:bottom w:val="single" w:sz="8" w:space="0" w:color="B8CCE4"/>
              <w:right w:val="single" w:sz="8" w:space="0" w:color="B8CCE4"/>
            </w:tcBorders>
            <w:shd w:val="clear" w:color="000000" w:fill="365F91"/>
            <w:vAlign w:val="center"/>
            <w:hideMark/>
          </w:tcPr>
          <w:p w:rsidR="006E5E97" w:rsidRPr="006E5E97" w:rsidRDefault="006E5E97" w:rsidP="006E5E97">
            <w:pPr>
              <w:spacing w:before="0" w:line="240" w:lineRule="auto"/>
              <w:jc w:val="center"/>
              <w:rPr>
                <w:rFonts w:asciiTheme="majorHAnsi" w:hAnsiTheme="majorHAnsi"/>
                <w:b/>
                <w:bCs/>
                <w:color w:val="FFFFFF"/>
                <w:sz w:val="16"/>
                <w:szCs w:val="18"/>
              </w:rPr>
            </w:pPr>
            <w:r w:rsidRPr="006E5E97">
              <w:rPr>
                <w:rFonts w:asciiTheme="majorHAnsi" w:hAnsiTheme="majorHAnsi"/>
                <w:b/>
                <w:bCs/>
                <w:color w:val="FFFFFF"/>
                <w:sz w:val="16"/>
                <w:szCs w:val="18"/>
              </w:rPr>
              <w:t>93%</w:t>
            </w:r>
          </w:p>
        </w:tc>
      </w:tr>
    </w:tbl>
    <w:p w:rsidR="006E5E97" w:rsidRPr="00F95C93" w:rsidRDefault="006E5E97" w:rsidP="006E5E97">
      <w:pPr>
        <w:spacing w:line="240" w:lineRule="auto"/>
        <w:rPr>
          <w:rFonts w:cs="Calibri"/>
          <w:color w:val="000000"/>
          <w:spacing w:val="11"/>
          <w:szCs w:val="22"/>
        </w:rPr>
      </w:pPr>
      <w:r w:rsidRPr="00F95C93">
        <w:rPr>
          <w:rFonts w:cs="Calibri"/>
          <w:spacing w:val="-2"/>
          <w:szCs w:val="22"/>
        </w:rPr>
        <w:t>B</w:t>
      </w:r>
      <w:r w:rsidRPr="00F95C93">
        <w:rPr>
          <w:rFonts w:cs="Calibri"/>
          <w:szCs w:val="22"/>
        </w:rPr>
        <w:t>u</w:t>
      </w:r>
      <w:r w:rsidRPr="00F95C93">
        <w:rPr>
          <w:rFonts w:cs="Calibri"/>
          <w:spacing w:val="2"/>
          <w:szCs w:val="22"/>
        </w:rPr>
        <w:t>x</w:t>
      </w:r>
      <w:r w:rsidRPr="00F95C93">
        <w:rPr>
          <w:rFonts w:cs="Calibri"/>
          <w:szCs w:val="22"/>
        </w:rPr>
        <w:t>h</w:t>
      </w:r>
      <w:r w:rsidRPr="00F95C93">
        <w:rPr>
          <w:rFonts w:cs="Calibri"/>
          <w:spacing w:val="-1"/>
          <w:szCs w:val="22"/>
        </w:rPr>
        <w:t>e</w:t>
      </w:r>
      <w:r w:rsidRPr="00F95C93">
        <w:rPr>
          <w:rFonts w:cs="Calibri"/>
          <w:szCs w:val="22"/>
        </w:rPr>
        <w:t xml:space="preserve">ti vjetor fillestar i Ministrisë së Turizmit dhe Mjedisit u rishikua në zbritje -7%, ose 172 milionë lekë më pak. Realizimi faktik ishte </w:t>
      </w:r>
      <w:r w:rsidRPr="00F95C93">
        <w:rPr>
          <w:rFonts w:cs="Calibri"/>
          <w:color w:val="000000"/>
          <w:szCs w:val="22"/>
        </w:rPr>
        <w:t>2.1</w:t>
      </w:r>
      <w:r>
        <w:rPr>
          <w:rFonts w:cs="Calibri"/>
          <w:color w:val="000000"/>
          <w:szCs w:val="22"/>
        </w:rPr>
        <w:t xml:space="preserve"> </w:t>
      </w:r>
      <w:r w:rsidRPr="00F95C93">
        <w:rPr>
          <w:rFonts w:cs="Calibri"/>
          <w:color w:val="000000"/>
          <w:szCs w:val="22"/>
        </w:rPr>
        <w:t xml:space="preserve">miliardë </w:t>
      </w:r>
      <w:r w:rsidRPr="00F95C93">
        <w:rPr>
          <w:rFonts w:cs="Calibri"/>
          <w:szCs w:val="22"/>
        </w:rPr>
        <w:t xml:space="preserve">lekë ose 86% e buxhetit fillestar dhe 93% e buxhetit të rishikuar. </w:t>
      </w:r>
      <w:r w:rsidRPr="00F95C93">
        <w:rPr>
          <w:rFonts w:cs="Calibri"/>
          <w:spacing w:val="-2"/>
          <w:szCs w:val="22"/>
        </w:rPr>
        <w:t>Real</w:t>
      </w:r>
      <w:r w:rsidRPr="00F95C93">
        <w:rPr>
          <w:rFonts w:cs="Calibri"/>
          <w:spacing w:val="1"/>
          <w:szCs w:val="22"/>
        </w:rPr>
        <w:t>iz</w:t>
      </w:r>
      <w:r w:rsidRPr="00F95C93">
        <w:rPr>
          <w:rFonts w:cs="Calibri"/>
          <w:szCs w:val="22"/>
        </w:rPr>
        <w:t>i</w:t>
      </w:r>
      <w:r w:rsidRPr="00F95C93">
        <w:rPr>
          <w:rFonts w:cs="Calibri"/>
          <w:spacing w:val="1"/>
          <w:szCs w:val="22"/>
        </w:rPr>
        <w:t>m</w:t>
      </w:r>
      <w:r w:rsidRPr="00F95C93">
        <w:rPr>
          <w:rFonts w:cs="Calibri"/>
          <w:spacing w:val="-1"/>
          <w:szCs w:val="22"/>
        </w:rPr>
        <w:t xml:space="preserve">i </w:t>
      </w:r>
      <w:r>
        <w:rPr>
          <w:rFonts w:cs="Calibri"/>
          <w:spacing w:val="2"/>
          <w:szCs w:val="22"/>
        </w:rPr>
        <w:t>i</w:t>
      </w:r>
      <w:r w:rsidRPr="00F95C93">
        <w:rPr>
          <w:rFonts w:cs="Calibri"/>
          <w:spacing w:val="2"/>
          <w:szCs w:val="22"/>
        </w:rPr>
        <w:t xml:space="preserve"> </w:t>
      </w:r>
      <w:r w:rsidRPr="00F95C93">
        <w:rPr>
          <w:rFonts w:cs="Calibri"/>
          <w:szCs w:val="22"/>
        </w:rPr>
        <w:t>shpe</w:t>
      </w:r>
      <w:r w:rsidRPr="00F95C93">
        <w:rPr>
          <w:rFonts w:cs="Calibri"/>
          <w:spacing w:val="-1"/>
          <w:szCs w:val="22"/>
        </w:rPr>
        <w:t>n</w:t>
      </w:r>
      <w:r w:rsidRPr="00F95C93">
        <w:rPr>
          <w:rFonts w:cs="Calibri"/>
          <w:spacing w:val="1"/>
          <w:szCs w:val="22"/>
        </w:rPr>
        <w:t>z</w:t>
      </w:r>
      <w:r w:rsidRPr="00F95C93">
        <w:rPr>
          <w:rFonts w:cs="Calibri"/>
          <w:szCs w:val="22"/>
        </w:rPr>
        <w:t>i</w:t>
      </w:r>
      <w:r w:rsidRPr="00F95C93">
        <w:rPr>
          <w:rFonts w:cs="Calibri"/>
          <w:spacing w:val="1"/>
          <w:szCs w:val="22"/>
        </w:rPr>
        <w:t>m</w:t>
      </w:r>
      <w:r w:rsidRPr="00F95C93">
        <w:rPr>
          <w:rFonts w:cs="Calibri"/>
          <w:szCs w:val="22"/>
        </w:rPr>
        <w:t>eve kor</w:t>
      </w:r>
      <w:r w:rsidRPr="00F95C93">
        <w:rPr>
          <w:rFonts w:cs="Calibri"/>
          <w:spacing w:val="-1"/>
          <w:szCs w:val="22"/>
        </w:rPr>
        <w:t>re</w:t>
      </w:r>
      <w:r w:rsidRPr="00F95C93">
        <w:rPr>
          <w:rFonts w:cs="Calibri"/>
          <w:szCs w:val="22"/>
        </w:rPr>
        <w:t xml:space="preserve">nte ishte </w:t>
      </w:r>
      <w:r w:rsidRPr="00F95C93">
        <w:rPr>
          <w:rFonts w:cs="Calibri"/>
          <w:spacing w:val="11"/>
          <w:szCs w:val="22"/>
        </w:rPr>
        <w:t>88</w:t>
      </w:r>
      <w:r w:rsidRPr="00F95C93">
        <w:rPr>
          <w:rFonts w:cs="Calibri"/>
          <w:color w:val="000000"/>
          <w:spacing w:val="-1"/>
          <w:szCs w:val="22"/>
        </w:rPr>
        <w:t>%</w:t>
      </w:r>
      <w:r w:rsidRPr="00F95C93">
        <w:rPr>
          <w:rFonts w:cs="Calibri"/>
          <w:color w:val="000000"/>
          <w:szCs w:val="22"/>
        </w:rPr>
        <w:t xml:space="preserve"> e planit fillestar apo 93% e planit të rishikuar, ndërsa </w:t>
      </w:r>
      <w:r>
        <w:rPr>
          <w:rFonts w:cs="Calibri"/>
          <w:color w:val="000000"/>
          <w:szCs w:val="22"/>
        </w:rPr>
        <w:t>i</w:t>
      </w:r>
      <w:r w:rsidRPr="00F95C93">
        <w:rPr>
          <w:rFonts w:cs="Calibri"/>
          <w:color w:val="000000"/>
          <w:szCs w:val="22"/>
        </w:rPr>
        <w:t xml:space="preserve"> investim</w:t>
      </w:r>
      <w:r w:rsidRPr="00F95C93">
        <w:rPr>
          <w:rFonts w:cs="Calibri"/>
          <w:color w:val="000000"/>
          <w:spacing w:val="-3"/>
          <w:szCs w:val="22"/>
        </w:rPr>
        <w:t>e</w:t>
      </w:r>
      <w:r w:rsidRPr="00F95C93">
        <w:rPr>
          <w:rFonts w:cs="Calibri"/>
          <w:color w:val="000000"/>
          <w:szCs w:val="22"/>
        </w:rPr>
        <w:t xml:space="preserve">ve </w:t>
      </w:r>
      <w:r w:rsidRPr="00F95C93">
        <w:rPr>
          <w:rFonts w:cs="Calibri"/>
          <w:color w:val="000000"/>
          <w:spacing w:val="1"/>
          <w:szCs w:val="22"/>
        </w:rPr>
        <w:t xml:space="preserve">85% e planit fillestar </w:t>
      </w:r>
      <w:r>
        <w:rPr>
          <w:rFonts w:cs="Calibri"/>
          <w:color w:val="000000"/>
          <w:spacing w:val="1"/>
          <w:szCs w:val="22"/>
        </w:rPr>
        <w:t>ose</w:t>
      </w:r>
      <w:r w:rsidRPr="00F95C93">
        <w:rPr>
          <w:rFonts w:cs="Calibri"/>
          <w:color w:val="000000"/>
          <w:spacing w:val="1"/>
          <w:szCs w:val="22"/>
        </w:rPr>
        <w:t xml:space="preserve"> 92% e të rishikuarit.</w:t>
      </w:r>
    </w:p>
    <w:p w:rsidR="006E5E97" w:rsidRPr="00F95C93" w:rsidRDefault="006E5E97" w:rsidP="006E5E97">
      <w:pPr>
        <w:spacing w:line="240" w:lineRule="auto"/>
        <w:rPr>
          <w:rFonts w:cs="Calibri"/>
          <w:szCs w:val="22"/>
          <w:lang w:val="sq-AL"/>
        </w:rPr>
      </w:pPr>
      <w:r w:rsidRPr="00F95C93">
        <w:rPr>
          <w:rFonts w:cs="Calibri"/>
          <w:szCs w:val="22"/>
          <w:lang w:val="sq-AL"/>
        </w:rPr>
        <w:t xml:space="preserve">Në programin </w:t>
      </w:r>
      <w:r w:rsidRPr="00F95C93">
        <w:rPr>
          <w:rFonts w:cs="Calibri"/>
          <w:b/>
          <w:szCs w:val="22"/>
          <w:lang w:val="sq-AL"/>
        </w:rPr>
        <w:t>“Mbrojtja e Mjedisit”</w:t>
      </w:r>
      <w:r w:rsidRPr="00F95C93">
        <w:rPr>
          <w:rFonts w:cs="Calibri"/>
          <w:szCs w:val="22"/>
          <w:lang w:val="sq-AL"/>
        </w:rPr>
        <w:t xml:space="preserve"> për vitin 2022, fondet e akorduara nga buxheti i shtetit  janë realizuar në masën 93% kundrejt fondeve vjetore te planifikuara.  </w:t>
      </w:r>
    </w:p>
    <w:p w:rsidR="006E5E97" w:rsidRPr="00F95C93" w:rsidRDefault="006E5E97"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 xml:space="preserve">Përmirësimi i cilësisë së mjedisit, ajrit, mbrojtja e natyrës dhe biodiversitetit janë ndjekur nëpërmjet realizimit të 1215 inspektimeve për parandalimin e përkeqësimit të shfrytëzimit pa kriter të burimeve ujore, të ndotjes se ujit, ajrit dhe tokës. </w:t>
      </w:r>
    </w:p>
    <w:p w:rsidR="006E5E97" w:rsidRPr="00F95C93" w:rsidRDefault="006E5E97"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 xml:space="preserve">Në këtë program janë shqyrtuar 1135 aplikime për leje mjedisore ose 95% përkundrejt parashikimit. </w:t>
      </w:r>
    </w:p>
    <w:p w:rsidR="006E5E97" w:rsidRPr="00F95C93" w:rsidRDefault="006E5E97"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sidRPr="00F95C93">
        <w:rPr>
          <w:rFonts w:cs="Calibri Light"/>
          <w:bCs/>
          <w:i/>
          <w:szCs w:val="22"/>
          <w:lang w:val="sq-AL" w:eastAsia="en-GB"/>
        </w:rPr>
        <w:t>Janë ngritur 71 stacione për monitorimin e zhurmave urbane në qytetet kryesore.</w:t>
      </w:r>
    </w:p>
    <w:p w:rsidR="00EE419E" w:rsidRDefault="006E5E97" w:rsidP="006E5E97">
      <w:pPr>
        <w:spacing w:line="240" w:lineRule="auto"/>
        <w:rPr>
          <w:szCs w:val="22"/>
          <w:lang w:val="sq-AL"/>
        </w:rPr>
      </w:pPr>
      <w:r w:rsidRPr="00F95C93">
        <w:rPr>
          <w:szCs w:val="22"/>
          <w:lang w:val="sq-AL"/>
        </w:rPr>
        <w:t>Në programin</w:t>
      </w:r>
      <w:r w:rsidRPr="00F95C93">
        <w:rPr>
          <w:b/>
          <w:bCs/>
          <w:szCs w:val="22"/>
          <w:lang w:val="sq-AL"/>
        </w:rPr>
        <w:t xml:space="preserve"> “Administrimi i Pyjeve”</w:t>
      </w:r>
      <w:r w:rsidRPr="00F95C93">
        <w:rPr>
          <w:szCs w:val="22"/>
          <w:lang w:val="sq-AL"/>
        </w:rPr>
        <w:t xml:space="preserve"> me fondet e akorduara nga buxheti i shtetit gjatë vitit 2022, është realizuar objektivi i politikës së këtij programi nëpërmjet hartimit të planeve të menaxhimit për 90% të zonave të mbrojtura dhe 100% të planeve të mbarështrimit për sipërfaqet e fondit pyjor dhe kullosor. </w:t>
      </w:r>
    </w:p>
    <w:p w:rsidR="006E5E97" w:rsidRDefault="006E5E97" w:rsidP="006E5E97">
      <w:pPr>
        <w:spacing w:line="240" w:lineRule="auto"/>
        <w:rPr>
          <w:szCs w:val="22"/>
          <w:lang w:val="sq-AL"/>
        </w:rPr>
      </w:pPr>
      <w:r w:rsidRPr="00F95C93">
        <w:rPr>
          <w:szCs w:val="22"/>
          <w:lang w:val="sq-AL"/>
        </w:rPr>
        <w:t>Gjatë vitit 2022</w:t>
      </w:r>
      <w:r>
        <w:rPr>
          <w:szCs w:val="22"/>
          <w:lang w:val="sq-AL"/>
        </w:rPr>
        <w:t>:</w:t>
      </w:r>
    </w:p>
    <w:p w:rsidR="006E5E97" w:rsidRDefault="006E5E97"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Pr>
          <w:rFonts w:cs="Calibri Light"/>
          <w:bCs/>
          <w:i/>
          <w:szCs w:val="22"/>
          <w:lang w:val="sq-AL" w:eastAsia="en-GB"/>
        </w:rPr>
        <w:t>K</w:t>
      </w:r>
      <w:r w:rsidRPr="006E5E97">
        <w:rPr>
          <w:rFonts w:cs="Calibri Light"/>
          <w:bCs/>
          <w:i/>
          <w:szCs w:val="22"/>
          <w:lang w:val="sq-AL" w:eastAsia="en-GB"/>
        </w:rPr>
        <w:t xml:space="preserve">anë hyrë 4.6 milionë turistë në zonat e mbrojtura, </w:t>
      </w:r>
    </w:p>
    <w:p w:rsidR="006E5E97" w:rsidRDefault="006E5E97"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Pr>
          <w:rFonts w:cs="Calibri Light"/>
          <w:bCs/>
          <w:i/>
          <w:szCs w:val="22"/>
          <w:lang w:val="sq-AL" w:eastAsia="en-GB"/>
        </w:rPr>
        <w:t>J</w:t>
      </w:r>
      <w:r w:rsidRPr="006E5E97">
        <w:rPr>
          <w:rFonts w:cs="Calibri Light"/>
          <w:bCs/>
          <w:i/>
          <w:szCs w:val="22"/>
          <w:lang w:val="sq-AL" w:eastAsia="en-GB"/>
        </w:rPr>
        <w:t>anë kryer 24 600 monitorime për vlerësimin e biodiversitetit dhe vlerave natyrore në zonat e mbrojtura,</w:t>
      </w:r>
      <w:r>
        <w:rPr>
          <w:rFonts w:cs="Calibri Light"/>
          <w:bCs/>
          <w:i/>
          <w:szCs w:val="22"/>
          <w:lang w:val="sq-AL" w:eastAsia="en-GB"/>
        </w:rPr>
        <w:t xml:space="preserve">     </w:t>
      </w:r>
      <w:r w:rsidRPr="006E5E97">
        <w:rPr>
          <w:rFonts w:cs="Calibri Light"/>
          <w:bCs/>
          <w:i/>
          <w:szCs w:val="22"/>
          <w:lang w:val="sq-AL" w:eastAsia="en-GB"/>
        </w:rPr>
        <w:t xml:space="preserve">si dhe </w:t>
      </w:r>
    </w:p>
    <w:p w:rsidR="006E5E97" w:rsidRPr="006E5E97" w:rsidRDefault="006E5E97"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Pr>
          <w:rFonts w:cs="Calibri Light"/>
          <w:bCs/>
          <w:i/>
          <w:szCs w:val="22"/>
          <w:lang w:val="sq-AL" w:eastAsia="en-GB"/>
        </w:rPr>
        <w:t>J</w:t>
      </w:r>
      <w:r w:rsidRPr="006E5E97">
        <w:rPr>
          <w:rFonts w:cs="Calibri Light"/>
          <w:bCs/>
          <w:i/>
          <w:szCs w:val="22"/>
          <w:lang w:val="sq-AL" w:eastAsia="en-GB"/>
        </w:rPr>
        <w:t>anë zhvilluar 371 orë mësimore për ndërgjegjësimin dhe informimin e nxënësve mbi zonat e mbrojtura.</w:t>
      </w:r>
    </w:p>
    <w:p w:rsidR="00E3248F" w:rsidRDefault="006E5E97" w:rsidP="006E5E97">
      <w:pPr>
        <w:shd w:val="clear" w:color="auto" w:fill="FFFFFF" w:themeFill="background1"/>
        <w:spacing w:line="240" w:lineRule="auto"/>
        <w:rPr>
          <w:szCs w:val="22"/>
          <w:lang w:val="sq-AL"/>
        </w:rPr>
      </w:pPr>
      <w:r w:rsidRPr="00F95C93">
        <w:rPr>
          <w:szCs w:val="22"/>
          <w:lang w:val="sq-AL"/>
        </w:rPr>
        <w:t xml:space="preserve">Në programin </w:t>
      </w:r>
      <w:r w:rsidRPr="00F95C93">
        <w:rPr>
          <w:b/>
          <w:bCs/>
          <w:szCs w:val="22"/>
          <w:lang w:val="sq-AL"/>
        </w:rPr>
        <w:t xml:space="preserve">“Zhvillimi i Turizmit” </w:t>
      </w:r>
      <w:r w:rsidRPr="00F95C93">
        <w:rPr>
          <w:szCs w:val="22"/>
          <w:lang w:val="sq-AL"/>
        </w:rPr>
        <w:t>është realizuar objektivi i kthimit të Shqipërisë në një destinacion tërheqës turistik, cilësor dhe të qëndrueshëm, duke shfrytëzuar potencialet dhe burimet lokale. Gjatë vitit 2022</w:t>
      </w:r>
      <w:r w:rsidR="00E3248F">
        <w:rPr>
          <w:szCs w:val="22"/>
          <w:lang w:val="sq-AL"/>
        </w:rPr>
        <w:t>:</w:t>
      </w:r>
      <w:r w:rsidRPr="00F95C93">
        <w:rPr>
          <w:szCs w:val="22"/>
          <w:lang w:val="sq-AL"/>
        </w:rPr>
        <w:t xml:space="preserve"> </w:t>
      </w:r>
    </w:p>
    <w:p w:rsidR="00E3248F" w:rsidRDefault="00E3248F"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Pr>
          <w:rFonts w:cs="Calibri Light"/>
          <w:bCs/>
          <w:i/>
          <w:szCs w:val="22"/>
          <w:lang w:val="sq-AL" w:eastAsia="en-GB"/>
        </w:rPr>
        <w:t>K</w:t>
      </w:r>
      <w:r w:rsidR="006E5E97" w:rsidRPr="00E3248F">
        <w:rPr>
          <w:rFonts w:cs="Calibri Light"/>
          <w:bCs/>
          <w:i/>
          <w:szCs w:val="22"/>
          <w:lang w:val="sq-AL" w:eastAsia="en-GB"/>
        </w:rPr>
        <w:t xml:space="preserve">anë hyrë 7.5 milionë shtetas të huaj në Shqipëri, nga të cilët janë 5.7 milionë turistë brenda sezonit veror dhe 1.8 jashtë sezonit veror dhe </w:t>
      </w:r>
    </w:p>
    <w:p w:rsidR="00E3248F" w:rsidRDefault="00E3248F"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Pr>
          <w:rFonts w:cs="Calibri Light"/>
          <w:bCs/>
          <w:i/>
          <w:szCs w:val="22"/>
          <w:lang w:val="sq-AL" w:eastAsia="en-GB"/>
        </w:rPr>
        <w:t xml:space="preserve">Rreth </w:t>
      </w:r>
      <w:r w:rsidR="006E5E97" w:rsidRPr="00E3248F">
        <w:rPr>
          <w:rFonts w:cs="Calibri Light"/>
          <w:bCs/>
          <w:i/>
          <w:szCs w:val="22"/>
          <w:lang w:val="sq-AL" w:eastAsia="en-GB"/>
        </w:rPr>
        <w:t xml:space="preserve">1482 struktura akomoduese kanë marrë certifikatën e kategorizimit. </w:t>
      </w:r>
    </w:p>
    <w:p w:rsidR="006E5E97" w:rsidRPr="00E3248F" w:rsidRDefault="00E3248F" w:rsidP="00C71069">
      <w:pPr>
        <w:pStyle w:val="ListParagraph"/>
        <w:numPr>
          <w:ilvl w:val="0"/>
          <w:numId w:val="24"/>
        </w:numPr>
        <w:shd w:val="clear" w:color="auto" w:fill="FFFFFF" w:themeFill="background1"/>
        <w:spacing w:before="0" w:line="240" w:lineRule="auto"/>
        <w:rPr>
          <w:rFonts w:cs="Calibri Light"/>
          <w:bCs/>
          <w:i/>
          <w:szCs w:val="22"/>
          <w:lang w:val="sq-AL" w:eastAsia="en-GB"/>
        </w:rPr>
      </w:pPr>
      <w:r>
        <w:rPr>
          <w:rFonts w:cs="Calibri Light"/>
          <w:bCs/>
          <w:i/>
          <w:szCs w:val="22"/>
          <w:lang w:val="sq-AL" w:eastAsia="en-GB"/>
        </w:rPr>
        <w:t>Ë</w:t>
      </w:r>
      <w:r w:rsidR="006E5E97" w:rsidRPr="00E3248F">
        <w:rPr>
          <w:rFonts w:cs="Calibri Light"/>
          <w:bCs/>
          <w:i/>
          <w:szCs w:val="22"/>
          <w:lang w:val="sq-AL" w:eastAsia="en-GB"/>
        </w:rPr>
        <w:t>shtë realizuar plotësisht produkti i ri për mbështetjen e katër bashkive (Durrës, Kavajë, Himarë, Sarandë) në procesin e pastrimit të vijës bregdetare, me një kosto faktike prej rreth 104 milion lekë.</w:t>
      </w:r>
    </w:p>
    <w:p w:rsidR="001A7510" w:rsidRDefault="001A7510" w:rsidP="00A50ADB">
      <w:pPr>
        <w:shd w:val="clear" w:color="auto" w:fill="FFFFFF" w:themeFill="background1"/>
        <w:spacing w:line="240" w:lineRule="auto"/>
        <w:rPr>
          <w:rFonts w:asciiTheme="majorHAnsi" w:eastAsiaTheme="minorHAnsi" w:hAnsiTheme="majorHAnsi" w:cs="Calibri Light"/>
          <w:szCs w:val="22"/>
          <w:lang w:val="sq-AL"/>
        </w:rPr>
      </w:pPr>
    </w:p>
    <w:p w:rsidR="001A7510" w:rsidRDefault="001A7510" w:rsidP="00A50ADB">
      <w:pPr>
        <w:shd w:val="clear" w:color="auto" w:fill="FFFFFF" w:themeFill="background1"/>
        <w:spacing w:line="240" w:lineRule="auto"/>
        <w:rPr>
          <w:rFonts w:asciiTheme="majorHAnsi" w:eastAsiaTheme="minorHAnsi" w:hAnsiTheme="majorHAnsi" w:cs="Calibri Light"/>
          <w:szCs w:val="22"/>
          <w:lang w:val="sq-AL"/>
        </w:rPr>
      </w:pPr>
    </w:p>
    <w:p w:rsidR="001A7510" w:rsidRDefault="001A7510" w:rsidP="00A50ADB">
      <w:pPr>
        <w:shd w:val="clear" w:color="auto" w:fill="FFFFFF" w:themeFill="background1"/>
        <w:spacing w:line="240" w:lineRule="auto"/>
        <w:rPr>
          <w:rFonts w:asciiTheme="majorHAnsi" w:eastAsiaTheme="minorHAnsi" w:hAnsiTheme="majorHAnsi" w:cs="Calibri Light"/>
          <w:szCs w:val="22"/>
          <w:lang w:val="sq-AL"/>
        </w:rPr>
      </w:pPr>
    </w:p>
    <w:p w:rsidR="001A7510" w:rsidRDefault="001A7510" w:rsidP="00A50ADB">
      <w:pPr>
        <w:shd w:val="clear" w:color="auto" w:fill="FFFFFF" w:themeFill="background1"/>
        <w:spacing w:line="240" w:lineRule="auto"/>
        <w:rPr>
          <w:rFonts w:asciiTheme="majorHAnsi" w:eastAsiaTheme="minorHAnsi" w:hAnsiTheme="majorHAnsi" w:cs="Calibri Light"/>
          <w:szCs w:val="22"/>
          <w:lang w:val="sq-AL"/>
        </w:rPr>
      </w:pPr>
    </w:p>
    <w:p w:rsidR="001A7510" w:rsidRDefault="001A7510" w:rsidP="00A50ADB">
      <w:pPr>
        <w:shd w:val="clear" w:color="auto" w:fill="FFFFFF" w:themeFill="background1"/>
        <w:spacing w:line="240" w:lineRule="auto"/>
        <w:rPr>
          <w:rFonts w:asciiTheme="majorHAnsi" w:eastAsiaTheme="minorHAnsi" w:hAnsiTheme="majorHAnsi" w:cs="Calibri Light"/>
          <w:szCs w:val="22"/>
          <w:lang w:val="sq-AL"/>
        </w:rPr>
      </w:pPr>
    </w:p>
    <w:p w:rsidR="00A50ADB" w:rsidRPr="002617BE" w:rsidRDefault="00516438" w:rsidP="00A50ADB">
      <w:pPr>
        <w:shd w:val="clear" w:color="auto" w:fill="FFFFFF" w:themeFill="background1"/>
        <w:spacing w:line="240" w:lineRule="auto"/>
        <w:rPr>
          <w:rFonts w:asciiTheme="majorHAnsi" w:eastAsiaTheme="minorHAnsi" w:hAnsiTheme="majorHAnsi" w:cs="Calibri Light"/>
          <w:szCs w:val="22"/>
          <w:lang w:val="sq-AL"/>
        </w:rPr>
      </w:pPr>
      <w:r w:rsidRPr="00A50ADB">
        <w:rPr>
          <w:rFonts w:asciiTheme="majorHAnsi" w:eastAsiaTheme="minorHAnsi" w:hAnsiTheme="majorHAnsi" w:cs="Calibri Light"/>
          <w:szCs w:val="22"/>
          <w:lang w:val="sq-AL"/>
        </w:rPr>
        <w:lastRenderedPageBreak/>
        <w:t xml:space="preserve">Për sa i përket </w:t>
      </w:r>
      <w:r w:rsidRPr="00A50ADB">
        <w:rPr>
          <w:rFonts w:asciiTheme="majorHAnsi" w:eastAsiaTheme="minorHAnsi" w:hAnsiTheme="majorHAnsi" w:cs="Calibri Light"/>
          <w:b/>
          <w:bCs/>
          <w:szCs w:val="22"/>
          <w:lang w:val="sq-AL"/>
        </w:rPr>
        <w:t>investimeve publike,</w:t>
      </w:r>
      <w:r w:rsidRPr="00A50ADB">
        <w:rPr>
          <w:rFonts w:asciiTheme="majorHAnsi" w:eastAsiaTheme="minorHAnsi" w:hAnsiTheme="majorHAnsi" w:cs="Calibri Light"/>
          <w:szCs w:val="22"/>
          <w:lang w:val="sq-AL"/>
        </w:rPr>
        <w:t xml:space="preserve"> </w:t>
      </w:r>
      <w:r w:rsidR="00A50ADB" w:rsidRPr="00A50ADB">
        <w:rPr>
          <w:rFonts w:cs="Calibri"/>
          <w:lang w:val="sq-AL"/>
        </w:rPr>
        <w:t>realizimi në vitin 2022 ishte 92% e buxhetit fillestar për projektet me</w:t>
      </w:r>
      <w:r w:rsidR="00A50ADB" w:rsidRPr="002617BE">
        <w:rPr>
          <w:rFonts w:cs="Calibri"/>
          <w:lang w:val="sq-AL"/>
        </w:rPr>
        <w:t xml:space="preserve"> financim të brendshëm (0.53 milard lekë)</w:t>
      </w:r>
      <w:r w:rsidR="00A50ADB" w:rsidRPr="002617BE">
        <w:rPr>
          <w:rFonts w:cs="Calibri"/>
          <w:bCs/>
          <w:iCs/>
          <w:lang w:val="sq-AL"/>
        </w:rPr>
        <w:t xml:space="preserve"> (97.1 % të planit vjetor të ndryshuar me AN nr.19)</w:t>
      </w:r>
      <w:r w:rsidR="00A50ADB" w:rsidRPr="002617BE">
        <w:rPr>
          <w:rFonts w:cs="Calibri"/>
          <w:lang w:val="sq-AL"/>
        </w:rPr>
        <w:t xml:space="preserve"> dhe 75.8% e buxhetit fillestar për projektet me financim të huaj (0.37 miliardë lekë) </w:t>
      </w:r>
      <w:r w:rsidR="00A50ADB" w:rsidRPr="002617BE">
        <w:rPr>
          <w:rFonts w:cs="Calibri"/>
          <w:bCs/>
          <w:iCs/>
          <w:lang w:val="sq-AL"/>
        </w:rPr>
        <w:t>(86.6 % të planit vjetor të ndryshuar me AN nr.19).</w:t>
      </w:r>
      <w:r w:rsidR="00A50ADB" w:rsidRPr="002617BE">
        <w:rPr>
          <w:rFonts w:cs="Calibri"/>
          <w:lang w:val="sq-AL"/>
        </w:rPr>
        <w:t xml:space="preserve"> Buxheti i shpenzimeve kapitale pësoi disa ndryshime gjatë vitit, duke pakësuar shpenzimet me financim të brendshëm dhe duke rritur ato me financim të huaj. </w:t>
      </w:r>
      <w:r w:rsidR="00A50ADB" w:rsidRPr="002617BE">
        <w:rPr>
          <w:rFonts w:asciiTheme="majorHAnsi" w:eastAsiaTheme="minorHAnsi" w:hAnsiTheme="majorHAnsi" w:cs="Calibri Light"/>
          <w:szCs w:val="22"/>
          <w:lang w:val="sq-AL"/>
        </w:rPr>
        <w:t>Janë mbyllur kontratat e investimit si më poshtë, ku ndër më kryesoret veçojmë:</w:t>
      </w:r>
    </w:p>
    <w:p w:rsidR="00A50ADB" w:rsidRPr="002617BE" w:rsidRDefault="00A50ADB" w:rsidP="00C71069">
      <w:pPr>
        <w:pStyle w:val="ListParagraph"/>
        <w:numPr>
          <w:ilvl w:val="0"/>
          <w:numId w:val="28"/>
        </w:numPr>
        <w:spacing w:before="0" w:line="240" w:lineRule="auto"/>
        <w:rPr>
          <w:rFonts w:asciiTheme="majorHAnsi" w:eastAsiaTheme="minorHAnsi" w:hAnsiTheme="majorHAnsi" w:cs="Calibri Light"/>
          <w:i/>
          <w:szCs w:val="22"/>
          <w:lang w:val="sq-AL"/>
        </w:rPr>
      </w:pPr>
      <w:r w:rsidRPr="002617BE">
        <w:rPr>
          <w:rFonts w:asciiTheme="majorHAnsi" w:eastAsiaTheme="minorHAnsi" w:hAnsiTheme="majorHAnsi" w:cs="Calibri Light"/>
          <w:i/>
          <w:szCs w:val="22"/>
          <w:lang w:val="sq-AL"/>
        </w:rPr>
        <w:t>Hartimi i projektit për “Ngritja e infrastruktures turistike me theks tek ajo ujore-EKO-PARK ULZA” në vlerën e 21 milionë lekë;</w:t>
      </w:r>
    </w:p>
    <w:p w:rsidR="00A50ADB" w:rsidRPr="002617BE" w:rsidRDefault="00A50ADB" w:rsidP="00C71069">
      <w:pPr>
        <w:pStyle w:val="ListParagraph"/>
        <w:numPr>
          <w:ilvl w:val="0"/>
          <w:numId w:val="28"/>
        </w:numPr>
        <w:spacing w:before="0" w:line="240" w:lineRule="auto"/>
        <w:rPr>
          <w:rFonts w:asciiTheme="majorHAnsi" w:eastAsiaTheme="minorHAnsi" w:hAnsiTheme="majorHAnsi" w:cs="Calibri Light"/>
          <w:i/>
          <w:szCs w:val="22"/>
          <w:lang w:val="sq-AL"/>
        </w:rPr>
      </w:pPr>
      <w:r w:rsidRPr="002617BE">
        <w:rPr>
          <w:rFonts w:asciiTheme="majorHAnsi" w:eastAsiaTheme="minorHAnsi" w:hAnsiTheme="majorHAnsi" w:cs="Calibri Light"/>
          <w:i/>
          <w:szCs w:val="22"/>
          <w:lang w:val="sq-AL"/>
        </w:rPr>
        <w:t>Hartimi I Planit te Integruar t</w:t>
      </w:r>
      <w:r>
        <w:rPr>
          <w:rFonts w:asciiTheme="majorHAnsi" w:eastAsiaTheme="minorHAnsi" w:hAnsiTheme="majorHAnsi" w:cs="Calibri Light"/>
          <w:i/>
          <w:szCs w:val="22"/>
          <w:lang w:val="sq-AL"/>
        </w:rPr>
        <w:t>ë</w:t>
      </w:r>
      <w:r w:rsidRPr="002617BE">
        <w:rPr>
          <w:rFonts w:asciiTheme="majorHAnsi" w:eastAsiaTheme="minorHAnsi" w:hAnsiTheme="majorHAnsi" w:cs="Calibri Light"/>
          <w:i/>
          <w:szCs w:val="22"/>
          <w:lang w:val="sq-AL"/>
        </w:rPr>
        <w:t xml:space="preserve"> Menaxhimit " Parku Komb</w:t>
      </w:r>
      <w:r>
        <w:rPr>
          <w:rFonts w:asciiTheme="majorHAnsi" w:eastAsiaTheme="minorHAnsi" w:hAnsiTheme="majorHAnsi" w:cs="Calibri Light"/>
          <w:i/>
          <w:szCs w:val="22"/>
          <w:lang w:val="sq-AL"/>
        </w:rPr>
        <w:t>ë</w:t>
      </w:r>
      <w:r w:rsidRPr="002617BE">
        <w:rPr>
          <w:rFonts w:asciiTheme="majorHAnsi" w:eastAsiaTheme="minorHAnsi" w:hAnsiTheme="majorHAnsi" w:cs="Calibri Light"/>
          <w:i/>
          <w:szCs w:val="22"/>
          <w:lang w:val="sq-AL"/>
        </w:rPr>
        <w:t xml:space="preserve">tar Mali </w:t>
      </w:r>
      <w:r>
        <w:rPr>
          <w:rFonts w:asciiTheme="majorHAnsi" w:eastAsiaTheme="minorHAnsi" w:hAnsiTheme="majorHAnsi" w:cs="Calibri Light"/>
          <w:i/>
          <w:szCs w:val="22"/>
          <w:lang w:val="sq-AL"/>
        </w:rPr>
        <w:t>i</w:t>
      </w:r>
      <w:r w:rsidRPr="002617BE">
        <w:rPr>
          <w:rFonts w:asciiTheme="majorHAnsi" w:eastAsiaTheme="minorHAnsi" w:hAnsiTheme="majorHAnsi" w:cs="Calibri Light"/>
          <w:i/>
          <w:szCs w:val="22"/>
          <w:lang w:val="sq-AL"/>
        </w:rPr>
        <w:t xml:space="preserve"> Dajtit" në vlerën e 14 milionë lekë;</w:t>
      </w:r>
    </w:p>
    <w:p w:rsidR="00A50ADB" w:rsidRPr="002617BE" w:rsidRDefault="00A50ADB" w:rsidP="00C71069">
      <w:pPr>
        <w:pStyle w:val="ListParagraph"/>
        <w:numPr>
          <w:ilvl w:val="0"/>
          <w:numId w:val="28"/>
        </w:numPr>
        <w:spacing w:before="0" w:line="240" w:lineRule="auto"/>
        <w:rPr>
          <w:rFonts w:asciiTheme="majorHAnsi" w:eastAsiaTheme="minorHAnsi" w:hAnsiTheme="majorHAnsi" w:cs="Calibri Light"/>
          <w:i/>
          <w:szCs w:val="22"/>
          <w:lang w:val="sq-AL"/>
        </w:rPr>
      </w:pPr>
      <w:r w:rsidRPr="002617BE">
        <w:rPr>
          <w:rFonts w:asciiTheme="majorHAnsi" w:eastAsiaTheme="minorHAnsi" w:hAnsiTheme="majorHAnsi" w:cs="Calibri Light"/>
          <w:i/>
          <w:szCs w:val="22"/>
          <w:lang w:val="sq-AL"/>
        </w:rPr>
        <w:t>Projektet të ndryshme në fushën e turizmit në vlerën e 110 milionë lekë;</w:t>
      </w:r>
    </w:p>
    <w:p w:rsidR="00A50ADB" w:rsidRPr="002617BE" w:rsidRDefault="00A50ADB" w:rsidP="00C71069">
      <w:pPr>
        <w:pStyle w:val="ListParagraph"/>
        <w:numPr>
          <w:ilvl w:val="0"/>
          <w:numId w:val="28"/>
        </w:numPr>
        <w:spacing w:before="0" w:line="240" w:lineRule="auto"/>
        <w:rPr>
          <w:rFonts w:asciiTheme="majorHAnsi" w:eastAsiaTheme="minorHAnsi" w:hAnsiTheme="majorHAnsi" w:cs="Calibri Light"/>
          <w:i/>
          <w:szCs w:val="22"/>
          <w:lang w:val="sq-AL"/>
        </w:rPr>
      </w:pPr>
      <w:r w:rsidRPr="002617BE">
        <w:rPr>
          <w:rFonts w:asciiTheme="majorHAnsi" w:eastAsiaTheme="minorHAnsi" w:hAnsiTheme="majorHAnsi" w:cs="Calibri Light"/>
          <w:i/>
          <w:szCs w:val="22"/>
          <w:lang w:val="sq-AL"/>
        </w:rPr>
        <w:t>Permiresimi i infrastruktures dhe kthimi i Parkut Natyror "Syri i Kalter" ne destinacion eko-turistik në vlerën e  123 milionë lekë;</w:t>
      </w:r>
    </w:p>
    <w:p w:rsidR="00A50ADB" w:rsidRPr="002617BE" w:rsidRDefault="00A50ADB" w:rsidP="00C71069">
      <w:pPr>
        <w:pStyle w:val="ListParagraph"/>
        <w:numPr>
          <w:ilvl w:val="0"/>
          <w:numId w:val="28"/>
        </w:numPr>
        <w:spacing w:before="0" w:line="240" w:lineRule="auto"/>
        <w:rPr>
          <w:rFonts w:asciiTheme="majorHAnsi" w:eastAsiaTheme="minorHAnsi" w:hAnsiTheme="majorHAnsi" w:cs="Calibri Light"/>
          <w:i/>
          <w:szCs w:val="22"/>
          <w:lang w:val="sq-AL"/>
        </w:rPr>
      </w:pPr>
      <w:r w:rsidRPr="002617BE">
        <w:rPr>
          <w:rFonts w:asciiTheme="majorHAnsi" w:eastAsiaTheme="minorHAnsi" w:hAnsiTheme="majorHAnsi" w:cs="Calibri Light"/>
          <w:i/>
          <w:szCs w:val="22"/>
          <w:lang w:val="sq-AL"/>
        </w:rPr>
        <w:t>Pajisje dhe pjesë kembimi për 7 stacionet e monitorimit të ajrit në vlerën 37 milionë lekë.</w:t>
      </w:r>
    </w:p>
    <w:p w:rsidR="00A50ADB" w:rsidRPr="002617BE" w:rsidRDefault="00A50ADB" w:rsidP="00A50ADB">
      <w:pPr>
        <w:pStyle w:val="ListParagraph"/>
        <w:spacing w:before="0" w:line="240" w:lineRule="auto"/>
        <w:ind w:left="810"/>
        <w:rPr>
          <w:rFonts w:asciiTheme="majorHAnsi" w:eastAsiaTheme="minorHAnsi" w:hAnsiTheme="majorHAnsi" w:cs="Calibri Light"/>
          <w:i/>
          <w:szCs w:val="22"/>
          <w:lang w:val="sq-AL"/>
        </w:rPr>
      </w:pPr>
    </w:p>
    <w:p w:rsidR="00AB7A9F" w:rsidRDefault="00AB7A9F" w:rsidP="00FC729E">
      <w:pPr>
        <w:shd w:val="clear" w:color="auto" w:fill="FFFFFF" w:themeFill="background1"/>
        <w:rPr>
          <w:rFonts w:cs="Calibri"/>
          <w:lang w:val="sq-AL"/>
        </w:rPr>
      </w:pPr>
    </w:p>
    <w:p w:rsidR="007B7B50" w:rsidRPr="00EE419E" w:rsidRDefault="007B7B50" w:rsidP="00EE419E">
      <w:pPr>
        <w:pStyle w:val="fiskale3"/>
        <w:spacing w:line="240" w:lineRule="auto"/>
        <w:rPr>
          <w:rFonts w:ascii="Calibri" w:hAnsi="Calibri" w:cs="Calibri"/>
          <w:b/>
        </w:rPr>
      </w:pPr>
      <w:bookmarkStart w:id="273" w:name="_Toc10033302"/>
      <w:bookmarkStart w:id="274" w:name="_Toc10721438"/>
      <w:bookmarkStart w:id="275" w:name="_Toc104980365"/>
      <w:r w:rsidRPr="00EE419E">
        <w:rPr>
          <w:rFonts w:ascii="Calibri" w:hAnsi="Calibri" w:cs="Calibri"/>
          <w:b/>
        </w:rPr>
        <w:t>Drejtësia</w:t>
      </w:r>
      <w:bookmarkEnd w:id="273"/>
      <w:bookmarkEnd w:id="274"/>
      <w:bookmarkEnd w:id="275"/>
    </w:p>
    <w:p w:rsidR="007B7B50" w:rsidRPr="00476D2E" w:rsidRDefault="007B7B50" w:rsidP="00EE419E">
      <w:pPr>
        <w:spacing w:before="0" w:line="240" w:lineRule="auto"/>
        <w:rPr>
          <w:rFonts w:cs="Calibri"/>
          <w:lang w:val="sq-AL"/>
        </w:rPr>
      </w:pPr>
      <w:r w:rsidRPr="00476D2E">
        <w:rPr>
          <w:rFonts w:cs="Calibri"/>
          <w:lang w:val="sq-AL"/>
        </w:rPr>
        <w:t xml:space="preserve">Performanca e treguesve buxhetorë për nëntë programet kryesore në Ministrinë </w:t>
      </w:r>
      <w:r w:rsidR="00F61F6A">
        <w:rPr>
          <w:rFonts w:cs="Calibri"/>
          <w:lang w:val="sq-AL"/>
        </w:rPr>
        <w:t xml:space="preserve">e </w:t>
      </w:r>
      <w:r w:rsidRPr="00476D2E">
        <w:rPr>
          <w:rFonts w:cs="Calibri"/>
          <w:lang w:val="sq-AL"/>
        </w:rPr>
        <w:t>Drejtësisë, paraqitet si mëposhtë:</w:t>
      </w:r>
    </w:p>
    <w:p w:rsidR="007B7B50" w:rsidRPr="00476D2E" w:rsidRDefault="007B7B50" w:rsidP="00EE419E">
      <w:pPr>
        <w:spacing w:line="240" w:lineRule="auto"/>
        <w:rPr>
          <w:rFonts w:cs="Calibri"/>
          <w:iCs/>
          <w:sz w:val="20"/>
          <w:szCs w:val="18"/>
          <w:u w:val="single"/>
          <w:lang w:val="sq-AL"/>
        </w:rPr>
      </w:pPr>
      <w:bookmarkStart w:id="276" w:name="_Toc136526356"/>
      <w:r w:rsidRPr="00476D2E">
        <w:rPr>
          <w:rFonts w:cs="Calibri"/>
          <w:i/>
          <w:iCs/>
          <w:sz w:val="18"/>
          <w:szCs w:val="18"/>
          <w:lang w:val="sq-AL"/>
        </w:rPr>
        <w:t xml:space="preserve">Tabela </w:t>
      </w:r>
      <w:r w:rsidRPr="00476D2E">
        <w:rPr>
          <w:rFonts w:cs="Calibri"/>
          <w:i/>
          <w:iCs/>
          <w:sz w:val="18"/>
          <w:szCs w:val="18"/>
          <w:lang w:val="sq-AL"/>
        </w:rPr>
        <w:fldChar w:fldCharType="begin"/>
      </w:r>
      <w:r w:rsidRPr="00476D2E">
        <w:rPr>
          <w:rFonts w:cs="Calibri"/>
          <w:i/>
          <w:iCs/>
          <w:sz w:val="18"/>
          <w:szCs w:val="18"/>
          <w:lang w:val="sq-AL"/>
        </w:rPr>
        <w:instrText xml:space="preserve"> SEQ Tabela \* ARABIC </w:instrText>
      </w:r>
      <w:r w:rsidRPr="00476D2E">
        <w:rPr>
          <w:rFonts w:cs="Calibri"/>
          <w:i/>
          <w:iCs/>
          <w:sz w:val="18"/>
          <w:szCs w:val="18"/>
          <w:lang w:val="sq-AL"/>
        </w:rPr>
        <w:fldChar w:fldCharType="separate"/>
      </w:r>
      <w:r w:rsidR="008C3E07">
        <w:rPr>
          <w:rFonts w:cs="Calibri"/>
          <w:i/>
          <w:iCs/>
          <w:noProof/>
          <w:sz w:val="18"/>
          <w:szCs w:val="18"/>
          <w:lang w:val="sq-AL"/>
        </w:rPr>
        <w:t>30</w:t>
      </w:r>
      <w:r w:rsidRPr="00476D2E">
        <w:rPr>
          <w:rFonts w:cs="Calibri"/>
          <w:i/>
          <w:iCs/>
          <w:noProof/>
          <w:sz w:val="18"/>
          <w:szCs w:val="18"/>
          <w:lang w:val="sq-AL"/>
        </w:rPr>
        <w:fldChar w:fldCharType="end"/>
      </w:r>
      <w:r w:rsidRPr="00476D2E">
        <w:rPr>
          <w:rFonts w:cs="Calibri"/>
          <w:i/>
          <w:iCs/>
          <w:sz w:val="18"/>
          <w:szCs w:val="18"/>
          <w:lang w:val="sq-AL"/>
        </w:rPr>
        <w:t xml:space="preserve"> Realizimi i buxhetit 202</w:t>
      </w:r>
      <w:r w:rsidR="00EE7537">
        <w:rPr>
          <w:rFonts w:cs="Calibri"/>
          <w:i/>
          <w:iCs/>
          <w:sz w:val="18"/>
          <w:szCs w:val="18"/>
          <w:lang w:val="sq-AL"/>
        </w:rPr>
        <w:t>2</w:t>
      </w:r>
      <w:r w:rsidRPr="00476D2E">
        <w:rPr>
          <w:rFonts w:cs="Calibri"/>
          <w:i/>
          <w:iCs/>
          <w:sz w:val="18"/>
          <w:szCs w:val="18"/>
          <w:lang w:val="sq-AL"/>
        </w:rPr>
        <w:t xml:space="preserve"> për Ministrinë e Drejtësisë</w:t>
      </w:r>
      <w:bookmarkEnd w:id="276"/>
      <w:r w:rsidRPr="00476D2E">
        <w:rPr>
          <w:rFonts w:cs="Calibri"/>
          <w:i/>
          <w:iCs/>
          <w:sz w:val="20"/>
          <w:szCs w:val="18"/>
          <w:u w:val="single"/>
          <w:lang w:val="sq-AL"/>
        </w:rPr>
        <w:t xml:space="preserve"> </w:t>
      </w:r>
    </w:p>
    <w:tbl>
      <w:tblPr>
        <w:tblStyle w:val="GridTable1Light-Accent11"/>
        <w:tblW w:w="5244" w:type="pct"/>
        <w:jc w:val="center"/>
        <w:tblLook w:val="01E0" w:firstRow="1" w:lastRow="1" w:firstColumn="1" w:lastColumn="1" w:noHBand="0" w:noVBand="0"/>
      </w:tblPr>
      <w:tblGrid>
        <w:gridCol w:w="2352"/>
        <w:gridCol w:w="970"/>
        <w:gridCol w:w="884"/>
        <w:gridCol w:w="931"/>
        <w:gridCol w:w="884"/>
        <w:gridCol w:w="929"/>
        <w:gridCol w:w="884"/>
        <w:gridCol w:w="710"/>
        <w:gridCol w:w="662"/>
        <w:gridCol w:w="591"/>
        <w:gridCol w:w="576"/>
      </w:tblGrid>
      <w:tr w:rsidR="00EE7537" w:rsidRPr="00EE7537" w:rsidTr="001A7510">
        <w:trPr>
          <w:cnfStyle w:val="100000000000" w:firstRow="1" w:lastRow="0" w:firstColumn="0" w:lastColumn="0" w:oddVBand="0" w:evenVBand="0" w:oddHBand="0" w:evenHBand="0" w:firstRowFirstColumn="0" w:firstRowLastColumn="0" w:lastRowFirstColumn="0" w:lastRowLastColumn="0"/>
          <w:trHeight w:val="101"/>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0B5294" w:themeFill="accent1" w:themeFillShade="BF"/>
          </w:tcPr>
          <w:p w:rsidR="00EE7537" w:rsidRPr="00EE7537" w:rsidRDefault="00EE7537" w:rsidP="00EE7537">
            <w:pPr>
              <w:spacing w:before="0" w:line="240" w:lineRule="auto"/>
              <w:jc w:val="center"/>
              <w:rPr>
                <w:rFonts w:asciiTheme="majorHAnsi" w:hAnsiTheme="majorHAnsi"/>
                <w:color w:val="FFFFFF" w:themeColor="background1"/>
                <w:sz w:val="16"/>
                <w:szCs w:val="16"/>
                <w:lang w:val="sq-AL"/>
              </w:rPr>
            </w:pPr>
          </w:p>
          <w:p w:rsidR="00EE7537" w:rsidRPr="00EE7537" w:rsidRDefault="00EE7537" w:rsidP="00EE7537">
            <w:pPr>
              <w:spacing w:before="0" w:line="240" w:lineRule="auto"/>
              <w:jc w:val="center"/>
              <w:rPr>
                <w:rFonts w:asciiTheme="majorHAnsi" w:hAnsiTheme="majorHAnsi"/>
                <w:color w:val="FFFFFF" w:themeColor="background1"/>
                <w:sz w:val="16"/>
                <w:szCs w:val="16"/>
                <w:lang w:val="sq-AL"/>
              </w:rPr>
            </w:pPr>
            <w:r w:rsidRPr="00EE7537">
              <w:rPr>
                <w:rFonts w:asciiTheme="majorHAnsi" w:hAnsiTheme="majorHAnsi"/>
                <w:color w:val="FFFFFF" w:themeColor="background1"/>
                <w:sz w:val="16"/>
                <w:szCs w:val="16"/>
                <w:lang w:val="sq-AL"/>
              </w:rPr>
              <w:t>Programi buxhetor</w:t>
            </w:r>
          </w:p>
        </w:tc>
        <w:tc>
          <w:tcPr>
            <w:tcW w:w="894" w:type="pct"/>
            <w:gridSpan w:val="2"/>
            <w:shd w:val="clear" w:color="auto" w:fill="0B5294" w:themeFill="accent1" w:themeFillShade="BF"/>
          </w:tcPr>
          <w:p w:rsidR="00EE7537" w:rsidRPr="00EE7537" w:rsidRDefault="00EE7537" w:rsidP="00EE7537">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16"/>
                <w:szCs w:val="16"/>
                <w:lang w:val="sq-AL"/>
              </w:rPr>
            </w:pPr>
          </w:p>
          <w:p w:rsidR="00EE7537" w:rsidRPr="00EE7537" w:rsidRDefault="00EE7537" w:rsidP="00EE7537">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16"/>
                <w:szCs w:val="16"/>
                <w:lang w:val="sq-AL"/>
              </w:rPr>
            </w:pPr>
            <w:r w:rsidRPr="00EE7537">
              <w:rPr>
                <w:rFonts w:asciiTheme="majorHAnsi" w:hAnsiTheme="majorHAnsi"/>
                <w:color w:val="FFFFFF" w:themeColor="background1"/>
                <w:sz w:val="16"/>
                <w:szCs w:val="16"/>
                <w:lang w:val="sq-AL"/>
              </w:rPr>
              <w:t>Plani fillestar 2022</w:t>
            </w:r>
          </w:p>
        </w:tc>
        <w:tc>
          <w:tcPr>
            <w:tcW w:w="874" w:type="pct"/>
            <w:gridSpan w:val="2"/>
            <w:shd w:val="clear" w:color="auto" w:fill="0B5294" w:themeFill="accent1" w:themeFillShade="BF"/>
          </w:tcPr>
          <w:p w:rsidR="00EE7537" w:rsidRPr="00EE7537" w:rsidRDefault="00EE7537" w:rsidP="00EE7537">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16"/>
                <w:szCs w:val="16"/>
                <w:lang w:val="sq-AL"/>
              </w:rPr>
            </w:pPr>
          </w:p>
          <w:p w:rsidR="00EE7537" w:rsidRPr="00EE7537" w:rsidRDefault="00EE7537" w:rsidP="00EE7537">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16"/>
                <w:szCs w:val="16"/>
                <w:lang w:val="sq-AL"/>
              </w:rPr>
            </w:pPr>
            <w:r w:rsidRPr="00EE7537">
              <w:rPr>
                <w:rFonts w:asciiTheme="majorHAnsi" w:hAnsiTheme="majorHAnsi"/>
                <w:color w:val="FFFFFF" w:themeColor="background1"/>
                <w:sz w:val="16"/>
                <w:szCs w:val="16"/>
                <w:lang w:val="sq-AL"/>
              </w:rPr>
              <w:t>Plani i rishikuar 2022</w:t>
            </w:r>
          </w:p>
        </w:tc>
        <w:tc>
          <w:tcPr>
            <w:tcW w:w="873" w:type="pct"/>
            <w:gridSpan w:val="2"/>
            <w:shd w:val="clear" w:color="auto" w:fill="0B5294" w:themeFill="accent1" w:themeFillShade="BF"/>
          </w:tcPr>
          <w:p w:rsidR="00EE7537" w:rsidRPr="00EE7537" w:rsidRDefault="00EE7537" w:rsidP="00EE7537">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16"/>
                <w:szCs w:val="16"/>
                <w:lang w:val="sq-AL"/>
              </w:rPr>
            </w:pPr>
          </w:p>
          <w:p w:rsidR="00EE7537" w:rsidRPr="00EE7537" w:rsidRDefault="00EE7537" w:rsidP="00EE7537">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olor w:val="FFFFFF" w:themeColor="background1"/>
                <w:sz w:val="16"/>
                <w:szCs w:val="16"/>
                <w:lang w:val="sq-AL"/>
              </w:rPr>
            </w:pPr>
            <w:r w:rsidRPr="00EE7537">
              <w:rPr>
                <w:rFonts w:asciiTheme="majorHAnsi" w:hAnsiTheme="majorHAnsi"/>
                <w:color w:val="FFFFFF" w:themeColor="background1"/>
                <w:sz w:val="16"/>
                <w:szCs w:val="16"/>
                <w:lang w:val="sq-AL"/>
              </w:rPr>
              <w:t>Fakti 2022</w:t>
            </w:r>
          </w:p>
        </w:tc>
        <w:tc>
          <w:tcPr>
            <w:tcW w:w="661" w:type="pct"/>
            <w:gridSpan w:val="2"/>
            <w:shd w:val="clear" w:color="auto" w:fill="0B5294" w:themeFill="accent1" w:themeFillShade="BF"/>
          </w:tcPr>
          <w:p w:rsidR="00EE7537" w:rsidRPr="00EE7537" w:rsidRDefault="00EE7537" w:rsidP="00EE7537">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color w:val="FFFFFF" w:themeColor="background1"/>
                <w:sz w:val="16"/>
                <w:szCs w:val="16"/>
                <w:lang w:val="sq-AL"/>
              </w:rPr>
            </w:pPr>
            <w:r w:rsidRPr="00EE7537">
              <w:rPr>
                <w:rFonts w:asciiTheme="majorHAnsi" w:hAnsiTheme="majorHAnsi"/>
                <w:bCs w:val="0"/>
                <w:color w:val="FFFFFF" w:themeColor="background1"/>
                <w:sz w:val="16"/>
                <w:szCs w:val="16"/>
              </w:rPr>
              <w:t>Diferenca në % me planin fillestar</w:t>
            </w:r>
          </w:p>
        </w:tc>
        <w:tc>
          <w:tcPr>
            <w:cnfStyle w:val="000100000000" w:firstRow="0" w:lastRow="0" w:firstColumn="0" w:lastColumn="1" w:oddVBand="0" w:evenVBand="0" w:oddHBand="0" w:evenHBand="0" w:firstRowFirstColumn="0" w:firstRowLastColumn="0" w:lastRowFirstColumn="0" w:lastRowLastColumn="0"/>
            <w:tcW w:w="563" w:type="pct"/>
            <w:gridSpan w:val="2"/>
            <w:shd w:val="clear" w:color="auto" w:fill="0B5294" w:themeFill="accent1" w:themeFillShade="BF"/>
          </w:tcPr>
          <w:p w:rsidR="00EE7537" w:rsidRPr="00EE7537" w:rsidRDefault="00EE7537" w:rsidP="00EE7537">
            <w:pPr>
              <w:spacing w:before="0" w:line="240" w:lineRule="auto"/>
              <w:jc w:val="center"/>
              <w:rPr>
                <w:rFonts w:asciiTheme="majorHAnsi" w:hAnsiTheme="majorHAnsi"/>
                <w:bCs w:val="0"/>
                <w:color w:val="FFFFFF" w:themeColor="background1"/>
                <w:sz w:val="16"/>
                <w:szCs w:val="16"/>
                <w:lang w:val="sq-AL"/>
              </w:rPr>
            </w:pPr>
            <w:r w:rsidRPr="00EE7537">
              <w:rPr>
                <w:rFonts w:asciiTheme="majorHAnsi" w:hAnsiTheme="majorHAnsi"/>
                <w:bCs w:val="0"/>
                <w:color w:val="FFFFFF" w:themeColor="background1"/>
                <w:sz w:val="16"/>
                <w:szCs w:val="16"/>
              </w:rPr>
              <w:t>Diferenca në % me planin e rishikuar</w:t>
            </w:r>
          </w:p>
        </w:tc>
      </w:tr>
      <w:tr w:rsidR="00EE7537" w:rsidRPr="00EE7537" w:rsidTr="001A7510">
        <w:trPr>
          <w:trHeight w:val="101"/>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0B5294" w:themeFill="accent1" w:themeFillShade="BF"/>
          </w:tcPr>
          <w:p w:rsidR="00EE7537" w:rsidRPr="00EE7537" w:rsidRDefault="00EE7537" w:rsidP="00EE7537">
            <w:pPr>
              <w:spacing w:before="0" w:line="240" w:lineRule="auto"/>
              <w:jc w:val="center"/>
              <w:rPr>
                <w:rFonts w:asciiTheme="majorHAnsi" w:hAnsiTheme="majorHAnsi"/>
                <w:color w:val="FFFFFF" w:themeColor="background1"/>
                <w:sz w:val="16"/>
                <w:szCs w:val="16"/>
                <w:lang w:val="sq-AL"/>
              </w:rPr>
            </w:pPr>
          </w:p>
        </w:tc>
        <w:tc>
          <w:tcPr>
            <w:tcW w:w="468" w:type="pct"/>
            <w:shd w:val="clear" w:color="auto" w:fill="0B5294" w:themeFill="accent1" w:themeFillShade="BF"/>
          </w:tcPr>
          <w:p w:rsidR="00EE7537" w:rsidRPr="00EE7537" w:rsidRDefault="00EE7537" w:rsidP="00EE753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16"/>
                <w:szCs w:val="16"/>
                <w:lang w:val="sq-AL"/>
              </w:rPr>
            </w:pPr>
            <w:r w:rsidRPr="00EE7537">
              <w:rPr>
                <w:rFonts w:asciiTheme="majorHAnsi" w:hAnsiTheme="majorHAnsi"/>
                <w:b/>
                <w:color w:val="FFFFFF" w:themeColor="background1"/>
                <w:sz w:val="16"/>
                <w:szCs w:val="16"/>
                <w:lang w:val="sq-AL"/>
              </w:rPr>
              <w:t>Korrente</w:t>
            </w:r>
          </w:p>
        </w:tc>
        <w:tc>
          <w:tcPr>
            <w:tcW w:w="426" w:type="pct"/>
            <w:shd w:val="clear" w:color="auto" w:fill="0B5294" w:themeFill="accent1" w:themeFillShade="BF"/>
          </w:tcPr>
          <w:p w:rsidR="00EE7537" w:rsidRPr="00EE7537" w:rsidRDefault="00EE7537" w:rsidP="00EE753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16"/>
                <w:szCs w:val="16"/>
                <w:lang w:val="sq-AL"/>
              </w:rPr>
            </w:pPr>
            <w:r w:rsidRPr="00EE7537">
              <w:rPr>
                <w:rFonts w:asciiTheme="majorHAnsi" w:hAnsiTheme="majorHAnsi"/>
                <w:b/>
                <w:color w:val="FFFFFF" w:themeColor="background1"/>
                <w:sz w:val="16"/>
                <w:szCs w:val="16"/>
                <w:lang w:val="sq-AL"/>
              </w:rPr>
              <w:t>Investime</w:t>
            </w:r>
          </w:p>
        </w:tc>
        <w:tc>
          <w:tcPr>
            <w:tcW w:w="449" w:type="pct"/>
            <w:shd w:val="clear" w:color="auto" w:fill="0B5294" w:themeFill="accent1" w:themeFillShade="BF"/>
          </w:tcPr>
          <w:p w:rsidR="00EE7537" w:rsidRPr="00EE7537" w:rsidRDefault="00EE7537" w:rsidP="00EE753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16"/>
                <w:szCs w:val="16"/>
                <w:lang w:val="sq-AL"/>
              </w:rPr>
            </w:pPr>
            <w:r w:rsidRPr="00EE7537">
              <w:rPr>
                <w:rFonts w:asciiTheme="majorHAnsi" w:hAnsiTheme="majorHAnsi"/>
                <w:b/>
                <w:color w:val="FFFFFF" w:themeColor="background1"/>
                <w:sz w:val="16"/>
                <w:szCs w:val="16"/>
                <w:lang w:val="sq-AL"/>
              </w:rPr>
              <w:t>Korrente</w:t>
            </w:r>
          </w:p>
        </w:tc>
        <w:tc>
          <w:tcPr>
            <w:tcW w:w="426" w:type="pct"/>
            <w:shd w:val="clear" w:color="auto" w:fill="0B5294" w:themeFill="accent1" w:themeFillShade="BF"/>
          </w:tcPr>
          <w:p w:rsidR="00EE7537" w:rsidRPr="00EE7537" w:rsidRDefault="00EE7537" w:rsidP="00EE753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16"/>
                <w:szCs w:val="16"/>
                <w:lang w:val="sq-AL"/>
              </w:rPr>
            </w:pPr>
            <w:r w:rsidRPr="00EE7537">
              <w:rPr>
                <w:rFonts w:asciiTheme="majorHAnsi" w:hAnsiTheme="majorHAnsi"/>
                <w:b/>
                <w:color w:val="FFFFFF" w:themeColor="background1"/>
                <w:sz w:val="16"/>
                <w:szCs w:val="16"/>
                <w:lang w:val="sq-AL"/>
              </w:rPr>
              <w:t>Investime</w:t>
            </w:r>
          </w:p>
        </w:tc>
        <w:tc>
          <w:tcPr>
            <w:tcW w:w="448" w:type="pct"/>
            <w:shd w:val="clear" w:color="auto" w:fill="0B5294" w:themeFill="accent1" w:themeFillShade="BF"/>
          </w:tcPr>
          <w:p w:rsidR="00EE7537" w:rsidRPr="00EE7537" w:rsidRDefault="00EE7537" w:rsidP="00EE753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16"/>
                <w:szCs w:val="16"/>
                <w:lang w:val="sq-AL"/>
              </w:rPr>
            </w:pPr>
            <w:r w:rsidRPr="00EE7537">
              <w:rPr>
                <w:rFonts w:asciiTheme="majorHAnsi" w:hAnsiTheme="majorHAnsi"/>
                <w:b/>
                <w:color w:val="FFFFFF" w:themeColor="background1"/>
                <w:sz w:val="16"/>
                <w:szCs w:val="16"/>
                <w:lang w:val="sq-AL"/>
              </w:rPr>
              <w:t>Korrente</w:t>
            </w:r>
          </w:p>
        </w:tc>
        <w:tc>
          <w:tcPr>
            <w:tcW w:w="426" w:type="pct"/>
            <w:shd w:val="clear" w:color="auto" w:fill="0B5294" w:themeFill="accent1" w:themeFillShade="BF"/>
          </w:tcPr>
          <w:p w:rsidR="00EE7537" w:rsidRPr="00EE7537" w:rsidRDefault="00EE7537" w:rsidP="00EE753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16"/>
                <w:szCs w:val="16"/>
                <w:lang w:val="sq-AL"/>
              </w:rPr>
            </w:pPr>
            <w:r w:rsidRPr="00EE7537">
              <w:rPr>
                <w:rFonts w:asciiTheme="majorHAnsi" w:hAnsiTheme="majorHAnsi"/>
                <w:b/>
                <w:color w:val="FFFFFF" w:themeColor="background1"/>
                <w:sz w:val="16"/>
                <w:szCs w:val="16"/>
                <w:lang w:val="sq-AL"/>
              </w:rPr>
              <w:t>Investime</w:t>
            </w:r>
          </w:p>
        </w:tc>
        <w:tc>
          <w:tcPr>
            <w:tcW w:w="342" w:type="pct"/>
            <w:shd w:val="clear" w:color="auto" w:fill="0B5294" w:themeFill="accent1" w:themeFillShade="BF"/>
          </w:tcPr>
          <w:p w:rsidR="00EE7537" w:rsidRPr="00EE7537" w:rsidRDefault="00EE7537" w:rsidP="00EE753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color w:val="FFFFFF" w:themeColor="background1"/>
                <w:sz w:val="16"/>
                <w:szCs w:val="16"/>
                <w:lang w:val="sq-AL"/>
              </w:rPr>
            </w:pPr>
            <w:r w:rsidRPr="00EE7537">
              <w:rPr>
                <w:rFonts w:asciiTheme="majorHAnsi" w:hAnsiTheme="majorHAnsi"/>
                <w:b/>
                <w:color w:val="FFFFFF" w:themeColor="background1"/>
                <w:sz w:val="16"/>
                <w:szCs w:val="16"/>
                <w:lang w:val="sq-AL"/>
              </w:rPr>
              <w:t>Korr.</w:t>
            </w:r>
          </w:p>
        </w:tc>
        <w:tc>
          <w:tcPr>
            <w:tcW w:w="318" w:type="pct"/>
            <w:shd w:val="clear" w:color="auto" w:fill="0B5294" w:themeFill="accent1" w:themeFillShade="BF"/>
          </w:tcPr>
          <w:p w:rsidR="00EE7537" w:rsidRPr="00EE7537" w:rsidRDefault="00EE7537" w:rsidP="00EE753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FFFFFF" w:themeColor="background1"/>
                <w:sz w:val="16"/>
                <w:szCs w:val="16"/>
                <w:lang w:val="sq-AL"/>
              </w:rPr>
            </w:pPr>
            <w:r w:rsidRPr="00EE7537">
              <w:rPr>
                <w:rFonts w:asciiTheme="majorHAnsi" w:hAnsiTheme="majorHAnsi"/>
                <w:b/>
                <w:bCs/>
                <w:color w:val="FFFFFF" w:themeColor="background1"/>
                <w:sz w:val="16"/>
                <w:szCs w:val="16"/>
                <w:lang w:val="sq-AL"/>
              </w:rPr>
              <w:t>Inv.</w:t>
            </w:r>
          </w:p>
        </w:tc>
        <w:tc>
          <w:tcPr>
            <w:tcW w:w="285" w:type="pct"/>
            <w:shd w:val="clear" w:color="auto" w:fill="0B5294" w:themeFill="accent1" w:themeFillShade="BF"/>
          </w:tcPr>
          <w:p w:rsidR="00EE7537" w:rsidRPr="00EE7537" w:rsidRDefault="00EE7537" w:rsidP="00EE753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b/>
                <w:bCs/>
                <w:color w:val="FFFFFF" w:themeColor="background1"/>
                <w:sz w:val="16"/>
                <w:szCs w:val="16"/>
                <w:lang w:val="sq-AL"/>
              </w:rPr>
            </w:pPr>
            <w:r w:rsidRPr="00EE7537">
              <w:rPr>
                <w:rFonts w:asciiTheme="majorHAnsi" w:hAnsiTheme="majorHAnsi"/>
                <w:b/>
                <w:color w:val="FFFFFF" w:themeColor="background1"/>
                <w:sz w:val="16"/>
                <w:szCs w:val="16"/>
                <w:lang w:val="sq-AL"/>
              </w:rPr>
              <w:t>Korr.</w:t>
            </w:r>
          </w:p>
        </w:tc>
        <w:tc>
          <w:tcPr>
            <w:cnfStyle w:val="000100000000" w:firstRow="0" w:lastRow="0" w:firstColumn="0" w:lastColumn="1" w:oddVBand="0" w:evenVBand="0" w:oddHBand="0" w:evenHBand="0" w:firstRowFirstColumn="0" w:firstRowLastColumn="0" w:lastRowFirstColumn="0" w:lastRowLastColumn="0"/>
            <w:tcW w:w="278" w:type="pct"/>
            <w:shd w:val="clear" w:color="auto" w:fill="0B5294" w:themeFill="accent1" w:themeFillShade="BF"/>
          </w:tcPr>
          <w:p w:rsidR="00EE7537" w:rsidRPr="00EE7537" w:rsidRDefault="00EE7537" w:rsidP="00EE7537">
            <w:pPr>
              <w:spacing w:before="0" w:line="240" w:lineRule="auto"/>
              <w:jc w:val="center"/>
              <w:rPr>
                <w:rFonts w:asciiTheme="majorHAnsi" w:hAnsiTheme="majorHAnsi"/>
                <w:bCs w:val="0"/>
                <w:color w:val="FFFFFF" w:themeColor="background1"/>
                <w:sz w:val="16"/>
                <w:szCs w:val="16"/>
                <w:lang w:val="sq-AL"/>
              </w:rPr>
            </w:pPr>
            <w:r w:rsidRPr="00EE7537">
              <w:rPr>
                <w:rFonts w:asciiTheme="majorHAnsi" w:hAnsiTheme="majorHAnsi"/>
                <w:bCs w:val="0"/>
                <w:color w:val="FFFFFF" w:themeColor="background1"/>
                <w:sz w:val="16"/>
                <w:szCs w:val="16"/>
                <w:lang w:val="sq-AL"/>
              </w:rPr>
              <w:t>Inv.</w:t>
            </w:r>
          </w:p>
        </w:tc>
      </w:tr>
      <w:tr w:rsidR="00EE7537" w:rsidRPr="00EE7537" w:rsidTr="001A7510">
        <w:trPr>
          <w:trHeight w:val="101"/>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auto"/>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sz w:val="16"/>
                <w:szCs w:val="16"/>
              </w:rPr>
              <w:t>Planifikimi, Menaxhimi dhe Administrimi</w:t>
            </w:r>
          </w:p>
        </w:tc>
        <w:tc>
          <w:tcPr>
            <w:tcW w:w="468"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454,940</w:t>
            </w:r>
          </w:p>
        </w:tc>
        <w:tc>
          <w:tcPr>
            <w:tcW w:w="426"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235,600</w:t>
            </w:r>
          </w:p>
        </w:tc>
        <w:tc>
          <w:tcPr>
            <w:tcW w:w="449"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394,087</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86,100</w:t>
            </w:r>
          </w:p>
        </w:tc>
        <w:tc>
          <w:tcPr>
            <w:tcW w:w="44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384,536</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78,323</w:t>
            </w:r>
          </w:p>
        </w:tc>
        <w:tc>
          <w:tcPr>
            <w:tcW w:w="342"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85%</w:t>
            </w:r>
          </w:p>
        </w:tc>
        <w:tc>
          <w:tcPr>
            <w:tcW w:w="31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33%</w:t>
            </w:r>
          </w:p>
        </w:tc>
        <w:tc>
          <w:tcPr>
            <w:tcW w:w="285"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98%</w:t>
            </w:r>
          </w:p>
        </w:tc>
        <w:tc>
          <w:tcPr>
            <w:cnfStyle w:val="000100000000" w:firstRow="0" w:lastRow="0" w:firstColumn="0" w:lastColumn="1" w:oddVBand="0" w:evenVBand="0" w:oddHBand="0" w:evenHBand="0" w:firstRowFirstColumn="0" w:firstRowLastColumn="0" w:lastRowFirstColumn="0" w:lastRowLastColumn="0"/>
            <w:tcW w:w="278" w:type="pct"/>
            <w:vAlign w:val="center"/>
          </w:tcPr>
          <w:p w:rsidR="00EE7537" w:rsidRPr="00EE7537" w:rsidRDefault="00EE7537" w:rsidP="00EE7537">
            <w:pPr>
              <w:spacing w:line="240" w:lineRule="auto"/>
              <w:jc w:val="center"/>
              <w:rPr>
                <w:rFonts w:asciiTheme="majorHAnsi" w:hAnsiTheme="majorHAnsi"/>
                <w:color w:val="000000"/>
                <w:sz w:val="16"/>
                <w:szCs w:val="16"/>
              </w:rPr>
            </w:pPr>
            <w:r w:rsidRPr="00EE7537">
              <w:rPr>
                <w:rFonts w:asciiTheme="majorHAnsi" w:hAnsiTheme="majorHAnsi"/>
                <w:color w:val="000000"/>
                <w:sz w:val="16"/>
                <w:szCs w:val="16"/>
              </w:rPr>
              <w:t>91%</w:t>
            </w:r>
          </w:p>
        </w:tc>
      </w:tr>
      <w:tr w:rsidR="00EE7537" w:rsidRPr="00EE7537" w:rsidTr="001A7510">
        <w:trPr>
          <w:trHeight w:val="90"/>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auto"/>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sz w:val="16"/>
                <w:szCs w:val="16"/>
              </w:rPr>
              <w:t>Publikimet Zyrtare</w:t>
            </w:r>
          </w:p>
        </w:tc>
        <w:tc>
          <w:tcPr>
            <w:tcW w:w="468"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57,500</w:t>
            </w:r>
          </w:p>
        </w:tc>
        <w:tc>
          <w:tcPr>
            <w:tcW w:w="426"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2,000</w:t>
            </w:r>
          </w:p>
        </w:tc>
        <w:tc>
          <w:tcPr>
            <w:tcW w:w="449"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43,522</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2,000</w:t>
            </w:r>
          </w:p>
        </w:tc>
        <w:tc>
          <w:tcPr>
            <w:tcW w:w="44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40,395</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1,746</w:t>
            </w:r>
          </w:p>
        </w:tc>
        <w:tc>
          <w:tcPr>
            <w:tcW w:w="342"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70%</w:t>
            </w:r>
          </w:p>
        </w:tc>
        <w:tc>
          <w:tcPr>
            <w:tcW w:w="31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87%</w:t>
            </w:r>
          </w:p>
        </w:tc>
        <w:tc>
          <w:tcPr>
            <w:tcW w:w="285"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93%</w:t>
            </w:r>
          </w:p>
        </w:tc>
        <w:tc>
          <w:tcPr>
            <w:cnfStyle w:val="000100000000" w:firstRow="0" w:lastRow="0" w:firstColumn="0" w:lastColumn="1" w:oddVBand="0" w:evenVBand="0" w:oddHBand="0" w:evenHBand="0" w:firstRowFirstColumn="0" w:firstRowLastColumn="0" w:lastRowFirstColumn="0" w:lastRowLastColumn="0"/>
            <w:tcW w:w="278" w:type="pct"/>
            <w:vAlign w:val="center"/>
          </w:tcPr>
          <w:p w:rsidR="00EE7537" w:rsidRPr="00EE7537" w:rsidRDefault="00EE7537" w:rsidP="00EE7537">
            <w:pPr>
              <w:spacing w:line="240" w:lineRule="auto"/>
              <w:jc w:val="center"/>
              <w:rPr>
                <w:rFonts w:asciiTheme="majorHAnsi" w:hAnsiTheme="majorHAnsi"/>
                <w:color w:val="000000"/>
                <w:sz w:val="16"/>
                <w:szCs w:val="16"/>
              </w:rPr>
            </w:pPr>
            <w:r w:rsidRPr="00EE7537">
              <w:rPr>
                <w:rFonts w:asciiTheme="majorHAnsi" w:hAnsiTheme="majorHAnsi"/>
                <w:color w:val="000000"/>
                <w:sz w:val="16"/>
                <w:szCs w:val="16"/>
              </w:rPr>
              <w:t>87%</w:t>
            </w:r>
          </w:p>
        </w:tc>
      </w:tr>
      <w:tr w:rsidR="00EE7537" w:rsidRPr="00EE7537" w:rsidTr="001A7510">
        <w:trPr>
          <w:trHeight w:val="90"/>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auto"/>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sz w:val="16"/>
                <w:szCs w:val="16"/>
              </w:rPr>
              <w:t>Mjekësia Ligjore</w:t>
            </w:r>
          </w:p>
        </w:tc>
        <w:tc>
          <w:tcPr>
            <w:tcW w:w="468"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88,000</w:t>
            </w:r>
          </w:p>
        </w:tc>
        <w:tc>
          <w:tcPr>
            <w:tcW w:w="426"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5,000</w:t>
            </w:r>
          </w:p>
        </w:tc>
        <w:tc>
          <w:tcPr>
            <w:tcW w:w="449"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78,350</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5,000</w:t>
            </w:r>
          </w:p>
        </w:tc>
        <w:tc>
          <w:tcPr>
            <w:tcW w:w="44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76,372</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4,831</w:t>
            </w:r>
          </w:p>
        </w:tc>
        <w:tc>
          <w:tcPr>
            <w:tcW w:w="342"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87%</w:t>
            </w:r>
          </w:p>
        </w:tc>
        <w:tc>
          <w:tcPr>
            <w:tcW w:w="31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97%</w:t>
            </w:r>
          </w:p>
        </w:tc>
        <w:tc>
          <w:tcPr>
            <w:tcW w:w="285"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97%</w:t>
            </w:r>
          </w:p>
        </w:tc>
        <w:tc>
          <w:tcPr>
            <w:cnfStyle w:val="000100000000" w:firstRow="0" w:lastRow="0" w:firstColumn="0" w:lastColumn="1" w:oddVBand="0" w:evenVBand="0" w:oddHBand="0" w:evenHBand="0" w:firstRowFirstColumn="0" w:firstRowLastColumn="0" w:lastRowFirstColumn="0" w:lastRowLastColumn="0"/>
            <w:tcW w:w="278" w:type="pct"/>
            <w:vAlign w:val="center"/>
          </w:tcPr>
          <w:p w:rsidR="00EE7537" w:rsidRPr="00EE7537" w:rsidRDefault="00EE7537" w:rsidP="00EE7537">
            <w:pPr>
              <w:spacing w:line="240" w:lineRule="auto"/>
              <w:jc w:val="center"/>
              <w:rPr>
                <w:rFonts w:asciiTheme="majorHAnsi" w:hAnsiTheme="majorHAnsi"/>
                <w:color w:val="000000"/>
                <w:sz w:val="16"/>
                <w:szCs w:val="16"/>
              </w:rPr>
            </w:pPr>
            <w:r w:rsidRPr="00EE7537">
              <w:rPr>
                <w:rFonts w:asciiTheme="majorHAnsi" w:hAnsiTheme="majorHAnsi"/>
                <w:color w:val="000000"/>
                <w:sz w:val="16"/>
                <w:szCs w:val="16"/>
              </w:rPr>
              <w:t>97%</w:t>
            </w:r>
          </w:p>
        </w:tc>
      </w:tr>
      <w:tr w:rsidR="00EE7537" w:rsidRPr="00EE7537" w:rsidTr="001A7510">
        <w:trPr>
          <w:trHeight w:val="46"/>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auto"/>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sz w:val="16"/>
                <w:szCs w:val="16"/>
              </w:rPr>
              <w:t>Shërbimi për Çështjet e Birësimit</w:t>
            </w:r>
          </w:p>
        </w:tc>
        <w:tc>
          <w:tcPr>
            <w:tcW w:w="468"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15,600</w:t>
            </w:r>
          </w:p>
        </w:tc>
        <w:tc>
          <w:tcPr>
            <w:tcW w:w="426"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200</w:t>
            </w:r>
          </w:p>
        </w:tc>
        <w:tc>
          <w:tcPr>
            <w:tcW w:w="449"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12,965</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200</w:t>
            </w:r>
          </w:p>
        </w:tc>
        <w:tc>
          <w:tcPr>
            <w:tcW w:w="44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10,813</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174</w:t>
            </w:r>
          </w:p>
        </w:tc>
        <w:tc>
          <w:tcPr>
            <w:tcW w:w="342"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69%</w:t>
            </w:r>
          </w:p>
        </w:tc>
        <w:tc>
          <w:tcPr>
            <w:tcW w:w="31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87%</w:t>
            </w:r>
          </w:p>
        </w:tc>
        <w:tc>
          <w:tcPr>
            <w:tcW w:w="285"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83%</w:t>
            </w:r>
          </w:p>
        </w:tc>
        <w:tc>
          <w:tcPr>
            <w:cnfStyle w:val="000100000000" w:firstRow="0" w:lastRow="0" w:firstColumn="0" w:lastColumn="1" w:oddVBand="0" w:evenVBand="0" w:oddHBand="0" w:evenHBand="0" w:firstRowFirstColumn="0" w:firstRowLastColumn="0" w:lastRowFirstColumn="0" w:lastRowLastColumn="0"/>
            <w:tcW w:w="278" w:type="pct"/>
            <w:vAlign w:val="center"/>
          </w:tcPr>
          <w:p w:rsidR="00EE7537" w:rsidRPr="00EE7537" w:rsidRDefault="00EE7537" w:rsidP="00EE7537">
            <w:pPr>
              <w:spacing w:line="240" w:lineRule="auto"/>
              <w:jc w:val="center"/>
              <w:rPr>
                <w:rFonts w:asciiTheme="majorHAnsi" w:hAnsiTheme="majorHAnsi"/>
                <w:color w:val="000000"/>
                <w:sz w:val="16"/>
                <w:szCs w:val="16"/>
              </w:rPr>
            </w:pPr>
            <w:r w:rsidRPr="00EE7537">
              <w:rPr>
                <w:rFonts w:asciiTheme="majorHAnsi" w:hAnsiTheme="majorHAnsi"/>
                <w:color w:val="000000"/>
                <w:sz w:val="16"/>
                <w:szCs w:val="16"/>
              </w:rPr>
              <w:t>87%</w:t>
            </w:r>
          </w:p>
        </w:tc>
      </w:tr>
      <w:tr w:rsidR="00EE7537" w:rsidRPr="00EE7537" w:rsidTr="001A7510">
        <w:trPr>
          <w:trHeight w:val="148"/>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auto"/>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sz w:val="16"/>
                <w:szCs w:val="16"/>
              </w:rPr>
              <w:t>Sherbimi i Kthimit dhe Kompensimit te Pronave</w:t>
            </w:r>
          </w:p>
        </w:tc>
        <w:tc>
          <w:tcPr>
            <w:tcW w:w="468"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3,749,000</w:t>
            </w:r>
          </w:p>
        </w:tc>
        <w:tc>
          <w:tcPr>
            <w:tcW w:w="426"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6,000</w:t>
            </w:r>
          </w:p>
        </w:tc>
        <w:tc>
          <w:tcPr>
            <w:tcW w:w="449"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1,173,820</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5,600</w:t>
            </w:r>
          </w:p>
        </w:tc>
        <w:tc>
          <w:tcPr>
            <w:tcW w:w="44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1,169,976</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5,506</w:t>
            </w:r>
          </w:p>
        </w:tc>
        <w:tc>
          <w:tcPr>
            <w:tcW w:w="342"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31%</w:t>
            </w:r>
          </w:p>
        </w:tc>
        <w:tc>
          <w:tcPr>
            <w:tcW w:w="31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92%</w:t>
            </w:r>
          </w:p>
        </w:tc>
        <w:tc>
          <w:tcPr>
            <w:tcW w:w="285"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100%</w:t>
            </w:r>
          </w:p>
        </w:tc>
        <w:tc>
          <w:tcPr>
            <w:cnfStyle w:val="000100000000" w:firstRow="0" w:lastRow="0" w:firstColumn="0" w:lastColumn="1" w:oddVBand="0" w:evenVBand="0" w:oddHBand="0" w:evenHBand="0" w:firstRowFirstColumn="0" w:firstRowLastColumn="0" w:lastRowFirstColumn="0" w:lastRowLastColumn="0"/>
            <w:tcW w:w="278" w:type="pct"/>
            <w:vAlign w:val="center"/>
          </w:tcPr>
          <w:p w:rsidR="00EE7537" w:rsidRPr="00EE7537" w:rsidRDefault="00EE7537" w:rsidP="00EE7537">
            <w:pPr>
              <w:spacing w:line="240" w:lineRule="auto"/>
              <w:jc w:val="center"/>
              <w:rPr>
                <w:rFonts w:asciiTheme="majorHAnsi" w:hAnsiTheme="majorHAnsi"/>
                <w:color w:val="000000"/>
                <w:sz w:val="16"/>
                <w:szCs w:val="16"/>
              </w:rPr>
            </w:pPr>
            <w:r w:rsidRPr="00EE7537">
              <w:rPr>
                <w:rFonts w:asciiTheme="majorHAnsi" w:hAnsiTheme="majorHAnsi"/>
                <w:color w:val="000000"/>
                <w:sz w:val="16"/>
                <w:szCs w:val="16"/>
              </w:rPr>
              <w:t>98%</w:t>
            </w:r>
          </w:p>
        </w:tc>
      </w:tr>
      <w:tr w:rsidR="00EE7537" w:rsidRPr="00EE7537" w:rsidTr="001A7510">
        <w:trPr>
          <w:trHeight w:val="89"/>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auto"/>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sz w:val="16"/>
                <w:szCs w:val="16"/>
              </w:rPr>
              <w:t>Ndihma juridike</w:t>
            </w:r>
          </w:p>
        </w:tc>
        <w:tc>
          <w:tcPr>
            <w:tcW w:w="468"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82,000</w:t>
            </w:r>
          </w:p>
        </w:tc>
        <w:tc>
          <w:tcPr>
            <w:tcW w:w="426"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2,000</w:t>
            </w:r>
          </w:p>
        </w:tc>
        <w:tc>
          <w:tcPr>
            <w:tcW w:w="449"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45,900</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1,300</w:t>
            </w:r>
          </w:p>
        </w:tc>
        <w:tc>
          <w:tcPr>
            <w:tcW w:w="44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35,656</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1,182</w:t>
            </w:r>
          </w:p>
        </w:tc>
        <w:tc>
          <w:tcPr>
            <w:tcW w:w="342"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43%</w:t>
            </w:r>
          </w:p>
        </w:tc>
        <w:tc>
          <w:tcPr>
            <w:tcW w:w="31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59%</w:t>
            </w:r>
          </w:p>
        </w:tc>
        <w:tc>
          <w:tcPr>
            <w:tcW w:w="285"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78%</w:t>
            </w:r>
          </w:p>
        </w:tc>
        <w:tc>
          <w:tcPr>
            <w:cnfStyle w:val="000100000000" w:firstRow="0" w:lastRow="0" w:firstColumn="0" w:lastColumn="1" w:oddVBand="0" w:evenVBand="0" w:oddHBand="0" w:evenHBand="0" w:firstRowFirstColumn="0" w:firstRowLastColumn="0" w:lastRowFirstColumn="0" w:lastRowLastColumn="0"/>
            <w:tcW w:w="278" w:type="pct"/>
            <w:vAlign w:val="center"/>
          </w:tcPr>
          <w:p w:rsidR="00EE7537" w:rsidRPr="00EE7537" w:rsidRDefault="00EE7537" w:rsidP="00EE7537">
            <w:pPr>
              <w:spacing w:line="240" w:lineRule="auto"/>
              <w:jc w:val="center"/>
              <w:rPr>
                <w:rFonts w:asciiTheme="majorHAnsi" w:hAnsiTheme="majorHAnsi"/>
                <w:color w:val="000000"/>
                <w:sz w:val="16"/>
                <w:szCs w:val="16"/>
              </w:rPr>
            </w:pPr>
            <w:r w:rsidRPr="00EE7537">
              <w:rPr>
                <w:rFonts w:asciiTheme="majorHAnsi" w:hAnsiTheme="majorHAnsi"/>
                <w:color w:val="000000"/>
                <w:sz w:val="16"/>
                <w:szCs w:val="16"/>
              </w:rPr>
              <w:t>91%</w:t>
            </w:r>
          </w:p>
        </w:tc>
      </w:tr>
      <w:tr w:rsidR="00EE7537" w:rsidRPr="00EE7537" w:rsidTr="001A7510">
        <w:trPr>
          <w:trHeight w:val="58"/>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auto"/>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sz w:val="16"/>
                <w:szCs w:val="16"/>
              </w:rPr>
              <w:t>Shërbimi i Përmbarimit gjyqësor</w:t>
            </w:r>
          </w:p>
        </w:tc>
        <w:tc>
          <w:tcPr>
            <w:tcW w:w="468"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152,560</w:t>
            </w:r>
          </w:p>
        </w:tc>
        <w:tc>
          <w:tcPr>
            <w:tcW w:w="426"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3,000</w:t>
            </w:r>
          </w:p>
        </w:tc>
        <w:tc>
          <w:tcPr>
            <w:tcW w:w="449"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127,144</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1,600</w:t>
            </w:r>
          </w:p>
        </w:tc>
        <w:tc>
          <w:tcPr>
            <w:tcW w:w="44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126,015</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1,567</w:t>
            </w:r>
          </w:p>
        </w:tc>
        <w:tc>
          <w:tcPr>
            <w:tcW w:w="342"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83%</w:t>
            </w:r>
          </w:p>
        </w:tc>
        <w:tc>
          <w:tcPr>
            <w:tcW w:w="31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52%</w:t>
            </w:r>
          </w:p>
        </w:tc>
        <w:tc>
          <w:tcPr>
            <w:tcW w:w="285"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99%</w:t>
            </w:r>
          </w:p>
        </w:tc>
        <w:tc>
          <w:tcPr>
            <w:cnfStyle w:val="000100000000" w:firstRow="0" w:lastRow="0" w:firstColumn="0" w:lastColumn="1" w:oddVBand="0" w:evenVBand="0" w:oddHBand="0" w:evenHBand="0" w:firstRowFirstColumn="0" w:firstRowLastColumn="0" w:lastRowFirstColumn="0" w:lastRowLastColumn="0"/>
            <w:tcW w:w="278" w:type="pct"/>
            <w:vAlign w:val="center"/>
          </w:tcPr>
          <w:p w:rsidR="00EE7537" w:rsidRPr="00EE7537" w:rsidRDefault="00EE7537" w:rsidP="00EE7537">
            <w:pPr>
              <w:spacing w:line="240" w:lineRule="auto"/>
              <w:jc w:val="center"/>
              <w:rPr>
                <w:rFonts w:asciiTheme="majorHAnsi" w:hAnsiTheme="majorHAnsi"/>
                <w:color w:val="000000"/>
                <w:sz w:val="16"/>
                <w:szCs w:val="16"/>
              </w:rPr>
            </w:pPr>
            <w:r w:rsidRPr="00EE7537">
              <w:rPr>
                <w:rFonts w:asciiTheme="majorHAnsi" w:hAnsiTheme="majorHAnsi"/>
                <w:color w:val="000000"/>
                <w:sz w:val="16"/>
                <w:szCs w:val="16"/>
              </w:rPr>
              <w:t>98%</w:t>
            </w:r>
          </w:p>
        </w:tc>
      </w:tr>
      <w:tr w:rsidR="00EE7537" w:rsidRPr="00EE7537" w:rsidTr="001A7510">
        <w:trPr>
          <w:trHeight w:val="58"/>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auto"/>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sz w:val="16"/>
                <w:szCs w:val="16"/>
              </w:rPr>
              <w:t>Sistemi i Burgjeve</w:t>
            </w:r>
          </w:p>
        </w:tc>
        <w:tc>
          <w:tcPr>
            <w:tcW w:w="468"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5,839,000</w:t>
            </w:r>
          </w:p>
        </w:tc>
        <w:tc>
          <w:tcPr>
            <w:tcW w:w="426"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430,900</w:t>
            </w:r>
          </w:p>
        </w:tc>
        <w:tc>
          <w:tcPr>
            <w:tcW w:w="449"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5,975,675</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448,040</w:t>
            </w:r>
          </w:p>
        </w:tc>
        <w:tc>
          <w:tcPr>
            <w:tcW w:w="44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5,841,067</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418,473</w:t>
            </w:r>
          </w:p>
        </w:tc>
        <w:tc>
          <w:tcPr>
            <w:tcW w:w="342"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100%</w:t>
            </w:r>
          </w:p>
        </w:tc>
        <w:tc>
          <w:tcPr>
            <w:tcW w:w="31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97%</w:t>
            </w:r>
          </w:p>
        </w:tc>
        <w:tc>
          <w:tcPr>
            <w:tcW w:w="285"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98%</w:t>
            </w:r>
          </w:p>
        </w:tc>
        <w:tc>
          <w:tcPr>
            <w:cnfStyle w:val="000100000000" w:firstRow="0" w:lastRow="0" w:firstColumn="0" w:lastColumn="1" w:oddVBand="0" w:evenVBand="0" w:oddHBand="0" w:evenHBand="0" w:firstRowFirstColumn="0" w:firstRowLastColumn="0" w:lastRowFirstColumn="0" w:lastRowLastColumn="0"/>
            <w:tcW w:w="278" w:type="pct"/>
            <w:vAlign w:val="center"/>
          </w:tcPr>
          <w:p w:rsidR="00EE7537" w:rsidRPr="00EE7537" w:rsidRDefault="00EE7537" w:rsidP="00EE7537">
            <w:pPr>
              <w:spacing w:line="240" w:lineRule="auto"/>
              <w:jc w:val="center"/>
              <w:rPr>
                <w:rFonts w:asciiTheme="majorHAnsi" w:hAnsiTheme="majorHAnsi"/>
                <w:color w:val="000000"/>
                <w:sz w:val="16"/>
                <w:szCs w:val="16"/>
              </w:rPr>
            </w:pPr>
            <w:r w:rsidRPr="00EE7537">
              <w:rPr>
                <w:rFonts w:asciiTheme="majorHAnsi" w:hAnsiTheme="majorHAnsi"/>
                <w:color w:val="000000"/>
                <w:sz w:val="16"/>
                <w:szCs w:val="16"/>
              </w:rPr>
              <w:t>93%</w:t>
            </w:r>
          </w:p>
        </w:tc>
      </w:tr>
      <w:tr w:rsidR="00EE7537" w:rsidRPr="00EE7537" w:rsidTr="001A7510">
        <w:trPr>
          <w:trHeight w:val="58"/>
          <w:jc w:val="center"/>
        </w:trPr>
        <w:tc>
          <w:tcPr>
            <w:cnfStyle w:val="001000000000" w:firstRow="0" w:lastRow="0" w:firstColumn="1" w:lastColumn="0" w:oddVBand="0" w:evenVBand="0" w:oddHBand="0" w:evenHBand="0" w:firstRowFirstColumn="0" w:firstRowLastColumn="0" w:lastRowFirstColumn="0" w:lastRowLastColumn="0"/>
            <w:tcW w:w="1134" w:type="pct"/>
            <w:shd w:val="clear" w:color="auto" w:fill="auto"/>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sz w:val="16"/>
                <w:szCs w:val="16"/>
              </w:rPr>
              <w:t>Shërbimi i Provës</w:t>
            </w:r>
          </w:p>
        </w:tc>
        <w:tc>
          <w:tcPr>
            <w:tcW w:w="468"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154,832</w:t>
            </w:r>
          </w:p>
        </w:tc>
        <w:tc>
          <w:tcPr>
            <w:tcW w:w="426"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2,000</w:t>
            </w:r>
          </w:p>
        </w:tc>
        <w:tc>
          <w:tcPr>
            <w:tcW w:w="449"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130,677</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3,000</w:t>
            </w:r>
          </w:p>
        </w:tc>
        <w:tc>
          <w:tcPr>
            <w:tcW w:w="44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128,733</w:t>
            </w:r>
          </w:p>
        </w:tc>
        <w:tc>
          <w:tcPr>
            <w:tcW w:w="426"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3,000</w:t>
            </w:r>
          </w:p>
        </w:tc>
        <w:tc>
          <w:tcPr>
            <w:tcW w:w="342"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83%</w:t>
            </w:r>
          </w:p>
        </w:tc>
        <w:tc>
          <w:tcPr>
            <w:tcW w:w="318" w:type="pct"/>
            <w:shd w:val="clear" w:color="auto" w:fill="auto"/>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150%</w:t>
            </w:r>
          </w:p>
        </w:tc>
        <w:tc>
          <w:tcPr>
            <w:tcW w:w="285" w:type="pct"/>
            <w:vAlign w:val="center"/>
          </w:tcPr>
          <w:p w:rsidR="00EE7537" w:rsidRPr="00EE7537" w:rsidRDefault="00EE7537" w:rsidP="00EE7537">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olor w:val="000000"/>
                <w:sz w:val="16"/>
                <w:szCs w:val="16"/>
              </w:rPr>
            </w:pPr>
            <w:r w:rsidRPr="00EE7537">
              <w:rPr>
                <w:rFonts w:asciiTheme="majorHAnsi" w:hAnsiTheme="majorHAnsi"/>
                <w:color w:val="000000"/>
                <w:sz w:val="16"/>
                <w:szCs w:val="16"/>
              </w:rPr>
              <w:t>99%</w:t>
            </w:r>
          </w:p>
        </w:tc>
        <w:tc>
          <w:tcPr>
            <w:cnfStyle w:val="000100000000" w:firstRow="0" w:lastRow="0" w:firstColumn="0" w:lastColumn="1" w:oddVBand="0" w:evenVBand="0" w:oddHBand="0" w:evenHBand="0" w:firstRowFirstColumn="0" w:firstRowLastColumn="0" w:lastRowFirstColumn="0" w:lastRowLastColumn="0"/>
            <w:tcW w:w="278" w:type="pct"/>
            <w:vAlign w:val="center"/>
          </w:tcPr>
          <w:p w:rsidR="00EE7537" w:rsidRPr="00EE7537" w:rsidRDefault="00EE7537" w:rsidP="00EE7537">
            <w:pPr>
              <w:spacing w:line="240" w:lineRule="auto"/>
              <w:jc w:val="center"/>
              <w:rPr>
                <w:rFonts w:asciiTheme="majorHAnsi" w:hAnsiTheme="majorHAnsi"/>
                <w:color w:val="000000"/>
                <w:sz w:val="16"/>
                <w:szCs w:val="16"/>
              </w:rPr>
            </w:pPr>
            <w:r w:rsidRPr="00EE7537">
              <w:rPr>
                <w:rFonts w:asciiTheme="majorHAnsi" w:hAnsiTheme="majorHAnsi"/>
                <w:color w:val="000000"/>
                <w:sz w:val="16"/>
                <w:szCs w:val="16"/>
              </w:rPr>
              <w:t>100%</w:t>
            </w:r>
          </w:p>
        </w:tc>
      </w:tr>
      <w:tr w:rsidR="00EE7537" w:rsidRPr="00EE7537" w:rsidTr="001A7510">
        <w:trPr>
          <w:cnfStyle w:val="010000000000" w:firstRow="0" w:lastRow="1" w:firstColumn="0" w:lastColumn="0" w:oddVBand="0" w:evenVBand="0" w:oddHBand="0" w:evenHBand="0" w:firstRowFirstColumn="0" w:firstRowLastColumn="0" w:lastRowFirstColumn="0" w:lastRowLastColumn="0"/>
          <w:trHeight w:val="58"/>
          <w:jc w:val="center"/>
        </w:trPr>
        <w:tc>
          <w:tcPr>
            <w:cnfStyle w:val="001000000000" w:firstRow="0" w:lastRow="0" w:firstColumn="1" w:lastColumn="0" w:oddVBand="0" w:evenVBand="0" w:oddHBand="0" w:evenHBand="0" w:firstRowFirstColumn="0" w:firstRowLastColumn="0" w:lastRowFirstColumn="0" w:lastRowLastColumn="0"/>
            <w:tcW w:w="1134" w:type="pct"/>
            <w:tcBorders>
              <w:bottom w:val="double" w:sz="2" w:space="0" w:color="59A9F2" w:themeColor="accent1" w:themeTint="99"/>
            </w:tcBorders>
            <w:shd w:val="clear" w:color="auto" w:fill="auto"/>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sz w:val="16"/>
                <w:szCs w:val="16"/>
              </w:rPr>
              <w:t>Totali</w:t>
            </w:r>
          </w:p>
        </w:tc>
        <w:tc>
          <w:tcPr>
            <w:tcW w:w="468" w:type="pct"/>
            <w:tcBorders>
              <w:bottom w:val="double" w:sz="2" w:space="0" w:color="59A9F2" w:themeColor="accent1" w:themeTint="99"/>
            </w:tcBorders>
            <w:vAlign w:val="center"/>
          </w:tcPr>
          <w:p w:rsidR="00EE7537" w:rsidRPr="00EE7537" w:rsidRDefault="00EE7537" w:rsidP="00EE7537">
            <w:pPr>
              <w:spacing w:line="240" w:lineRule="auto"/>
              <w:jc w:val="center"/>
              <w:cnfStyle w:val="010000000000" w:firstRow="0" w:lastRow="1" w:firstColumn="0" w:lastColumn="0" w:oddVBand="0" w:evenVBand="0" w:oddHBand="0" w:evenHBand="0" w:firstRowFirstColumn="0" w:firstRowLastColumn="0" w:lastRowFirstColumn="0" w:lastRowLastColumn="0"/>
              <w:rPr>
                <w:rFonts w:asciiTheme="majorHAnsi" w:hAnsiTheme="majorHAnsi"/>
                <w:sz w:val="16"/>
                <w:szCs w:val="16"/>
              </w:rPr>
            </w:pPr>
            <w:r w:rsidRPr="00EE7537">
              <w:rPr>
                <w:rFonts w:asciiTheme="majorHAnsi" w:hAnsiTheme="majorHAnsi"/>
                <w:bCs w:val="0"/>
                <w:sz w:val="16"/>
                <w:szCs w:val="16"/>
              </w:rPr>
              <w:t>10,593,432</w:t>
            </w:r>
          </w:p>
        </w:tc>
        <w:tc>
          <w:tcPr>
            <w:tcW w:w="426" w:type="pct"/>
            <w:tcBorders>
              <w:bottom w:val="double" w:sz="2" w:space="0" w:color="59A9F2" w:themeColor="accent1" w:themeTint="99"/>
            </w:tcBorders>
            <w:vAlign w:val="center"/>
          </w:tcPr>
          <w:p w:rsidR="00EE7537" w:rsidRPr="00EE7537" w:rsidRDefault="00EE7537" w:rsidP="00EE7537">
            <w:pPr>
              <w:spacing w:line="240" w:lineRule="auto"/>
              <w:jc w:val="center"/>
              <w:cnfStyle w:val="010000000000" w:firstRow="0" w:lastRow="1" w:firstColumn="0" w:lastColumn="0" w:oddVBand="0" w:evenVBand="0" w:oddHBand="0" w:evenHBand="0" w:firstRowFirstColumn="0" w:firstRowLastColumn="0" w:lastRowFirstColumn="0" w:lastRowLastColumn="0"/>
              <w:rPr>
                <w:rFonts w:asciiTheme="majorHAnsi" w:hAnsiTheme="majorHAnsi"/>
                <w:sz w:val="16"/>
                <w:szCs w:val="16"/>
              </w:rPr>
            </w:pPr>
            <w:r w:rsidRPr="00EE7537">
              <w:rPr>
                <w:rFonts w:asciiTheme="majorHAnsi" w:hAnsiTheme="majorHAnsi"/>
                <w:bCs w:val="0"/>
                <w:sz w:val="16"/>
                <w:szCs w:val="16"/>
              </w:rPr>
              <w:t>686,700</w:t>
            </w:r>
          </w:p>
        </w:tc>
        <w:tc>
          <w:tcPr>
            <w:tcW w:w="449" w:type="pct"/>
            <w:tcBorders>
              <w:bottom w:val="double" w:sz="2" w:space="0" w:color="59A9F2" w:themeColor="accent1" w:themeTint="99"/>
            </w:tcBorders>
            <w:shd w:val="clear" w:color="auto" w:fill="auto"/>
            <w:vAlign w:val="center"/>
          </w:tcPr>
          <w:p w:rsidR="00EE7537" w:rsidRPr="00EE7537" w:rsidRDefault="00EE7537" w:rsidP="00EE7537">
            <w:pPr>
              <w:spacing w:line="240" w:lineRule="auto"/>
              <w:jc w:val="center"/>
              <w:cnfStyle w:val="010000000000" w:firstRow="0" w:lastRow="1" w:firstColumn="0" w:lastColumn="0" w:oddVBand="0" w:evenVBand="0" w:oddHBand="0" w:evenHBand="0" w:firstRowFirstColumn="0" w:firstRowLastColumn="0" w:lastRowFirstColumn="0" w:lastRowLastColumn="0"/>
              <w:rPr>
                <w:rFonts w:asciiTheme="majorHAnsi" w:hAnsiTheme="majorHAnsi"/>
                <w:sz w:val="16"/>
                <w:szCs w:val="16"/>
              </w:rPr>
            </w:pPr>
            <w:r w:rsidRPr="00EE7537">
              <w:rPr>
                <w:rFonts w:asciiTheme="majorHAnsi" w:hAnsiTheme="majorHAnsi"/>
                <w:bCs w:val="0"/>
                <w:sz w:val="16"/>
                <w:szCs w:val="16"/>
              </w:rPr>
              <w:t>7,982,140</w:t>
            </w:r>
          </w:p>
        </w:tc>
        <w:tc>
          <w:tcPr>
            <w:tcW w:w="426" w:type="pct"/>
            <w:tcBorders>
              <w:bottom w:val="double" w:sz="2" w:space="0" w:color="59A9F2" w:themeColor="accent1" w:themeTint="99"/>
            </w:tcBorders>
            <w:shd w:val="clear" w:color="auto" w:fill="auto"/>
            <w:vAlign w:val="center"/>
          </w:tcPr>
          <w:p w:rsidR="00EE7537" w:rsidRPr="00EE7537" w:rsidRDefault="00EE7537" w:rsidP="00EE7537">
            <w:pPr>
              <w:spacing w:line="240" w:lineRule="auto"/>
              <w:jc w:val="center"/>
              <w:cnfStyle w:val="010000000000" w:firstRow="0" w:lastRow="1" w:firstColumn="0" w:lastColumn="0" w:oddVBand="0" w:evenVBand="0" w:oddHBand="0" w:evenHBand="0" w:firstRowFirstColumn="0" w:firstRowLastColumn="0" w:lastRowFirstColumn="0" w:lastRowLastColumn="0"/>
              <w:rPr>
                <w:rFonts w:asciiTheme="majorHAnsi" w:hAnsiTheme="majorHAnsi"/>
                <w:sz w:val="16"/>
                <w:szCs w:val="16"/>
              </w:rPr>
            </w:pPr>
            <w:r w:rsidRPr="00EE7537">
              <w:rPr>
                <w:rFonts w:asciiTheme="majorHAnsi" w:hAnsiTheme="majorHAnsi"/>
                <w:bCs w:val="0"/>
                <w:sz w:val="16"/>
                <w:szCs w:val="16"/>
              </w:rPr>
              <w:t>552,840</w:t>
            </w:r>
          </w:p>
        </w:tc>
        <w:tc>
          <w:tcPr>
            <w:tcW w:w="448" w:type="pct"/>
            <w:tcBorders>
              <w:bottom w:val="double" w:sz="2" w:space="0" w:color="59A9F2" w:themeColor="accent1" w:themeTint="99"/>
            </w:tcBorders>
            <w:shd w:val="clear" w:color="auto" w:fill="auto"/>
            <w:vAlign w:val="center"/>
          </w:tcPr>
          <w:p w:rsidR="00EE7537" w:rsidRPr="00EE7537" w:rsidRDefault="00EE7537" w:rsidP="00EE7537">
            <w:pPr>
              <w:spacing w:line="240" w:lineRule="auto"/>
              <w:jc w:val="center"/>
              <w:cnfStyle w:val="010000000000" w:firstRow="0" w:lastRow="1" w:firstColumn="0" w:lastColumn="0" w:oddVBand="0" w:evenVBand="0" w:oddHBand="0" w:evenHBand="0" w:firstRowFirstColumn="0" w:firstRowLastColumn="0" w:lastRowFirstColumn="0" w:lastRowLastColumn="0"/>
              <w:rPr>
                <w:rFonts w:asciiTheme="majorHAnsi" w:hAnsiTheme="majorHAnsi"/>
                <w:sz w:val="16"/>
                <w:szCs w:val="16"/>
              </w:rPr>
            </w:pPr>
            <w:r w:rsidRPr="00EE7537">
              <w:rPr>
                <w:rFonts w:asciiTheme="majorHAnsi" w:hAnsiTheme="majorHAnsi"/>
                <w:bCs w:val="0"/>
                <w:sz w:val="16"/>
                <w:szCs w:val="16"/>
              </w:rPr>
              <w:t>7,813,563</w:t>
            </w:r>
          </w:p>
        </w:tc>
        <w:tc>
          <w:tcPr>
            <w:tcW w:w="426" w:type="pct"/>
            <w:tcBorders>
              <w:bottom w:val="double" w:sz="2" w:space="0" w:color="59A9F2" w:themeColor="accent1" w:themeTint="99"/>
            </w:tcBorders>
            <w:shd w:val="clear" w:color="auto" w:fill="auto"/>
            <w:vAlign w:val="center"/>
          </w:tcPr>
          <w:p w:rsidR="00EE7537" w:rsidRPr="00EE7537" w:rsidRDefault="00EE7537" w:rsidP="00EE7537">
            <w:pPr>
              <w:spacing w:line="240" w:lineRule="auto"/>
              <w:jc w:val="center"/>
              <w:cnfStyle w:val="010000000000" w:firstRow="0" w:lastRow="1" w:firstColumn="0" w:lastColumn="0" w:oddVBand="0" w:evenVBand="0" w:oddHBand="0" w:evenHBand="0" w:firstRowFirstColumn="0" w:firstRowLastColumn="0" w:lastRowFirstColumn="0" w:lastRowLastColumn="0"/>
              <w:rPr>
                <w:rFonts w:asciiTheme="majorHAnsi" w:hAnsiTheme="majorHAnsi"/>
                <w:sz w:val="16"/>
                <w:szCs w:val="16"/>
              </w:rPr>
            </w:pPr>
            <w:r w:rsidRPr="00EE7537">
              <w:rPr>
                <w:rFonts w:asciiTheme="majorHAnsi" w:hAnsiTheme="majorHAnsi"/>
                <w:bCs w:val="0"/>
                <w:sz w:val="16"/>
                <w:szCs w:val="16"/>
              </w:rPr>
              <w:t>514,802</w:t>
            </w:r>
          </w:p>
        </w:tc>
        <w:tc>
          <w:tcPr>
            <w:tcW w:w="342" w:type="pct"/>
            <w:tcBorders>
              <w:bottom w:val="double" w:sz="2" w:space="0" w:color="59A9F2" w:themeColor="accent1" w:themeTint="99"/>
            </w:tcBorders>
            <w:shd w:val="clear" w:color="auto" w:fill="auto"/>
            <w:vAlign w:val="center"/>
          </w:tcPr>
          <w:p w:rsidR="00EE7537" w:rsidRPr="00EE7537" w:rsidRDefault="00EE7537" w:rsidP="00EE7537">
            <w:pPr>
              <w:spacing w:line="240" w:lineRule="auto"/>
              <w:jc w:val="center"/>
              <w:cnfStyle w:val="010000000000" w:firstRow="0" w:lastRow="1" w:firstColumn="0" w:lastColumn="0" w:oddVBand="0" w:evenVBand="0" w:oddHBand="0" w:evenHBand="0" w:firstRowFirstColumn="0" w:firstRowLastColumn="0" w:lastRowFirstColumn="0" w:lastRowLastColumn="0"/>
              <w:rPr>
                <w:rFonts w:asciiTheme="majorHAnsi" w:hAnsiTheme="majorHAnsi"/>
                <w:sz w:val="16"/>
                <w:szCs w:val="16"/>
              </w:rPr>
            </w:pPr>
            <w:r w:rsidRPr="00EE7537">
              <w:rPr>
                <w:rFonts w:asciiTheme="majorHAnsi" w:hAnsiTheme="majorHAnsi"/>
                <w:bCs w:val="0"/>
                <w:sz w:val="16"/>
                <w:szCs w:val="16"/>
              </w:rPr>
              <w:t>74%</w:t>
            </w:r>
          </w:p>
        </w:tc>
        <w:tc>
          <w:tcPr>
            <w:tcW w:w="318" w:type="pct"/>
            <w:tcBorders>
              <w:bottom w:val="double" w:sz="2" w:space="0" w:color="59A9F2" w:themeColor="accent1" w:themeTint="99"/>
            </w:tcBorders>
            <w:shd w:val="clear" w:color="auto" w:fill="auto"/>
            <w:vAlign w:val="center"/>
          </w:tcPr>
          <w:p w:rsidR="00EE7537" w:rsidRPr="00EE7537" w:rsidRDefault="00EE7537" w:rsidP="00EE7537">
            <w:pPr>
              <w:spacing w:line="240" w:lineRule="auto"/>
              <w:jc w:val="center"/>
              <w:cnfStyle w:val="010000000000" w:firstRow="0" w:lastRow="1" w:firstColumn="0" w:lastColumn="0" w:oddVBand="0" w:evenVBand="0" w:oddHBand="0" w:evenHBand="0" w:firstRowFirstColumn="0" w:firstRowLastColumn="0" w:lastRowFirstColumn="0" w:lastRowLastColumn="0"/>
              <w:rPr>
                <w:rFonts w:asciiTheme="majorHAnsi" w:hAnsiTheme="majorHAnsi"/>
                <w:sz w:val="16"/>
                <w:szCs w:val="16"/>
              </w:rPr>
            </w:pPr>
            <w:r w:rsidRPr="00EE7537">
              <w:rPr>
                <w:rFonts w:asciiTheme="majorHAnsi" w:hAnsiTheme="majorHAnsi"/>
                <w:bCs w:val="0"/>
                <w:sz w:val="16"/>
                <w:szCs w:val="16"/>
              </w:rPr>
              <w:t>75%</w:t>
            </w:r>
          </w:p>
        </w:tc>
        <w:tc>
          <w:tcPr>
            <w:tcW w:w="285" w:type="pct"/>
            <w:tcBorders>
              <w:bottom w:val="double" w:sz="2" w:space="0" w:color="59A9F2" w:themeColor="accent1" w:themeTint="99"/>
            </w:tcBorders>
            <w:vAlign w:val="center"/>
          </w:tcPr>
          <w:p w:rsidR="00EE7537" w:rsidRPr="00EE7537" w:rsidRDefault="00EE7537" w:rsidP="00EE7537">
            <w:pPr>
              <w:spacing w:line="240" w:lineRule="auto"/>
              <w:jc w:val="center"/>
              <w:cnfStyle w:val="010000000000" w:firstRow="0" w:lastRow="1" w:firstColumn="0" w:lastColumn="0" w:oddVBand="0" w:evenVBand="0" w:oddHBand="0" w:evenHBand="0" w:firstRowFirstColumn="0" w:firstRowLastColumn="0" w:lastRowFirstColumn="0" w:lastRowLastColumn="0"/>
              <w:rPr>
                <w:rFonts w:asciiTheme="majorHAnsi" w:hAnsiTheme="majorHAnsi"/>
                <w:sz w:val="16"/>
                <w:szCs w:val="16"/>
              </w:rPr>
            </w:pPr>
            <w:r w:rsidRPr="00EE7537">
              <w:rPr>
                <w:rFonts w:asciiTheme="majorHAnsi" w:hAnsiTheme="majorHAnsi"/>
                <w:bCs w:val="0"/>
                <w:sz w:val="16"/>
                <w:szCs w:val="16"/>
              </w:rPr>
              <w:t>98%</w:t>
            </w:r>
          </w:p>
        </w:tc>
        <w:tc>
          <w:tcPr>
            <w:cnfStyle w:val="000100000000" w:firstRow="0" w:lastRow="0" w:firstColumn="0" w:lastColumn="1" w:oddVBand="0" w:evenVBand="0" w:oddHBand="0" w:evenHBand="0" w:firstRowFirstColumn="0" w:firstRowLastColumn="0" w:lastRowFirstColumn="0" w:lastRowLastColumn="0"/>
            <w:tcW w:w="278" w:type="pct"/>
            <w:tcBorders>
              <w:bottom w:val="double" w:sz="2" w:space="0" w:color="59A9F2" w:themeColor="accent1" w:themeTint="99"/>
            </w:tcBorders>
            <w:vAlign w:val="center"/>
          </w:tcPr>
          <w:p w:rsidR="00EE7537" w:rsidRPr="00EE7537" w:rsidRDefault="00EE7537" w:rsidP="00EE7537">
            <w:pPr>
              <w:spacing w:line="240" w:lineRule="auto"/>
              <w:jc w:val="center"/>
              <w:rPr>
                <w:rFonts w:asciiTheme="majorHAnsi" w:hAnsiTheme="majorHAnsi"/>
                <w:sz w:val="16"/>
                <w:szCs w:val="16"/>
              </w:rPr>
            </w:pPr>
            <w:r w:rsidRPr="00EE7537">
              <w:rPr>
                <w:rFonts w:asciiTheme="majorHAnsi" w:hAnsiTheme="majorHAnsi"/>
                <w:bCs w:val="0"/>
                <w:sz w:val="16"/>
                <w:szCs w:val="16"/>
              </w:rPr>
              <w:t>93%</w:t>
            </w:r>
          </w:p>
        </w:tc>
      </w:tr>
    </w:tbl>
    <w:p w:rsidR="00EE7537" w:rsidRPr="00F95C93" w:rsidRDefault="00EE7537" w:rsidP="00EE7537">
      <w:pPr>
        <w:spacing w:line="240" w:lineRule="auto"/>
        <w:rPr>
          <w:color w:val="000000"/>
          <w:spacing w:val="11"/>
        </w:rPr>
      </w:pPr>
      <w:r w:rsidRPr="00F95C93">
        <w:rPr>
          <w:spacing w:val="-2"/>
        </w:rPr>
        <w:t>B</w:t>
      </w:r>
      <w:r w:rsidRPr="00F95C93">
        <w:t>u</w:t>
      </w:r>
      <w:r w:rsidRPr="00F95C93">
        <w:rPr>
          <w:spacing w:val="2"/>
        </w:rPr>
        <w:t>x</w:t>
      </w:r>
      <w:r w:rsidRPr="00F95C93">
        <w:t>h</w:t>
      </w:r>
      <w:r w:rsidRPr="00F95C93">
        <w:rPr>
          <w:spacing w:val="-1"/>
        </w:rPr>
        <w:t>e</w:t>
      </w:r>
      <w:r w:rsidRPr="00F95C93">
        <w:t>ti vjetor fillestar i Ministrisë së Drejtësisë u rishikua në ulje gjatë vitit 2022 (-24% më pak se buxheti fillestar).</w:t>
      </w:r>
      <w:r w:rsidR="004E5E8E">
        <w:t xml:space="preserve"> </w:t>
      </w:r>
      <w:r w:rsidRPr="00F95C93">
        <w:t xml:space="preserve">Realizimi faktik ishte </w:t>
      </w:r>
      <w:r w:rsidRPr="00F95C93">
        <w:rPr>
          <w:color w:val="000000"/>
        </w:rPr>
        <w:t>8.3 miliardë</w:t>
      </w:r>
      <w:r w:rsidRPr="00F95C93">
        <w:t xml:space="preserve"> lekë, ose 74% e buxhetit fillestar dhe 98% e buxhetit të rishikuar. Realizimi i shpenzimeve përkundrejt planit fillestar ishte 74% për shpenzimet korrente dhe 75% për shpenzimet kapitale. Në krahasim me buxhetin e rishikuar, realizimi ishte më i lartë, rreth 98% për shpenzimet korente dhe 93% për investimet.</w:t>
      </w:r>
    </w:p>
    <w:p w:rsidR="00EE7537" w:rsidRDefault="00EE7537" w:rsidP="00EE419E">
      <w:pPr>
        <w:spacing w:line="240" w:lineRule="auto"/>
        <w:rPr>
          <w:rFonts w:eastAsia="Calibri"/>
          <w:lang w:val="sq-AL"/>
        </w:rPr>
      </w:pPr>
      <w:r w:rsidRPr="00F95C93">
        <w:rPr>
          <w:rFonts w:eastAsia="Calibri"/>
          <w:lang w:val="sq-AL"/>
        </w:rPr>
        <w:t>Në programin “</w:t>
      </w:r>
      <w:r w:rsidRPr="00F95C93">
        <w:rPr>
          <w:rFonts w:eastAsia="Calibri"/>
          <w:b/>
          <w:lang w:val="sq-AL"/>
        </w:rPr>
        <w:t>Sherbimi i Kthimit dhe Kompensimit te Pronave</w:t>
      </w:r>
      <w:r w:rsidRPr="00F95C93">
        <w:rPr>
          <w:rFonts w:eastAsia="Calibri"/>
          <w:lang w:val="sq-AL"/>
        </w:rPr>
        <w:t>” janë realizuar produkte me kosto faktike prej 1,7 miliard lekë (përfshirë edhe të ardhurat jashtë limitit), ndër të cilat kanë përfituar kompensim financiar 209 subjekte me vlerë 1.2 miliard lekë, janë mbyllur 465 çështje apo 100% e çështjeve të planifikuara për vitin 2022. Për produktin ‘Shpërndarja e fondit të Aluiznit” gjatë vitit 2022 janë kompensuar 244 subjekte duke përdorur të ardhurat e realizuara nga ndërtimet informale të derdhura në llogari të ATP nga ASHK.</w:t>
      </w:r>
    </w:p>
    <w:p w:rsidR="00EC05E8" w:rsidRDefault="00EC05E8" w:rsidP="00EE419E">
      <w:pPr>
        <w:spacing w:line="240" w:lineRule="auto"/>
        <w:rPr>
          <w:rFonts w:asciiTheme="majorHAnsi" w:eastAsia="Calibri" w:hAnsiTheme="majorHAnsi"/>
          <w:lang w:val="sq-AL"/>
        </w:rPr>
      </w:pPr>
      <w:r>
        <w:rPr>
          <w:rFonts w:asciiTheme="majorHAnsi" w:eastAsia="Calibri" w:hAnsiTheme="majorHAnsi"/>
          <w:lang w:val="sq-AL"/>
        </w:rPr>
        <w:t>Në programin “</w:t>
      </w:r>
      <w:r>
        <w:rPr>
          <w:rFonts w:asciiTheme="majorHAnsi" w:eastAsia="Calibri" w:hAnsiTheme="majorHAnsi"/>
          <w:b/>
          <w:lang w:val="sq-AL"/>
        </w:rPr>
        <w:t>Shërbimi i Provës</w:t>
      </w:r>
      <w:r>
        <w:rPr>
          <w:rFonts w:asciiTheme="majorHAnsi" w:eastAsia="Calibri" w:hAnsiTheme="majorHAnsi"/>
          <w:lang w:val="sq-AL"/>
        </w:rPr>
        <w:t xml:space="preserve">” për vitin 2022 raportohet të jenë mbikëqyrur 9,666 persona në të gjitha Degët e Shërbimit të Provës në rrethe dhe nga Drejtoria e Përgjithshme; ndërkohë në produktin “Gra të përfshira në programin e ri-integrimit”, janë përfshirë 708 apo 68% më shumë se një vit më parë dhe “Të mitur në mbikëqyrje në shërbimin e provës” janë trajtuar 267 të mitur apo 43% më pak se një vit më parë. </w:t>
      </w:r>
    </w:p>
    <w:p w:rsidR="00EC05E8" w:rsidRDefault="00EC05E8" w:rsidP="00EC05E8">
      <w:pPr>
        <w:spacing w:line="240" w:lineRule="auto"/>
        <w:rPr>
          <w:rFonts w:asciiTheme="majorHAnsi" w:eastAsia="Calibri" w:hAnsiTheme="majorHAnsi"/>
          <w:lang w:val="sq-AL"/>
        </w:rPr>
      </w:pPr>
      <w:r>
        <w:rPr>
          <w:rFonts w:asciiTheme="majorHAnsi" w:eastAsia="Calibri" w:hAnsiTheme="majorHAnsi"/>
          <w:lang w:val="sq-AL"/>
        </w:rPr>
        <w:lastRenderedPageBreak/>
        <w:t xml:space="preserve"> </w:t>
      </w:r>
      <w:r>
        <w:rPr>
          <w:rFonts w:asciiTheme="majorHAnsi" w:eastAsia="Calibri" w:hAnsiTheme="majorHAnsi"/>
          <w:b/>
          <w:lang w:val="sq-AL"/>
        </w:rPr>
        <w:t>“Sistemi i Burgjeve”</w:t>
      </w:r>
      <w:r>
        <w:rPr>
          <w:rFonts w:asciiTheme="majorHAnsi" w:eastAsia="Calibri" w:hAnsiTheme="majorHAnsi"/>
          <w:lang w:val="sq-AL"/>
        </w:rPr>
        <w:t xml:space="preserve"> disa nga produktet e këtij programi masin performancën e sistemit të burgjeve, ndërsa të tjerë lidhen me përmirësimin e kushteve në sistemin penitenciar dhe konkretisht: </w:t>
      </w:r>
    </w:p>
    <w:p w:rsidR="00EC05E8" w:rsidRDefault="00EC05E8" w:rsidP="00C71069">
      <w:pPr>
        <w:pStyle w:val="ListParagraph"/>
        <w:numPr>
          <w:ilvl w:val="0"/>
          <w:numId w:val="49"/>
        </w:numPr>
        <w:spacing w:before="0" w:line="240" w:lineRule="auto"/>
        <w:rPr>
          <w:rFonts w:asciiTheme="majorHAnsi" w:eastAsia="Calibri" w:hAnsiTheme="majorHAnsi"/>
          <w:i/>
          <w:lang w:val="sq-AL"/>
        </w:rPr>
      </w:pPr>
      <w:r>
        <w:rPr>
          <w:rFonts w:asciiTheme="majorHAnsi" w:eastAsia="Calibri" w:hAnsiTheme="majorHAnsi"/>
          <w:i/>
          <w:lang w:val="sq-AL"/>
        </w:rPr>
        <w:t>Trajnimet e të dënuarve janë kryer sipas planifikimit, trajtimi me shërbim shëndetësor ka pësuar rritje nga sa ishte planifikuar në fillim të vitit. Për vitin 2022 numri i të dënuarve të trajtuar me shërbim shëndetësor është 384 raste, shoqëruar me një kosto prej 70 milionë lekë.</w:t>
      </w:r>
    </w:p>
    <w:p w:rsidR="00EC05E8" w:rsidRDefault="00EC05E8" w:rsidP="00C71069">
      <w:pPr>
        <w:pStyle w:val="ListParagraph"/>
        <w:numPr>
          <w:ilvl w:val="0"/>
          <w:numId w:val="49"/>
        </w:numPr>
        <w:spacing w:line="240" w:lineRule="auto"/>
        <w:rPr>
          <w:rFonts w:asciiTheme="majorHAnsi" w:eastAsia="Calibri" w:hAnsiTheme="majorHAnsi"/>
          <w:i/>
          <w:lang w:val="sq-AL"/>
        </w:rPr>
      </w:pPr>
      <w:r>
        <w:rPr>
          <w:rFonts w:asciiTheme="majorHAnsi" w:eastAsia="Calibri" w:hAnsiTheme="majorHAnsi"/>
          <w:i/>
          <w:lang w:val="sq-AL"/>
        </w:rPr>
        <w:t>Rezultojnë 4,974 burra të dënuar; 67 të dënuara femra të trajtuara në kushte të veçanta të vuajtjes se dënimit si dhe janë 16 të mitur të dënuar të cilët vuajnë dënimin në ambientet të përshtatshme për vuajtjen e dënimit, shoqëruar me një kosto prej  1.5 miliard lekë.</w:t>
      </w:r>
    </w:p>
    <w:p w:rsidR="00EC05E8" w:rsidRDefault="00EC05E8" w:rsidP="00EC05E8">
      <w:pPr>
        <w:spacing w:line="240" w:lineRule="auto"/>
        <w:rPr>
          <w:rFonts w:asciiTheme="majorHAnsi" w:eastAsia="Calibri" w:hAnsiTheme="majorHAnsi"/>
          <w:lang w:val="sq-AL"/>
        </w:rPr>
      </w:pPr>
      <w:r>
        <w:rPr>
          <w:rFonts w:asciiTheme="majorHAnsi" w:eastAsia="Calibri" w:hAnsiTheme="majorHAnsi"/>
          <w:lang w:val="sq-AL"/>
        </w:rPr>
        <w:t>Në programin</w:t>
      </w:r>
      <w:r>
        <w:rPr>
          <w:rFonts w:asciiTheme="majorHAnsi" w:eastAsia="Calibri" w:hAnsiTheme="majorHAnsi"/>
          <w:b/>
          <w:lang w:val="sq-AL"/>
        </w:rPr>
        <w:t xml:space="preserve"> “Mjekësia Ligjore”</w:t>
      </w:r>
      <w:r>
        <w:rPr>
          <w:rFonts w:asciiTheme="majorHAnsi" w:eastAsia="Calibri" w:hAnsiTheme="majorHAnsi"/>
          <w:lang w:val="sq-AL"/>
        </w:rPr>
        <w:t xml:space="preserve"> për vitin 2022, për produktin “Akte ekspertimi mjeko-ligjore” janë kryer 15,681 akte ekspertimi nga 17,000 të planifikuara dhe 78 akte ekspertimi të rasteve të dhunës seksuale, shoqëruar me një kosto prej 41.5 milionë lekë. </w:t>
      </w:r>
    </w:p>
    <w:p w:rsidR="00EE419E" w:rsidRPr="002617BE" w:rsidRDefault="007B7B50" w:rsidP="00EE419E">
      <w:pPr>
        <w:shd w:val="clear" w:color="auto" w:fill="FFFFFF" w:themeFill="background1"/>
        <w:spacing w:line="240" w:lineRule="auto"/>
        <w:rPr>
          <w:rFonts w:asciiTheme="majorHAnsi" w:eastAsiaTheme="minorHAnsi" w:hAnsiTheme="majorHAnsi" w:cs="Calibri Light"/>
          <w:szCs w:val="22"/>
          <w:lang w:val="sq-AL"/>
        </w:rPr>
      </w:pPr>
      <w:r w:rsidRPr="00EE419E">
        <w:rPr>
          <w:rFonts w:eastAsiaTheme="minorHAnsi"/>
          <w:lang w:val="sq-AL"/>
        </w:rPr>
        <w:t xml:space="preserve">Për sa u përket </w:t>
      </w:r>
      <w:r w:rsidRPr="00EE419E">
        <w:rPr>
          <w:rFonts w:eastAsiaTheme="minorHAnsi"/>
          <w:b/>
          <w:bCs/>
          <w:lang w:val="sq-AL"/>
        </w:rPr>
        <w:t>investimeve publike,</w:t>
      </w:r>
      <w:r w:rsidRPr="00EE419E">
        <w:rPr>
          <w:rFonts w:eastAsiaTheme="minorHAnsi"/>
          <w:lang w:val="sq-AL"/>
        </w:rPr>
        <w:t xml:space="preserve"> </w:t>
      </w:r>
      <w:r w:rsidR="00EE419E" w:rsidRPr="00EE419E">
        <w:rPr>
          <w:rFonts w:cs="Calibri"/>
          <w:lang w:val="sq-AL"/>
        </w:rPr>
        <w:t>realizimi në vitin 2022 ishte 89.2% e buxhetit fillestar për projektet me</w:t>
      </w:r>
      <w:r w:rsidR="00EE419E" w:rsidRPr="002617BE">
        <w:rPr>
          <w:rFonts w:cs="Calibri"/>
          <w:lang w:val="sq-AL"/>
        </w:rPr>
        <w:t xml:space="preserve"> financim të brendshëm (0.51 milard lekë)</w:t>
      </w:r>
      <w:r w:rsidR="00EE419E" w:rsidRPr="002617BE">
        <w:rPr>
          <w:rFonts w:cs="Calibri"/>
          <w:bCs/>
          <w:iCs/>
          <w:lang w:val="sq-AL"/>
        </w:rPr>
        <w:t xml:space="preserve"> (96.6 % të planit vjetor të ndryshuar me AN nr.19)</w:t>
      </w:r>
      <w:r w:rsidR="00EE419E" w:rsidRPr="002617BE">
        <w:rPr>
          <w:rFonts w:cs="Calibri"/>
          <w:lang w:val="sq-AL"/>
        </w:rPr>
        <w:t xml:space="preserve">. Buxheti i shpenzimeve kapitale pësoi disa ndryshime gjatë vitit, duke pakësuar shpenzimet me financim të brendshëm në kuadër të mirëmenaxhimit të fondeve publike duke pakësuar fondet në ato projekte të cilat nuk mund të realizoheshin përgjatë 2022. </w:t>
      </w:r>
      <w:r w:rsidR="00EE419E" w:rsidRPr="002617BE">
        <w:rPr>
          <w:rFonts w:asciiTheme="majorHAnsi" w:eastAsiaTheme="minorHAnsi" w:hAnsiTheme="majorHAnsi" w:cs="Calibri Light"/>
          <w:szCs w:val="22"/>
          <w:lang w:val="sq-AL"/>
        </w:rPr>
        <w:t>Janë mbyllur kontratat e investimit si më poshtë, ku ndër më kryesoret veçojmë</w:t>
      </w:r>
      <w:bookmarkStart w:id="277" w:name="_Hlk40882012"/>
      <w:r w:rsidR="00EE419E" w:rsidRPr="002617BE">
        <w:rPr>
          <w:rFonts w:asciiTheme="majorHAnsi" w:eastAsiaTheme="minorHAnsi" w:hAnsiTheme="majorHAnsi" w:cs="Calibri Light"/>
          <w:szCs w:val="22"/>
          <w:lang w:val="sq-AL"/>
        </w:rPr>
        <w:t xml:space="preserve"> 5 kontrata me vlerë totale 50 milionë lekë</w:t>
      </w:r>
      <w:bookmarkEnd w:id="277"/>
      <w:r w:rsidR="00EE419E" w:rsidRPr="002617BE">
        <w:rPr>
          <w:rFonts w:asciiTheme="majorHAnsi" w:eastAsiaTheme="minorHAnsi" w:hAnsiTheme="majorHAnsi" w:cs="Calibri Light"/>
          <w:szCs w:val="22"/>
          <w:lang w:val="sq-AL"/>
        </w:rPr>
        <w:t>, kryesisht për:</w:t>
      </w:r>
    </w:p>
    <w:p w:rsidR="00EE419E" w:rsidRPr="002617BE" w:rsidRDefault="00EE419E" w:rsidP="00C71069">
      <w:pPr>
        <w:pStyle w:val="ListParagraph"/>
        <w:numPr>
          <w:ilvl w:val="0"/>
          <w:numId w:val="29"/>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Furnizim dhe vendosje cilleri per godinen e MD me vlerë investimi prej 15 milionë lekë.</w:t>
      </w:r>
    </w:p>
    <w:p w:rsidR="00EE419E" w:rsidRPr="002617BE" w:rsidRDefault="00EE419E" w:rsidP="00C71069">
      <w:pPr>
        <w:pStyle w:val="ListParagraph"/>
        <w:numPr>
          <w:ilvl w:val="0"/>
          <w:numId w:val="29"/>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Sisteme ngrohje ftohje ne IEVP me vlerë investimi prej 17 milionë lekë;</w:t>
      </w:r>
    </w:p>
    <w:p w:rsidR="00EE419E" w:rsidRPr="002617BE" w:rsidRDefault="00EE419E" w:rsidP="00C71069">
      <w:pPr>
        <w:pStyle w:val="ListParagraph"/>
        <w:numPr>
          <w:ilvl w:val="0"/>
          <w:numId w:val="29"/>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Blerje paisjesh të ndryshme etj;</w:t>
      </w:r>
    </w:p>
    <w:p w:rsidR="00EE419E" w:rsidRPr="002617BE" w:rsidRDefault="00EE419E" w:rsidP="00C71069">
      <w:pPr>
        <w:pStyle w:val="ListParagraph"/>
        <w:numPr>
          <w:ilvl w:val="0"/>
          <w:numId w:val="29"/>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Blerje paisjesh për sistemin e burgjeve  në vlerën 83 milionë lekë;</w:t>
      </w:r>
    </w:p>
    <w:p w:rsidR="00EE419E" w:rsidRPr="002617BE" w:rsidRDefault="00EE419E" w:rsidP="00C71069">
      <w:pPr>
        <w:pStyle w:val="ListParagraph"/>
        <w:numPr>
          <w:ilvl w:val="0"/>
          <w:numId w:val="29"/>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Blerë automjete për sistemin e burgjeve në vlerën e 128 milionë lekë;</w:t>
      </w:r>
    </w:p>
    <w:p w:rsidR="00EE419E" w:rsidRPr="002617BE" w:rsidRDefault="00EE419E" w:rsidP="00C71069">
      <w:pPr>
        <w:pStyle w:val="ListParagraph"/>
        <w:numPr>
          <w:ilvl w:val="0"/>
          <w:numId w:val="29"/>
        </w:numPr>
        <w:spacing w:before="0" w:line="240" w:lineRule="auto"/>
        <w:rPr>
          <w:rFonts w:asciiTheme="majorHAnsi" w:eastAsia="Calibri" w:hAnsiTheme="majorHAnsi" w:cs="Calibri Light"/>
          <w:i/>
          <w:szCs w:val="22"/>
          <w:lang w:val="sq-AL"/>
        </w:rPr>
      </w:pPr>
      <w:r w:rsidRPr="002617BE">
        <w:rPr>
          <w:rFonts w:asciiTheme="majorHAnsi" w:eastAsia="Calibri" w:hAnsiTheme="majorHAnsi" w:cs="Calibri Light"/>
          <w:i/>
          <w:szCs w:val="22"/>
          <w:lang w:val="sq-AL"/>
        </w:rPr>
        <w:t>Sistemi elektronik i menaxhimit te vizitave dhe hyrje daljeve ne IEVP në vlerën 145 milionë lekë etj.</w:t>
      </w:r>
    </w:p>
    <w:p w:rsidR="00EE419E" w:rsidRDefault="00EE419E" w:rsidP="00FC729E">
      <w:pPr>
        <w:rPr>
          <w:rFonts w:cs="Calibri"/>
          <w:lang w:val="sq-AL"/>
        </w:rPr>
      </w:pPr>
    </w:p>
    <w:p w:rsidR="001A7510" w:rsidRDefault="001A7510" w:rsidP="00FC729E">
      <w:pPr>
        <w:rPr>
          <w:rFonts w:cs="Calibri"/>
          <w:lang w:val="sq-AL"/>
        </w:rPr>
      </w:pPr>
    </w:p>
    <w:p w:rsidR="007B7B50" w:rsidRPr="00476D2E" w:rsidRDefault="007B7B50" w:rsidP="00EE419E">
      <w:pPr>
        <w:pStyle w:val="fiskale3"/>
        <w:spacing w:before="0" w:line="240" w:lineRule="auto"/>
        <w:rPr>
          <w:rFonts w:ascii="Calibri" w:hAnsi="Calibri" w:cs="Calibri"/>
          <w:b/>
        </w:rPr>
      </w:pPr>
      <w:bookmarkStart w:id="278" w:name="_Toc10721442"/>
      <w:bookmarkStart w:id="279" w:name="_Toc104980366"/>
      <w:r w:rsidRPr="00476D2E">
        <w:rPr>
          <w:rFonts w:ascii="Calibri" w:hAnsi="Calibri" w:cs="Calibri"/>
          <w:b/>
        </w:rPr>
        <w:t>Institucionet e Sistemit të Drejtësisë</w:t>
      </w:r>
      <w:bookmarkEnd w:id="278"/>
      <w:bookmarkEnd w:id="279"/>
    </w:p>
    <w:p w:rsidR="007B7B50" w:rsidRPr="00476D2E" w:rsidRDefault="007B7B50" w:rsidP="00EE419E">
      <w:pPr>
        <w:spacing w:before="0" w:line="240" w:lineRule="auto"/>
        <w:rPr>
          <w:rFonts w:cs="Calibri"/>
          <w:lang w:val="sq-AL"/>
        </w:rPr>
      </w:pPr>
      <w:r w:rsidRPr="00476D2E">
        <w:rPr>
          <w:rFonts w:cs="Calibri"/>
          <w:lang w:val="sq-AL"/>
        </w:rPr>
        <w:t xml:space="preserve">Shpenzimet e planifikuara dhe ato faktike si dhe realizimi në </w:t>
      </w:r>
      <w:r w:rsidR="008136C0">
        <w:rPr>
          <w:rFonts w:cs="Calibri"/>
          <w:lang w:val="sq-AL"/>
        </w:rPr>
        <w:t>%</w:t>
      </w:r>
      <w:r w:rsidRPr="00476D2E">
        <w:rPr>
          <w:rFonts w:cs="Calibri"/>
          <w:lang w:val="sq-AL"/>
        </w:rPr>
        <w:t>je për vitin 202</w:t>
      </w:r>
      <w:r w:rsidR="00EE7537">
        <w:rPr>
          <w:rFonts w:cs="Calibri"/>
          <w:lang w:val="sq-AL"/>
        </w:rPr>
        <w:t>2</w:t>
      </w:r>
      <w:r w:rsidRPr="00476D2E">
        <w:rPr>
          <w:rFonts w:cs="Calibri"/>
          <w:lang w:val="sq-AL"/>
        </w:rPr>
        <w:t xml:space="preserve"> për </w:t>
      </w:r>
      <w:r w:rsidRPr="00476D2E">
        <w:rPr>
          <w:rFonts w:cs="Calibri"/>
          <w:b/>
          <w:lang w:val="sq-AL"/>
        </w:rPr>
        <w:t>Institucionet e Mbikqyrjes dhe Rivlerësimit në sistemin e Drejtësisë</w:t>
      </w:r>
      <w:r w:rsidRPr="00476D2E">
        <w:rPr>
          <w:rFonts w:cs="Calibri"/>
          <w:lang w:val="sq-AL"/>
        </w:rPr>
        <w:t>, paraqiten si më poshtë:</w:t>
      </w:r>
    </w:p>
    <w:p w:rsidR="007B7B50" w:rsidRPr="00476D2E" w:rsidRDefault="007B7B50" w:rsidP="00EE419E">
      <w:pPr>
        <w:spacing w:before="0" w:line="240" w:lineRule="auto"/>
        <w:rPr>
          <w:rFonts w:cs="Calibri"/>
          <w:i/>
          <w:iCs/>
          <w:color w:val="0B5294" w:themeColor="accent1" w:themeShade="BF"/>
          <w:sz w:val="20"/>
          <w:szCs w:val="18"/>
          <w:u w:val="single"/>
          <w:lang w:val="sq-AL"/>
        </w:rPr>
      </w:pPr>
      <w:bookmarkStart w:id="280" w:name="_Toc136526357"/>
      <w:r w:rsidRPr="00476D2E">
        <w:rPr>
          <w:rFonts w:cs="Calibri"/>
          <w:i/>
          <w:iCs/>
          <w:color w:val="0B5294" w:themeColor="accent1" w:themeShade="BF"/>
          <w:sz w:val="18"/>
          <w:szCs w:val="18"/>
          <w:lang w:val="sq-AL"/>
        </w:rPr>
        <w:t xml:space="preserve">Tabela </w:t>
      </w:r>
      <w:r w:rsidRPr="00476D2E">
        <w:rPr>
          <w:rFonts w:cs="Calibri"/>
          <w:i/>
          <w:iCs/>
          <w:color w:val="0B5294" w:themeColor="accent1" w:themeShade="BF"/>
          <w:sz w:val="18"/>
          <w:szCs w:val="18"/>
          <w:lang w:val="sq-AL"/>
        </w:rPr>
        <w:fldChar w:fldCharType="begin"/>
      </w:r>
      <w:r w:rsidRPr="00476D2E">
        <w:rPr>
          <w:rFonts w:cs="Calibri"/>
          <w:i/>
          <w:iCs/>
          <w:color w:val="0B5294" w:themeColor="accent1" w:themeShade="BF"/>
          <w:sz w:val="18"/>
          <w:szCs w:val="18"/>
          <w:lang w:val="sq-AL"/>
        </w:rPr>
        <w:instrText xml:space="preserve"> SEQ Tabela \* ARABIC </w:instrText>
      </w:r>
      <w:r w:rsidRPr="00476D2E">
        <w:rPr>
          <w:rFonts w:cs="Calibri"/>
          <w:i/>
          <w:iCs/>
          <w:color w:val="0B5294" w:themeColor="accent1" w:themeShade="BF"/>
          <w:sz w:val="18"/>
          <w:szCs w:val="18"/>
          <w:lang w:val="sq-AL"/>
        </w:rPr>
        <w:fldChar w:fldCharType="separate"/>
      </w:r>
      <w:r w:rsidR="008C3E07">
        <w:rPr>
          <w:rFonts w:cs="Calibri"/>
          <w:i/>
          <w:iCs/>
          <w:noProof/>
          <w:color w:val="0B5294" w:themeColor="accent1" w:themeShade="BF"/>
          <w:sz w:val="18"/>
          <w:szCs w:val="18"/>
          <w:lang w:val="sq-AL"/>
        </w:rPr>
        <w:t>31</w:t>
      </w:r>
      <w:r w:rsidRPr="00476D2E">
        <w:rPr>
          <w:rFonts w:cs="Calibri"/>
          <w:i/>
          <w:iCs/>
          <w:noProof/>
          <w:color w:val="0B5294" w:themeColor="accent1" w:themeShade="BF"/>
          <w:sz w:val="18"/>
          <w:szCs w:val="18"/>
          <w:lang w:val="sq-AL"/>
        </w:rPr>
        <w:fldChar w:fldCharType="end"/>
      </w:r>
      <w:r w:rsidRPr="00476D2E">
        <w:rPr>
          <w:rFonts w:cs="Calibri"/>
          <w:i/>
          <w:iCs/>
          <w:color w:val="0B5294" w:themeColor="accent1" w:themeShade="BF"/>
          <w:sz w:val="18"/>
          <w:szCs w:val="18"/>
          <w:lang w:val="sq-AL"/>
        </w:rPr>
        <w:t xml:space="preserve"> Realizimi i buxhetit 202</w:t>
      </w:r>
      <w:r w:rsidR="00EE7537">
        <w:rPr>
          <w:rFonts w:cs="Calibri"/>
          <w:i/>
          <w:iCs/>
          <w:color w:val="0B5294" w:themeColor="accent1" w:themeShade="BF"/>
          <w:sz w:val="18"/>
          <w:szCs w:val="18"/>
          <w:lang w:val="sq-AL"/>
        </w:rPr>
        <w:t>2</w:t>
      </w:r>
      <w:r w:rsidRPr="00476D2E">
        <w:rPr>
          <w:rFonts w:cs="Calibri"/>
          <w:i/>
          <w:iCs/>
          <w:color w:val="0B5294" w:themeColor="accent1" w:themeShade="BF"/>
          <w:sz w:val="18"/>
          <w:szCs w:val="18"/>
          <w:lang w:val="sq-AL"/>
        </w:rPr>
        <w:t xml:space="preserve"> për Institucionet e Drejtësisë</w:t>
      </w:r>
      <w:bookmarkEnd w:id="280"/>
      <w:r w:rsidRPr="00476D2E">
        <w:rPr>
          <w:rFonts w:cs="Calibri"/>
          <w:i/>
          <w:iCs/>
          <w:color w:val="0B5294" w:themeColor="accent1" w:themeShade="BF"/>
          <w:sz w:val="20"/>
          <w:szCs w:val="18"/>
          <w:u w:val="single"/>
          <w:lang w:val="sq-AL"/>
        </w:rPr>
        <w:t xml:space="preserve"> </w:t>
      </w:r>
    </w:p>
    <w:tbl>
      <w:tblPr>
        <w:tblW w:w="10292" w:type="dxa"/>
        <w:jc w:val="center"/>
        <w:tblLook w:val="04A0" w:firstRow="1" w:lastRow="0" w:firstColumn="1" w:lastColumn="0" w:noHBand="0" w:noVBand="1"/>
      </w:tblPr>
      <w:tblGrid>
        <w:gridCol w:w="2137"/>
        <w:gridCol w:w="876"/>
        <w:gridCol w:w="877"/>
        <w:gridCol w:w="876"/>
        <w:gridCol w:w="877"/>
        <w:gridCol w:w="876"/>
        <w:gridCol w:w="877"/>
        <w:gridCol w:w="657"/>
        <w:gridCol w:w="740"/>
        <w:gridCol w:w="657"/>
        <w:gridCol w:w="842"/>
      </w:tblGrid>
      <w:tr w:rsidR="00EE7537" w:rsidRPr="00F95C93" w:rsidTr="00EE7537">
        <w:trPr>
          <w:trHeight w:val="476"/>
          <w:jc w:val="center"/>
        </w:trPr>
        <w:tc>
          <w:tcPr>
            <w:tcW w:w="2137" w:type="dxa"/>
            <w:vMerge w:val="restart"/>
            <w:tcBorders>
              <w:top w:val="nil"/>
              <w:left w:val="nil"/>
              <w:bottom w:val="nil"/>
              <w:right w:val="nil"/>
            </w:tcBorders>
            <w:shd w:val="clear" w:color="000000" w:fill="366092"/>
            <w:noWrap/>
            <w:vAlign w:val="center"/>
            <w:hideMark/>
          </w:tcPr>
          <w:p w:rsidR="00EE7537" w:rsidRPr="00F95C93" w:rsidRDefault="00EE7537" w:rsidP="00EE7537">
            <w:pPr>
              <w:spacing w:before="0" w:line="240" w:lineRule="auto"/>
              <w:ind w:left="-171" w:firstLine="171"/>
              <w:jc w:val="center"/>
              <w:rPr>
                <w:b/>
                <w:bCs/>
                <w:color w:val="FFFFFF"/>
                <w:sz w:val="16"/>
                <w:szCs w:val="16"/>
              </w:rPr>
            </w:pPr>
            <w:r w:rsidRPr="00F95C93">
              <w:rPr>
                <w:b/>
                <w:bCs/>
                <w:color w:val="FFFFFF"/>
                <w:sz w:val="16"/>
                <w:szCs w:val="16"/>
              </w:rPr>
              <w:t>Programi buxhetor</w:t>
            </w:r>
          </w:p>
        </w:tc>
        <w:tc>
          <w:tcPr>
            <w:tcW w:w="1753"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Plani fillestar 2022</w:t>
            </w:r>
          </w:p>
        </w:tc>
        <w:tc>
          <w:tcPr>
            <w:tcW w:w="1753"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Plani i rishikuar 2022</w:t>
            </w:r>
          </w:p>
        </w:tc>
        <w:tc>
          <w:tcPr>
            <w:tcW w:w="1753"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Fakti 2022</w:t>
            </w:r>
          </w:p>
        </w:tc>
        <w:tc>
          <w:tcPr>
            <w:tcW w:w="1397"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EE7537" w:rsidRPr="00F95C93" w:rsidRDefault="00EE7537" w:rsidP="00EE7537">
            <w:pPr>
              <w:spacing w:before="0" w:line="240" w:lineRule="auto"/>
              <w:jc w:val="center"/>
              <w:rPr>
                <w:color w:val="FFFFFF"/>
                <w:sz w:val="16"/>
                <w:szCs w:val="16"/>
              </w:rPr>
            </w:pPr>
            <w:r w:rsidRPr="00F95C93">
              <w:rPr>
                <w:color w:val="FFFFFF"/>
                <w:sz w:val="16"/>
                <w:szCs w:val="16"/>
              </w:rPr>
              <w:t>Diferenca në % me planin fillestar</w:t>
            </w:r>
          </w:p>
        </w:tc>
        <w:tc>
          <w:tcPr>
            <w:tcW w:w="1499"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EE7537" w:rsidRPr="00F95C93" w:rsidRDefault="00EE7537" w:rsidP="00EE7537">
            <w:pPr>
              <w:spacing w:before="0" w:line="240" w:lineRule="auto"/>
              <w:jc w:val="center"/>
              <w:rPr>
                <w:color w:val="FFFFFF"/>
                <w:sz w:val="16"/>
                <w:szCs w:val="16"/>
              </w:rPr>
            </w:pPr>
            <w:r w:rsidRPr="00F95C93">
              <w:rPr>
                <w:color w:val="FFFFFF"/>
                <w:sz w:val="16"/>
                <w:szCs w:val="16"/>
              </w:rPr>
              <w:t>Diferenca në % me planin e rishikuar</w:t>
            </w:r>
          </w:p>
        </w:tc>
      </w:tr>
      <w:tr w:rsidR="00EE7537" w:rsidRPr="00F95C93" w:rsidTr="00EE7537">
        <w:trPr>
          <w:trHeight w:val="294"/>
          <w:jc w:val="center"/>
        </w:trPr>
        <w:tc>
          <w:tcPr>
            <w:tcW w:w="2137" w:type="dxa"/>
            <w:vMerge/>
            <w:tcBorders>
              <w:top w:val="nil"/>
              <w:left w:val="nil"/>
              <w:bottom w:val="nil"/>
              <w:right w:val="nil"/>
            </w:tcBorders>
            <w:vAlign w:val="center"/>
            <w:hideMark/>
          </w:tcPr>
          <w:p w:rsidR="00EE7537" w:rsidRPr="00F95C93" w:rsidRDefault="00EE7537" w:rsidP="00EE7537">
            <w:pPr>
              <w:spacing w:before="0" w:line="240" w:lineRule="auto"/>
              <w:jc w:val="left"/>
              <w:rPr>
                <w:b/>
                <w:bCs/>
                <w:color w:val="FFFFFF"/>
                <w:sz w:val="16"/>
                <w:szCs w:val="16"/>
              </w:rPr>
            </w:pPr>
          </w:p>
        </w:tc>
        <w:tc>
          <w:tcPr>
            <w:tcW w:w="876" w:type="dxa"/>
            <w:tcBorders>
              <w:top w:val="nil"/>
              <w:left w:val="nil"/>
              <w:bottom w:val="single" w:sz="8" w:space="0" w:color="B8CCE4"/>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Korrente</w:t>
            </w:r>
          </w:p>
        </w:tc>
        <w:tc>
          <w:tcPr>
            <w:tcW w:w="876" w:type="dxa"/>
            <w:tcBorders>
              <w:top w:val="nil"/>
              <w:left w:val="nil"/>
              <w:bottom w:val="single" w:sz="8" w:space="0" w:color="B8CCE4"/>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Investime</w:t>
            </w:r>
          </w:p>
        </w:tc>
        <w:tc>
          <w:tcPr>
            <w:tcW w:w="876" w:type="dxa"/>
            <w:tcBorders>
              <w:top w:val="nil"/>
              <w:left w:val="nil"/>
              <w:bottom w:val="single" w:sz="8" w:space="0" w:color="B8CCE4"/>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Korrente</w:t>
            </w:r>
          </w:p>
        </w:tc>
        <w:tc>
          <w:tcPr>
            <w:tcW w:w="876" w:type="dxa"/>
            <w:tcBorders>
              <w:top w:val="nil"/>
              <w:left w:val="nil"/>
              <w:bottom w:val="single" w:sz="8" w:space="0" w:color="B8CCE4"/>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Investime</w:t>
            </w:r>
          </w:p>
        </w:tc>
        <w:tc>
          <w:tcPr>
            <w:tcW w:w="876" w:type="dxa"/>
            <w:tcBorders>
              <w:top w:val="nil"/>
              <w:left w:val="nil"/>
              <w:bottom w:val="single" w:sz="8" w:space="0" w:color="B8CCE4"/>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Korrente</w:t>
            </w:r>
          </w:p>
        </w:tc>
        <w:tc>
          <w:tcPr>
            <w:tcW w:w="876" w:type="dxa"/>
            <w:tcBorders>
              <w:top w:val="nil"/>
              <w:left w:val="nil"/>
              <w:bottom w:val="single" w:sz="8" w:space="0" w:color="B8CCE4"/>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Investime</w:t>
            </w:r>
          </w:p>
        </w:tc>
        <w:tc>
          <w:tcPr>
            <w:tcW w:w="657" w:type="dxa"/>
            <w:tcBorders>
              <w:top w:val="nil"/>
              <w:left w:val="nil"/>
              <w:bottom w:val="single" w:sz="8" w:space="0" w:color="B8CCE4"/>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Korr.</w:t>
            </w:r>
          </w:p>
        </w:tc>
        <w:tc>
          <w:tcPr>
            <w:tcW w:w="739" w:type="dxa"/>
            <w:tcBorders>
              <w:top w:val="nil"/>
              <w:left w:val="nil"/>
              <w:bottom w:val="single" w:sz="8" w:space="0" w:color="B8CCE4"/>
              <w:right w:val="single" w:sz="8" w:space="0" w:color="B8CCE4"/>
            </w:tcBorders>
            <w:shd w:val="clear" w:color="000000" w:fill="365F91"/>
            <w:vAlign w:val="center"/>
            <w:hideMark/>
          </w:tcPr>
          <w:p w:rsidR="00EE7537" w:rsidRPr="00F95C93" w:rsidRDefault="00EE7537" w:rsidP="00EE7537">
            <w:pPr>
              <w:spacing w:before="0" w:line="240" w:lineRule="auto"/>
              <w:jc w:val="center"/>
              <w:rPr>
                <w:color w:val="FFFFFF"/>
                <w:sz w:val="16"/>
                <w:szCs w:val="16"/>
              </w:rPr>
            </w:pPr>
            <w:r w:rsidRPr="00F95C93">
              <w:rPr>
                <w:color w:val="FFFFFF"/>
                <w:sz w:val="16"/>
                <w:szCs w:val="16"/>
              </w:rPr>
              <w:t>Inv.</w:t>
            </w:r>
          </w:p>
        </w:tc>
        <w:tc>
          <w:tcPr>
            <w:tcW w:w="657" w:type="dxa"/>
            <w:tcBorders>
              <w:top w:val="nil"/>
              <w:left w:val="nil"/>
              <w:bottom w:val="single" w:sz="8" w:space="0" w:color="B8CCE4"/>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Korr.</w:t>
            </w:r>
          </w:p>
        </w:tc>
        <w:tc>
          <w:tcPr>
            <w:tcW w:w="842" w:type="dxa"/>
            <w:tcBorders>
              <w:top w:val="nil"/>
              <w:left w:val="nil"/>
              <w:bottom w:val="single" w:sz="8" w:space="0" w:color="B8CCE4"/>
              <w:right w:val="single" w:sz="8" w:space="0" w:color="B8CCE4"/>
            </w:tcBorders>
            <w:shd w:val="clear" w:color="000000" w:fill="365F91"/>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Inv.</w:t>
            </w:r>
          </w:p>
        </w:tc>
      </w:tr>
      <w:tr w:rsidR="00EE7537" w:rsidRPr="00F95C93" w:rsidTr="00EE7537">
        <w:trPr>
          <w:trHeight w:val="294"/>
          <w:jc w:val="center"/>
        </w:trPr>
        <w:tc>
          <w:tcPr>
            <w:tcW w:w="2137" w:type="dxa"/>
            <w:tcBorders>
              <w:top w:val="nil"/>
              <w:left w:val="single" w:sz="8" w:space="0" w:color="90C5F6"/>
              <w:bottom w:val="single" w:sz="8" w:space="0" w:color="90C5F6"/>
              <w:right w:val="single" w:sz="8" w:space="0" w:color="90C5F6"/>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Inspektoriati i Larte i Drejtesise</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202,800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64,000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151,443</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16,000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140,191</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15,391</w:t>
            </w:r>
          </w:p>
        </w:tc>
        <w:tc>
          <w:tcPr>
            <w:tcW w:w="657"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69%</w:t>
            </w:r>
          </w:p>
        </w:tc>
        <w:tc>
          <w:tcPr>
            <w:tcW w:w="739"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24%</w:t>
            </w:r>
          </w:p>
        </w:tc>
        <w:tc>
          <w:tcPr>
            <w:tcW w:w="657"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93%</w:t>
            </w:r>
          </w:p>
        </w:tc>
        <w:tc>
          <w:tcPr>
            <w:tcW w:w="842"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96%</w:t>
            </w:r>
          </w:p>
        </w:tc>
      </w:tr>
      <w:tr w:rsidR="00EE7537" w:rsidRPr="00F95C93" w:rsidTr="00EE7537">
        <w:trPr>
          <w:trHeight w:val="294"/>
          <w:jc w:val="center"/>
        </w:trPr>
        <w:tc>
          <w:tcPr>
            <w:tcW w:w="2137" w:type="dxa"/>
            <w:tcBorders>
              <w:top w:val="nil"/>
              <w:left w:val="single" w:sz="8" w:space="0" w:color="90C5F6"/>
              <w:bottom w:val="single" w:sz="8" w:space="0" w:color="90C5F6"/>
              <w:right w:val="single" w:sz="8" w:space="0" w:color="90C5F6"/>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lang w:val="sq-AL"/>
              </w:rPr>
              <w:t>Komisioni I Pavarur I Kualifikimit</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236,968</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2,000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258,435</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2,000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257,625</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754</w:t>
            </w:r>
          </w:p>
        </w:tc>
        <w:tc>
          <w:tcPr>
            <w:tcW w:w="657"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109%</w:t>
            </w:r>
          </w:p>
        </w:tc>
        <w:tc>
          <w:tcPr>
            <w:tcW w:w="739"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38%</w:t>
            </w:r>
          </w:p>
        </w:tc>
        <w:tc>
          <w:tcPr>
            <w:tcW w:w="657"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100%</w:t>
            </w:r>
          </w:p>
        </w:tc>
        <w:tc>
          <w:tcPr>
            <w:tcW w:w="842"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38%</w:t>
            </w:r>
          </w:p>
        </w:tc>
      </w:tr>
      <w:tr w:rsidR="00EE7537" w:rsidRPr="00F95C93" w:rsidTr="00EE7537">
        <w:trPr>
          <w:trHeight w:val="294"/>
          <w:jc w:val="center"/>
        </w:trPr>
        <w:tc>
          <w:tcPr>
            <w:tcW w:w="2137" w:type="dxa"/>
            <w:tcBorders>
              <w:top w:val="nil"/>
              <w:left w:val="single" w:sz="8" w:space="0" w:color="90C5F6"/>
              <w:bottom w:val="single" w:sz="8" w:space="0" w:color="90C5F6"/>
              <w:right w:val="single" w:sz="8" w:space="0" w:color="90C5F6"/>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lang w:val="sq-AL"/>
              </w:rPr>
              <w:t>Veprimtaria e apelimit të rivlerësimit kalimtar</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199,360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2,000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195,940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2,000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195,770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1,355</w:t>
            </w:r>
          </w:p>
        </w:tc>
        <w:tc>
          <w:tcPr>
            <w:tcW w:w="657"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98%</w:t>
            </w:r>
          </w:p>
        </w:tc>
        <w:tc>
          <w:tcPr>
            <w:tcW w:w="739"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68%</w:t>
            </w:r>
          </w:p>
        </w:tc>
        <w:tc>
          <w:tcPr>
            <w:tcW w:w="657"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100%</w:t>
            </w:r>
          </w:p>
        </w:tc>
        <w:tc>
          <w:tcPr>
            <w:tcW w:w="842"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68%</w:t>
            </w:r>
          </w:p>
        </w:tc>
      </w:tr>
      <w:tr w:rsidR="00EE7537" w:rsidRPr="00F95C93" w:rsidTr="00EE7537">
        <w:trPr>
          <w:trHeight w:val="294"/>
          <w:jc w:val="center"/>
        </w:trPr>
        <w:tc>
          <w:tcPr>
            <w:tcW w:w="2137" w:type="dxa"/>
            <w:tcBorders>
              <w:top w:val="nil"/>
              <w:left w:val="single" w:sz="8" w:space="0" w:color="90C5F6"/>
              <w:bottom w:val="single" w:sz="8" w:space="0" w:color="90C5F6"/>
              <w:right w:val="single" w:sz="8" w:space="0" w:color="90C5F6"/>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lang w:val="sq-AL"/>
              </w:rPr>
              <w:t>Komisionerët Publikë</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73,528</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2,000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76,235</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600</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76,234</w:t>
            </w:r>
          </w:p>
        </w:tc>
        <w:tc>
          <w:tcPr>
            <w:tcW w:w="876"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432</w:t>
            </w:r>
          </w:p>
        </w:tc>
        <w:tc>
          <w:tcPr>
            <w:tcW w:w="657"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104%</w:t>
            </w:r>
          </w:p>
        </w:tc>
        <w:tc>
          <w:tcPr>
            <w:tcW w:w="739"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22%</w:t>
            </w:r>
          </w:p>
        </w:tc>
        <w:tc>
          <w:tcPr>
            <w:tcW w:w="657"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100%</w:t>
            </w:r>
          </w:p>
        </w:tc>
        <w:tc>
          <w:tcPr>
            <w:tcW w:w="842" w:type="dxa"/>
            <w:tcBorders>
              <w:top w:val="nil"/>
              <w:left w:val="nil"/>
              <w:bottom w:val="single" w:sz="8" w:space="0" w:color="B8CCE4"/>
              <w:right w:val="single" w:sz="8" w:space="0" w:color="B8CCE4"/>
            </w:tcBorders>
            <w:shd w:val="clear" w:color="auto" w:fill="auto"/>
            <w:vAlign w:val="center"/>
            <w:hideMark/>
          </w:tcPr>
          <w:p w:rsidR="00EE7537" w:rsidRPr="00F95C93" w:rsidRDefault="00EE7537" w:rsidP="00EE7537">
            <w:pPr>
              <w:spacing w:before="0" w:line="240" w:lineRule="auto"/>
              <w:jc w:val="center"/>
              <w:rPr>
                <w:color w:val="000000"/>
                <w:sz w:val="16"/>
                <w:szCs w:val="16"/>
              </w:rPr>
            </w:pPr>
            <w:r w:rsidRPr="00F95C93">
              <w:rPr>
                <w:color w:val="000000"/>
                <w:sz w:val="16"/>
                <w:szCs w:val="16"/>
              </w:rPr>
              <w:t>72%</w:t>
            </w:r>
          </w:p>
        </w:tc>
      </w:tr>
      <w:tr w:rsidR="00EE7537" w:rsidRPr="00F95C93" w:rsidTr="00EE7537">
        <w:trPr>
          <w:trHeight w:val="294"/>
          <w:jc w:val="center"/>
        </w:trPr>
        <w:tc>
          <w:tcPr>
            <w:tcW w:w="2137"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TOTALI</w:t>
            </w:r>
          </w:p>
        </w:tc>
        <w:tc>
          <w:tcPr>
            <w:tcW w:w="876"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712,656</w:t>
            </w:r>
          </w:p>
        </w:tc>
        <w:tc>
          <w:tcPr>
            <w:tcW w:w="876"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70,000</w:t>
            </w:r>
          </w:p>
        </w:tc>
        <w:tc>
          <w:tcPr>
            <w:tcW w:w="876"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682,053</w:t>
            </w:r>
          </w:p>
        </w:tc>
        <w:tc>
          <w:tcPr>
            <w:tcW w:w="876"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20,600</w:t>
            </w:r>
          </w:p>
        </w:tc>
        <w:tc>
          <w:tcPr>
            <w:tcW w:w="876"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669,821</w:t>
            </w:r>
          </w:p>
        </w:tc>
        <w:tc>
          <w:tcPr>
            <w:tcW w:w="876"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17,932</w:t>
            </w:r>
          </w:p>
        </w:tc>
        <w:tc>
          <w:tcPr>
            <w:tcW w:w="657"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94%</w:t>
            </w:r>
          </w:p>
        </w:tc>
        <w:tc>
          <w:tcPr>
            <w:tcW w:w="739"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26%</w:t>
            </w:r>
          </w:p>
        </w:tc>
        <w:tc>
          <w:tcPr>
            <w:tcW w:w="657"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98%</w:t>
            </w:r>
          </w:p>
        </w:tc>
        <w:tc>
          <w:tcPr>
            <w:tcW w:w="842" w:type="dxa"/>
            <w:tcBorders>
              <w:top w:val="nil"/>
              <w:left w:val="nil"/>
              <w:bottom w:val="single" w:sz="8" w:space="0" w:color="B8CCE4"/>
              <w:right w:val="single" w:sz="8" w:space="0" w:color="B8CCE4"/>
            </w:tcBorders>
            <w:shd w:val="clear" w:color="000000" w:fill="366092"/>
            <w:vAlign w:val="center"/>
            <w:hideMark/>
          </w:tcPr>
          <w:p w:rsidR="00EE7537" w:rsidRPr="00F95C93" w:rsidRDefault="00EE7537" w:rsidP="00EE7537">
            <w:pPr>
              <w:spacing w:before="0" w:line="240" w:lineRule="auto"/>
              <w:jc w:val="center"/>
              <w:rPr>
                <w:b/>
                <w:bCs/>
                <w:color w:val="FFFFFF"/>
                <w:sz w:val="16"/>
                <w:szCs w:val="16"/>
              </w:rPr>
            </w:pPr>
            <w:r w:rsidRPr="00F95C93">
              <w:rPr>
                <w:b/>
                <w:bCs/>
                <w:color w:val="FFFFFF"/>
                <w:sz w:val="16"/>
                <w:szCs w:val="16"/>
              </w:rPr>
              <w:t>87%</w:t>
            </w:r>
          </w:p>
        </w:tc>
      </w:tr>
    </w:tbl>
    <w:p w:rsidR="007B7B50" w:rsidRPr="002B5B6C" w:rsidRDefault="007B7B50" w:rsidP="00FC729E">
      <w:pPr>
        <w:jc w:val="center"/>
        <w:rPr>
          <w:rFonts w:cs="Calibri"/>
          <w:sz w:val="8"/>
          <w:lang w:val="sq-AL"/>
        </w:rPr>
      </w:pPr>
    </w:p>
    <w:p w:rsidR="00EE7537" w:rsidRPr="00F95C93" w:rsidRDefault="00EE7537" w:rsidP="00C71069">
      <w:pPr>
        <w:pStyle w:val="ListParagraph"/>
        <w:numPr>
          <w:ilvl w:val="0"/>
          <w:numId w:val="24"/>
        </w:numPr>
        <w:shd w:val="clear" w:color="auto" w:fill="FFFFFF" w:themeFill="background1"/>
        <w:spacing w:before="0" w:line="240" w:lineRule="auto"/>
        <w:ind w:left="360"/>
        <w:rPr>
          <w:rFonts w:cs="Calibri Light"/>
          <w:bCs/>
          <w:szCs w:val="22"/>
          <w:lang w:val="sq-AL" w:eastAsia="en-GB"/>
        </w:rPr>
      </w:pPr>
      <w:r w:rsidRPr="00F95C93">
        <w:rPr>
          <w:rFonts w:cs="Calibri Light"/>
          <w:bCs/>
          <w:szCs w:val="22"/>
          <w:lang w:val="sq-AL" w:eastAsia="en-GB"/>
        </w:rPr>
        <w:t xml:space="preserve">Në lidhje me disa nga treguesit e performancës për </w:t>
      </w:r>
      <w:r w:rsidRPr="00F95C93">
        <w:rPr>
          <w:rFonts w:cs="Calibri Light"/>
          <w:b/>
          <w:bCs/>
          <w:szCs w:val="22"/>
          <w:lang w:val="sq-AL" w:eastAsia="en-GB"/>
        </w:rPr>
        <w:t>Komisionin e Pavarur të Kualifikimit</w:t>
      </w:r>
      <w:r w:rsidRPr="00F95C93">
        <w:rPr>
          <w:rFonts w:cs="Calibri Light"/>
          <w:bCs/>
          <w:szCs w:val="22"/>
          <w:lang w:val="sq-AL" w:eastAsia="en-GB"/>
        </w:rPr>
        <w:t xml:space="preserve"> për vitin 2022,  përmendim: </w:t>
      </w:r>
    </w:p>
    <w:p w:rsidR="00EE7537" w:rsidRPr="00F95C93" w:rsidRDefault="00EE7537" w:rsidP="00EE7537">
      <w:pPr>
        <w:numPr>
          <w:ilvl w:val="1"/>
          <w:numId w:val="8"/>
        </w:numPr>
        <w:spacing w:before="0" w:line="240" w:lineRule="auto"/>
        <w:ind w:left="900" w:hanging="270"/>
        <w:contextualSpacing/>
        <w:rPr>
          <w:rFonts w:cs="Calibri"/>
          <w:i/>
          <w:lang w:val="sq-AL"/>
        </w:rPr>
      </w:pPr>
      <w:r w:rsidRPr="00F95C93">
        <w:rPr>
          <w:rFonts w:cs="Calibri"/>
          <w:i/>
          <w:lang w:val="sq-AL"/>
        </w:rPr>
        <w:t xml:space="preserve">Prej fillimit të veprimtarisë, janë shortuar 805 subjekte rivlerësimi </w:t>
      </w:r>
    </w:p>
    <w:p w:rsidR="00EE7537" w:rsidRPr="00F95C93" w:rsidRDefault="00EE7537" w:rsidP="00EE7537">
      <w:pPr>
        <w:ind w:left="360"/>
        <w:contextualSpacing/>
        <w:rPr>
          <w:rFonts w:cs="Calibri"/>
          <w:sz w:val="8"/>
          <w:szCs w:val="8"/>
          <w:lang w:val="sq-AL"/>
        </w:rPr>
      </w:pPr>
    </w:p>
    <w:p w:rsidR="00EE7537" w:rsidRPr="00F95C93" w:rsidRDefault="00EE7537" w:rsidP="00C71069">
      <w:pPr>
        <w:pStyle w:val="ListParagraph"/>
        <w:numPr>
          <w:ilvl w:val="0"/>
          <w:numId w:val="24"/>
        </w:numPr>
        <w:shd w:val="clear" w:color="auto" w:fill="FFFFFF" w:themeFill="background1"/>
        <w:spacing w:before="0" w:line="240" w:lineRule="auto"/>
        <w:ind w:left="360"/>
        <w:rPr>
          <w:rFonts w:cs="Calibri Light"/>
          <w:bCs/>
          <w:szCs w:val="22"/>
          <w:lang w:val="sq-AL" w:eastAsia="en-GB"/>
        </w:rPr>
      </w:pPr>
      <w:r w:rsidRPr="00F95C93">
        <w:rPr>
          <w:rFonts w:cs="Calibri Light"/>
          <w:bCs/>
          <w:szCs w:val="22"/>
          <w:lang w:val="sq-AL" w:eastAsia="en-GB"/>
        </w:rPr>
        <w:t xml:space="preserve">Nga ana e </w:t>
      </w:r>
      <w:r w:rsidRPr="00F95C93">
        <w:rPr>
          <w:rFonts w:cs="Calibri Light"/>
          <w:b/>
          <w:bCs/>
          <w:szCs w:val="22"/>
          <w:lang w:val="sq-AL" w:eastAsia="en-GB"/>
        </w:rPr>
        <w:t>Komisionerëve Publikë</w:t>
      </w:r>
      <w:r w:rsidRPr="00F95C93">
        <w:rPr>
          <w:rFonts w:cs="Calibri Light"/>
          <w:bCs/>
          <w:szCs w:val="22"/>
          <w:lang w:val="sq-AL" w:eastAsia="en-GB"/>
        </w:rPr>
        <w:t xml:space="preserve"> për vitin 2022 janë shqyrtuar 109 çështje të njoftuara nga KPK, nga 160 të planifikuara, shoqëruar me një kosto prej 76 milionë lekë.</w:t>
      </w:r>
    </w:p>
    <w:p w:rsidR="00EE7537" w:rsidRPr="00F95C93" w:rsidRDefault="00EE7537" w:rsidP="00C71069">
      <w:pPr>
        <w:pStyle w:val="ListParagraph"/>
        <w:numPr>
          <w:ilvl w:val="0"/>
          <w:numId w:val="24"/>
        </w:numPr>
        <w:shd w:val="clear" w:color="auto" w:fill="FFFFFF" w:themeFill="background1"/>
        <w:spacing w:before="0" w:line="240" w:lineRule="auto"/>
        <w:ind w:left="360"/>
        <w:rPr>
          <w:rFonts w:cs="Calibri Light"/>
          <w:bCs/>
          <w:szCs w:val="22"/>
          <w:lang w:val="sq-AL" w:eastAsia="en-GB"/>
        </w:rPr>
      </w:pPr>
      <w:r w:rsidRPr="00F95C93">
        <w:rPr>
          <w:rFonts w:cs="Calibri Light"/>
          <w:bCs/>
          <w:szCs w:val="22"/>
          <w:lang w:val="sq-AL" w:eastAsia="en-GB"/>
        </w:rPr>
        <w:t xml:space="preserve">Pranë zyrës së </w:t>
      </w:r>
      <w:r w:rsidRPr="00F95C93">
        <w:rPr>
          <w:rFonts w:cs="Calibri Light"/>
          <w:b/>
          <w:bCs/>
          <w:szCs w:val="22"/>
          <w:lang w:val="sq-AL" w:eastAsia="en-GB"/>
        </w:rPr>
        <w:t>Inspektoriatit të Lartë të Drejtësisë</w:t>
      </w:r>
      <w:r w:rsidRPr="00F95C93">
        <w:rPr>
          <w:rFonts w:cs="Calibri Light"/>
          <w:bCs/>
          <w:szCs w:val="22"/>
          <w:lang w:val="sq-AL" w:eastAsia="en-GB"/>
        </w:rPr>
        <w:t xml:space="preserve"> gjatë vitit 2022 janë depozituar 1,622 ankesa nga 2,963 të planifikuara.</w:t>
      </w:r>
    </w:p>
    <w:p w:rsidR="007B3DF7" w:rsidRPr="00476D2E" w:rsidRDefault="007B7B50" w:rsidP="00FC729E">
      <w:pPr>
        <w:rPr>
          <w:rFonts w:cs="Calibri"/>
          <w:lang w:val="sq-AL"/>
        </w:rPr>
      </w:pPr>
      <w:r w:rsidRPr="001A7510">
        <w:rPr>
          <w:rFonts w:cs="Calibri"/>
          <w:lang w:val="sq-AL"/>
        </w:rPr>
        <w:t xml:space="preserve">Për sa u përket </w:t>
      </w:r>
      <w:r w:rsidRPr="001A7510">
        <w:rPr>
          <w:rFonts w:cs="Calibri"/>
          <w:b/>
          <w:bCs/>
          <w:lang w:val="sq-AL"/>
        </w:rPr>
        <w:t>investimeve publike</w:t>
      </w:r>
      <w:r w:rsidRPr="001A7510">
        <w:rPr>
          <w:rFonts w:cs="Calibri"/>
          <w:lang w:val="sq-AL"/>
        </w:rPr>
        <w:t xml:space="preserve">, </w:t>
      </w:r>
      <w:r w:rsidR="00EE419E" w:rsidRPr="001A7510">
        <w:rPr>
          <w:rFonts w:cs="Calibri"/>
          <w:lang w:val="sq-AL"/>
        </w:rPr>
        <w:t>me fondet e realizuara për investime (në total për 4 institucionet) prej 20.6 milionë lekë në vitin 2022, janë realizuar blerje pajisje kompjuterike, rikonstruksion dhe pajisje zyrash</w:t>
      </w:r>
      <w:r w:rsidR="007B3DF7" w:rsidRPr="001A7510">
        <w:rPr>
          <w:rFonts w:cs="Calibri"/>
          <w:lang w:val="sq-AL"/>
        </w:rPr>
        <w:t>.</w:t>
      </w:r>
    </w:p>
    <w:p w:rsidR="00EC05E8" w:rsidRDefault="00EC05E8" w:rsidP="00FC729E">
      <w:pPr>
        <w:rPr>
          <w:rFonts w:cs="Calibri"/>
          <w:lang w:val="sq-AL"/>
        </w:rPr>
      </w:pPr>
    </w:p>
    <w:p w:rsidR="007B7B50" w:rsidRPr="00476D2E" w:rsidRDefault="007B7B50" w:rsidP="00EE419E">
      <w:pPr>
        <w:pStyle w:val="fiskale3"/>
        <w:spacing w:before="0" w:line="240" w:lineRule="auto"/>
        <w:rPr>
          <w:rFonts w:ascii="Calibri" w:hAnsi="Calibri" w:cs="Calibri"/>
          <w:b/>
        </w:rPr>
      </w:pPr>
      <w:bookmarkStart w:id="281" w:name="_Toc10033303"/>
      <w:bookmarkStart w:id="282" w:name="_Toc10721439"/>
      <w:bookmarkStart w:id="283" w:name="_Toc104980367"/>
      <w:r w:rsidRPr="00476D2E">
        <w:rPr>
          <w:rFonts w:ascii="Calibri" w:hAnsi="Calibri" w:cs="Calibri"/>
          <w:b/>
        </w:rPr>
        <w:lastRenderedPageBreak/>
        <w:t>Financat, Ekonomia, Punësimi dhe Arsimi Profesional</w:t>
      </w:r>
      <w:bookmarkEnd w:id="281"/>
      <w:bookmarkEnd w:id="282"/>
      <w:bookmarkEnd w:id="283"/>
    </w:p>
    <w:p w:rsidR="007B7B50" w:rsidRPr="00476D2E" w:rsidRDefault="007B7B50" w:rsidP="00EE419E">
      <w:pPr>
        <w:spacing w:line="240" w:lineRule="auto"/>
        <w:rPr>
          <w:rFonts w:cs="Calibri"/>
          <w:lang w:val="sq-AL"/>
        </w:rPr>
      </w:pPr>
      <w:r w:rsidRPr="00476D2E">
        <w:rPr>
          <w:rFonts w:cs="Calibri"/>
          <w:lang w:val="sq-AL"/>
        </w:rPr>
        <w:t xml:space="preserve">Shpenzimet e planifikuara dhe ato faktike si dhe realizimi në </w:t>
      </w:r>
      <w:r w:rsidR="008136C0">
        <w:rPr>
          <w:rFonts w:cs="Calibri"/>
          <w:lang w:val="sq-AL"/>
        </w:rPr>
        <w:t>%</w:t>
      </w:r>
      <w:r w:rsidRPr="00476D2E">
        <w:rPr>
          <w:rFonts w:cs="Calibri"/>
          <w:lang w:val="sq-AL"/>
        </w:rPr>
        <w:t>je për vitin 202</w:t>
      </w:r>
      <w:r w:rsidR="00DA1587">
        <w:rPr>
          <w:rFonts w:cs="Calibri"/>
          <w:lang w:val="sq-AL"/>
        </w:rPr>
        <w:t>2</w:t>
      </w:r>
      <w:r w:rsidRPr="00476D2E">
        <w:rPr>
          <w:rFonts w:cs="Calibri"/>
          <w:lang w:val="sq-AL"/>
        </w:rPr>
        <w:t xml:space="preserve"> për Ministrinë e Financave dhe Ekonomisë, për të gjithë programet, paraqiten si më poshtë:</w:t>
      </w:r>
    </w:p>
    <w:p w:rsidR="007B7B50" w:rsidRPr="00476D2E" w:rsidRDefault="007B7B50" w:rsidP="00EE419E">
      <w:pPr>
        <w:keepNext/>
        <w:spacing w:line="240" w:lineRule="auto"/>
        <w:rPr>
          <w:rFonts w:cs="Calibri"/>
          <w:i/>
          <w:iCs/>
          <w:color w:val="0B5294" w:themeColor="accent1" w:themeShade="BF"/>
          <w:sz w:val="18"/>
          <w:szCs w:val="18"/>
          <w:lang w:val="sq-AL"/>
        </w:rPr>
      </w:pPr>
      <w:bookmarkStart w:id="284" w:name="_Toc136526358"/>
      <w:r w:rsidRPr="00476D2E">
        <w:rPr>
          <w:rFonts w:cs="Calibri"/>
          <w:i/>
          <w:iCs/>
          <w:color w:val="0B5294" w:themeColor="accent1" w:themeShade="BF"/>
          <w:sz w:val="18"/>
          <w:szCs w:val="18"/>
          <w:lang w:val="sq-AL"/>
        </w:rPr>
        <w:t xml:space="preserve">Tabela </w:t>
      </w:r>
      <w:r w:rsidRPr="00476D2E">
        <w:rPr>
          <w:rFonts w:cs="Calibri"/>
          <w:i/>
          <w:iCs/>
          <w:color w:val="0B5294" w:themeColor="accent1" w:themeShade="BF"/>
          <w:sz w:val="18"/>
          <w:szCs w:val="18"/>
          <w:lang w:val="sq-AL"/>
        </w:rPr>
        <w:fldChar w:fldCharType="begin"/>
      </w:r>
      <w:r w:rsidRPr="00476D2E">
        <w:rPr>
          <w:rFonts w:cs="Calibri"/>
          <w:i/>
          <w:iCs/>
          <w:color w:val="0B5294" w:themeColor="accent1" w:themeShade="BF"/>
          <w:sz w:val="18"/>
          <w:szCs w:val="18"/>
          <w:lang w:val="sq-AL"/>
        </w:rPr>
        <w:instrText xml:space="preserve"> SEQ Tabela \* ARABIC </w:instrText>
      </w:r>
      <w:r w:rsidRPr="00476D2E">
        <w:rPr>
          <w:rFonts w:cs="Calibri"/>
          <w:i/>
          <w:iCs/>
          <w:color w:val="0B5294" w:themeColor="accent1" w:themeShade="BF"/>
          <w:sz w:val="18"/>
          <w:szCs w:val="18"/>
          <w:lang w:val="sq-AL"/>
        </w:rPr>
        <w:fldChar w:fldCharType="separate"/>
      </w:r>
      <w:r w:rsidR="008C3E07">
        <w:rPr>
          <w:rFonts w:cs="Calibri"/>
          <w:i/>
          <w:iCs/>
          <w:noProof/>
          <w:color w:val="0B5294" w:themeColor="accent1" w:themeShade="BF"/>
          <w:sz w:val="18"/>
          <w:szCs w:val="18"/>
          <w:lang w:val="sq-AL"/>
        </w:rPr>
        <w:t>32</w:t>
      </w:r>
      <w:r w:rsidRPr="00476D2E">
        <w:rPr>
          <w:rFonts w:cs="Calibri"/>
          <w:i/>
          <w:iCs/>
          <w:noProof/>
          <w:color w:val="0B5294" w:themeColor="accent1" w:themeShade="BF"/>
          <w:sz w:val="18"/>
          <w:szCs w:val="18"/>
          <w:lang w:val="sq-AL"/>
        </w:rPr>
        <w:fldChar w:fldCharType="end"/>
      </w:r>
      <w:r w:rsidRPr="00476D2E">
        <w:rPr>
          <w:rFonts w:cs="Calibri"/>
          <w:i/>
          <w:iCs/>
          <w:color w:val="0B5294" w:themeColor="accent1" w:themeShade="BF"/>
          <w:sz w:val="18"/>
          <w:szCs w:val="18"/>
          <w:lang w:val="sq-AL"/>
        </w:rPr>
        <w:t xml:space="preserve"> Realizimi i buxhetit 202</w:t>
      </w:r>
      <w:r w:rsidR="00DA1587">
        <w:rPr>
          <w:rFonts w:cs="Calibri"/>
          <w:i/>
          <w:iCs/>
          <w:color w:val="0B5294" w:themeColor="accent1" w:themeShade="BF"/>
          <w:sz w:val="18"/>
          <w:szCs w:val="18"/>
          <w:lang w:val="sq-AL"/>
        </w:rPr>
        <w:t>2</w:t>
      </w:r>
      <w:r w:rsidRPr="00476D2E">
        <w:rPr>
          <w:rFonts w:cs="Calibri"/>
          <w:i/>
          <w:iCs/>
          <w:color w:val="0B5294" w:themeColor="accent1" w:themeShade="BF"/>
          <w:sz w:val="18"/>
          <w:szCs w:val="18"/>
          <w:lang w:val="sq-AL"/>
        </w:rPr>
        <w:t xml:space="preserve"> për Ministrinë e Financave dhe Ekonomisë</w:t>
      </w:r>
      <w:bookmarkEnd w:id="284"/>
    </w:p>
    <w:tbl>
      <w:tblPr>
        <w:tblW w:w="11124" w:type="dxa"/>
        <w:jc w:val="center"/>
        <w:tblLook w:val="04A0" w:firstRow="1" w:lastRow="0" w:firstColumn="1" w:lastColumn="0" w:noHBand="0" w:noVBand="1"/>
      </w:tblPr>
      <w:tblGrid>
        <w:gridCol w:w="2498"/>
        <w:gridCol w:w="945"/>
        <w:gridCol w:w="871"/>
        <w:gridCol w:w="945"/>
        <w:gridCol w:w="871"/>
        <w:gridCol w:w="945"/>
        <w:gridCol w:w="871"/>
        <w:gridCol w:w="791"/>
        <w:gridCol w:w="791"/>
        <w:gridCol w:w="859"/>
        <w:gridCol w:w="737"/>
      </w:tblGrid>
      <w:tr w:rsidR="007F7B21" w:rsidRPr="00DA1587" w:rsidTr="00DA1587">
        <w:trPr>
          <w:trHeight w:val="266"/>
          <w:jc w:val="center"/>
        </w:trPr>
        <w:tc>
          <w:tcPr>
            <w:tcW w:w="2498" w:type="dxa"/>
            <w:vMerge w:val="restart"/>
            <w:tcBorders>
              <w:top w:val="single" w:sz="8" w:space="0" w:color="B8CCE4"/>
              <w:left w:val="single" w:sz="8" w:space="0" w:color="B8CCE4"/>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Programi</w:t>
            </w:r>
            <w:r w:rsidR="007F7B21">
              <w:rPr>
                <w:b/>
                <w:bCs/>
                <w:color w:val="FFFFFF"/>
                <w:sz w:val="16"/>
                <w:szCs w:val="16"/>
              </w:rPr>
              <w:t xml:space="preserve"> </w:t>
            </w:r>
            <w:r w:rsidRPr="00DA1587">
              <w:rPr>
                <w:b/>
                <w:bCs/>
                <w:color w:val="FFFFFF"/>
                <w:sz w:val="16"/>
                <w:szCs w:val="16"/>
              </w:rPr>
              <w:t>buxhetor</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Plani</w:t>
            </w:r>
            <w:r w:rsidR="007F7B21">
              <w:rPr>
                <w:b/>
                <w:bCs/>
                <w:color w:val="FFFFFF"/>
                <w:sz w:val="16"/>
                <w:szCs w:val="16"/>
              </w:rPr>
              <w:t xml:space="preserve"> </w:t>
            </w:r>
            <w:r w:rsidRPr="00DA1587">
              <w:rPr>
                <w:b/>
                <w:bCs/>
                <w:color w:val="FFFFFF"/>
                <w:sz w:val="16"/>
                <w:szCs w:val="16"/>
              </w:rPr>
              <w:t>fillestar 2022</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Plani i rishikuar 2022</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Fakti 2022</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DA1587" w:rsidRPr="00DA1587" w:rsidRDefault="00DA1587" w:rsidP="00DA1587">
            <w:pPr>
              <w:spacing w:before="0" w:line="240" w:lineRule="auto"/>
              <w:jc w:val="center"/>
              <w:rPr>
                <w:color w:val="FFFFFF"/>
                <w:sz w:val="16"/>
                <w:szCs w:val="16"/>
              </w:rPr>
            </w:pPr>
            <w:r w:rsidRPr="00DA1587">
              <w:rPr>
                <w:color w:val="FFFFFF"/>
                <w:sz w:val="16"/>
                <w:szCs w:val="16"/>
              </w:rPr>
              <w:t>Diferenca</w:t>
            </w:r>
            <w:r w:rsidR="007F7B21">
              <w:rPr>
                <w:color w:val="FFFFFF"/>
                <w:sz w:val="16"/>
                <w:szCs w:val="16"/>
              </w:rPr>
              <w:t xml:space="preserve"> </w:t>
            </w:r>
            <w:r w:rsidRPr="00DA1587">
              <w:rPr>
                <w:color w:val="FFFFFF"/>
                <w:sz w:val="16"/>
                <w:szCs w:val="16"/>
              </w:rPr>
              <w:t>në % me planin</w:t>
            </w:r>
            <w:r w:rsidR="007F7B21">
              <w:rPr>
                <w:color w:val="FFFFFF"/>
                <w:sz w:val="16"/>
                <w:szCs w:val="16"/>
              </w:rPr>
              <w:t xml:space="preserve"> </w:t>
            </w:r>
            <w:r w:rsidRPr="00DA1587">
              <w:rPr>
                <w:color w:val="FFFFFF"/>
                <w:sz w:val="16"/>
                <w:szCs w:val="16"/>
              </w:rPr>
              <w:t>fillestar</w:t>
            </w:r>
          </w:p>
        </w:tc>
        <w:tc>
          <w:tcPr>
            <w:tcW w:w="0" w:type="auto"/>
            <w:gridSpan w:val="2"/>
            <w:tcBorders>
              <w:top w:val="single" w:sz="8" w:space="0" w:color="B8CCE4"/>
              <w:left w:val="nil"/>
              <w:bottom w:val="single" w:sz="12" w:space="0" w:color="95B3D7"/>
              <w:right w:val="single" w:sz="8" w:space="0" w:color="B8CCE4"/>
            </w:tcBorders>
            <w:shd w:val="clear" w:color="000000" w:fill="365F91"/>
            <w:vAlign w:val="center"/>
            <w:hideMark/>
          </w:tcPr>
          <w:p w:rsidR="00DA1587" w:rsidRPr="00DA1587" w:rsidRDefault="00DA1587" w:rsidP="00DA1587">
            <w:pPr>
              <w:spacing w:before="0" w:line="240" w:lineRule="auto"/>
              <w:jc w:val="center"/>
              <w:rPr>
                <w:color w:val="FFFFFF"/>
                <w:sz w:val="16"/>
                <w:szCs w:val="16"/>
              </w:rPr>
            </w:pPr>
            <w:r w:rsidRPr="00DA1587">
              <w:rPr>
                <w:color w:val="FFFFFF"/>
                <w:sz w:val="16"/>
                <w:szCs w:val="16"/>
              </w:rPr>
              <w:t>Diferenca</w:t>
            </w:r>
            <w:r w:rsidR="007F7B21">
              <w:rPr>
                <w:color w:val="FFFFFF"/>
                <w:sz w:val="16"/>
                <w:szCs w:val="16"/>
              </w:rPr>
              <w:t xml:space="preserve"> </w:t>
            </w:r>
            <w:r w:rsidRPr="00DA1587">
              <w:rPr>
                <w:color w:val="FFFFFF"/>
                <w:sz w:val="16"/>
                <w:szCs w:val="16"/>
              </w:rPr>
              <w:t>në % me planin e rishikuar</w:t>
            </w:r>
          </w:p>
        </w:tc>
      </w:tr>
      <w:tr w:rsidR="00DA1587" w:rsidRPr="00DA1587" w:rsidTr="00DA1587">
        <w:trPr>
          <w:trHeight w:val="183"/>
          <w:jc w:val="center"/>
        </w:trPr>
        <w:tc>
          <w:tcPr>
            <w:tcW w:w="2498" w:type="dxa"/>
            <w:vMerge/>
            <w:tcBorders>
              <w:top w:val="single" w:sz="8" w:space="0" w:color="B8CCE4"/>
              <w:left w:val="single" w:sz="8" w:space="0" w:color="B8CCE4"/>
              <w:bottom w:val="single" w:sz="8" w:space="0" w:color="B8CCE4"/>
              <w:right w:val="single" w:sz="8" w:space="0" w:color="B8CCE4"/>
            </w:tcBorders>
            <w:vAlign w:val="center"/>
            <w:hideMark/>
          </w:tcPr>
          <w:p w:rsidR="00DA1587" w:rsidRPr="00DA1587" w:rsidRDefault="00DA1587" w:rsidP="00DA1587">
            <w:pPr>
              <w:spacing w:before="0" w:line="240" w:lineRule="auto"/>
              <w:jc w:val="left"/>
              <w:rPr>
                <w:b/>
                <w:bCs/>
                <w:color w:val="FFFFFF"/>
                <w:sz w:val="16"/>
                <w:szCs w:val="16"/>
              </w:rPr>
            </w:pPr>
          </w:p>
        </w:tc>
        <w:tc>
          <w:tcPr>
            <w:tcW w:w="0" w:type="auto"/>
            <w:tcBorders>
              <w:top w:val="nil"/>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Korrente</w:t>
            </w:r>
          </w:p>
        </w:tc>
        <w:tc>
          <w:tcPr>
            <w:tcW w:w="0" w:type="auto"/>
            <w:tcBorders>
              <w:top w:val="nil"/>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Investime</w:t>
            </w:r>
          </w:p>
        </w:tc>
        <w:tc>
          <w:tcPr>
            <w:tcW w:w="0" w:type="auto"/>
            <w:tcBorders>
              <w:top w:val="nil"/>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Korrente</w:t>
            </w:r>
          </w:p>
        </w:tc>
        <w:tc>
          <w:tcPr>
            <w:tcW w:w="0" w:type="auto"/>
            <w:tcBorders>
              <w:top w:val="nil"/>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Investime</w:t>
            </w:r>
          </w:p>
        </w:tc>
        <w:tc>
          <w:tcPr>
            <w:tcW w:w="0" w:type="auto"/>
            <w:tcBorders>
              <w:top w:val="nil"/>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Korrente</w:t>
            </w:r>
          </w:p>
        </w:tc>
        <w:tc>
          <w:tcPr>
            <w:tcW w:w="0" w:type="auto"/>
            <w:tcBorders>
              <w:top w:val="nil"/>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Investime</w:t>
            </w:r>
          </w:p>
        </w:tc>
        <w:tc>
          <w:tcPr>
            <w:tcW w:w="0" w:type="auto"/>
            <w:tcBorders>
              <w:top w:val="nil"/>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Korr.</w:t>
            </w:r>
          </w:p>
        </w:tc>
        <w:tc>
          <w:tcPr>
            <w:tcW w:w="0" w:type="auto"/>
            <w:tcBorders>
              <w:top w:val="nil"/>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color w:val="FFFFFF"/>
                <w:sz w:val="16"/>
                <w:szCs w:val="16"/>
              </w:rPr>
            </w:pPr>
            <w:r w:rsidRPr="00DA1587">
              <w:rPr>
                <w:color w:val="FFFFFF"/>
                <w:sz w:val="16"/>
                <w:szCs w:val="16"/>
              </w:rPr>
              <w:t>Inv.</w:t>
            </w:r>
          </w:p>
        </w:tc>
        <w:tc>
          <w:tcPr>
            <w:tcW w:w="0" w:type="auto"/>
            <w:tcBorders>
              <w:top w:val="nil"/>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Korr.</w:t>
            </w:r>
          </w:p>
        </w:tc>
        <w:tc>
          <w:tcPr>
            <w:tcW w:w="0" w:type="auto"/>
            <w:tcBorders>
              <w:top w:val="nil"/>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Inv.</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Planifikimi, Menaxhimi</w:t>
            </w:r>
            <w:r>
              <w:rPr>
                <w:b/>
                <w:bCs/>
                <w:color w:val="000000"/>
                <w:sz w:val="16"/>
                <w:szCs w:val="16"/>
              </w:rPr>
              <w:t xml:space="preserve"> </w:t>
            </w:r>
            <w:r w:rsidRPr="00DA1587">
              <w:rPr>
                <w:b/>
                <w:bCs/>
                <w:color w:val="000000"/>
                <w:sz w:val="16"/>
                <w:szCs w:val="16"/>
              </w:rPr>
              <w:t>dhe</w:t>
            </w:r>
            <w:r>
              <w:rPr>
                <w:b/>
                <w:bCs/>
                <w:color w:val="000000"/>
                <w:sz w:val="16"/>
                <w:szCs w:val="16"/>
              </w:rPr>
              <w:t xml:space="preserve"> </w:t>
            </w:r>
            <w:r w:rsidRPr="00DA1587">
              <w:rPr>
                <w:b/>
                <w:bCs/>
                <w:color w:val="000000"/>
                <w:sz w:val="16"/>
                <w:szCs w:val="16"/>
              </w:rPr>
              <w:t>Administrimi</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551,040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583,000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1,492,729</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410,500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802,202</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294,552</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146%</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51%</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54%</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72%</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Menaxhimi i Shpenzimeve</w:t>
            </w:r>
            <w:r>
              <w:rPr>
                <w:b/>
                <w:bCs/>
                <w:color w:val="000000"/>
                <w:sz w:val="16"/>
                <w:szCs w:val="16"/>
              </w:rPr>
              <w:t xml:space="preserve"> </w:t>
            </w:r>
            <w:r w:rsidRPr="00DA1587">
              <w:rPr>
                <w:b/>
                <w:bCs/>
                <w:color w:val="000000"/>
                <w:sz w:val="16"/>
                <w:szCs w:val="16"/>
              </w:rPr>
              <w:t>Publike</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374,120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358,681</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346,509</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93%</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97%</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Ekzekutimi i Pagesave</w:t>
            </w:r>
            <w:r>
              <w:rPr>
                <w:b/>
                <w:bCs/>
                <w:color w:val="000000"/>
                <w:sz w:val="16"/>
                <w:szCs w:val="16"/>
              </w:rPr>
              <w:t xml:space="preserve"> </w:t>
            </w:r>
            <w:r w:rsidRPr="00DA1587">
              <w:rPr>
                <w:b/>
                <w:bCs/>
                <w:color w:val="000000"/>
                <w:sz w:val="16"/>
                <w:szCs w:val="16"/>
              </w:rPr>
              <w:t>të</w:t>
            </w:r>
            <w:r>
              <w:rPr>
                <w:b/>
                <w:bCs/>
                <w:color w:val="000000"/>
                <w:sz w:val="16"/>
                <w:szCs w:val="16"/>
              </w:rPr>
              <w:t xml:space="preserve"> </w:t>
            </w:r>
            <w:r w:rsidRPr="00DA1587">
              <w:rPr>
                <w:b/>
                <w:bCs/>
                <w:color w:val="000000"/>
                <w:sz w:val="16"/>
                <w:szCs w:val="16"/>
              </w:rPr>
              <w:t>Ndryshme</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600,000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400,000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736,394</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796</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638,240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106%</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87%</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Menaxhimi i të</w:t>
            </w:r>
            <w:r>
              <w:rPr>
                <w:b/>
                <w:bCs/>
                <w:color w:val="000000"/>
                <w:sz w:val="16"/>
                <w:szCs w:val="16"/>
              </w:rPr>
              <w:t xml:space="preserve"> </w:t>
            </w:r>
            <w:r w:rsidRPr="00DA1587">
              <w:rPr>
                <w:b/>
                <w:bCs/>
                <w:color w:val="000000"/>
                <w:sz w:val="16"/>
                <w:szCs w:val="16"/>
              </w:rPr>
              <w:t>ArdhuraveTatimore</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2,550,000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342,640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3,325,439</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571,640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3,279,496</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531,528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129%</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155%</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99%</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93%</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Menaxhimi i të</w:t>
            </w:r>
            <w:r>
              <w:rPr>
                <w:b/>
                <w:bCs/>
                <w:color w:val="000000"/>
                <w:sz w:val="16"/>
                <w:szCs w:val="16"/>
              </w:rPr>
              <w:t xml:space="preserve"> </w:t>
            </w:r>
            <w:r w:rsidRPr="00DA1587">
              <w:rPr>
                <w:b/>
                <w:bCs/>
                <w:color w:val="000000"/>
                <w:sz w:val="16"/>
                <w:szCs w:val="16"/>
              </w:rPr>
              <w:t>Ardhurave</w:t>
            </w:r>
            <w:r>
              <w:rPr>
                <w:b/>
                <w:bCs/>
                <w:color w:val="000000"/>
                <w:sz w:val="16"/>
                <w:szCs w:val="16"/>
              </w:rPr>
              <w:t xml:space="preserve"> </w:t>
            </w:r>
            <w:r w:rsidRPr="00DA1587">
              <w:rPr>
                <w:b/>
                <w:bCs/>
                <w:color w:val="000000"/>
                <w:sz w:val="16"/>
                <w:szCs w:val="16"/>
              </w:rPr>
              <w:t>Doganore</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3,532,100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273,910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3,765,290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173,264</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3,749,138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70,359</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106%</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26%</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41%</w:t>
            </w:r>
          </w:p>
        </w:tc>
      </w:tr>
      <w:tr w:rsidR="00DA1587" w:rsidRPr="00DA1587" w:rsidTr="00DA1587">
        <w:trPr>
          <w:trHeight w:val="2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Lufta</w:t>
            </w:r>
            <w:r>
              <w:rPr>
                <w:b/>
                <w:bCs/>
                <w:color w:val="000000"/>
                <w:sz w:val="16"/>
                <w:szCs w:val="16"/>
              </w:rPr>
              <w:t xml:space="preserve"> </w:t>
            </w:r>
            <w:r w:rsidRPr="00DA1587">
              <w:rPr>
                <w:b/>
                <w:bCs/>
                <w:color w:val="000000"/>
                <w:sz w:val="16"/>
                <w:szCs w:val="16"/>
              </w:rPr>
              <w:t>KundërTransaksioneve</w:t>
            </w:r>
            <w:r>
              <w:rPr>
                <w:b/>
                <w:bCs/>
                <w:color w:val="000000"/>
                <w:sz w:val="16"/>
                <w:szCs w:val="16"/>
              </w:rPr>
              <w:t xml:space="preserve"> </w:t>
            </w:r>
            <w:r w:rsidRPr="00DA1587">
              <w:rPr>
                <w:b/>
                <w:bCs/>
                <w:color w:val="000000"/>
                <w:sz w:val="16"/>
                <w:szCs w:val="16"/>
              </w:rPr>
              <w:t>Financiare Jo-Ligjore</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78,400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72,175</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68,488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1779.72</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87%</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89%</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95%</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89%</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Mbështetje</w:t>
            </w:r>
            <w:r>
              <w:rPr>
                <w:b/>
                <w:bCs/>
                <w:color w:val="000000"/>
                <w:sz w:val="16"/>
                <w:szCs w:val="16"/>
              </w:rPr>
              <w:t xml:space="preserve"> </w:t>
            </w:r>
            <w:r w:rsidRPr="00DA1587">
              <w:rPr>
                <w:b/>
                <w:bCs/>
                <w:color w:val="000000"/>
                <w:sz w:val="16"/>
                <w:szCs w:val="16"/>
              </w:rPr>
              <w:t>për</w:t>
            </w:r>
            <w:r>
              <w:rPr>
                <w:b/>
                <w:bCs/>
                <w:color w:val="000000"/>
                <w:sz w:val="16"/>
                <w:szCs w:val="16"/>
              </w:rPr>
              <w:t xml:space="preserve"> </w:t>
            </w:r>
            <w:r w:rsidRPr="00DA1587">
              <w:rPr>
                <w:b/>
                <w:bCs/>
                <w:color w:val="000000"/>
                <w:sz w:val="16"/>
                <w:szCs w:val="16"/>
              </w:rPr>
              <w:t>Zhvillim</w:t>
            </w:r>
            <w:r>
              <w:rPr>
                <w:b/>
                <w:bCs/>
                <w:color w:val="000000"/>
                <w:sz w:val="16"/>
                <w:szCs w:val="16"/>
              </w:rPr>
              <w:t xml:space="preserve"> </w:t>
            </w:r>
            <w:r w:rsidRPr="00DA1587">
              <w:rPr>
                <w:b/>
                <w:bCs/>
                <w:color w:val="000000"/>
                <w:sz w:val="16"/>
                <w:szCs w:val="16"/>
              </w:rPr>
              <w:t>Ekonomik</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772,400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228,000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610,270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114,800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546,274</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59,578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71%</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26%</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52%</w:t>
            </w:r>
          </w:p>
        </w:tc>
      </w:tr>
      <w:tr w:rsidR="00DA1587" w:rsidRPr="00DA1587" w:rsidTr="00DA1587">
        <w:trPr>
          <w:trHeight w:val="409"/>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Mbështetje</w:t>
            </w:r>
            <w:r>
              <w:rPr>
                <w:b/>
                <w:bCs/>
                <w:color w:val="000000"/>
                <w:sz w:val="16"/>
                <w:szCs w:val="16"/>
              </w:rPr>
              <w:t xml:space="preserve"> </w:t>
            </w:r>
            <w:r w:rsidRPr="00DA1587">
              <w:rPr>
                <w:b/>
                <w:bCs/>
                <w:color w:val="000000"/>
                <w:sz w:val="16"/>
                <w:szCs w:val="16"/>
              </w:rPr>
              <w:t>për</w:t>
            </w:r>
            <w:r>
              <w:rPr>
                <w:b/>
                <w:bCs/>
                <w:color w:val="000000"/>
                <w:sz w:val="16"/>
                <w:szCs w:val="16"/>
              </w:rPr>
              <w:t xml:space="preserve"> </w:t>
            </w:r>
            <w:r w:rsidRPr="00DA1587">
              <w:rPr>
                <w:b/>
                <w:bCs/>
                <w:color w:val="000000"/>
                <w:sz w:val="16"/>
                <w:szCs w:val="16"/>
              </w:rPr>
              <w:t>Mbikëqyrjen e Tregut, Infrastruktura e Cilësise</w:t>
            </w:r>
            <w:r>
              <w:rPr>
                <w:b/>
                <w:bCs/>
                <w:color w:val="000000"/>
                <w:sz w:val="16"/>
                <w:szCs w:val="16"/>
              </w:rPr>
              <w:t xml:space="preserve"> </w:t>
            </w:r>
            <w:r w:rsidRPr="00DA1587">
              <w:rPr>
                <w:b/>
                <w:bCs/>
                <w:color w:val="000000"/>
                <w:sz w:val="16"/>
                <w:szCs w:val="16"/>
              </w:rPr>
              <w:t>dhe</w:t>
            </w:r>
            <w:r>
              <w:rPr>
                <w:b/>
                <w:bCs/>
                <w:color w:val="000000"/>
                <w:sz w:val="16"/>
                <w:szCs w:val="16"/>
              </w:rPr>
              <w:t xml:space="preserve"> </w:t>
            </w:r>
            <w:r w:rsidRPr="00DA1587">
              <w:rPr>
                <w:b/>
                <w:bCs/>
                <w:color w:val="000000"/>
                <w:sz w:val="16"/>
                <w:szCs w:val="16"/>
              </w:rPr>
              <w:t>Pronësia</w:t>
            </w:r>
            <w:r>
              <w:rPr>
                <w:b/>
                <w:bCs/>
                <w:color w:val="000000"/>
                <w:sz w:val="16"/>
                <w:szCs w:val="16"/>
              </w:rPr>
              <w:t xml:space="preserve"> </w:t>
            </w:r>
            <w:r w:rsidRPr="00DA1587">
              <w:rPr>
                <w:b/>
                <w:bCs/>
                <w:color w:val="000000"/>
                <w:sz w:val="16"/>
                <w:szCs w:val="16"/>
              </w:rPr>
              <w:t>Industriale</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306,520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22,000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282,640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5,500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277,161</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4,715</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21%</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86%</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Inspektimi</w:t>
            </w:r>
            <w:r>
              <w:rPr>
                <w:b/>
                <w:bCs/>
                <w:color w:val="000000"/>
                <w:sz w:val="16"/>
                <w:szCs w:val="16"/>
              </w:rPr>
              <w:t xml:space="preserve"> </w:t>
            </w:r>
            <w:r w:rsidRPr="00DA1587">
              <w:rPr>
                <w:b/>
                <w:bCs/>
                <w:color w:val="000000"/>
                <w:sz w:val="16"/>
                <w:szCs w:val="16"/>
              </w:rPr>
              <w:t>në</w:t>
            </w:r>
            <w:r>
              <w:rPr>
                <w:b/>
                <w:bCs/>
                <w:color w:val="000000"/>
                <w:sz w:val="16"/>
                <w:szCs w:val="16"/>
              </w:rPr>
              <w:t xml:space="preserve"> </w:t>
            </w:r>
            <w:r w:rsidRPr="00DA1587">
              <w:rPr>
                <w:b/>
                <w:bCs/>
                <w:color w:val="000000"/>
                <w:sz w:val="16"/>
                <w:szCs w:val="16"/>
              </w:rPr>
              <w:t>Punë</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169,200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10,000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165,037</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4,500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162,187</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3,503</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96%</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35%</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78%</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Strehimi</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1,322,400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400,000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2,572,700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379,500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2,482,149</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376,732</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188%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94%</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96%</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99%</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Arsimi i Mesëm</w:t>
            </w:r>
            <w:r>
              <w:rPr>
                <w:b/>
                <w:bCs/>
                <w:color w:val="000000"/>
                <w:sz w:val="16"/>
                <w:szCs w:val="16"/>
              </w:rPr>
              <w:t xml:space="preserve"> </w:t>
            </w:r>
            <w:r w:rsidRPr="00DA1587">
              <w:rPr>
                <w:b/>
                <w:bCs/>
                <w:color w:val="000000"/>
                <w:sz w:val="16"/>
                <w:szCs w:val="16"/>
              </w:rPr>
              <w:t>Profesional</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2,127,600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740,779</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2,138,468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506,461</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2,068,117</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476,454</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97%</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64%</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97%</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94%</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Sigurimi</w:t>
            </w:r>
            <w:r>
              <w:rPr>
                <w:b/>
                <w:bCs/>
                <w:color w:val="000000"/>
                <w:sz w:val="16"/>
                <w:szCs w:val="16"/>
              </w:rPr>
              <w:t xml:space="preserve"> </w:t>
            </w:r>
            <w:r w:rsidRPr="00DA1587">
              <w:rPr>
                <w:b/>
                <w:bCs/>
                <w:color w:val="000000"/>
                <w:sz w:val="16"/>
                <w:szCs w:val="16"/>
              </w:rPr>
              <w:t>Shoqëror</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47,656,350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57,511,025</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57,509,560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121%</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0%</w:t>
            </w:r>
          </w:p>
        </w:tc>
      </w:tr>
      <w:tr w:rsidR="00DA1587" w:rsidRPr="00DA1587" w:rsidTr="00DA1587">
        <w:trPr>
          <w:trHeight w:val="175"/>
          <w:jc w:val="center"/>
        </w:trPr>
        <w:tc>
          <w:tcPr>
            <w:tcW w:w="2498" w:type="dxa"/>
            <w:tcBorders>
              <w:top w:val="nil"/>
              <w:left w:val="single" w:sz="8" w:space="0" w:color="B8CCE4"/>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Tregu i Punës</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2,349,600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81,000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1,976,145</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67,000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1,938,148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65,195</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82%</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80%</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97%</w:t>
            </w:r>
          </w:p>
        </w:tc>
      </w:tr>
      <w:tr w:rsidR="00DA1587" w:rsidRPr="00DA1587" w:rsidTr="00DA1587">
        <w:trPr>
          <w:trHeight w:val="175"/>
          <w:jc w:val="center"/>
        </w:trPr>
        <w:tc>
          <w:tcPr>
            <w:tcW w:w="2498" w:type="dxa"/>
            <w:tcBorders>
              <w:top w:val="nil"/>
              <w:left w:val="single" w:sz="8" w:space="0" w:color="B8CCE4"/>
              <w:bottom w:val="double" w:sz="6" w:space="0" w:color="95B3D7"/>
              <w:right w:val="single" w:sz="8" w:space="0" w:color="B8CCE4"/>
            </w:tcBorders>
            <w:shd w:val="clear" w:color="auto" w:fill="auto"/>
            <w:vAlign w:val="center"/>
            <w:hideMark/>
          </w:tcPr>
          <w:p w:rsidR="00DA1587" w:rsidRPr="00DA1587" w:rsidRDefault="00DA1587" w:rsidP="00DA1587">
            <w:pPr>
              <w:spacing w:before="0" w:line="240" w:lineRule="auto"/>
              <w:jc w:val="center"/>
              <w:rPr>
                <w:b/>
                <w:bCs/>
                <w:color w:val="000000"/>
                <w:sz w:val="16"/>
                <w:szCs w:val="16"/>
              </w:rPr>
            </w:pPr>
            <w:r w:rsidRPr="00DA1587">
              <w:rPr>
                <w:b/>
                <w:bCs/>
                <w:color w:val="000000"/>
                <w:sz w:val="16"/>
                <w:szCs w:val="16"/>
              </w:rPr>
              <w:t> </w:t>
            </w:r>
          </w:p>
        </w:tc>
        <w:tc>
          <w:tcPr>
            <w:tcW w:w="0" w:type="auto"/>
            <w:tcBorders>
              <w:top w:val="nil"/>
              <w:left w:val="nil"/>
              <w:bottom w:val="double" w:sz="6" w:space="0" w:color="95B3D7"/>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62,389,730</w:t>
            </w:r>
          </w:p>
        </w:tc>
        <w:tc>
          <w:tcPr>
            <w:tcW w:w="0" w:type="auto"/>
            <w:tcBorders>
              <w:top w:val="nil"/>
              <w:left w:val="nil"/>
              <w:bottom w:val="double" w:sz="6" w:space="0" w:color="95B3D7"/>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3,083,329</w:t>
            </w:r>
          </w:p>
        </w:tc>
        <w:tc>
          <w:tcPr>
            <w:tcW w:w="0" w:type="auto"/>
            <w:tcBorders>
              <w:top w:val="nil"/>
              <w:left w:val="nil"/>
              <w:bottom w:val="double" w:sz="6" w:space="0" w:color="95B3D7"/>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75,006,992</w:t>
            </w:r>
          </w:p>
        </w:tc>
        <w:tc>
          <w:tcPr>
            <w:tcW w:w="0" w:type="auto"/>
            <w:tcBorders>
              <w:top w:val="nil"/>
              <w:left w:val="nil"/>
              <w:bottom w:val="double" w:sz="6" w:space="0" w:color="95B3D7"/>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2,235,961</w:t>
            </w:r>
          </w:p>
        </w:tc>
        <w:tc>
          <w:tcPr>
            <w:tcW w:w="0" w:type="auto"/>
            <w:tcBorders>
              <w:top w:val="nil"/>
              <w:left w:val="nil"/>
              <w:bottom w:val="double" w:sz="6" w:space="0" w:color="95B3D7"/>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73,867,667</w:t>
            </w:r>
          </w:p>
        </w:tc>
        <w:tc>
          <w:tcPr>
            <w:tcW w:w="0" w:type="auto"/>
            <w:tcBorders>
              <w:top w:val="nil"/>
              <w:left w:val="nil"/>
              <w:bottom w:val="double" w:sz="6" w:space="0" w:color="95B3D7"/>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1,884,395</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118%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61%</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98%</w:t>
            </w:r>
          </w:p>
        </w:tc>
        <w:tc>
          <w:tcPr>
            <w:tcW w:w="0" w:type="auto"/>
            <w:tcBorders>
              <w:top w:val="nil"/>
              <w:left w:val="nil"/>
              <w:bottom w:val="single" w:sz="8" w:space="0" w:color="B8CCE4"/>
              <w:right w:val="single" w:sz="8" w:space="0" w:color="B8CCE4"/>
            </w:tcBorders>
            <w:shd w:val="clear" w:color="auto" w:fill="auto"/>
            <w:vAlign w:val="center"/>
            <w:hideMark/>
          </w:tcPr>
          <w:p w:rsidR="00DA1587" w:rsidRPr="00DA1587" w:rsidRDefault="00DA1587" w:rsidP="00DA1587">
            <w:pPr>
              <w:spacing w:before="0" w:line="240" w:lineRule="auto"/>
              <w:jc w:val="center"/>
              <w:rPr>
                <w:color w:val="000000"/>
                <w:sz w:val="16"/>
                <w:szCs w:val="16"/>
              </w:rPr>
            </w:pPr>
            <w:r w:rsidRPr="00DA1587">
              <w:rPr>
                <w:color w:val="000000"/>
                <w:sz w:val="16"/>
                <w:szCs w:val="16"/>
              </w:rPr>
              <w:t>84%</w:t>
            </w:r>
          </w:p>
        </w:tc>
      </w:tr>
      <w:tr w:rsidR="007F7B21" w:rsidRPr="00DA1587" w:rsidTr="00DA1587">
        <w:trPr>
          <w:trHeight w:val="183"/>
          <w:jc w:val="center"/>
        </w:trPr>
        <w:tc>
          <w:tcPr>
            <w:tcW w:w="2498" w:type="dxa"/>
            <w:tcBorders>
              <w:top w:val="nil"/>
              <w:left w:val="single" w:sz="8" w:space="0" w:color="B8CCE4"/>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Gjithsej</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65,473,059</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77,242,952</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75,752,062</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116%</w:t>
            </w:r>
          </w:p>
        </w:tc>
        <w:tc>
          <w:tcPr>
            <w:tcW w:w="0" w:type="auto"/>
            <w:gridSpan w:val="2"/>
            <w:tcBorders>
              <w:top w:val="double" w:sz="6" w:space="0" w:color="95B3D7"/>
              <w:left w:val="nil"/>
              <w:bottom w:val="single" w:sz="8" w:space="0" w:color="B8CCE4"/>
              <w:right w:val="single" w:sz="8" w:space="0" w:color="B8CCE4"/>
            </w:tcBorders>
            <w:shd w:val="clear" w:color="000000" w:fill="365F91"/>
            <w:vAlign w:val="center"/>
            <w:hideMark/>
          </w:tcPr>
          <w:p w:rsidR="00DA1587" w:rsidRPr="00DA1587" w:rsidRDefault="00DA1587" w:rsidP="00DA1587">
            <w:pPr>
              <w:spacing w:before="0" w:line="240" w:lineRule="auto"/>
              <w:jc w:val="center"/>
              <w:rPr>
                <w:b/>
                <w:bCs/>
                <w:color w:val="FFFFFF"/>
                <w:sz w:val="16"/>
                <w:szCs w:val="16"/>
              </w:rPr>
            </w:pPr>
            <w:r w:rsidRPr="00DA1587">
              <w:rPr>
                <w:b/>
                <w:bCs/>
                <w:color w:val="FFFFFF"/>
                <w:sz w:val="16"/>
                <w:szCs w:val="16"/>
              </w:rPr>
              <w:t>98%</w:t>
            </w:r>
          </w:p>
        </w:tc>
      </w:tr>
    </w:tbl>
    <w:p w:rsidR="00536998" w:rsidRPr="00F95C93" w:rsidRDefault="00536998" w:rsidP="00536998">
      <w:pPr>
        <w:spacing w:line="240" w:lineRule="auto"/>
        <w:rPr>
          <w:color w:val="000000"/>
          <w:szCs w:val="22"/>
          <w:lang w:val="sq-AL"/>
        </w:rPr>
      </w:pPr>
      <w:r w:rsidRPr="00F95C93">
        <w:rPr>
          <w:color w:val="000000"/>
          <w:szCs w:val="22"/>
          <w:lang w:val="sq-AL"/>
        </w:rPr>
        <w:t>Buxheti i Ministrisë së Financave dhe Ekonomisë, gjatë vitit 2022 u rishikua në rritje prej 18%, në krahasim me planin fillestar të përgjithshëm: rritja i atribuohet kryesisht programit të planifikimit, menaxhimit, administrimit, të ardhurat tatimore, strehimit, dhe sigurimit shoqëror; ndërkohë që disa programe të tjera patën pakësime të vogla.</w:t>
      </w:r>
    </w:p>
    <w:p w:rsidR="00536998" w:rsidRPr="00F95C93" w:rsidRDefault="00536998" w:rsidP="00536998">
      <w:pPr>
        <w:spacing w:line="240" w:lineRule="auto"/>
        <w:rPr>
          <w:szCs w:val="22"/>
          <w:lang w:val="sq-AL"/>
        </w:rPr>
      </w:pPr>
      <w:r w:rsidRPr="00F95C93">
        <w:rPr>
          <w:szCs w:val="22"/>
          <w:lang w:val="sq-AL"/>
        </w:rPr>
        <w:t>Në programin “</w:t>
      </w:r>
      <w:r w:rsidRPr="00F95C93">
        <w:rPr>
          <w:b/>
          <w:szCs w:val="22"/>
          <w:lang w:val="sq-AL"/>
        </w:rPr>
        <w:t>Tregu i Punës</w:t>
      </w:r>
      <w:r w:rsidRPr="00F95C93">
        <w:rPr>
          <w:szCs w:val="22"/>
          <w:lang w:val="sq-AL"/>
        </w:rPr>
        <w:t>, i cili synon nxitjen e mundësive për punë të denjë dhe rritjen e punësueshmërisë së forcave të punës, fondet sipas planit vjetor të rishikuar janë në vlerën e 2.04 miliardë lekë, nga 2.4 miliardë të parashikuara në planin fillestar</w:t>
      </w:r>
      <w:r w:rsidRPr="00F95C93">
        <w:rPr>
          <w:i/>
          <w:szCs w:val="22"/>
          <w:lang w:val="sq-AL"/>
        </w:rPr>
        <w:t>.</w:t>
      </w:r>
      <w:r w:rsidRPr="00F95C93">
        <w:rPr>
          <w:szCs w:val="22"/>
          <w:lang w:val="sq-AL"/>
        </w:rPr>
        <w:t xml:space="preserve"> Gjatë vitit 2022, shpenzimet në këtë program janë realizuar në vlerën e 2 miliardë lekë, ose në masën 98 % të buxhetit të rishikuar. Në veçanti, disa nga rezultatet kryesore të arritura nëpërmjet këtij programi ishin:</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Janë  realizuar 26 808 ndërmjetsime për punëkërkues të papunë të punësuar</w:t>
      </w:r>
      <w:r w:rsidR="007F7B21">
        <w:rPr>
          <w:rFonts w:cs="Calibri Light"/>
          <w:bCs/>
          <w:i/>
          <w:szCs w:val="22"/>
          <w:lang w:val="sq-AL" w:eastAsia="en-GB"/>
        </w:rPr>
        <w:t>,</w:t>
      </w:r>
      <w:r w:rsidRPr="00F95C93">
        <w:rPr>
          <w:rFonts w:cs="Calibri Light"/>
          <w:bCs/>
          <w:i/>
          <w:szCs w:val="22"/>
          <w:lang w:val="sq-AL" w:eastAsia="en-GB"/>
        </w:rPr>
        <w:t xml:space="preserve"> në vlerën 306</w:t>
      </w:r>
      <w:r w:rsidR="007F7B21">
        <w:rPr>
          <w:rFonts w:cs="Calibri Light"/>
          <w:bCs/>
          <w:i/>
          <w:szCs w:val="22"/>
          <w:lang w:val="sq-AL" w:eastAsia="en-GB"/>
        </w:rPr>
        <w:t>mln</w:t>
      </w:r>
      <w:r w:rsidRPr="00F95C93">
        <w:rPr>
          <w:rFonts w:cs="Calibri Light"/>
          <w:bCs/>
          <w:i/>
          <w:szCs w:val="22"/>
          <w:lang w:val="sq-AL" w:eastAsia="en-GB"/>
        </w:rPr>
        <w:t xml:space="preserve">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Janë  trajtuar 2 586 punëkërkues të papunë me pagesë papunësie, kjo r</w:t>
      </w:r>
      <w:r w:rsidR="007F7B21">
        <w:rPr>
          <w:rFonts w:cs="Calibri Light"/>
          <w:bCs/>
          <w:i/>
          <w:szCs w:val="22"/>
          <w:lang w:val="sq-AL" w:eastAsia="en-GB"/>
        </w:rPr>
        <w:t>e</w:t>
      </w:r>
      <w:r w:rsidRPr="00F95C93">
        <w:rPr>
          <w:rFonts w:cs="Calibri Light"/>
          <w:bCs/>
          <w:i/>
          <w:szCs w:val="22"/>
          <w:lang w:val="sq-AL" w:eastAsia="en-GB"/>
        </w:rPr>
        <w:t>alizuar në vlerën 735</w:t>
      </w:r>
      <w:r w:rsidR="007F7B21">
        <w:rPr>
          <w:rFonts w:cs="Calibri Light"/>
          <w:bCs/>
          <w:i/>
          <w:szCs w:val="22"/>
          <w:lang w:val="sq-AL" w:eastAsia="en-GB"/>
        </w:rPr>
        <w:t>mln</w:t>
      </w:r>
      <w:r w:rsidRPr="00F95C93">
        <w:rPr>
          <w:rFonts w:cs="Calibri Light"/>
          <w:bCs/>
          <w:i/>
          <w:szCs w:val="22"/>
          <w:lang w:val="sq-AL" w:eastAsia="en-GB"/>
        </w:rPr>
        <w:t xml:space="preserve">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Punëkërkues të papunë pjesëmarrës në formimit profesional kanë qenë 9 398 persona, realizuar në vlerën  320 milionë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2 813 punëkërkues të papunë të mbështetur sipas VKM-ve tënxitjes së punësimit për të cilët janë shpenzuar rreth 452 milionë lekë.</w:t>
      </w:r>
    </w:p>
    <w:p w:rsidR="00536998" w:rsidRPr="00F95C93" w:rsidRDefault="00536998" w:rsidP="00536998">
      <w:pPr>
        <w:spacing w:line="240" w:lineRule="auto"/>
        <w:rPr>
          <w:szCs w:val="22"/>
          <w:lang w:val="sq-AL"/>
        </w:rPr>
      </w:pPr>
      <w:r w:rsidRPr="00F95C93">
        <w:rPr>
          <w:szCs w:val="22"/>
          <w:lang w:val="sq-AL"/>
        </w:rPr>
        <w:t>Në programin “</w:t>
      </w:r>
      <w:r w:rsidRPr="00F95C93">
        <w:rPr>
          <w:b/>
          <w:szCs w:val="22"/>
          <w:lang w:val="sq-AL"/>
        </w:rPr>
        <w:t>Strehimi</w:t>
      </w:r>
      <w:r w:rsidRPr="00F95C93">
        <w:rPr>
          <w:szCs w:val="22"/>
          <w:lang w:val="sq-AL"/>
        </w:rPr>
        <w:t>”, i cili mbështet zbatimin dhe monitorimin e politikave për sigurimin e strehimit të përballueshëm dhe të përshtatshëm për kategoritë në nevojë; fondet e parashikuara u rritën në 2.95 miliardë lekë,  nga 1.7 miliardë në buxhetin fillestar. Gjatë vitit 2022 u shpenzuan 2.85 miliardë lekë, ose 97 për qind e buxhetit të rishikuar. Në përputhje me objektivat e programit të strehimit:</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Janë subvencionuar interesat për kreditë ekzistuese për 5 180 familje, me vlerë të realizuar 104</w:t>
      </w:r>
      <w:r w:rsidR="007F7B21">
        <w:rPr>
          <w:rFonts w:cs="Calibri Light"/>
          <w:bCs/>
          <w:i/>
          <w:szCs w:val="22"/>
          <w:lang w:val="sq-AL" w:eastAsia="en-GB"/>
        </w:rPr>
        <w:t>mln</w:t>
      </w:r>
      <w:r w:rsidRPr="00F95C93">
        <w:rPr>
          <w:rFonts w:cs="Calibri Light"/>
          <w:bCs/>
          <w:i/>
          <w:szCs w:val="22"/>
          <w:lang w:val="sq-AL" w:eastAsia="en-GB"/>
        </w:rPr>
        <w:t xml:space="preserve">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Subvencionim qiraje në tregun e lirë për rreth 1 784 familje pa të ardhura apo me  të ardhura shumë të ulta me një vlerë prej 169.7 milionë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 xml:space="preserve">Subvencionimi i qirasë për familjet e prekura nga tërmeti, për rreth 11 300 familje, me një vlerë prej 2.19 miliardë lekë. </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Përfituan 28 familje grant i menjëhershëm, të cilat plotësojnë kushtet sipas ligjit nr.22/2018 “Për strehimin social” me një vlerë prej 6.34 milionë lekë.</w:t>
      </w:r>
    </w:p>
    <w:p w:rsidR="00536998" w:rsidRPr="00F95C93" w:rsidRDefault="00536998" w:rsidP="00536998">
      <w:pPr>
        <w:spacing w:line="240" w:lineRule="auto"/>
        <w:rPr>
          <w:szCs w:val="22"/>
          <w:lang w:val="sq-AL"/>
        </w:rPr>
      </w:pPr>
      <w:r w:rsidRPr="00F95C93">
        <w:rPr>
          <w:szCs w:val="22"/>
          <w:lang w:val="sq-AL"/>
        </w:rPr>
        <w:lastRenderedPageBreak/>
        <w:t>Në programin “</w:t>
      </w:r>
      <w:r w:rsidRPr="00F95C93">
        <w:rPr>
          <w:b/>
          <w:szCs w:val="22"/>
          <w:lang w:val="sq-AL"/>
        </w:rPr>
        <w:t>Sigurimi Shoqëror</w:t>
      </w:r>
      <w:r w:rsidRPr="00F95C93">
        <w:rPr>
          <w:szCs w:val="22"/>
          <w:lang w:val="sq-AL"/>
        </w:rPr>
        <w:t>”, fondet e parashikuara sipas planit vjetor të rishikuar janë në vlerën e  57.5 miliardë lekë, ose 20% më shumë se plani fillestar. Për 12 mujorin 2022 janë realizuar 100% e fondeve.  Nëpërmjet këtij programi është realizuar:</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 xml:space="preserve">Mbulimi i diferencës midis të ardhurave dhe shpenzimeve të skemës së Pensioneve Publike, në vlerën e 44.4 miliardë lekë. </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Për programin e Kompensimit të Çmimeve, janë përdorur fonde në vlerën e 5.3 miliardë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Përfitime të llogaritura dhe shpërndara për programin e pensioneve të posaçme shtetërore, janë pëerdorur 24 milionë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Për përfitime të llogaritura dhe shpërndara për shpërblime për Pensionet e Veteranëve 80.4</w:t>
      </w:r>
      <w:r w:rsidR="007F7B21">
        <w:rPr>
          <w:rFonts w:cs="Calibri Light"/>
          <w:bCs/>
          <w:i/>
          <w:szCs w:val="22"/>
          <w:lang w:val="sq-AL" w:eastAsia="en-GB"/>
        </w:rPr>
        <w:t>mln</w:t>
      </w:r>
      <w:r w:rsidRPr="00F95C93">
        <w:rPr>
          <w:rFonts w:cs="Calibri Light"/>
          <w:bCs/>
          <w:i/>
          <w:szCs w:val="22"/>
          <w:lang w:val="sq-AL" w:eastAsia="en-GB"/>
        </w:rPr>
        <w:t xml:space="preserve">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Për përfitime të llogaritura dhe shpërndara për shpërblime për Invalidët e Punës, 95.8 milionë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Përfitime të llogaritura dhe shpërndara për kompensime për të ardhurat e pensionistëve, realizuar në vlerën e  4.25 miliardë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 xml:space="preserve">Përfitime të llogaritura dhe shpërndara për kompensime për "Trajtim i veçantë i punonjësve të nëntokës", realizuar në vlerën e  1.19 miliardë lekë. </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Përfitues dhe pagesa të llogaritura dhe shpërndara për sigurimin suplementar për persona nën statusin "Naftëtar" realizuar në vlerën e  701.7 milionë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Përfitues dhe pagesa të llogaritura e të shpërndara për sigurimin shtetëror suplementar, realizuar në vlerën 437 milionë lekë,etj.</w:t>
      </w:r>
    </w:p>
    <w:p w:rsidR="00536998" w:rsidRPr="00F95C93" w:rsidRDefault="00536998" w:rsidP="00536998">
      <w:pPr>
        <w:spacing w:line="240" w:lineRule="auto"/>
        <w:rPr>
          <w:szCs w:val="22"/>
          <w:lang w:val="sq-AL"/>
        </w:rPr>
      </w:pPr>
      <w:r w:rsidRPr="00F95C93">
        <w:rPr>
          <w:szCs w:val="22"/>
          <w:lang w:val="sq-AL"/>
        </w:rPr>
        <w:t>Fondet e parashikuara për programin e “</w:t>
      </w:r>
      <w:r w:rsidRPr="00F95C93">
        <w:rPr>
          <w:b/>
          <w:szCs w:val="22"/>
          <w:lang w:val="sq-AL"/>
        </w:rPr>
        <w:t>Arsimit të mesëm profesional</w:t>
      </w:r>
      <w:r w:rsidRPr="00F95C93">
        <w:rPr>
          <w:szCs w:val="22"/>
          <w:lang w:val="sq-AL"/>
        </w:rPr>
        <w:t>”, sipas planit vjetor të rishikuar janë në vlerën e 2.64 miliardë lekë, nga 2.86 miliardë të parashikuara në planin fillestar</w:t>
      </w:r>
      <w:r w:rsidRPr="00F95C93">
        <w:rPr>
          <w:i/>
          <w:szCs w:val="22"/>
          <w:lang w:val="sq-AL"/>
        </w:rPr>
        <w:t>.</w:t>
      </w:r>
      <w:r w:rsidRPr="00F95C93">
        <w:rPr>
          <w:szCs w:val="22"/>
          <w:lang w:val="sq-AL"/>
        </w:rPr>
        <w:t xml:space="preserve"> Për 12-mujorin 2022 janë realizuar në vlerën e 2.5 miliardë lekë, ose në masën 96 % të buxhetit të akorduar. </w:t>
      </w:r>
      <w:r w:rsidRPr="00F95C93">
        <w:rPr>
          <w:noProof/>
          <w:szCs w:val="22"/>
          <w:lang w:val="sq-AL"/>
        </w:rPr>
        <w:t>Për sigurimin e aksesit të nxënësve në Arsimin Profesional, për 12 mujorin 2022, janë mundësuar kushtet për:</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Ndjekjen e shkollave të arsimit profesional nga 16 599 nxënës, me një kosto faktike 1.7 miliard lekë.</w:t>
      </w:r>
    </w:p>
    <w:p w:rsidR="00536998" w:rsidRPr="00F95C93" w:rsidRDefault="00536998"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Akordimi i bursave të përfituara nga nxënësit e arsimit profesional, janë akorduar afërsisht 3 850 bursa, me një kosto faktike 238 milionë lekë.</w:t>
      </w:r>
    </w:p>
    <w:p w:rsidR="00EE419E" w:rsidRPr="002617BE" w:rsidRDefault="002B5B6C" w:rsidP="00EE419E">
      <w:pPr>
        <w:spacing w:line="240" w:lineRule="auto"/>
        <w:rPr>
          <w:rFonts w:asciiTheme="majorHAnsi" w:eastAsiaTheme="minorHAnsi" w:hAnsiTheme="majorHAnsi" w:cs="Calibri Light"/>
          <w:szCs w:val="22"/>
          <w:lang w:val="sq-AL"/>
        </w:rPr>
      </w:pPr>
      <w:r w:rsidRPr="00EE419E">
        <w:rPr>
          <w:rFonts w:asciiTheme="majorHAnsi" w:hAnsiTheme="majorHAnsi" w:cs="Calibri Light"/>
          <w:szCs w:val="22"/>
          <w:lang w:val="sq-AL"/>
        </w:rPr>
        <w:t xml:space="preserve">Përsa i përket </w:t>
      </w:r>
      <w:r w:rsidRPr="00EE419E">
        <w:rPr>
          <w:rFonts w:asciiTheme="majorHAnsi" w:hAnsiTheme="majorHAnsi" w:cs="Calibri Light"/>
          <w:b/>
          <w:szCs w:val="22"/>
          <w:lang w:val="sq-AL"/>
        </w:rPr>
        <w:t>investimeve publike</w:t>
      </w:r>
      <w:r w:rsidRPr="00EE419E">
        <w:rPr>
          <w:rFonts w:asciiTheme="majorHAnsi" w:hAnsiTheme="majorHAnsi" w:cs="Calibri Light"/>
          <w:szCs w:val="22"/>
          <w:lang w:val="sq-AL"/>
        </w:rPr>
        <w:t xml:space="preserve">, </w:t>
      </w:r>
      <w:bookmarkStart w:id="285" w:name="_Toc10033304"/>
      <w:bookmarkStart w:id="286" w:name="_Toc10721440"/>
      <w:r w:rsidR="00EE419E" w:rsidRPr="00EE419E">
        <w:rPr>
          <w:rFonts w:cs="Calibri"/>
          <w:lang w:val="sq-AL"/>
        </w:rPr>
        <w:t>realizimi në vitin 2022 ishte 168% e buxhetit fillestar për projektet me</w:t>
      </w:r>
      <w:r w:rsidR="00EE419E" w:rsidRPr="002617BE">
        <w:rPr>
          <w:rFonts w:cs="Calibri"/>
          <w:lang w:val="sq-AL"/>
        </w:rPr>
        <w:t xml:space="preserve"> financim të brendshëm (3.6 milard lekë)</w:t>
      </w:r>
      <w:r w:rsidR="00EE419E" w:rsidRPr="002617BE">
        <w:rPr>
          <w:rFonts w:cs="Calibri"/>
          <w:bCs/>
          <w:iCs/>
          <w:lang w:val="sq-AL"/>
        </w:rPr>
        <w:t xml:space="preserve"> (97.9% të planit vjetor të ndryshuar me AN nr.19)</w:t>
      </w:r>
      <w:r w:rsidR="00EE419E" w:rsidRPr="002617BE">
        <w:rPr>
          <w:rFonts w:cs="Calibri"/>
          <w:lang w:val="sq-AL"/>
        </w:rPr>
        <w:t xml:space="preserve"> dhe 42.6% e buxhetit fillestar për projektet me financim të huaj (0.42 miliardë lekë) </w:t>
      </w:r>
      <w:r w:rsidR="00EE419E" w:rsidRPr="002617BE">
        <w:rPr>
          <w:rFonts w:cs="Calibri"/>
          <w:bCs/>
          <w:iCs/>
          <w:lang w:val="sq-AL"/>
        </w:rPr>
        <w:t>(59.2% të planit vjetor të ndryshuar me AN nr.19).</w:t>
      </w:r>
      <w:r w:rsidR="00EE419E" w:rsidRPr="002617BE">
        <w:rPr>
          <w:rFonts w:cs="Calibri"/>
          <w:lang w:val="sq-AL"/>
        </w:rPr>
        <w:t xml:space="preserve"> Buxheti i shpenzimeve kapitale pësoi disa ndryshime gjatë vitit, duke shtuar shpenzimet me financim të brendshëm nga të cilat 2 miliardë transfertë kapitale për AIC</w:t>
      </w:r>
      <w:r w:rsidR="00EE419E">
        <w:rPr>
          <w:rFonts w:cs="Calibri"/>
          <w:lang w:val="sq-AL"/>
        </w:rPr>
        <w:t>.</w:t>
      </w:r>
      <w:r w:rsidR="00EE419E" w:rsidRPr="002617BE">
        <w:rPr>
          <w:rFonts w:cs="Calibri"/>
          <w:lang w:val="sq-AL"/>
        </w:rPr>
        <w:t xml:space="preserve"> </w:t>
      </w:r>
      <w:r w:rsidR="00EE419E" w:rsidRPr="002617BE">
        <w:rPr>
          <w:rFonts w:asciiTheme="majorHAnsi" w:eastAsiaTheme="minorHAnsi" w:hAnsiTheme="majorHAnsi" w:cs="Calibri Light"/>
          <w:szCs w:val="22"/>
          <w:lang w:val="sq-AL"/>
        </w:rPr>
        <w:t xml:space="preserve">Janë mbyllur kontratat e investimit në vlerën e rreth 870 milionë lekë si më poshtë, ku ndër më kryesoret veçojmë: </w:t>
      </w:r>
    </w:p>
    <w:p w:rsidR="00EE419E" w:rsidRPr="002617BE" w:rsidRDefault="00EE419E"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Për programin “Planifikim,  Menaxhim Administrim” ka përfunduar kontrata:</w:t>
      </w:r>
    </w:p>
    <w:p w:rsidR="00EE419E" w:rsidRPr="002617BE" w:rsidRDefault="00EE419E" w:rsidP="00C71069">
      <w:pPr>
        <w:pStyle w:val="ListParagraph"/>
        <w:numPr>
          <w:ilvl w:val="1"/>
          <w:numId w:val="24"/>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Rritja e kapaciteteve HË per sistemin AFMIS me vlerë 63 milionë lekë;</w:t>
      </w:r>
    </w:p>
    <w:p w:rsidR="00EE419E" w:rsidRPr="002617BE" w:rsidRDefault="00EE419E" w:rsidP="00C71069">
      <w:pPr>
        <w:pStyle w:val="ListParagraph"/>
        <w:numPr>
          <w:ilvl w:val="1"/>
          <w:numId w:val="24"/>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 xml:space="preserve">Sistemi e-tax fraud&amp;investigation me vlerë 92 milionë lekë. </w:t>
      </w:r>
    </w:p>
    <w:p w:rsidR="00EE419E" w:rsidRPr="002617BE" w:rsidRDefault="00EE419E"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Për DPT ka përfunduar kontrata  “Krijimi i një mjedisi të ri dhomë serverash(data center), sistem tefonik voip dhe monitorimi i qendërzuar për DPT/DRT” me vlerë 92 milionë lekë;</w:t>
      </w:r>
    </w:p>
    <w:p w:rsidR="00EE419E" w:rsidRPr="002617BE" w:rsidRDefault="00EE419E" w:rsidP="00C71069">
      <w:pPr>
        <w:pStyle w:val="ListParagraph"/>
        <w:numPr>
          <w:ilvl w:val="1"/>
          <w:numId w:val="24"/>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Ngritja e sistemit për shkëmbimin e Informacionit financiar me entitetet e huaja me vlerë 80 milionë lekë;</w:t>
      </w:r>
    </w:p>
    <w:p w:rsidR="00EE419E" w:rsidRPr="002617BE" w:rsidRDefault="00EE419E" w:rsidP="00C71069">
      <w:pPr>
        <w:pStyle w:val="ListParagraph"/>
        <w:numPr>
          <w:ilvl w:val="1"/>
          <w:numId w:val="24"/>
        </w:numPr>
        <w:shd w:val="clear" w:color="auto" w:fill="FFFFFF" w:themeFill="background1"/>
        <w:spacing w:before="0" w:line="240" w:lineRule="auto"/>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Rikonstruksion DPT me vlerë 20 milionë lekë;</w:t>
      </w:r>
    </w:p>
    <w:p w:rsidR="00EE419E" w:rsidRPr="002617BE" w:rsidRDefault="00EE419E"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Për DPD ka përfunduar disa kontrata rikonstruksioni në vlerën 58 milionë lekë;</w:t>
      </w:r>
    </w:p>
    <w:p w:rsidR="00EE419E" w:rsidRPr="002617BE" w:rsidRDefault="00EE419E"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Permiresim i kushteve  te banimit per komunitetin Rom/Egjiptian në bashkitë Berat, Bulqizë Delvinë, Bilisht, Elbasan, Cerrik, Roskovec, Korce, Kucove, Librazhd, Mat, Pogradec, Polican, Vlorë, Vau Dejës, Kamëz, Dimal dhe Maliq në vlerën 303 milionë lekë;</w:t>
      </w:r>
    </w:p>
    <w:p w:rsidR="00EE419E" w:rsidRPr="002617BE" w:rsidRDefault="00EE419E"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Për programin “Arsimi i mesëm profesional” ka përfunduar kontrata “Rikonstruksion i shkollës së mesme profesionale "Antoni Athanasi”, Sarandë me vlerë 125 milionë lekë.</w:t>
      </w:r>
    </w:p>
    <w:p w:rsidR="000703F6" w:rsidRDefault="000703F6" w:rsidP="00EE419E">
      <w:pPr>
        <w:spacing w:line="240" w:lineRule="auto"/>
        <w:rPr>
          <w:rFonts w:asciiTheme="majorHAnsi" w:hAnsiTheme="majorHAnsi" w:cs="Calibri Light"/>
          <w:bCs/>
          <w:i/>
          <w:szCs w:val="22"/>
          <w:lang w:val="sq-AL" w:eastAsia="en-GB"/>
        </w:rPr>
      </w:pPr>
    </w:p>
    <w:p w:rsidR="00EC05E8" w:rsidRDefault="00EC05E8" w:rsidP="00FC729E">
      <w:pPr>
        <w:pStyle w:val="ListParagraph"/>
        <w:shd w:val="clear" w:color="auto" w:fill="FFFFFF" w:themeFill="background1"/>
        <w:spacing w:before="0"/>
        <w:ind w:left="630"/>
        <w:rPr>
          <w:rFonts w:asciiTheme="majorHAnsi" w:hAnsiTheme="majorHAnsi" w:cs="Calibri Light"/>
          <w:bCs/>
          <w:i/>
          <w:szCs w:val="22"/>
          <w:lang w:val="sq-AL" w:eastAsia="en-GB"/>
        </w:rPr>
      </w:pPr>
    </w:p>
    <w:p w:rsidR="001A7510" w:rsidRDefault="001A7510" w:rsidP="00FC729E">
      <w:pPr>
        <w:pStyle w:val="ListParagraph"/>
        <w:shd w:val="clear" w:color="auto" w:fill="FFFFFF" w:themeFill="background1"/>
        <w:spacing w:before="0"/>
        <w:ind w:left="630"/>
        <w:rPr>
          <w:rFonts w:asciiTheme="majorHAnsi" w:hAnsiTheme="majorHAnsi" w:cs="Calibri Light"/>
          <w:bCs/>
          <w:i/>
          <w:szCs w:val="22"/>
          <w:lang w:val="sq-AL" w:eastAsia="en-GB"/>
        </w:rPr>
      </w:pPr>
    </w:p>
    <w:p w:rsidR="001A7510" w:rsidRDefault="001A7510" w:rsidP="00FC729E">
      <w:pPr>
        <w:pStyle w:val="ListParagraph"/>
        <w:shd w:val="clear" w:color="auto" w:fill="FFFFFF" w:themeFill="background1"/>
        <w:spacing w:before="0"/>
        <w:ind w:left="630"/>
        <w:rPr>
          <w:rFonts w:asciiTheme="majorHAnsi" w:hAnsiTheme="majorHAnsi" w:cs="Calibri Light"/>
          <w:bCs/>
          <w:i/>
          <w:szCs w:val="22"/>
          <w:lang w:val="sq-AL" w:eastAsia="en-GB"/>
        </w:rPr>
      </w:pPr>
    </w:p>
    <w:p w:rsidR="007B7B50" w:rsidRPr="00476D2E" w:rsidRDefault="007B7B50" w:rsidP="00FC729E">
      <w:pPr>
        <w:pStyle w:val="fiskale3"/>
        <w:rPr>
          <w:rFonts w:ascii="Calibri" w:hAnsi="Calibri" w:cs="Calibri"/>
          <w:b/>
        </w:rPr>
      </w:pPr>
      <w:bookmarkStart w:id="287" w:name="_Toc104980368"/>
      <w:r w:rsidRPr="00476D2E">
        <w:rPr>
          <w:rFonts w:ascii="Calibri" w:hAnsi="Calibri" w:cs="Calibri"/>
          <w:b/>
        </w:rPr>
        <w:lastRenderedPageBreak/>
        <w:t>Mbrojtja</w:t>
      </w:r>
      <w:bookmarkEnd w:id="285"/>
      <w:bookmarkEnd w:id="286"/>
      <w:bookmarkEnd w:id="287"/>
    </w:p>
    <w:p w:rsidR="007B7B50" w:rsidRPr="00476D2E" w:rsidRDefault="007B7B50" w:rsidP="00FC729E">
      <w:pPr>
        <w:rPr>
          <w:rFonts w:cs="Calibri"/>
          <w:lang w:val="sq-AL"/>
        </w:rPr>
      </w:pPr>
      <w:r w:rsidRPr="00476D2E">
        <w:rPr>
          <w:rFonts w:cs="Calibri"/>
          <w:lang w:val="sq-AL"/>
        </w:rPr>
        <w:t xml:space="preserve">Shpenzimet e planifikuara dhe ato faktike si dhe realizimi në </w:t>
      </w:r>
      <w:r w:rsidR="008136C0">
        <w:rPr>
          <w:rFonts w:cs="Calibri"/>
          <w:lang w:val="sq-AL"/>
        </w:rPr>
        <w:t>%</w:t>
      </w:r>
      <w:r w:rsidRPr="00476D2E">
        <w:rPr>
          <w:rFonts w:cs="Calibri"/>
          <w:lang w:val="sq-AL"/>
        </w:rPr>
        <w:t xml:space="preserve"> për vitin 202</w:t>
      </w:r>
      <w:r w:rsidR="007F7B21">
        <w:rPr>
          <w:rFonts w:cs="Calibri"/>
          <w:lang w:val="sq-AL"/>
        </w:rPr>
        <w:t>2</w:t>
      </w:r>
      <w:r w:rsidRPr="00476D2E">
        <w:rPr>
          <w:rFonts w:cs="Calibri"/>
          <w:lang w:val="sq-AL"/>
        </w:rPr>
        <w:t xml:space="preserve"> për Ministrinë e Mbrojtjes, paraqiten si më poshtë:</w:t>
      </w:r>
    </w:p>
    <w:p w:rsidR="007B7B50" w:rsidRPr="00476D2E" w:rsidRDefault="007B7B50" w:rsidP="00FC729E">
      <w:pPr>
        <w:rPr>
          <w:rFonts w:cs="Calibri"/>
          <w:i/>
          <w:iCs/>
          <w:color w:val="0B5294" w:themeColor="accent1" w:themeShade="BF"/>
          <w:sz w:val="18"/>
          <w:szCs w:val="18"/>
          <w:lang w:val="sq-AL"/>
        </w:rPr>
      </w:pPr>
      <w:bookmarkStart w:id="288" w:name="_Toc136526359"/>
      <w:r w:rsidRPr="00476D2E">
        <w:rPr>
          <w:rFonts w:cs="Calibri"/>
          <w:i/>
          <w:iCs/>
          <w:color w:val="0B5294" w:themeColor="accent1" w:themeShade="BF"/>
          <w:sz w:val="18"/>
          <w:szCs w:val="18"/>
          <w:lang w:val="sq-AL"/>
        </w:rPr>
        <w:t xml:space="preserve">Tabela </w:t>
      </w:r>
      <w:r w:rsidRPr="00476D2E">
        <w:rPr>
          <w:rFonts w:cs="Calibri"/>
          <w:i/>
          <w:iCs/>
          <w:color w:val="0B5294" w:themeColor="accent1" w:themeShade="BF"/>
          <w:sz w:val="18"/>
          <w:szCs w:val="18"/>
          <w:lang w:val="sq-AL"/>
        </w:rPr>
        <w:fldChar w:fldCharType="begin"/>
      </w:r>
      <w:r w:rsidRPr="00476D2E">
        <w:rPr>
          <w:rFonts w:cs="Calibri"/>
          <w:i/>
          <w:iCs/>
          <w:color w:val="0B5294" w:themeColor="accent1" w:themeShade="BF"/>
          <w:sz w:val="18"/>
          <w:szCs w:val="18"/>
          <w:lang w:val="sq-AL"/>
        </w:rPr>
        <w:instrText xml:space="preserve"> SEQ Tabela \* ARABIC </w:instrText>
      </w:r>
      <w:r w:rsidRPr="00476D2E">
        <w:rPr>
          <w:rFonts w:cs="Calibri"/>
          <w:i/>
          <w:iCs/>
          <w:color w:val="0B5294" w:themeColor="accent1" w:themeShade="BF"/>
          <w:sz w:val="18"/>
          <w:szCs w:val="18"/>
          <w:lang w:val="sq-AL"/>
        </w:rPr>
        <w:fldChar w:fldCharType="separate"/>
      </w:r>
      <w:r w:rsidR="008C3E07">
        <w:rPr>
          <w:rFonts w:cs="Calibri"/>
          <w:i/>
          <w:iCs/>
          <w:noProof/>
          <w:color w:val="0B5294" w:themeColor="accent1" w:themeShade="BF"/>
          <w:sz w:val="18"/>
          <w:szCs w:val="18"/>
          <w:lang w:val="sq-AL"/>
        </w:rPr>
        <w:t>33</w:t>
      </w:r>
      <w:r w:rsidRPr="00476D2E">
        <w:rPr>
          <w:rFonts w:cs="Calibri"/>
          <w:i/>
          <w:iCs/>
          <w:noProof/>
          <w:color w:val="0B5294" w:themeColor="accent1" w:themeShade="BF"/>
          <w:sz w:val="18"/>
          <w:szCs w:val="18"/>
          <w:lang w:val="sq-AL"/>
        </w:rPr>
        <w:fldChar w:fldCharType="end"/>
      </w:r>
      <w:r w:rsidRPr="00476D2E">
        <w:rPr>
          <w:rFonts w:cs="Calibri"/>
          <w:i/>
          <w:iCs/>
          <w:color w:val="0B5294" w:themeColor="accent1" w:themeShade="BF"/>
          <w:sz w:val="18"/>
          <w:szCs w:val="18"/>
          <w:lang w:val="sq-AL"/>
        </w:rPr>
        <w:t xml:space="preserve"> Realizimi i buxhetit 202</w:t>
      </w:r>
      <w:r w:rsidR="007F7B21">
        <w:rPr>
          <w:rFonts w:cs="Calibri"/>
          <w:i/>
          <w:iCs/>
          <w:color w:val="0B5294" w:themeColor="accent1" w:themeShade="BF"/>
          <w:sz w:val="18"/>
          <w:szCs w:val="18"/>
          <w:lang w:val="sq-AL"/>
        </w:rPr>
        <w:t>2</w:t>
      </w:r>
      <w:r w:rsidRPr="00476D2E">
        <w:rPr>
          <w:rFonts w:cs="Calibri"/>
          <w:i/>
          <w:iCs/>
          <w:color w:val="0B5294" w:themeColor="accent1" w:themeShade="BF"/>
          <w:sz w:val="18"/>
          <w:szCs w:val="18"/>
          <w:lang w:val="sq-AL"/>
        </w:rPr>
        <w:t xml:space="preserve"> për Ministrinë e Mbrojtjes</w:t>
      </w:r>
      <w:bookmarkEnd w:id="288"/>
    </w:p>
    <w:tbl>
      <w:tblPr>
        <w:tblW w:w="10471" w:type="dxa"/>
        <w:jc w:val="center"/>
        <w:tblLayout w:type="fixed"/>
        <w:tblLook w:val="04A0" w:firstRow="1" w:lastRow="0" w:firstColumn="1" w:lastColumn="0" w:noHBand="0" w:noVBand="1"/>
      </w:tblPr>
      <w:tblGrid>
        <w:gridCol w:w="2430"/>
        <w:gridCol w:w="950"/>
        <w:gridCol w:w="950"/>
        <w:gridCol w:w="950"/>
        <w:gridCol w:w="870"/>
        <w:gridCol w:w="950"/>
        <w:gridCol w:w="870"/>
        <w:gridCol w:w="633"/>
        <w:gridCol w:w="633"/>
        <w:gridCol w:w="554"/>
        <w:gridCol w:w="681"/>
      </w:tblGrid>
      <w:tr w:rsidR="007F7B21" w:rsidRPr="007F7B21" w:rsidTr="007F7B21">
        <w:trPr>
          <w:trHeight w:val="346"/>
          <w:jc w:val="center"/>
        </w:trPr>
        <w:tc>
          <w:tcPr>
            <w:tcW w:w="2430" w:type="dxa"/>
            <w:tcBorders>
              <w:top w:val="single" w:sz="8" w:space="0" w:color="B8CCE4"/>
              <w:left w:val="single" w:sz="8" w:space="0" w:color="B8CCE4"/>
              <w:bottom w:val="single" w:sz="12" w:space="0" w:color="95B3D7"/>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Programi</w:t>
            </w:r>
            <w:r>
              <w:rPr>
                <w:b/>
                <w:bCs/>
                <w:color w:val="FFFFFF"/>
                <w:sz w:val="16"/>
                <w:szCs w:val="18"/>
              </w:rPr>
              <w:t xml:space="preserve"> </w:t>
            </w:r>
            <w:r w:rsidRPr="007F7B21">
              <w:rPr>
                <w:b/>
                <w:bCs/>
                <w:color w:val="FFFFFF"/>
                <w:sz w:val="16"/>
                <w:szCs w:val="18"/>
              </w:rPr>
              <w:t>buxhetor</w:t>
            </w:r>
          </w:p>
        </w:tc>
        <w:tc>
          <w:tcPr>
            <w:tcW w:w="190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Plani</w:t>
            </w:r>
            <w:r>
              <w:rPr>
                <w:b/>
                <w:bCs/>
                <w:color w:val="FFFFFF"/>
                <w:sz w:val="16"/>
                <w:szCs w:val="18"/>
              </w:rPr>
              <w:t xml:space="preserve"> </w:t>
            </w:r>
            <w:r w:rsidRPr="007F7B21">
              <w:rPr>
                <w:b/>
                <w:bCs/>
                <w:color w:val="FFFFFF"/>
                <w:sz w:val="16"/>
                <w:szCs w:val="18"/>
              </w:rPr>
              <w:t>fillestar 2022</w:t>
            </w:r>
          </w:p>
        </w:tc>
        <w:tc>
          <w:tcPr>
            <w:tcW w:w="182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Plani i rishikuar 2022</w:t>
            </w:r>
          </w:p>
        </w:tc>
        <w:tc>
          <w:tcPr>
            <w:tcW w:w="1820"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Fakti 2022</w:t>
            </w:r>
          </w:p>
        </w:tc>
        <w:tc>
          <w:tcPr>
            <w:tcW w:w="1266"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F7B21" w:rsidRPr="007F7B21" w:rsidRDefault="007F7B21" w:rsidP="007F7B21">
            <w:pPr>
              <w:spacing w:before="0" w:line="240" w:lineRule="auto"/>
              <w:jc w:val="center"/>
              <w:rPr>
                <w:color w:val="FFFFFF"/>
                <w:sz w:val="16"/>
                <w:szCs w:val="18"/>
              </w:rPr>
            </w:pPr>
            <w:r w:rsidRPr="007F7B21">
              <w:rPr>
                <w:color w:val="FFFFFF"/>
                <w:sz w:val="16"/>
                <w:szCs w:val="18"/>
              </w:rPr>
              <w:t>Diferenca</w:t>
            </w:r>
            <w:r>
              <w:rPr>
                <w:color w:val="FFFFFF"/>
                <w:sz w:val="16"/>
                <w:szCs w:val="18"/>
              </w:rPr>
              <w:t xml:space="preserve"> </w:t>
            </w:r>
            <w:r w:rsidRPr="007F7B21">
              <w:rPr>
                <w:color w:val="FFFFFF"/>
                <w:sz w:val="16"/>
                <w:szCs w:val="18"/>
              </w:rPr>
              <w:t>në % me planin</w:t>
            </w:r>
            <w:r>
              <w:rPr>
                <w:color w:val="FFFFFF"/>
                <w:sz w:val="16"/>
                <w:szCs w:val="18"/>
              </w:rPr>
              <w:t xml:space="preserve"> </w:t>
            </w:r>
            <w:r w:rsidRPr="007F7B21">
              <w:rPr>
                <w:color w:val="FFFFFF"/>
                <w:sz w:val="16"/>
                <w:szCs w:val="18"/>
              </w:rPr>
              <w:t>fillestar</w:t>
            </w:r>
          </w:p>
        </w:tc>
        <w:tc>
          <w:tcPr>
            <w:tcW w:w="1235"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F7B21" w:rsidRPr="007F7B21" w:rsidRDefault="007F7B21" w:rsidP="007F7B21">
            <w:pPr>
              <w:spacing w:before="0" w:line="240" w:lineRule="auto"/>
              <w:jc w:val="center"/>
              <w:rPr>
                <w:color w:val="FFFFFF"/>
                <w:sz w:val="16"/>
                <w:szCs w:val="18"/>
              </w:rPr>
            </w:pPr>
            <w:r w:rsidRPr="007F7B21">
              <w:rPr>
                <w:color w:val="FFFFFF"/>
                <w:sz w:val="16"/>
                <w:szCs w:val="18"/>
              </w:rPr>
              <w:t>Diferenca</w:t>
            </w:r>
            <w:r>
              <w:rPr>
                <w:color w:val="FFFFFF"/>
                <w:sz w:val="16"/>
                <w:szCs w:val="18"/>
              </w:rPr>
              <w:t xml:space="preserve"> </w:t>
            </w:r>
            <w:r w:rsidRPr="007F7B21">
              <w:rPr>
                <w:color w:val="FFFFFF"/>
                <w:sz w:val="16"/>
                <w:szCs w:val="18"/>
              </w:rPr>
              <w:t>në % me planin e rishikuar</w:t>
            </w:r>
          </w:p>
        </w:tc>
      </w:tr>
      <w:tr w:rsidR="007F7B21" w:rsidRPr="007F7B21" w:rsidTr="007F7B21">
        <w:trPr>
          <w:trHeight w:val="205"/>
          <w:jc w:val="center"/>
        </w:trPr>
        <w:tc>
          <w:tcPr>
            <w:tcW w:w="2430" w:type="dxa"/>
            <w:tcBorders>
              <w:top w:val="nil"/>
              <w:left w:val="single" w:sz="8" w:space="0" w:color="B8CCE4"/>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i/>
                <w:iCs/>
                <w:color w:val="FFFFFF"/>
                <w:sz w:val="16"/>
                <w:szCs w:val="18"/>
              </w:rPr>
            </w:pPr>
            <w:r w:rsidRPr="007F7B21">
              <w:rPr>
                <w:b/>
                <w:bCs/>
                <w:i/>
                <w:iCs/>
                <w:color w:val="FFFFFF"/>
                <w:sz w:val="16"/>
                <w:szCs w:val="18"/>
              </w:rPr>
              <w:t>(nëmijëlekë)</w:t>
            </w:r>
          </w:p>
        </w:tc>
        <w:tc>
          <w:tcPr>
            <w:tcW w:w="950" w:type="dxa"/>
            <w:tcBorders>
              <w:top w:val="nil"/>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Korrente</w:t>
            </w:r>
          </w:p>
        </w:tc>
        <w:tc>
          <w:tcPr>
            <w:tcW w:w="950" w:type="dxa"/>
            <w:tcBorders>
              <w:top w:val="nil"/>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Investime</w:t>
            </w:r>
          </w:p>
        </w:tc>
        <w:tc>
          <w:tcPr>
            <w:tcW w:w="950" w:type="dxa"/>
            <w:tcBorders>
              <w:top w:val="nil"/>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Korrente</w:t>
            </w:r>
          </w:p>
        </w:tc>
        <w:tc>
          <w:tcPr>
            <w:tcW w:w="870" w:type="dxa"/>
            <w:tcBorders>
              <w:top w:val="nil"/>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Investime</w:t>
            </w:r>
          </w:p>
        </w:tc>
        <w:tc>
          <w:tcPr>
            <w:tcW w:w="950" w:type="dxa"/>
            <w:tcBorders>
              <w:top w:val="nil"/>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Korrente</w:t>
            </w:r>
          </w:p>
        </w:tc>
        <w:tc>
          <w:tcPr>
            <w:tcW w:w="870" w:type="dxa"/>
            <w:tcBorders>
              <w:top w:val="nil"/>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Investime</w:t>
            </w:r>
          </w:p>
        </w:tc>
        <w:tc>
          <w:tcPr>
            <w:tcW w:w="633" w:type="dxa"/>
            <w:tcBorders>
              <w:top w:val="nil"/>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Korr.</w:t>
            </w:r>
          </w:p>
        </w:tc>
        <w:tc>
          <w:tcPr>
            <w:tcW w:w="633" w:type="dxa"/>
            <w:tcBorders>
              <w:top w:val="nil"/>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color w:val="FFFFFF"/>
                <w:sz w:val="16"/>
                <w:szCs w:val="18"/>
              </w:rPr>
            </w:pPr>
            <w:r w:rsidRPr="007F7B21">
              <w:rPr>
                <w:color w:val="FFFFFF"/>
                <w:sz w:val="16"/>
                <w:szCs w:val="18"/>
              </w:rPr>
              <w:t>Inv.</w:t>
            </w:r>
          </w:p>
        </w:tc>
        <w:tc>
          <w:tcPr>
            <w:tcW w:w="554" w:type="dxa"/>
            <w:tcBorders>
              <w:top w:val="nil"/>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Korr.</w:t>
            </w:r>
          </w:p>
        </w:tc>
        <w:tc>
          <w:tcPr>
            <w:tcW w:w="681" w:type="dxa"/>
            <w:tcBorders>
              <w:top w:val="nil"/>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Inv.</w:t>
            </w:r>
          </w:p>
        </w:tc>
      </w:tr>
      <w:tr w:rsidR="007F7B21" w:rsidRPr="007F7B21" w:rsidTr="007F7B21">
        <w:trPr>
          <w:trHeight w:val="196"/>
          <w:jc w:val="center"/>
        </w:trPr>
        <w:tc>
          <w:tcPr>
            <w:tcW w:w="2430" w:type="dxa"/>
            <w:tcBorders>
              <w:top w:val="nil"/>
              <w:left w:val="single" w:sz="8" w:space="0" w:color="B8CCE4"/>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b/>
                <w:bCs/>
                <w:color w:val="000000"/>
                <w:sz w:val="16"/>
                <w:szCs w:val="18"/>
              </w:rPr>
            </w:pPr>
            <w:r w:rsidRPr="007F7B21">
              <w:rPr>
                <w:b/>
                <w:bCs/>
                <w:color w:val="000000"/>
                <w:sz w:val="16"/>
                <w:szCs w:val="18"/>
              </w:rPr>
              <w:t>Planifikimi, Menaxhimi</w:t>
            </w:r>
            <w:r>
              <w:rPr>
                <w:b/>
                <w:bCs/>
                <w:color w:val="000000"/>
                <w:sz w:val="16"/>
                <w:szCs w:val="18"/>
              </w:rPr>
              <w:t xml:space="preserve"> </w:t>
            </w:r>
            <w:r w:rsidRPr="007F7B21">
              <w:rPr>
                <w:b/>
                <w:bCs/>
                <w:color w:val="000000"/>
                <w:sz w:val="16"/>
                <w:szCs w:val="18"/>
              </w:rPr>
              <w:t>dhe</w:t>
            </w:r>
            <w:r>
              <w:rPr>
                <w:b/>
                <w:bCs/>
                <w:color w:val="000000"/>
                <w:sz w:val="16"/>
                <w:szCs w:val="18"/>
              </w:rPr>
              <w:t xml:space="preserve"> </w:t>
            </w:r>
            <w:r w:rsidRPr="007F7B21">
              <w:rPr>
                <w:b/>
                <w:bCs/>
                <w:color w:val="000000"/>
                <w:sz w:val="16"/>
                <w:szCs w:val="18"/>
              </w:rPr>
              <w:t>Administrimi</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1,332,503</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320,000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1,392,005</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11,353</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1,384,670</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11,345</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104%</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4%</w:t>
            </w:r>
          </w:p>
        </w:tc>
        <w:tc>
          <w:tcPr>
            <w:tcW w:w="554"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99%</w:t>
            </w:r>
          </w:p>
        </w:tc>
        <w:tc>
          <w:tcPr>
            <w:tcW w:w="681"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100%</w:t>
            </w:r>
          </w:p>
        </w:tc>
      </w:tr>
      <w:tr w:rsidR="007F7B21" w:rsidRPr="007F7B21" w:rsidTr="007F7B21">
        <w:trPr>
          <w:trHeight w:val="196"/>
          <w:jc w:val="center"/>
        </w:trPr>
        <w:tc>
          <w:tcPr>
            <w:tcW w:w="2430" w:type="dxa"/>
            <w:tcBorders>
              <w:top w:val="nil"/>
              <w:left w:val="single" w:sz="8" w:space="0" w:color="B8CCE4"/>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b/>
                <w:bCs/>
                <w:color w:val="000000"/>
                <w:sz w:val="16"/>
                <w:szCs w:val="18"/>
              </w:rPr>
            </w:pPr>
            <w:r w:rsidRPr="007F7B21">
              <w:rPr>
                <w:b/>
                <w:bCs/>
                <w:color w:val="000000"/>
                <w:sz w:val="16"/>
                <w:szCs w:val="18"/>
              </w:rPr>
              <w:t>Forcat e Luftimit</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6,006,535</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4,136,500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5,439,203</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4,534,591</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5,219,785</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4,433,901</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87%</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107%</w:t>
            </w:r>
          </w:p>
        </w:tc>
        <w:tc>
          <w:tcPr>
            <w:tcW w:w="554"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96%</w:t>
            </w:r>
          </w:p>
        </w:tc>
        <w:tc>
          <w:tcPr>
            <w:tcW w:w="681"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98%</w:t>
            </w:r>
          </w:p>
        </w:tc>
      </w:tr>
      <w:tr w:rsidR="007F7B21" w:rsidRPr="007F7B21" w:rsidTr="007F7B21">
        <w:trPr>
          <w:trHeight w:val="196"/>
          <w:jc w:val="center"/>
        </w:trPr>
        <w:tc>
          <w:tcPr>
            <w:tcW w:w="2430" w:type="dxa"/>
            <w:tcBorders>
              <w:top w:val="nil"/>
              <w:left w:val="single" w:sz="8" w:space="0" w:color="B8CCE4"/>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right"/>
              <w:rPr>
                <w:b/>
                <w:bCs/>
                <w:color w:val="000000"/>
                <w:sz w:val="16"/>
                <w:szCs w:val="18"/>
              </w:rPr>
            </w:pPr>
            <w:r w:rsidRPr="007F7B21">
              <w:rPr>
                <w:b/>
                <w:bCs/>
                <w:color w:val="000000"/>
                <w:sz w:val="16"/>
                <w:szCs w:val="18"/>
              </w:rPr>
              <w:t>Financim i Huaj</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 </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1,200,000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 </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 </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 </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c>
          <w:tcPr>
            <w:tcW w:w="554"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 </w:t>
            </w:r>
          </w:p>
        </w:tc>
        <w:tc>
          <w:tcPr>
            <w:tcW w:w="681"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r>
      <w:tr w:rsidR="007F7B21" w:rsidRPr="007F7B21" w:rsidTr="007F7B21">
        <w:trPr>
          <w:trHeight w:val="196"/>
          <w:jc w:val="center"/>
        </w:trPr>
        <w:tc>
          <w:tcPr>
            <w:tcW w:w="2430" w:type="dxa"/>
            <w:tcBorders>
              <w:top w:val="nil"/>
              <w:left w:val="single" w:sz="8" w:space="0" w:color="B8CCE4"/>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b/>
                <w:bCs/>
                <w:color w:val="000000"/>
                <w:sz w:val="16"/>
                <w:szCs w:val="18"/>
              </w:rPr>
            </w:pPr>
            <w:r w:rsidRPr="007F7B21">
              <w:rPr>
                <w:b/>
                <w:bCs/>
                <w:color w:val="000000"/>
                <w:sz w:val="16"/>
                <w:szCs w:val="18"/>
              </w:rPr>
              <w:t>Mbështetja e Luftimit</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6,828,811</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1,113,000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5,612,313</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475,500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5,406,323</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463,001</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79%</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42%</w:t>
            </w:r>
          </w:p>
        </w:tc>
        <w:tc>
          <w:tcPr>
            <w:tcW w:w="554"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96%</w:t>
            </w:r>
          </w:p>
        </w:tc>
        <w:tc>
          <w:tcPr>
            <w:tcW w:w="681"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97%</w:t>
            </w:r>
          </w:p>
        </w:tc>
      </w:tr>
      <w:tr w:rsidR="007F7B21" w:rsidRPr="007F7B21" w:rsidTr="007F7B21">
        <w:trPr>
          <w:trHeight w:val="196"/>
          <w:jc w:val="center"/>
        </w:trPr>
        <w:tc>
          <w:tcPr>
            <w:tcW w:w="2430" w:type="dxa"/>
            <w:tcBorders>
              <w:top w:val="nil"/>
              <w:left w:val="single" w:sz="8" w:space="0" w:color="B8CCE4"/>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b/>
                <w:bCs/>
                <w:color w:val="000000"/>
                <w:sz w:val="16"/>
                <w:szCs w:val="18"/>
              </w:rPr>
            </w:pPr>
            <w:r w:rsidRPr="007F7B21">
              <w:rPr>
                <w:b/>
                <w:bCs/>
                <w:color w:val="000000"/>
                <w:sz w:val="16"/>
                <w:szCs w:val="18"/>
              </w:rPr>
              <w:t>Arsimi</w:t>
            </w:r>
            <w:r>
              <w:rPr>
                <w:b/>
                <w:bCs/>
                <w:color w:val="000000"/>
                <w:sz w:val="16"/>
                <w:szCs w:val="18"/>
              </w:rPr>
              <w:t xml:space="preserve"> U</w:t>
            </w:r>
            <w:r w:rsidRPr="007F7B21">
              <w:rPr>
                <w:b/>
                <w:bCs/>
                <w:color w:val="000000"/>
                <w:sz w:val="16"/>
                <w:szCs w:val="18"/>
              </w:rPr>
              <w:t>shtarak</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738,380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500,000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777,929</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66,800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760,787</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65,985</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103%</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13%</w:t>
            </w:r>
          </w:p>
        </w:tc>
        <w:tc>
          <w:tcPr>
            <w:tcW w:w="554"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98%</w:t>
            </w:r>
          </w:p>
        </w:tc>
        <w:tc>
          <w:tcPr>
            <w:tcW w:w="681"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99%</w:t>
            </w:r>
          </w:p>
        </w:tc>
      </w:tr>
      <w:tr w:rsidR="007F7B21" w:rsidRPr="007F7B21" w:rsidTr="007F7B21">
        <w:trPr>
          <w:trHeight w:val="196"/>
          <w:jc w:val="center"/>
        </w:trPr>
        <w:tc>
          <w:tcPr>
            <w:tcW w:w="2430" w:type="dxa"/>
            <w:tcBorders>
              <w:top w:val="nil"/>
              <w:left w:val="single" w:sz="8" w:space="0" w:color="B8CCE4"/>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b/>
                <w:bCs/>
                <w:color w:val="000000"/>
                <w:sz w:val="16"/>
                <w:szCs w:val="18"/>
              </w:rPr>
            </w:pPr>
            <w:r w:rsidRPr="007F7B21">
              <w:rPr>
                <w:b/>
                <w:bCs/>
                <w:color w:val="000000"/>
                <w:sz w:val="16"/>
                <w:szCs w:val="18"/>
              </w:rPr>
              <w:t>Mbështetje</w:t>
            </w:r>
            <w:r>
              <w:rPr>
                <w:b/>
                <w:bCs/>
                <w:color w:val="000000"/>
                <w:sz w:val="16"/>
                <w:szCs w:val="18"/>
              </w:rPr>
              <w:t xml:space="preserve"> </w:t>
            </w:r>
            <w:r w:rsidRPr="007F7B21">
              <w:rPr>
                <w:b/>
                <w:bCs/>
                <w:color w:val="000000"/>
                <w:sz w:val="16"/>
                <w:szCs w:val="18"/>
              </w:rPr>
              <w:t>për</w:t>
            </w:r>
            <w:r>
              <w:rPr>
                <w:b/>
                <w:bCs/>
                <w:color w:val="000000"/>
                <w:sz w:val="16"/>
                <w:szCs w:val="18"/>
              </w:rPr>
              <w:t xml:space="preserve"> </w:t>
            </w:r>
            <w:r w:rsidRPr="007F7B21">
              <w:rPr>
                <w:b/>
                <w:bCs/>
                <w:color w:val="000000"/>
                <w:sz w:val="16"/>
                <w:szCs w:val="18"/>
              </w:rPr>
              <w:t>Shëndetësinë</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935,076</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200,000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1,215,452</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250,000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1,192,538</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248,962</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128%</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124%</w:t>
            </w:r>
          </w:p>
        </w:tc>
        <w:tc>
          <w:tcPr>
            <w:tcW w:w="554"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98%</w:t>
            </w:r>
          </w:p>
        </w:tc>
        <w:tc>
          <w:tcPr>
            <w:tcW w:w="681"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100%</w:t>
            </w:r>
          </w:p>
        </w:tc>
      </w:tr>
      <w:tr w:rsidR="007F7B21" w:rsidRPr="007F7B21" w:rsidTr="007F7B21">
        <w:trPr>
          <w:trHeight w:val="196"/>
          <w:jc w:val="center"/>
        </w:trPr>
        <w:tc>
          <w:tcPr>
            <w:tcW w:w="2430" w:type="dxa"/>
            <w:tcBorders>
              <w:top w:val="nil"/>
              <w:left w:val="single" w:sz="8" w:space="0" w:color="B8CCE4"/>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b/>
                <w:bCs/>
                <w:color w:val="000000"/>
                <w:sz w:val="16"/>
                <w:szCs w:val="18"/>
              </w:rPr>
            </w:pPr>
            <w:r w:rsidRPr="007F7B21">
              <w:rPr>
                <w:b/>
                <w:bCs/>
                <w:color w:val="000000"/>
                <w:sz w:val="16"/>
                <w:szCs w:val="18"/>
              </w:rPr>
              <w:t>Mbështetje</w:t>
            </w:r>
            <w:r>
              <w:rPr>
                <w:b/>
                <w:bCs/>
                <w:color w:val="000000"/>
                <w:sz w:val="16"/>
                <w:szCs w:val="18"/>
              </w:rPr>
              <w:t xml:space="preserve"> </w:t>
            </w:r>
            <w:r w:rsidRPr="007F7B21">
              <w:rPr>
                <w:b/>
                <w:bCs/>
                <w:color w:val="000000"/>
                <w:sz w:val="16"/>
                <w:szCs w:val="18"/>
              </w:rPr>
              <w:t>Sociale</w:t>
            </w:r>
            <w:r>
              <w:rPr>
                <w:b/>
                <w:bCs/>
                <w:color w:val="000000"/>
                <w:sz w:val="16"/>
                <w:szCs w:val="18"/>
              </w:rPr>
              <w:t xml:space="preserve"> </w:t>
            </w:r>
            <w:r w:rsidRPr="007F7B21">
              <w:rPr>
                <w:b/>
                <w:bCs/>
                <w:color w:val="000000"/>
                <w:sz w:val="16"/>
                <w:szCs w:val="18"/>
              </w:rPr>
              <w:t>për</w:t>
            </w:r>
            <w:r>
              <w:rPr>
                <w:b/>
                <w:bCs/>
                <w:color w:val="000000"/>
                <w:sz w:val="16"/>
                <w:szCs w:val="18"/>
              </w:rPr>
              <w:t xml:space="preserve"> </w:t>
            </w:r>
            <w:r w:rsidRPr="007F7B21">
              <w:rPr>
                <w:b/>
                <w:bCs/>
                <w:color w:val="000000"/>
                <w:sz w:val="16"/>
                <w:szCs w:val="18"/>
              </w:rPr>
              <w:t>Ushtarakët (sig shoq)</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5,200,000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5,367,000</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5,367,000</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103%</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c>
          <w:tcPr>
            <w:tcW w:w="554"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100%</w:t>
            </w:r>
          </w:p>
        </w:tc>
        <w:tc>
          <w:tcPr>
            <w:tcW w:w="681"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 0</w:t>
            </w:r>
          </w:p>
        </w:tc>
      </w:tr>
      <w:tr w:rsidR="007F7B21" w:rsidRPr="007F7B21" w:rsidTr="007F7B21">
        <w:trPr>
          <w:trHeight w:val="196"/>
          <w:jc w:val="center"/>
        </w:trPr>
        <w:tc>
          <w:tcPr>
            <w:tcW w:w="2430" w:type="dxa"/>
            <w:tcBorders>
              <w:top w:val="nil"/>
              <w:left w:val="single" w:sz="8" w:space="0" w:color="B8CCE4"/>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b/>
                <w:bCs/>
                <w:color w:val="000000"/>
                <w:sz w:val="16"/>
                <w:szCs w:val="18"/>
              </w:rPr>
            </w:pPr>
            <w:r w:rsidRPr="007F7B21">
              <w:rPr>
                <w:b/>
                <w:bCs/>
                <w:color w:val="000000"/>
                <w:sz w:val="16"/>
                <w:szCs w:val="18"/>
              </w:rPr>
              <w:t>Emergjencat</w:t>
            </w:r>
            <w:r>
              <w:rPr>
                <w:b/>
                <w:bCs/>
                <w:color w:val="000000"/>
                <w:sz w:val="16"/>
                <w:szCs w:val="18"/>
              </w:rPr>
              <w:t xml:space="preserve"> </w:t>
            </w:r>
            <w:r w:rsidRPr="007F7B21">
              <w:rPr>
                <w:b/>
                <w:bCs/>
                <w:color w:val="000000"/>
                <w:sz w:val="16"/>
                <w:szCs w:val="18"/>
              </w:rPr>
              <w:t>Civile</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1,352,000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2,070,000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1,017,037</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696,256</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787,386</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505,879</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58%</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24%</w:t>
            </w:r>
          </w:p>
        </w:tc>
        <w:tc>
          <w:tcPr>
            <w:tcW w:w="554"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77%</w:t>
            </w:r>
          </w:p>
        </w:tc>
        <w:tc>
          <w:tcPr>
            <w:tcW w:w="681"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73%</w:t>
            </w:r>
          </w:p>
        </w:tc>
      </w:tr>
      <w:tr w:rsidR="007F7B21" w:rsidRPr="007F7B21" w:rsidTr="007F7B21">
        <w:trPr>
          <w:trHeight w:val="196"/>
          <w:jc w:val="center"/>
        </w:trPr>
        <w:tc>
          <w:tcPr>
            <w:tcW w:w="2430" w:type="dxa"/>
            <w:tcBorders>
              <w:top w:val="nil"/>
              <w:left w:val="single" w:sz="8" w:space="0" w:color="B8CCE4"/>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right"/>
              <w:rPr>
                <w:b/>
                <w:bCs/>
                <w:color w:val="000000"/>
                <w:sz w:val="16"/>
                <w:szCs w:val="18"/>
              </w:rPr>
            </w:pPr>
            <w:r w:rsidRPr="007F7B21">
              <w:rPr>
                <w:b/>
                <w:bCs/>
                <w:color w:val="000000"/>
                <w:sz w:val="16"/>
                <w:szCs w:val="18"/>
              </w:rPr>
              <w:t>Financim i Huaj</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color w:val="000000"/>
                <w:sz w:val="16"/>
              </w:rPr>
            </w:pPr>
            <w:r w:rsidRPr="007F7B21">
              <w:rPr>
                <w:color w:val="000000"/>
                <w:sz w:val="16"/>
                <w:szCs w:val="22"/>
              </w:rPr>
              <w:t> </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700,000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color w:val="000000"/>
                <w:sz w:val="16"/>
              </w:rPr>
            </w:pPr>
            <w:r w:rsidRPr="007F7B21">
              <w:rPr>
                <w:color w:val="000000"/>
                <w:sz w:val="16"/>
                <w:szCs w:val="22"/>
              </w:rPr>
              <w:t> </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100,000</w:t>
            </w:r>
          </w:p>
        </w:tc>
        <w:tc>
          <w:tcPr>
            <w:tcW w:w="95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color w:val="000000"/>
                <w:sz w:val="16"/>
              </w:rPr>
            </w:pPr>
            <w:r w:rsidRPr="007F7B21">
              <w:rPr>
                <w:color w:val="000000"/>
                <w:sz w:val="16"/>
                <w:szCs w:val="22"/>
              </w:rPr>
              <w:t> </w:t>
            </w:r>
          </w:p>
        </w:tc>
        <w:tc>
          <w:tcPr>
            <w:tcW w:w="870"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left"/>
              <w:rPr>
                <w:color w:val="000000"/>
                <w:sz w:val="16"/>
              </w:rPr>
            </w:pPr>
            <w:r w:rsidRPr="007F7B21">
              <w:rPr>
                <w:color w:val="000000"/>
                <w:sz w:val="16"/>
                <w:szCs w:val="22"/>
              </w:rPr>
              <w:t> </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c>
          <w:tcPr>
            <w:tcW w:w="554"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c>
          <w:tcPr>
            <w:tcW w:w="681"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0%</w:t>
            </w:r>
          </w:p>
        </w:tc>
      </w:tr>
      <w:tr w:rsidR="007F7B21" w:rsidRPr="007F7B21" w:rsidTr="007F7B21">
        <w:trPr>
          <w:trHeight w:val="196"/>
          <w:jc w:val="center"/>
        </w:trPr>
        <w:tc>
          <w:tcPr>
            <w:tcW w:w="2430" w:type="dxa"/>
            <w:tcBorders>
              <w:top w:val="nil"/>
              <w:left w:val="single" w:sz="8" w:space="0" w:color="B8CCE4"/>
              <w:bottom w:val="double" w:sz="6" w:space="0" w:color="95B3D7"/>
              <w:right w:val="single" w:sz="8" w:space="0" w:color="B8CCE4"/>
            </w:tcBorders>
            <w:shd w:val="clear" w:color="auto" w:fill="auto"/>
            <w:vAlign w:val="center"/>
            <w:hideMark/>
          </w:tcPr>
          <w:p w:rsidR="007F7B21" w:rsidRPr="007F7B21" w:rsidRDefault="007F7B21" w:rsidP="007F7B21">
            <w:pPr>
              <w:spacing w:before="0" w:line="240" w:lineRule="auto"/>
              <w:jc w:val="left"/>
              <w:rPr>
                <w:b/>
                <w:bCs/>
                <w:i/>
                <w:iCs/>
                <w:color w:val="000000"/>
                <w:sz w:val="16"/>
                <w:szCs w:val="18"/>
              </w:rPr>
            </w:pPr>
            <w:r w:rsidRPr="007F7B21">
              <w:rPr>
                <w:b/>
                <w:bCs/>
                <w:i/>
                <w:iCs/>
                <w:color w:val="000000"/>
                <w:sz w:val="16"/>
                <w:szCs w:val="18"/>
              </w:rPr>
              <w:t>Gjithsej</w:t>
            </w:r>
            <w:r>
              <w:rPr>
                <w:b/>
                <w:bCs/>
                <w:i/>
                <w:iCs/>
                <w:color w:val="000000"/>
                <w:sz w:val="16"/>
                <w:szCs w:val="18"/>
              </w:rPr>
              <w:t xml:space="preserve"> </w:t>
            </w:r>
            <w:r w:rsidRPr="007F7B21">
              <w:rPr>
                <w:b/>
                <w:bCs/>
                <w:i/>
                <w:iCs/>
                <w:color w:val="000000"/>
                <w:sz w:val="16"/>
                <w:szCs w:val="18"/>
              </w:rPr>
              <w:t>sipas</w:t>
            </w:r>
            <w:r>
              <w:rPr>
                <w:b/>
                <w:bCs/>
                <w:i/>
                <w:iCs/>
                <w:color w:val="000000"/>
                <w:sz w:val="16"/>
                <w:szCs w:val="18"/>
              </w:rPr>
              <w:t xml:space="preserve"> </w:t>
            </w:r>
            <w:r w:rsidRPr="007F7B21">
              <w:rPr>
                <w:b/>
                <w:bCs/>
                <w:i/>
                <w:iCs/>
                <w:color w:val="000000"/>
                <w:sz w:val="16"/>
                <w:szCs w:val="18"/>
              </w:rPr>
              <w:t>natyrës</w:t>
            </w:r>
          </w:p>
        </w:tc>
        <w:tc>
          <w:tcPr>
            <w:tcW w:w="950" w:type="dxa"/>
            <w:tcBorders>
              <w:top w:val="nil"/>
              <w:left w:val="nil"/>
              <w:bottom w:val="double" w:sz="6" w:space="0" w:color="95B3D7"/>
              <w:right w:val="single" w:sz="8" w:space="0" w:color="B8CCE4"/>
            </w:tcBorders>
            <w:shd w:val="clear" w:color="auto" w:fill="auto"/>
            <w:vAlign w:val="center"/>
            <w:hideMark/>
          </w:tcPr>
          <w:p w:rsidR="007F7B21" w:rsidRPr="007F7B21" w:rsidRDefault="007F7B21" w:rsidP="007F7B21">
            <w:pPr>
              <w:spacing w:before="0" w:line="240" w:lineRule="auto"/>
              <w:jc w:val="center"/>
              <w:rPr>
                <w:i/>
                <w:iCs/>
                <w:color w:val="000000"/>
                <w:sz w:val="16"/>
                <w:szCs w:val="18"/>
              </w:rPr>
            </w:pPr>
            <w:r w:rsidRPr="007F7B21">
              <w:rPr>
                <w:i/>
                <w:iCs/>
                <w:color w:val="000000"/>
                <w:sz w:val="16"/>
                <w:szCs w:val="18"/>
              </w:rPr>
              <w:t>22,393,305</w:t>
            </w:r>
          </w:p>
        </w:tc>
        <w:tc>
          <w:tcPr>
            <w:tcW w:w="950" w:type="dxa"/>
            <w:tcBorders>
              <w:top w:val="nil"/>
              <w:left w:val="nil"/>
              <w:bottom w:val="double" w:sz="6" w:space="0" w:color="95B3D7"/>
              <w:right w:val="single" w:sz="8" w:space="0" w:color="B8CCE4"/>
            </w:tcBorders>
            <w:shd w:val="clear" w:color="auto" w:fill="auto"/>
            <w:vAlign w:val="center"/>
            <w:hideMark/>
          </w:tcPr>
          <w:p w:rsidR="007F7B21" w:rsidRPr="007F7B21" w:rsidRDefault="007F7B21" w:rsidP="007F7B21">
            <w:pPr>
              <w:spacing w:before="0" w:line="240" w:lineRule="auto"/>
              <w:jc w:val="center"/>
              <w:rPr>
                <w:i/>
                <w:iCs/>
                <w:color w:val="000000"/>
                <w:sz w:val="16"/>
                <w:szCs w:val="18"/>
              </w:rPr>
            </w:pPr>
            <w:r w:rsidRPr="007F7B21">
              <w:rPr>
                <w:i/>
                <w:iCs/>
                <w:color w:val="000000"/>
                <w:sz w:val="16"/>
                <w:szCs w:val="18"/>
              </w:rPr>
              <w:t>10,239,500</w:t>
            </w:r>
          </w:p>
        </w:tc>
        <w:tc>
          <w:tcPr>
            <w:tcW w:w="950" w:type="dxa"/>
            <w:tcBorders>
              <w:top w:val="nil"/>
              <w:left w:val="nil"/>
              <w:bottom w:val="double" w:sz="6" w:space="0" w:color="95B3D7"/>
              <w:right w:val="single" w:sz="8" w:space="0" w:color="B8CCE4"/>
            </w:tcBorders>
            <w:shd w:val="clear" w:color="auto" w:fill="auto"/>
            <w:vAlign w:val="center"/>
            <w:hideMark/>
          </w:tcPr>
          <w:p w:rsidR="007F7B21" w:rsidRPr="007F7B21" w:rsidRDefault="007F7B21" w:rsidP="007F7B21">
            <w:pPr>
              <w:spacing w:before="0" w:line="240" w:lineRule="auto"/>
              <w:jc w:val="center"/>
              <w:rPr>
                <w:i/>
                <w:iCs/>
                <w:color w:val="000000"/>
                <w:sz w:val="16"/>
                <w:szCs w:val="18"/>
              </w:rPr>
            </w:pPr>
            <w:r w:rsidRPr="007F7B21">
              <w:rPr>
                <w:i/>
                <w:iCs/>
                <w:color w:val="000000"/>
                <w:sz w:val="16"/>
                <w:szCs w:val="18"/>
              </w:rPr>
              <w:t>20,820,938</w:t>
            </w:r>
          </w:p>
        </w:tc>
        <w:tc>
          <w:tcPr>
            <w:tcW w:w="870" w:type="dxa"/>
            <w:tcBorders>
              <w:top w:val="nil"/>
              <w:left w:val="nil"/>
              <w:bottom w:val="double" w:sz="6" w:space="0" w:color="95B3D7"/>
              <w:right w:val="single" w:sz="8" w:space="0" w:color="B8CCE4"/>
            </w:tcBorders>
            <w:shd w:val="clear" w:color="auto" w:fill="auto"/>
            <w:vAlign w:val="center"/>
            <w:hideMark/>
          </w:tcPr>
          <w:p w:rsidR="007F7B21" w:rsidRPr="007F7B21" w:rsidRDefault="007F7B21" w:rsidP="007F7B21">
            <w:pPr>
              <w:spacing w:before="0" w:line="240" w:lineRule="auto"/>
              <w:jc w:val="center"/>
              <w:rPr>
                <w:i/>
                <w:iCs/>
                <w:color w:val="000000"/>
                <w:sz w:val="16"/>
                <w:szCs w:val="18"/>
              </w:rPr>
            </w:pPr>
            <w:r w:rsidRPr="007F7B21">
              <w:rPr>
                <w:i/>
                <w:iCs/>
                <w:color w:val="000000"/>
                <w:sz w:val="16"/>
                <w:szCs w:val="18"/>
              </w:rPr>
              <w:t>6,134,500</w:t>
            </w:r>
          </w:p>
        </w:tc>
        <w:tc>
          <w:tcPr>
            <w:tcW w:w="950" w:type="dxa"/>
            <w:tcBorders>
              <w:top w:val="nil"/>
              <w:left w:val="nil"/>
              <w:bottom w:val="double" w:sz="6" w:space="0" w:color="95B3D7"/>
              <w:right w:val="single" w:sz="8" w:space="0" w:color="B8CCE4"/>
            </w:tcBorders>
            <w:shd w:val="clear" w:color="auto" w:fill="auto"/>
            <w:vAlign w:val="center"/>
            <w:hideMark/>
          </w:tcPr>
          <w:p w:rsidR="007F7B21" w:rsidRPr="007F7B21" w:rsidRDefault="007F7B21" w:rsidP="007F7B21">
            <w:pPr>
              <w:spacing w:before="0" w:line="240" w:lineRule="auto"/>
              <w:jc w:val="center"/>
              <w:rPr>
                <w:i/>
                <w:iCs/>
                <w:color w:val="000000"/>
                <w:sz w:val="16"/>
                <w:szCs w:val="18"/>
              </w:rPr>
            </w:pPr>
            <w:r w:rsidRPr="007F7B21">
              <w:rPr>
                <w:i/>
                <w:iCs/>
                <w:color w:val="000000"/>
                <w:sz w:val="16"/>
                <w:szCs w:val="18"/>
              </w:rPr>
              <w:t>20,118,488</w:t>
            </w:r>
          </w:p>
        </w:tc>
        <w:tc>
          <w:tcPr>
            <w:tcW w:w="870" w:type="dxa"/>
            <w:tcBorders>
              <w:top w:val="nil"/>
              <w:left w:val="nil"/>
              <w:bottom w:val="double" w:sz="6" w:space="0" w:color="95B3D7"/>
              <w:right w:val="single" w:sz="8" w:space="0" w:color="B8CCE4"/>
            </w:tcBorders>
            <w:shd w:val="clear" w:color="auto" w:fill="auto"/>
            <w:vAlign w:val="center"/>
            <w:hideMark/>
          </w:tcPr>
          <w:p w:rsidR="007F7B21" w:rsidRPr="007F7B21" w:rsidRDefault="007F7B21" w:rsidP="007F7B21">
            <w:pPr>
              <w:spacing w:before="0" w:line="240" w:lineRule="auto"/>
              <w:jc w:val="center"/>
              <w:rPr>
                <w:i/>
                <w:iCs/>
                <w:color w:val="000000"/>
                <w:sz w:val="16"/>
                <w:szCs w:val="18"/>
              </w:rPr>
            </w:pPr>
            <w:r w:rsidRPr="007F7B21">
              <w:rPr>
                <w:i/>
                <w:iCs/>
                <w:color w:val="000000"/>
                <w:sz w:val="16"/>
                <w:szCs w:val="18"/>
              </w:rPr>
              <w:t>5,729,073</w:t>
            </w:r>
          </w:p>
        </w:tc>
        <w:tc>
          <w:tcPr>
            <w:tcW w:w="633" w:type="dxa"/>
            <w:tcBorders>
              <w:top w:val="nil"/>
              <w:left w:val="nil"/>
              <w:bottom w:val="double" w:sz="6" w:space="0" w:color="95B3D7"/>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90%</w:t>
            </w:r>
          </w:p>
        </w:tc>
        <w:tc>
          <w:tcPr>
            <w:tcW w:w="633"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56%</w:t>
            </w:r>
          </w:p>
        </w:tc>
        <w:tc>
          <w:tcPr>
            <w:tcW w:w="554"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97%</w:t>
            </w:r>
          </w:p>
        </w:tc>
        <w:tc>
          <w:tcPr>
            <w:tcW w:w="681" w:type="dxa"/>
            <w:tcBorders>
              <w:top w:val="nil"/>
              <w:left w:val="nil"/>
              <w:bottom w:val="single" w:sz="8" w:space="0" w:color="B8CCE4"/>
              <w:right w:val="single" w:sz="8" w:space="0" w:color="B8CCE4"/>
            </w:tcBorders>
            <w:shd w:val="clear" w:color="auto" w:fill="auto"/>
            <w:vAlign w:val="center"/>
            <w:hideMark/>
          </w:tcPr>
          <w:p w:rsidR="007F7B21" w:rsidRPr="007F7B21" w:rsidRDefault="007F7B21" w:rsidP="007F7B21">
            <w:pPr>
              <w:spacing w:before="0" w:line="240" w:lineRule="auto"/>
              <w:jc w:val="center"/>
              <w:rPr>
                <w:color w:val="000000"/>
                <w:sz w:val="16"/>
                <w:szCs w:val="18"/>
              </w:rPr>
            </w:pPr>
            <w:r w:rsidRPr="007F7B21">
              <w:rPr>
                <w:color w:val="000000"/>
                <w:sz w:val="16"/>
                <w:szCs w:val="18"/>
              </w:rPr>
              <w:t>93%</w:t>
            </w:r>
          </w:p>
        </w:tc>
      </w:tr>
      <w:tr w:rsidR="007F7B21" w:rsidRPr="007F7B21" w:rsidTr="007F7B21">
        <w:trPr>
          <w:trHeight w:val="205"/>
          <w:jc w:val="center"/>
        </w:trPr>
        <w:tc>
          <w:tcPr>
            <w:tcW w:w="2430" w:type="dxa"/>
            <w:tcBorders>
              <w:top w:val="nil"/>
              <w:left w:val="single" w:sz="8" w:space="0" w:color="B8CCE4"/>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Gjithsej</w:t>
            </w:r>
          </w:p>
        </w:tc>
        <w:tc>
          <w:tcPr>
            <w:tcW w:w="1900" w:type="dxa"/>
            <w:gridSpan w:val="2"/>
            <w:tcBorders>
              <w:top w:val="double" w:sz="6" w:space="0" w:color="95B3D7"/>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32,632,805</w:t>
            </w:r>
          </w:p>
        </w:tc>
        <w:tc>
          <w:tcPr>
            <w:tcW w:w="1820" w:type="dxa"/>
            <w:gridSpan w:val="2"/>
            <w:tcBorders>
              <w:top w:val="double" w:sz="6" w:space="0" w:color="95B3D7"/>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26,955,438</w:t>
            </w:r>
          </w:p>
        </w:tc>
        <w:tc>
          <w:tcPr>
            <w:tcW w:w="1820" w:type="dxa"/>
            <w:gridSpan w:val="2"/>
            <w:tcBorders>
              <w:top w:val="double" w:sz="6" w:space="0" w:color="95B3D7"/>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25,847,561</w:t>
            </w:r>
          </w:p>
        </w:tc>
        <w:tc>
          <w:tcPr>
            <w:tcW w:w="1266" w:type="dxa"/>
            <w:gridSpan w:val="2"/>
            <w:tcBorders>
              <w:top w:val="double" w:sz="6" w:space="0" w:color="95B3D7"/>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79%</w:t>
            </w:r>
          </w:p>
        </w:tc>
        <w:tc>
          <w:tcPr>
            <w:tcW w:w="1235" w:type="dxa"/>
            <w:gridSpan w:val="2"/>
            <w:tcBorders>
              <w:top w:val="double" w:sz="6" w:space="0" w:color="95B3D7"/>
              <w:left w:val="nil"/>
              <w:bottom w:val="single" w:sz="8" w:space="0" w:color="B8CCE4"/>
              <w:right w:val="single" w:sz="8" w:space="0" w:color="B8CCE4"/>
            </w:tcBorders>
            <w:shd w:val="clear" w:color="000000" w:fill="365F91"/>
            <w:vAlign w:val="center"/>
            <w:hideMark/>
          </w:tcPr>
          <w:p w:rsidR="007F7B21" w:rsidRPr="007F7B21" w:rsidRDefault="007F7B21" w:rsidP="007F7B21">
            <w:pPr>
              <w:spacing w:before="0" w:line="240" w:lineRule="auto"/>
              <w:jc w:val="center"/>
              <w:rPr>
                <w:b/>
                <w:bCs/>
                <w:color w:val="FFFFFF"/>
                <w:sz w:val="16"/>
                <w:szCs w:val="18"/>
              </w:rPr>
            </w:pPr>
            <w:r w:rsidRPr="007F7B21">
              <w:rPr>
                <w:b/>
                <w:bCs/>
                <w:color w:val="FFFFFF"/>
                <w:sz w:val="16"/>
                <w:szCs w:val="18"/>
              </w:rPr>
              <w:t>96%</w:t>
            </w:r>
          </w:p>
        </w:tc>
      </w:tr>
    </w:tbl>
    <w:p w:rsidR="00A35358" w:rsidRPr="00A35358" w:rsidRDefault="00A35358" w:rsidP="007F7B21">
      <w:pPr>
        <w:jc w:val="center"/>
        <w:rPr>
          <w:rFonts w:cs="Calibri"/>
          <w:sz w:val="8"/>
          <w:lang w:val="sq-AL"/>
        </w:rPr>
      </w:pPr>
    </w:p>
    <w:p w:rsidR="00E84F24" w:rsidRPr="00F95C93" w:rsidRDefault="00E84F24" w:rsidP="00E84F24">
      <w:pPr>
        <w:spacing w:before="0" w:line="240" w:lineRule="auto"/>
        <w:rPr>
          <w:rFonts w:cs="Calibri"/>
          <w:szCs w:val="22"/>
          <w:lang w:val="sq-AL"/>
        </w:rPr>
      </w:pPr>
      <w:r w:rsidRPr="00F95C93">
        <w:rPr>
          <w:rFonts w:cs="Calibri"/>
          <w:szCs w:val="22"/>
          <w:lang w:val="sq-AL"/>
        </w:rPr>
        <w:t>Ministria e Mbrojtjes ka synuar që nëpërmjet zhvillimit të politikave të nevojshme në fushën e personelit, promovimit në karrierë, trajtimit të ushtarakut, rritjes së transparencës, llogaridhënies, si dhe eliminimin e korrupsionit në Forcat e Armatosura, të arrijë realizimin e disa prej treguesve kryesorë të përformancës, ku renditen:</w:t>
      </w:r>
    </w:p>
    <w:p w:rsidR="00E84F24" w:rsidRPr="00F95C93" w:rsidRDefault="00E84F24"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Lartësimi i figurës dhe integritetit të ushtarakut.</w:t>
      </w:r>
    </w:p>
    <w:p w:rsidR="00E84F24" w:rsidRPr="00F95C93" w:rsidRDefault="00E84F24"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Implementimi në mënyrë cilësore i detyrimeve që rrjedhin nga pjesëmarrja dhe anëtarësia në organizma të niveleve të larta ndërkombëtare si: NATO, EAPC, RACVIAC, Karta e Atlantikut, etj; i realizuar nëpërmjet nënshkrimit të marrëveshjeve ndërkombëtare në kuadër të partneritetit mes vendeve, rritjes së sigurisë në rajon e më gjerë.</w:t>
      </w:r>
    </w:p>
    <w:p w:rsidR="00E84F24" w:rsidRPr="00F95C93" w:rsidRDefault="00E84F24"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Modernizimi me armatim të lehtë dhe municione për Forcat e Armatosura, sistemet e mbështetjes për zjarr apo vendosja e kamerave Infra të Kuqe stacionare të integruara me sistemin SIVHD.</w:t>
      </w:r>
    </w:p>
    <w:p w:rsidR="00E84F24" w:rsidRPr="00F95C93" w:rsidRDefault="00E84F24" w:rsidP="00E84F24">
      <w:pPr>
        <w:spacing w:before="0" w:line="240" w:lineRule="auto"/>
        <w:rPr>
          <w:rFonts w:cs="Calibri"/>
          <w:szCs w:val="22"/>
          <w:lang w:val="sq-AL"/>
        </w:rPr>
      </w:pPr>
      <w:r w:rsidRPr="00F95C93">
        <w:rPr>
          <w:rFonts w:cs="Calibri"/>
          <w:szCs w:val="22"/>
          <w:lang w:val="sq-AL"/>
        </w:rPr>
        <w:t>Projektet prioritare në aspektin e ndërveprueshmërisë me strukturat e NATO-s, si dhe në kuadër të rritjes së sigurisë kombëtare, janë:</w:t>
      </w:r>
    </w:p>
    <w:p w:rsidR="00E84F24" w:rsidRPr="00F95C93" w:rsidRDefault="00E84F24"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Sistemet e Integruara të vëzhgimit të hapësirës ajrore e detare.</w:t>
      </w:r>
    </w:p>
    <w:p w:rsidR="00E84F24" w:rsidRPr="00F95C93" w:rsidRDefault="00E84F24"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Kompletimi i Forcave të Armatosura me pajisje individuale të luftimit, në funksion të certifikimit të Batalionit të dytë të këmbësorisë si një komponent i gatshëm i NATO Response Force.</w:t>
      </w:r>
    </w:p>
    <w:p w:rsidR="00E84F24" w:rsidRPr="00F95C93" w:rsidRDefault="00E84F24"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 xml:space="preserve">Shpenzimet operacionale u përdoren me efikasitet për kryerjen e misionit të Forcave të Armatosura si në rang kombëtar ashtu dhe në kuadër të misioneve paqeruajtëse, duke rritur prezencën e Forcave të Armatosura në Detin Egje, Afganistan, KFOR, etj. </w:t>
      </w:r>
    </w:p>
    <w:p w:rsidR="00E84F24" w:rsidRDefault="00E84F24" w:rsidP="00E84F24">
      <w:pPr>
        <w:tabs>
          <w:tab w:val="left" w:pos="2160"/>
        </w:tabs>
        <w:spacing w:before="0" w:line="240" w:lineRule="auto"/>
        <w:rPr>
          <w:rFonts w:cs="Calibri"/>
          <w:b/>
          <w:szCs w:val="22"/>
          <w:lang w:val="sq-AL"/>
        </w:rPr>
      </w:pPr>
    </w:p>
    <w:p w:rsidR="00E84F24" w:rsidRPr="00F95C93" w:rsidRDefault="00E84F24" w:rsidP="00E84F24">
      <w:pPr>
        <w:tabs>
          <w:tab w:val="left" w:pos="2160"/>
        </w:tabs>
        <w:spacing w:before="0" w:after="200" w:line="240" w:lineRule="auto"/>
        <w:rPr>
          <w:rFonts w:cs="Calibri"/>
          <w:szCs w:val="22"/>
          <w:lang w:val="sq-AL"/>
        </w:rPr>
      </w:pPr>
      <w:r w:rsidRPr="00F95C93">
        <w:rPr>
          <w:rFonts w:cs="Calibri"/>
          <w:b/>
          <w:szCs w:val="22"/>
          <w:lang w:val="sq-AL"/>
        </w:rPr>
        <w:t xml:space="preserve">Programi “Forca e Luftimit”, </w:t>
      </w:r>
      <w:r w:rsidRPr="00F95C93">
        <w:rPr>
          <w:rFonts w:cs="Calibri"/>
          <w:szCs w:val="22"/>
          <w:lang w:val="sq-AL"/>
        </w:rPr>
        <w:t xml:space="preserve">i cilisynon mbajtjen në gatishmëri të kapaciteteve operacionale të forcës tokësore, detare e ajrore, ka shpenzuar 5.2 miliardë lekë (shpenzime korrente) në vitin 2022, ose 96 për qind të planit të rishikuar dhe 87 për qind të planit fillestar. </w:t>
      </w:r>
    </w:p>
    <w:p w:rsidR="00E84F24" w:rsidRPr="00F95C93" w:rsidRDefault="00E84F24" w:rsidP="00E84F24">
      <w:pPr>
        <w:tabs>
          <w:tab w:val="left" w:pos="2160"/>
        </w:tabs>
        <w:spacing w:before="0" w:after="200" w:line="240" w:lineRule="auto"/>
        <w:rPr>
          <w:rFonts w:cs="Calibri"/>
          <w:szCs w:val="22"/>
          <w:lang w:val="sq-AL"/>
        </w:rPr>
      </w:pPr>
      <w:r w:rsidRPr="00F95C93">
        <w:rPr>
          <w:rFonts w:cs="Calibri"/>
          <w:b/>
          <w:szCs w:val="22"/>
          <w:lang w:val="sq-AL"/>
        </w:rPr>
        <w:t xml:space="preserve">Programi “Mbështetja e Luftimit” </w:t>
      </w:r>
      <w:r w:rsidRPr="00F95C93">
        <w:rPr>
          <w:rFonts w:cs="Calibri"/>
          <w:szCs w:val="22"/>
          <w:lang w:val="sq-AL"/>
        </w:rPr>
        <w:t>siguron logjistikën dhe inteligjencën strategjike për operacione të ndryshme si dhe kapacitete operacionale për reparte të vecanta. Realizimi ishte 5.4 miliardë lekë (shpenzime korrente), ose 79% e planit fillestar dhe 96% e të rishkuarit.</w:t>
      </w:r>
    </w:p>
    <w:p w:rsidR="00E84F24" w:rsidRPr="00F95C93" w:rsidRDefault="00E84F24" w:rsidP="00E84F24">
      <w:pPr>
        <w:tabs>
          <w:tab w:val="left" w:pos="2160"/>
        </w:tabs>
        <w:spacing w:before="0" w:after="200" w:line="240" w:lineRule="auto"/>
        <w:rPr>
          <w:rFonts w:cs="Calibri"/>
          <w:szCs w:val="22"/>
          <w:lang w:val="sq-AL"/>
        </w:rPr>
      </w:pPr>
      <w:r w:rsidRPr="00F95C93">
        <w:rPr>
          <w:rFonts w:cs="Calibri"/>
          <w:b/>
          <w:szCs w:val="22"/>
          <w:lang w:val="sq-AL"/>
        </w:rPr>
        <w:t>Për programin ”Mbështetje për Shëndetësinë”</w:t>
      </w:r>
      <w:r w:rsidRPr="00F95C93">
        <w:rPr>
          <w:rFonts w:cs="Calibri"/>
          <w:szCs w:val="22"/>
          <w:lang w:val="sq-AL"/>
        </w:rPr>
        <w:t xml:space="preserve">, janë planifikuar 4 (katër) produkte me buxhet 935 milionë lekë, i cili u rrit në 1.21 miliardë lekë. Këto produkte u realizuan në vlerën 1.19 miliardë, ose 98 përqind e planit të rishikuar. </w:t>
      </w:r>
    </w:p>
    <w:p w:rsidR="00E84F24" w:rsidRPr="00F95C93" w:rsidRDefault="00E84F24" w:rsidP="00E84F24">
      <w:pPr>
        <w:tabs>
          <w:tab w:val="left" w:pos="2160"/>
        </w:tabs>
        <w:spacing w:before="0" w:after="200" w:line="240" w:lineRule="auto"/>
        <w:rPr>
          <w:rFonts w:cs="Calibri"/>
          <w:szCs w:val="22"/>
          <w:lang w:val="sq-AL"/>
        </w:rPr>
      </w:pPr>
      <w:r w:rsidRPr="00F95C93">
        <w:rPr>
          <w:rFonts w:cs="Calibri"/>
          <w:szCs w:val="22"/>
          <w:lang w:val="sq-AL"/>
        </w:rPr>
        <w:lastRenderedPageBreak/>
        <w:t>Programi</w:t>
      </w:r>
      <w:r w:rsidRPr="00F95C93">
        <w:rPr>
          <w:rFonts w:cs="Calibri"/>
          <w:b/>
          <w:szCs w:val="22"/>
          <w:lang w:val="sq-AL"/>
        </w:rPr>
        <w:t xml:space="preserve"> “Emergjenca Civile” </w:t>
      </w:r>
      <w:r w:rsidRPr="00F95C93">
        <w:rPr>
          <w:rFonts w:cs="Calibri"/>
          <w:szCs w:val="22"/>
          <w:lang w:val="sq-AL"/>
        </w:rPr>
        <w:t>lidhet me veprimtarinë e Agjencisë Kombëtare për Mbrojtjen Civile. Gjatë vitit 2022 u realizuan shpenzime në masën 787 milionë lekë, ose 77 për qind e shpenzimeve korrente kundrejt planit të rishikuar.</w:t>
      </w:r>
    </w:p>
    <w:p w:rsidR="00EE419E" w:rsidRPr="00D63A43" w:rsidRDefault="002B5B6C" w:rsidP="00EE419E">
      <w:pPr>
        <w:spacing w:line="240" w:lineRule="auto"/>
        <w:rPr>
          <w:rFonts w:asciiTheme="majorHAnsi" w:hAnsiTheme="majorHAnsi" w:cs="Calibri Light"/>
          <w:bCs/>
          <w:i/>
          <w:szCs w:val="22"/>
          <w:lang w:val="sq-AL" w:eastAsia="en-GB"/>
        </w:rPr>
      </w:pPr>
      <w:r w:rsidRPr="00EE419E">
        <w:rPr>
          <w:rFonts w:asciiTheme="majorHAnsi" w:eastAsiaTheme="minorHAnsi" w:hAnsiTheme="majorHAnsi" w:cs="Calibri Light"/>
          <w:szCs w:val="22"/>
          <w:lang w:val="sq-AL"/>
        </w:rPr>
        <w:t xml:space="preserve">Për sa i përket </w:t>
      </w:r>
      <w:r w:rsidRPr="00EE419E">
        <w:rPr>
          <w:rFonts w:asciiTheme="majorHAnsi" w:eastAsiaTheme="minorHAnsi" w:hAnsiTheme="majorHAnsi" w:cs="Calibri Light"/>
          <w:b/>
          <w:bCs/>
          <w:szCs w:val="22"/>
          <w:lang w:val="sq-AL"/>
        </w:rPr>
        <w:t>investimeve publike</w:t>
      </w:r>
      <w:r w:rsidRPr="00EE419E">
        <w:rPr>
          <w:rFonts w:asciiTheme="majorHAnsi" w:eastAsiaTheme="minorHAnsi" w:hAnsiTheme="majorHAnsi" w:cs="Calibri Light"/>
          <w:szCs w:val="22"/>
          <w:lang w:val="sq-AL"/>
        </w:rPr>
        <w:t xml:space="preserve"> </w:t>
      </w:r>
      <w:r w:rsidR="00EE419E" w:rsidRPr="00EE419E">
        <w:rPr>
          <w:rFonts w:cs="Calibri"/>
          <w:lang w:val="sq-AL"/>
        </w:rPr>
        <w:t>realizimi në vitin 2022 ishte 68.7% e buxhetit fillestar për projektet me</w:t>
      </w:r>
      <w:r w:rsidR="00EE419E" w:rsidRPr="002617BE">
        <w:rPr>
          <w:rFonts w:cs="Calibri"/>
          <w:lang w:val="sq-AL"/>
        </w:rPr>
        <w:t xml:space="preserve"> financim të brendshëm (5.7 milard lekë)</w:t>
      </w:r>
      <w:r w:rsidR="00EE419E" w:rsidRPr="002617BE">
        <w:rPr>
          <w:rFonts w:cs="Calibri"/>
          <w:bCs/>
          <w:iCs/>
          <w:lang w:val="sq-AL"/>
        </w:rPr>
        <w:t xml:space="preserve"> (94.9% të planit vjetor të ndryshuar me AN nr.19).</w:t>
      </w:r>
      <w:r w:rsidR="00EE419E" w:rsidRPr="002617BE">
        <w:rPr>
          <w:rFonts w:cs="Calibri"/>
          <w:lang w:val="sq-AL"/>
        </w:rPr>
        <w:t xml:space="preserve"> Buxheti i shpenzimeve kapitale pësoi ndryshime gjatë vitit 2022, duke pakësuar shpenzimet me financim të brendshëm. </w:t>
      </w:r>
      <w:r w:rsidR="00EE419E" w:rsidRPr="002617BE">
        <w:rPr>
          <w:rFonts w:asciiTheme="majorHAnsi" w:eastAsiaTheme="minorHAnsi" w:hAnsiTheme="majorHAnsi" w:cs="Calibri Light"/>
          <w:szCs w:val="22"/>
          <w:lang w:val="sq-AL"/>
        </w:rPr>
        <w:t>Janë mbyllur kontratat e investimit si më poshtë, ku ndër më kryesoret veçojmë rreth 15 kontrata me vlerë total</w:t>
      </w:r>
      <w:r w:rsidR="00EE419E" w:rsidRPr="00D63A43">
        <w:rPr>
          <w:rFonts w:asciiTheme="majorHAnsi" w:hAnsiTheme="majorHAnsi" w:cs="Calibri Light"/>
          <w:bCs/>
          <w:i/>
          <w:szCs w:val="22"/>
          <w:lang w:val="sq-AL" w:eastAsia="en-GB"/>
        </w:rPr>
        <w:t>e rreth 6.3 miliardë lekë, ku ndër kryesoret janë:</w:t>
      </w:r>
    </w:p>
    <w:p w:rsidR="00EE419E" w:rsidRPr="00D63A43" w:rsidRDefault="00EE419E" w:rsidP="00C71069">
      <w:pPr>
        <w:pStyle w:val="ListParagraph"/>
        <w:numPr>
          <w:ilvl w:val="0"/>
          <w:numId w:val="24"/>
        </w:numPr>
        <w:shd w:val="clear" w:color="auto" w:fill="FFFFFF" w:themeFill="background1"/>
        <w:spacing w:before="0" w:line="240" w:lineRule="auto"/>
        <w:rPr>
          <w:rFonts w:asciiTheme="majorHAnsi" w:hAnsiTheme="majorHAnsi" w:cs="Calibri Light"/>
          <w:bCs/>
          <w:i/>
          <w:szCs w:val="22"/>
          <w:lang w:val="sq-AL" w:eastAsia="en-GB"/>
        </w:rPr>
      </w:pPr>
      <w:r w:rsidRPr="00D63A43">
        <w:rPr>
          <w:rFonts w:asciiTheme="majorHAnsi" w:hAnsiTheme="majorHAnsi" w:cs="Calibri Light"/>
          <w:bCs/>
          <w:i/>
          <w:szCs w:val="22"/>
          <w:lang w:val="sq-AL" w:eastAsia="en-GB"/>
        </w:rPr>
        <w:t xml:space="preserve">Pajisja me </w:t>
      </w:r>
      <w:r w:rsidR="00D65C9E">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-AIS e anijeve te klasit ILIRIA me vlerë rreth 23 milionë lekë;</w:t>
      </w:r>
    </w:p>
    <w:p w:rsidR="00EE419E" w:rsidRPr="00D63A43" w:rsidRDefault="00EE419E" w:rsidP="00C71069">
      <w:pPr>
        <w:pStyle w:val="ListParagraph"/>
        <w:numPr>
          <w:ilvl w:val="0"/>
          <w:numId w:val="24"/>
        </w:numPr>
        <w:shd w:val="clear" w:color="auto" w:fill="FFFFFF" w:themeFill="background1"/>
        <w:spacing w:before="0" w:line="240" w:lineRule="auto"/>
        <w:rPr>
          <w:rFonts w:asciiTheme="majorHAnsi" w:hAnsiTheme="majorHAnsi" w:cs="Calibri Light"/>
          <w:bCs/>
          <w:i/>
          <w:szCs w:val="22"/>
          <w:lang w:val="sq-AL" w:eastAsia="en-GB"/>
        </w:rPr>
      </w:pPr>
      <w:r w:rsidRPr="00D63A43">
        <w:rPr>
          <w:rFonts w:asciiTheme="majorHAnsi" w:hAnsiTheme="majorHAnsi" w:cs="Calibri Light"/>
          <w:bCs/>
          <w:i/>
          <w:szCs w:val="22"/>
          <w:lang w:val="sq-AL" w:eastAsia="en-GB"/>
        </w:rPr>
        <w:t>Rikonstruksion i depos nr.5 ne G-D Shkozet me vlerë rreth 44 milionë lekë;</w:t>
      </w:r>
    </w:p>
    <w:p w:rsidR="00EE419E" w:rsidRPr="00D63A43" w:rsidRDefault="00EE419E" w:rsidP="00C71069">
      <w:pPr>
        <w:pStyle w:val="ListParagraph"/>
        <w:numPr>
          <w:ilvl w:val="0"/>
          <w:numId w:val="24"/>
        </w:numPr>
        <w:shd w:val="clear" w:color="auto" w:fill="FFFFFF" w:themeFill="background1"/>
        <w:spacing w:before="0" w:line="240" w:lineRule="auto"/>
        <w:rPr>
          <w:rFonts w:asciiTheme="majorHAnsi" w:hAnsiTheme="majorHAnsi" w:cs="Calibri Light"/>
          <w:bCs/>
          <w:i/>
          <w:szCs w:val="22"/>
          <w:lang w:val="sq-AL" w:eastAsia="en-GB"/>
        </w:rPr>
      </w:pPr>
      <w:r w:rsidRPr="00D63A43">
        <w:rPr>
          <w:rFonts w:asciiTheme="majorHAnsi" w:hAnsiTheme="majorHAnsi" w:cs="Calibri Light"/>
          <w:bCs/>
          <w:i/>
          <w:szCs w:val="22"/>
          <w:lang w:val="sq-AL" w:eastAsia="en-GB"/>
        </w:rPr>
        <w:t>Nd</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rtim depo uji me vlerë 44 milionë lekë;</w:t>
      </w:r>
    </w:p>
    <w:p w:rsidR="00EE419E" w:rsidRPr="00D63A43" w:rsidRDefault="00EE419E" w:rsidP="00C71069">
      <w:pPr>
        <w:pStyle w:val="ListParagraph"/>
        <w:numPr>
          <w:ilvl w:val="0"/>
          <w:numId w:val="24"/>
        </w:numPr>
        <w:shd w:val="clear" w:color="auto" w:fill="FFFFFF" w:themeFill="background1"/>
        <w:spacing w:before="0" w:line="240" w:lineRule="auto"/>
        <w:rPr>
          <w:rFonts w:asciiTheme="majorHAnsi" w:hAnsiTheme="majorHAnsi" w:cs="Calibri Light"/>
          <w:bCs/>
          <w:i/>
          <w:szCs w:val="22"/>
          <w:lang w:val="sq-AL" w:eastAsia="en-GB"/>
        </w:rPr>
      </w:pPr>
      <w:r w:rsidRPr="00D63A43">
        <w:rPr>
          <w:rFonts w:asciiTheme="majorHAnsi" w:hAnsiTheme="majorHAnsi" w:cs="Calibri Light"/>
          <w:bCs/>
          <w:i/>
          <w:szCs w:val="22"/>
          <w:lang w:val="sq-AL" w:eastAsia="en-GB"/>
        </w:rPr>
        <w:t>Rikostruksion i ambjenteve magazinuese Rezerv</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 xml:space="preserve"> Shteti me vlerë 50 milionë lekë;</w:t>
      </w:r>
    </w:p>
    <w:p w:rsidR="00EE419E" w:rsidRPr="00D63A43" w:rsidRDefault="00EE419E" w:rsidP="00C71069">
      <w:pPr>
        <w:pStyle w:val="ListParagraph"/>
        <w:numPr>
          <w:ilvl w:val="0"/>
          <w:numId w:val="24"/>
        </w:numPr>
        <w:shd w:val="clear" w:color="auto" w:fill="FFFFFF" w:themeFill="background1"/>
        <w:spacing w:before="0" w:line="240" w:lineRule="auto"/>
        <w:rPr>
          <w:rFonts w:asciiTheme="majorHAnsi" w:hAnsiTheme="majorHAnsi" w:cs="Calibri Light"/>
          <w:bCs/>
          <w:i/>
          <w:szCs w:val="22"/>
          <w:lang w:val="sq-AL" w:eastAsia="en-GB"/>
        </w:rPr>
      </w:pPr>
      <w:r w:rsidRPr="00D63A43">
        <w:rPr>
          <w:rFonts w:asciiTheme="majorHAnsi" w:hAnsiTheme="majorHAnsi" w:cs="Calibri Light"/>
          <w:bCs/>
          <w:i/>
          <w:szCs w:val="22"/>
          <w:lang w:val="sq-AL" w:eastAsia="en-GB"/>
        </w:rPr>
        <w:t>Vepra -p</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r mbrojtjen nga fatkeqesite natyrore n</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 xml:space="preserve"> Korc</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 xml:space="preserve"> dhe Mal</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si t</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 xml:space="preserve"> madhe me vlere 56</w:t>
      </w:r>
      <w:r>
        <w:rPr>
          <w:rFonts w:asciiTheme="majorHAnsi" w:hAnsiTheme="majorHAnsi" w:cs="Calibri Light"/>
          <w:bCs/>
          <w:i/>
          <w:szCs w:val="22"/>
          <w:lang w:val="sq-AL" w:eastAsia="en-GB"/>
        </w:rPr>
        <w:t xml:space="preserve">mln </w:t>
      </w:r>
      <w:r w:rsidRPr="00D63A43">
        <w:rPr>
          <w:rFonts w:asciiTheme="majorHAnsi" w:hAnsiTheme="majorHAnsi" w:cs="Calibri Light"/>
          <w:bCs/>
          <w:i/>
          <w:szCs w:val="22"/>
          <w:lang w:val="sq-AL" w:eastAsia="en-GB"/>
        </w:rPr>
        <w:t>lekë;</w:t>
      </w:r>
    </w:p>
    <w:p w:rsidR="00EE419E" w:rsidRPr="00D63A43" w:rsidRDefault="00EE419E" w:rsidP="00C71069">
      <w:pPr>
        <w:pStyle w:val="ListParagraph"/>
        <w:numPr>
          <w:ilvl w:val="0"/>
          <w:numId w:val="24"/>
        </w:numPr>
        <w:shd w:val="clear" w:color="auto" w:fill="FFFFFF" w:themeFill="background1"/>
        <w:spacing w:before="0" w:line="240" w:lineRule="auto"/>
        <w:rPr>
          <w:rFonts w:asciiTheme="majorHAnsi" w:hAnsiTheme="majorHAnsi" w:cs="Calibri Light"/>
          <w:bCs/>
          <w:i/>
          <w:szCs w:val="22"/>
          <w:lang w:val="sq-AL" w:eastAsia="en-GB"/>
        </w:rPr>
      </w:pPr>
      <w:r w:rsidRPr="00D63A43">
        <w:rPr>
          <w:rFonts w:asciiTheme="majorHAnsi" w:hAnsiTheme="majorHAnsi" w:cs="Calibri Light"/>
          <w:bCs/>
          <w:i/>
          <w:szCs w:val="22"/>
          <w:lang w:val="sq-AL" w:eastAsia="en-GB"/>
        </w:rPr>
        <w:t>Rikonstruksion i parkut t</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 xml:space="preserve"> automjeteve</w:t>
      </w:r>
      <w:r>
        <w:rPr>
          <w:rFonts w:asciiTheme="majorHAnsi" w:hAnsiTheme="majorHAnsi" w:cs="Calibri Light"/>
          <w:bCs/>
          <w:i/>
          <w:szCs w:val="22"/>
          <w:lang w:val="sq-AL" w:eastAsia="en-GB"/>
        </w:rPr>
        <w:t xml:space="preserve"> </w:t>
      </w:r>
      <w:r w:rsidRPr="00D63A43">
        <w:rPr>
          <w:rFonts w:asciiTheme="majorHAnsi" w:hAnsiTheme="majorHAnsi" w:cs="Calibri Light"/>
          <w:bCs/>
          <w:i/>
          <w:szCs w:val="22"/>
          <w:lang w:val="sq-AL" w:eastAsia="en-GB"/>
        </w:rPr>
        <w:t>i pikes s</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 xml:space="preserve"> karburantit dhe Rrethimi i jashtem dhe ndërtimi i sistemit të integruar të sigurisë me kamera,  (Pashaliman) me vlerë rreth 23 milionë lekë;</w:t>
      </w:r>
    </w:p>
    <w:p w:rsidR="00EE419E" w:rsidRPr="00D63A43" w:rsidRDefault="00EE419E" w:rsidP="00C71069">
      <w:pPr>
        <w:pStyle w:val="ListParagraph"/>
        <w:numPr>
          <w:ilvl w:val="0"/>
          <w:numId w:val="24"/>
        </w:numPr>
        <w:shd w:val="clear" w:color="auto" w:fill="FFFFFF" w:themeFill="background1"/>
        <w:spacing w:before="0" w:line="240" w:lineRule="auto"/>
        <w:rPr>
          <w:rFonts w:asciiTheme="majorHAnsi" w:hAnsiTheme="majorHAnsi" w:cs="Calibri Light"/>
          <w:bCs/>
          <w:i/>
          <w:szCs w:val="22"/>
          <w:lang w:val="sq-AL" w:eastAsia="en-GB"/>
        </w:rPr>
      </w:pPr>
      <w:r w:rsidRPr="00D63A43">
        <w:rPr>
          <w:rFonts w:asciiTheme="majorHAnsi" w:hAnsiTheme="majorHAnsi" w:cs="Calibri Light"/>
          <w:bCs/>
          <w:i/>
          <w:szCs w:val="22"/>
          <w:lang w:val="sq-AL" w:eastAsia="en-GB"/>
        </w:rPr>
        <w:t>Gjithashtu, janë paguar për furinizime të ndryshme me armatim i lehtë municion dhe paisje e makineri për forcat e armatosura në vlerën e 3 miliardë lekë etj.</w:t>
      </w:r>
    </w:p>
    <w:p w:rsidR="00EE419E" w:rsidRPr="00D63A43" w:rsidRDefault="00EE419E" w:rsidP="00C71069">
      <w:pPr>
        <w:pStyle w:val="ListParagraph"/>
        <w:numPr>
          <w:ilvl w:val="0"/>
          <w:numId w:val="24"/>
        </w:numPr>
        <w:shd w:val="clear" w:color="auto" w:fill="FFFFFF" w:themeFill="background1"/>
        <w:spacing w:before="0" w:line="240" w:lineRule="auto"/>
        <w:rPr>
          <w:rFonts w:asciiTheme="majorHAnsi" w:hAnsiTheme="majorHAnsi" w:cs="Calibri Light"/>
          <w:bCs/>
          <w:i/>
          <w:szCs w:val="22"/>
          <w:lang w:val="sq-AL" w:eastAsia="en-GB"/>
        </w:rPr>
      </w:pPr>
      <w:r w:rsidRPr="00D63A43">
        <w:rPr>
          <w:rFonts w:asciiTheme="majorHAnsi" w:hAnsiTheme="majorHAnsi" w:cs="Calibri Light"/>
          <w:bCs/>
          <w:i/>
          <w:szCs w:val="22"/>
          <w:lang w:val="sq-AL" w:eastAsia="en-GB"/>
        </w:rPr>
        <w:t>Permiresimi i sistemeve t</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 xml:space="preserve"> teknologjis</w:t>
      </w:r>
      <w:r>
        <w:rPr>
          <w:rFonts w:asciiTheme="majorHAnsi" w:hAnsiTheme="majorHAnsi" w:cs="Calibri Light"/>
          <w:bCs/>
          <w:i/>
          <w:szCs w:val="22"/>
          <w:lang w:val="sq-AL" w:eastAsia="en-GB"/>
        </w:rPr>
        <w:t>ë</w:t>
      </w:r>
      <w:r w:rsidRPr="00D63A43">
        <w:rPr>
          <w:rFonts w:asciiTheme="majorHAnsi" w:hAnsiTheme="majorHAnsi" w:cs="Calibri Light"/>
          <w:bCs/>
          <w:i/>
          <w:szCs w:val="22"/>
          <w:lang w:val="sq-AL" w:eastAsia="en-GB"/>
        </w:rPr>
        <w:t xml:space="preserve"> dhe informacionit, komunikimit dhe monitorimit me vlerë rreth 3 miliardë lekë.</w:t>
      </w:r>
    </w:p>
    <w:p w:rsidR="00E84F24" w:rsidRDefault="00E84F24" w:rsidP="00EE419E">
      <w:pPr>
        <w:rPr>
          <w:rFonts w:asciiTheme="majorHAnsi" w:hAnsiTheme="majorHAnsi" w:cs="Calibri Light"/>
          <w:bCs/>
          <w:i/>
          <w:sz w:val="20"/>
          <w:szCs w:val="22"/>
          <w:lang w:val="sq-AL" w:eastAsia="en-GB"/>
        </w:rPr>
      </w:pPr>
    </w:p>
    <w:p w:rsidR="004E5E8E" w:rsidRPr="00AB7A9F" w:rsidRDefault="004E5E8E" w:rsidP="00EE419E">
      <w:pPr>
        <w:rPr>
          <w:rFonts w:asciiTheme="majorHAnsi" w:hAnsiTheme="majorHAnsi" w:cs="Calibri Light"/>
          <w:bCs/>
          <w:i/>
          <w:sz w:val="20"/>
          <w:szCs w:val="22"/>
          <w:lang w:val="sq-AL" w:eastAsia="en-GB"/>
        </w:rPr>
      </w:pPr>
    </w:p>
    <w:p w:rsidR="007B7B50" w:rsidRPr="00476D2E" w:rsidRDefault="007B7B50" w:rsidP="00FC729E">
      <w:pPr>
        <w:pStyle w:val="fiskale3"/>
        <w:rPr>
          <w:rFonts w:ascii="Calibri" w:hAnsi="Calibri" w:cs="Calibri"/>
          <w:b/>
        </w:rPr>
      </w:pPr>
      <w:bookmarkStart w:id="289" w:name="_Toc10033299"/>
      <w:bookmarkStart w:id="290" w:name="_Toc10721435"/>
      <w:bookmarkStart w:id="291" w:name="_Toc104980369"/>
      <w:r w:rsidRPr="00476D2E">
        <w:rPr>
          <w:rFonts w:ascii="Calibri" w:hAnsi="Calibri" w:cs="Calibri"/>
          <w:b/>
        </w:rPr>
        <w:t>Kultura</w:t>
      </w:r>
      <w:bookmarkEnd w:id="289"/>
      <w:bookmarkEnd w:id="290"/>
      <w:bookmarkEnd w:id="291"/>
    </w:p>
    <w:p w:rsidR="007B7B50" w:rsidRPr="00476D2E" w:rsidRDefault="007B7B50" w:rsidP="00FC729E">
      <w:r w:rsidRPr="00476D2E">
        <w:t>Performanca e treguesve buxhetorë për programet kryesore të Ministrisë së Kulturës paraqitet si mëposhtë:</w:t>
      </w:r>
    </w:p>
    <w:p w:rsidR="007B7B50" w:rsidRPr="00476D2E" w:rsidRDefault="007B7B50" w:rsidP="00FC729E">
      <w:pPr>
        <w:pStyle w:val="Caption"/>
        <w:keepNext/>
        <w:spacing w:after="0"/>
        <w:rPr>
          <w:rFonts w:cs="Calibri"/>
          <w:color w:val="0B5294" w:themeColor="accent1" w:themeShade="BF"/>
          <w:lang w:val="sq-AL"/>
        </w:rPr>
      </w:pPr>
      <w:bookmarkStart w:id="292" w:name="_Toc136526360"/>
      <w:r w:rsidRPr="00476D2E">
        <w:rPr>
          <w:rFonts w:cs="Calibri"/>
          <w:color w:val="0B5294" w:themeColor="accent1" w:themeShade="BF"/>
          <w:lang w:val="sq-AL"/>
        </w:rPr>
        <w:t xml:space="preserve">Tabela </w:t>
      </w:r>
      <w:r w:rsidRPr="00476D2E">
        <w:rPr>
          <w:rFonts w:cs="Calibri"/>
          <w:color w:val="0B5294" w:themeColor="accent1" w:themeShade="BF"/>
          <w:lang w:val="sq-AL"/>
        </w:rPr>
        <w:fldChar w:fldCharType="begin"/>
      </w:r>
      <w:r w:rsidRPr="00476D2E">
        <w:rPr>
          <w:rFonts w:cs="Calibri"/>
          <w:color w:val="0B5294" w:themeColor="accent1" w:themeShade="BF"/>
          <w:lang w:val="sq-AL"/>
        </w:rPr>
        <w:instrText xml:space="preserve"> SEQ Tabela \* ARABIC </w:instrText>
      </w:r>
      <w:r w:rsidRPr="00476D2E">
        <w:rPr>
          <w:rFonts w:cs="Calibri"/>
          <w:color w:val="0B5294" w:themeColor="accent1" w:themeShade="BF"/>
          <w:lang w:val="sq-AL"/>
        </w:rPr>
        <w:fldChar w:fldCharType="separate"/>
      </w:r>
      <w:r w:rsidR="008C3E07">
        <w:rPr>
          <w:rFonts w:cs="Calibri"/>
          <w:noProof/>
          <w:color w:val="0B5294" w:themeColor="accent1" w:themeShade="BF"/>
          <w:lang w:val="sq-AL"/>
        </w:rPr>
        <w:t>34</w:t>
      </w:r>
      <w:r w:rsidRPr="00476D2E">
        <w:rPr>
          <w:rFonts w:cs="Calibri"/>
          <w:color w:val="0B5294" w:themeColor="accent1" w:themeShade="BF"/>
          <w:lang w:val="sq-AL"/>
        </w:rPr>
        <w:fldChar w:fldCharType="end"/>
      </w:r>
      <w:r w:rsidRPr="00476D2E">
        <w:rPr>
          <w:rFonts w:cs="Calibri"/>
          <w:color w:val="0B5294" w:themeColor="accent1" w:themeShade="BF"/>
          <w:lang w:val="sq-AL"/>
        </w:rPr>
        <w:t xml:space="preserve"> Realizimi i buxhetit 202</w:t>
      </w:r>
      <w:r w:rsidR="00E84F24">
        <w:rPr>
          <w:rFonts w:cs="Calibri"/>
          <w:color w:val="0B5294" w:themeColor="accent1" w:themeShade="BF"/>
          <w:lang w:val="sq-AL"/>
        </w:rPr>
        <w:t>2</w:t>
      </w:r>
      <w:r w:rsidRPr="00476D2E">
        <w:rPr>
          <w:rFonts w:cs="Calibri"/>
          <w:color w:val="0B5294" w:themeColor="accent1" w:themeShade="BF"/>
          <w:lang w:val="sq-AL"/>
        </w:rPr>
        <w:t xml:space="preserve"> për Ministrinë e Kulturës</w:t>
      </w:r>
      <w:bookmarkEnd w:id="292"/>
    </w:p>
    <w:tbl>
      <w:tblPr>
        <w:tblStyle w:val="GridTable1Light-Accent11"/>
        <w:tblW w:w="5531" w:type="pct"/>
        <w:jc w:val="center"/>
        <w:tblLayout w:type="fixed"/>
        <w:tblLook w:val="01E0" w:firstRow="1" w:lastRow="1" w:firstColumn="1" w:lastColumn="1" w:noHBand="0" w:noVBand="0"/>
      </w:tblPr>
      <w:tblGrid>
        <w:gridCol w:w="2638"/>
        <w:gridCol w:w="845"/>
        <w:gridCol w:w="930"/>
        <w:gridCol w:w="915"/>
        <w:gridCol w:w="856"/>
        <w:gridCol w:w="945"/>
        <w:gridCol w:w="869"/>
        <w:gridCol w:w="615"/>
        <w:gridCol w:w="796"/>
        <w:gridCol w:w="619"/>
        <w:gridCol w:w="912"/>
      </w:tblGrid>
      <w:tr w:rsidR="00E84F24" w:rsidRPr="00E84F24" w:rsidTr="00E84F24">
        <w:trPr>
          <w:cnfStyle w:val="100000000000" w:firstRow="1" w:lastRow="0" w:firstColumn="0" w:lastColumn="0" w:oddVBand="0" w:evenVBand="0" w:oddHBand="0" w:evenHBand="0" w:firstRowFirstColumn="0" w:firstRowLastColumn="0" w:lastRowFirstColumn="0" w:lastRowLastColumn="0"/>
          <w:trHeight w:val="491"/>
          <w:jc w:val="center"/>
        </w:trPr>
        <w:tc>
          <w:tcPr>
            <w:cnfStyle w:val="001000000000" w:firstRow="0" w:lastRow="0" w:firstColumn="1" w:lastColumn="0" w:oddVBand="0" w:evenVBand="0" w:oddHBand="0" w:evenHBand="0" w:firstRowFirstColumn="0" w:firstRowLastColumn="0" w:lastRowFirstColumn="0" w:lastRowLastColumn="0"/>
            <w:tcW w:w="1206" w:type="pct"/>
            <w:vMerge w:val="restart"/>
            <w:shd w:val="clear" w:color="auto" w:fill="0B5294"/>
          </w:tcPr>
          <w:p w:rsidR="00E84F24" w:rsidRPr="00E84F24" w:rsidRDefault="00E84F24" w:rsidP="00E84F24">
            <w:pPr>
              <w:spacing w:before="0" w:line="240" w:lineRule="auto"/>
              <w:jc w:val="center"/>
              <w:rPr>
                <w:rFonts w:cs="Calibri"/>
                <w:color w:val="FFFFFF"/>
                <w:sz w:val="16"/>
                <w:szCs w:val="16"/>
                <w:lang w:val="sq-AL"/>
              </w:rPr>
            </w:pPr>
            <w:r w:rsidRPr="00E84F24">
              <w:rPr>
                <w:rFonts w:cs="Calibri"/>
                <w:color w:val="FFFFFF"/>
                <w:sz w:val="16"/>
                <w:szCs w:val="16"/>
                <w:lang w:val="sq-AL"/>
              </w:rPr>
              <w:t>Programi buxhetor</w:t>
            </w:r>
          </w:p>
          <w:p w:rsidR="00E84F24" w:rsidRPr="00E84F24" w:rsidRDefault="00E84F24" w:rsidP="00E84F24">
            <w:pPr>
              <w:spacing w:before="0" w:line="240" w:lineRule="auto"/>
              <w:jc w:val="center"/>
              <w:rPr>
                <w:rFonts w:cs="Calibri"/>
                <w:i/>
                <w:color w:val="FFFFFF"/>
                <w:sz w:val="16"/>
                <w:szCs w:val="16"/>
                <w:lang w:val="sq-AL"/>
              </w:rPr>
            </w:pPr>
            <w:r w:rsidRPr="00E84F24">
              <w:rPr>
                <w:rFonts w:cs="Calibri"/>
                <w:i/>
                <w:color w:val="FFFFFF"/>
                <w:sz w:val="16"/>
                <w:szCs w:val="16"/>
                <w:lang w:val="sq-AL"/>
              </w:rPr>
              <w:t>000 lekë</w:t>
            </w:r>
          </w:p>
        </w:tc>
        <w:tc>
          <w:tcPr>
            <w:tcW w:w="811" w:type="pct"/>
            <w:gridSpan w:val="2"/>
            <w:shd w:val="clear" w:color="auto" w:fill="0B5294"/>
          </w:tcPr>
          <w:p w:rsidR="00E84F24" w:rsidRPr="00E84F24" w:rsidRDefault="00E84F24" w:rsidP="00E84F24">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color w:val="FFFFFF"/>
                <w:sz w:val="16"/>
                <w:szCs w:val="16"/>
                <w:lang w:val="sq-AL"/>
              </w:rPr>
              <w:t>Plani fillestar 2022</w:t>
            </w:r>
          </w:p>
        </w:tc>
        <w:tc>
          <w:tcPr>
            <w:tcW w:w="808" w:type="pct"/>
            <w:gridSpan w:val="2"/>
            <w:shd w:val="clear" w:color="auto" w:fill="0B5294"/>
          </w:tcPr>
          <w:p w:rsidR="00E84F24" w:rsidRPr="00E84F24" w:rsidRDefault="00E84F24" w:rsidP="00E84F24">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color w:val="FFFFFF"/>
                <w:sz w:val="16"/>
                <w:szCs w:val="16"/>
                <w:lang w:val="sq-AL"/>
              </w:rPr>
              <w:t>Plani i rishikuar 2022</w:t>
            </w:r>
          </w:p>
        </w:tc>
        <w:tc>
          <w:tcPr>
            <w:tcW w:w="829" w:type="pct"/>
            <w:gridSpan w:val="2"/>
            <w:shd w:val="clear" w:color="auto" w:fill="0B5294"/>
          </w:tcPr>
          <w:p w:rsidR="00E84F24" w:rsidRPr="00E84F24" w:rsidRDefault="00E84F24" w:rsidP="00E84F24">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color w:val="FFFFFF"/>
                <w:sz w:val="16"/>
                <w:szCs w:val="16"/>
                <w:lang w:val="sq-AL"/>
              </w:rPr>
              <w:t>Fakti 2022</w:t>
            </w:r>
          </w:p>
        </w:tc>
        <w:tc>
          <w:tcPr>
            <w:tcW w:w="645" w:type="pct"/>
            <w:gridSpan w:val="2"/>
            <w:shd w:val="clear" w:color="auto" w:fill="0B5294"/>
          </w:tcPr>
          <w:p w:rsidR="00E84F24" w:rsidRPr="00E84F24" w:rsidRDefault="00E84F24" w:rsidP="00E84F24">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color w:val="FFFFFF"/>
                <w:sz w:val="16"/>
                <w:szCs w:val="16"/>
              </w:rPr>
              <w:t>Realizimi</w:t>
            </w:r>
            <w:r>
              <w:rPr>
                <w:rFonts w:cs="Calibri"/>
                <w:color w:val="FFFFFF"/>
                <w:sz w:val="16"/>
                <w:szCs w:val="16"/>
              </w:rPr>
              <w:t xml:space="preserve"> </w:t>
            </w:r>
            <w:r w:rsidRPr="00E84F24">
              <w:rPr>
                <w:rFonts w:cs="Calibri"/>
                <w:color w:val="FFFFFF"/>
                <w:sz w:val="16"/>
                <w:szCs w:val="16"/>
              </w:rPr>
              <w:t>në % me planin</w:t>
            </w:r>
            <w:r>
              <w:rPr>
                <w:rFonts w:cs="Calibri"/>
                <w:color w:val="FFFFFF"/>
                <w:sz w:val="16"/>
                <w:szCs w:val="16"/>
              </w:rPr>
              <w:t xml:space="preserve"> </w:t>
            </w:r>
            <w:r w:rsidRPr="00E84F24">
              <w:rPr>
                <w:rFonts w:cs="Calibri"/>
                <w:color w:val="FFFFFF"/>
                <w:sz w:val="16"/>
                <w:szCs w:val="16"/>
              </w:rPr>
              <w:t>fillestar</w:t>
            </w:r>
          </w:p>
        </w:tc>
        <w:tc>
          <w:tcPr>
            <w:cnfStyle w:val="000100000000" w:firstRow="0" w:lastRow="0" w:firstColumn="0" w:lastColumn="1" w:oddVBand="0" w:evenVBand="0" w:oddHBand="0" w:evenHBand="0" w:firstRowFirstColumn="0" w:firstRowLastColumn="0" w:lastRowFirstColumn="0" w:lastRowLastColumn="0"/>
            <w:tcW w:w="702" w:type="pct"/>
            <w:gridSpan w:val="2"/>
            <w:shd w:val="clear" w:color="auto" w:fill="0B5294"/>
          </w:tcPr>
          <w:p w:rsidR="00E84F24" w:rsidRPr="00E84F24" w:rsidRDefault="00E84F24" w:rsidP="00E84F24">
            <w:pPr>
              <w:spacing w:before="0" w:line="240" w:lineRule="auto"/>
              <w:jc w:val="center"/>
              <w:rPr>
                <w:rFonts w:cs="Calibri"/>
                <w:color w:val="FFFFFF"/>
                <w:sz w:val="16"/>
                <w:szCs w:val="16"/>
                <w:lang w:val="sq-AL"/>
              </w:rPr>
            </w:pPr>
            <w:r w:rsidRPr="00E84F24">
              <w:rPr>
                <w:rFonts w:cs="Calibri"/>
                <w:color w:val="FFFFFF"/>
                <w:sz w:val="16"/>
                <w:szCs w:val="16"/>
              </w:rPr>
              <w:t>Realizimi</w:t>
            </w:r>
            <w:r>
              <w:rPr>
                <w:rFonts w:cs="Calibri"/>
                <w:color w:val="FFFFFF"/>
                <w:sz w:val="16"/>
                <w:szCs w:val="16"/>
              </w:rPr>
              <w:t xml:space="preserve"> </w:t>
            </w:r>
            <w:r w:rsidRPr="00E84F24">
              <w:rPr>
                <w:rFonts w:cs="Calibri"/>
                <w:color w:val="FFFFFF"/>
                <w:sz w:val="16"/>
                <w:szCs w:val="16"/>
              </w:rPr>
              <w:t>në % me planin e rishikuar</w:t>
            </w:r>
          </w:p>
        </w:tc>
      </w:tr>
      <w:tr w:rsidR="00E84F24" w:rsidRPr="00E84F24" w:rsidTr="00E84F24">
        <w:trPr>
          <w:trHeight w:val="204"/>
          <w:jc w:val="center"/>
        </w:trPr>
        <w:tc>
          <w:tcPr>
            <w:cnfStyle w:val="001000000000" w:firstRow="0" w:lastRow="0" w:firstColumn="1" w:lastColumn="0" w:oddVBand="0" w:evenVBand="0" w:oddHBand="0" w:evenHBand="0" w:firstRowFirstColumn="0" w:firstRowLastColumn="0" w:lastRowFirstColumn="0" w:lastRowLastColumn="0"/>
            <w:tcW w:w="1206" w:type="pct"/>
            <w:vMerge/>
            <w:shd w:val="clear" w:color="auto" w:fill="0B5294"/>
          </w:tcPr>
          <w:p w:rsidR="00E84F24" w:rsidRPr="00E84F24" w:rsidRDefault="00E84F24" w:rsidP="00E84F24">
            <w:pPr>
              <w:spacing w:before="0" w:line="240" w:lineRule="auto"/>
              <w:jc w:val="center"/>
              <w:rPr>
                <w:rFonts w:cs="Calibri"/>
                <w:color w:val="FFFFFF"/>
                <w:sz w:val="16"/>
                <w:szCs w:val="16"/>
                <w:lang w:val="sq-AL"/>
              </w:rPr>
            </w:pPr>
          </w:p>
        </w:tc>
        <w:tc>
          <w:tcPr>
            <w:tcW w:w="386" w:type="pct"/>
            <w:shd w:val="clear" w:color="auto" w:fill="0B5294"/>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color w:val="FFFFFF"/>
                <w:sz w:val="16"/>
                <w:szCs w:val="16"/>
                <w:lang w:val="sq-AL"/>
              </w:rPr>
            </w:pPr>
            <w:r w:rsidRPr="00E84F24">
              <w:rPr>
                <w:rFonts w:cs="Calibri"/>
                <w:b/>
                <w:color w:val="FFFFFF"/>
                <w:sz w:val="16"/>
                <w:szCs w:val="16"/>
                <w:lang w:val="sq-AL"/>
              </w:rPr>
              <w:t>Korrente</w:t>
            </w:r>
          </w:p>
        </w:tc>
        <w:tc>
          <w:tcPr>
            <w:tcW w:w="425" w:type="pct"/>
            <w:shd w:val="clear" w:color="auto" w:fill="0B5294"/>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color w:val="FFFFFF"/>
                <w:sz w:val="16"/>
                <w:szCs w:val="16"/>
                <w:lang w:val="sq-AL"/>
              </w:rPr>
            </w:pPr>
            <w:r w:rsidRPr="00E84F24">
              <w:rPr>
                <w:rFonts w:cs="Calibri"/>
                <w:b/>
                <w:color w:val="FFFFFF"/>
                <w:sz w:val="16"/>
                <w:szCs w:val="16"/>
                <w:lang w:val="sq-AL"/>
              </w:rPr>
              <w:t>Investime</w:t>
            </w:r>
          </w:p>
        </w:tc>
        <w:tc>
          <w:tcPr>
            <w:tcW w:w="418" w:type="pct"/>
            <w:shd w:val="clear" w:color="auto" w:fill="0B5294"/>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b/>
                <w:color w:val="FFFFFF"/>
                <w:sz w:val="16"/>
                <w:szCs w:val="16"/>
                <w:lang w:val="sq-AL"/>
              </w:rPr>
              <w:t>Korrente</w:t>
            </w:r>
          </w:p>
        </w:tc>
        <w:tc>
          <w:tcPr>
            <w:tcW w:w="391" w:type="pct"/>
            <w:shd w:val="clear" w:color="auto" w:fill="0B5294"/>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b/>
                <w:color w:val="FFFFFF"/>
                <w:sz w:val="16"/>
                <w:szCs w:val="16"/>
                <w:lang w:val="sq-AL"/>
              </w:rPr>
              <w:t>Investime</w:t>
            </w:r>
          </w:p>
        </w:tc>
        <w:tc>
          <w:tcPr>
            <w:tcW w:w="432" w:type="pct"/>
            <w:shd w:val="clear" w:color="auto" w:fill="0B5294"/>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b/>
                <w:color w:val="FFFFFF"/>
                <w:sz w:val="16"/>
                <w:szCs w:val="16"/>
                <w:lang w:val="sq-AL"/>
              </w:rPr>
              <w:t>Korrente</w:t>
            </w:r>
          </w:p>
        </w:tc>
        <w:tc>
          <w:tcPr>
            <w:tcW w:w="397" w:type="pct"/>
            <w:shd w:val="clear" w:color="auto" w:fill="0B5294"/>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b/>
                <w:color w:val="FFFFFF"/>
                <w:sz w:val="16"/>
                <w:szCs w:val="16"/>
                <w:lang w:val="sq-AL"/>
              </w:rPr>
              <w:t>Investime</w:t>
            </w:r>
          </w:p>
        </w:tc>
        <w:tc>
          <w:tcPr>
            <w:tcW w:w="281" w:type="pct"/>
            <w:shd w:val="clear" w:color="auto" w:fill="0B5294"/>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b/>
                <w:color w:val="FFFFFF"/>
                <w:sz w:val="16"/>
                <w:szCs w:val="16"/>
                <w:lang w:val="sq-AL"/>
              </w:rPr>
              <w:t>Korr.</w:t>
            </w:r>
          </w:p>
        </w:tc>
        <w:tc>
          <w:tcPr>
            <w:tcW w:w="364" w:type="pct"/>
            <w:shd w:val="clear" w:color="auto" w:fill="0B5294"/>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color w:val="FFFFFF"/>
                <w:sz w:val="16"/>
                <w:szCs w:val="16"/>
                <w:lang w:val="sq-AL"/>
              </w:rPr>
            </w:pPr>
            <w:r w:rsidRPr="00E84F24">
              <w:rPr>
                <w:rFonts w:cs="Calibri"/>
                <w:bCs/>
                <w:color w:val="FFFFFF"/>
                <w:sz w:val="16"/>
                <w:szCs w:val="16"/>
                <w:lang w:val="sq-AL"/>
              </w:rPr>
              <w:t>Inv.</w:t>
            </w:r>
          </w:p>
        </w:tc>
        <w:tc>
          <w:tcPr>
            <w:tcW w:w="283" w:type="pct"/>
            <w:shd w:val="clear" w:color="auto" w:fill="0B5294"/>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color w:val="FFFFFF"/>
                <w:sz w:val="16"/>
                <w:szCs w:val="16"/>
                <w:lang w:val="sq-AL"/>
              </w:rPr>
            </w:pPr>
            <w:r w:rsidRPr="00E84F24">
              <w:rPr>
                <w:rFonts w:cs="Calibri"/>
                <w:b/>
                <w:color w:val="FFFFFF"/>
                <w:sz w:val="16"/>
                <w:szCs w:val="16"/>
                <w:lang w:val="sq-AL"/>
              </w:rPr>
              <w:t>Korr.</w:t>
            </w:r>
          </w:p>
        </w:tc>
        <w:tc>
          <w:tcPr>
            <w:cnfStyle w:val="000100000000" w:firstRow="0" w:lastRow="0" w:firstColumn="0" w:lastColumn="1" w:oddVBand="0" w:evenVBand="0" w:oddHBand="0" w:evenHBand="0" w:firstRowFirstColumn="0" w:firstRowLastColumn="0" w:lastRowFirstColumn="0" w:lastRowLastColumn="0"/>
            <w:tcW w:w="419" w:type="pct"/>
            <w:shd w:val="clear" w:color="auto" w:fill="0B5294"/>
          </w:tcPr>
          <w:p w:rsidR="00E84F24" w:rsidRPr="00E84F24" w:rsidRDefault="00E84F24" w:rsidP="00E84F24">
            <w:pPr>
              <w:spacing w:before="0" w:line="240" w:lineRule="auto"/>
              <w:jc w:val="center"/>
              <w:rPr>
                <w:rFonts w:cs="Calibri"/>
                <w:color w:val="FFFFFF"/>
                <w:sz w:val="16"/>
                <w:szCs w:val="16"/>
                <w:lang w:val="sq-AL"/>
              </w:rPr>
            </w:pPr>
            <w:r w:rsidRPr="00E84F24">
              <w:rPr>
                <w:rFonts w:cs="Calibri"/>
                <w:color w:val="FFFFFF"/>
                <w:sz w:val="16"/>
                <w:szCs w:val="16"/>
                <w:lang w:val="sq-AL"/>
              </w:rPr>
              <w:t>Inv.</w:t>
            </w:r>
          </w:p>
        </w:tc>
      </w:tr>
      <w:tr w:rsidR="00E84F24" w:rsidRPr="00E84F24" w:rsidTr="00E84F24">
        <w:trPr>
          <w:trHeight w:val="204"/>
          <w:jc w:val="center"/>
        </w:trPr>
        <w:tc>
          <w:tcPr>
            <w:cnfStyle w:val="001000000000" w:firstRow="0" w:lastRow="0" w:firstColumn="1" w:lastColumn="0" w:oddVBand="0" w:evenVBand="0" w:oddHBand="0" w:evenHBand="0" w:firstRowFirstColumn="0" w:firstRowLastColumn="0" w:lastRowFirstColumn="0" w:lastRowLastColumn="0"/>
            <w:tcW w:w="1206" w:type="pct"/>
            <w:shd w:val="clear" w:color="auto" w:fill="auto"/>
            <w:vAlign w:val="center"/>
          </w:tcPr>
          <w:p w:rsidR="00E84F24" w:rsidRPr="00E84F24" w:rsidRDefault="00E84F24" w:rsidP="00E84F24">
            <w:pPr>
              <w:spacing w:before="0" w:line="240" w:lineRule="auto"/>
              <w:jc w:val="center"/>
              <w:rPr>
                <w:rFonts w:cs="Calibri"/>
                <w:sz w:val="16"/>
                <w:szCs w:val="16"/>
                <w:lang w:val="sq-AL"/>
              </w:rPr>
            </w:pPr>
            <w:r w:rsidRPr="00E84F24">
              <w:rPr>
                <w:rFonts w:cs="Calibri"/>
                <w:color w:val="000000"/>
                <w:sz w:val="16"/>
                <w:szCs w:val="16"/>
                <w:lang w:val="sq-AL"/>
              </w:rPr>
              <w:t>Planifikimi, Menaxhimi Administrimi</w:t>
            </w:r>
          </w:p>
        </w:tc>
        <w:tc>
          <w:tcPr>
            <w:tcW w:w="386" w:type="pct"/>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172 400</w:t>
            </w:r>
          </w:p>
        </w:tc>
        <w:tc>
          <w:tcPr>
            <w:tcW w:w="425" w:type="pct"/>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p>
        </w:tc>
        <w:tc>
          <w:tcPr>
            <w:tcW w:w="418" w:type="pct"/>
            <w:shd w:val="clear" w:color="auto" w:fill="auto"/>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159 979</w:t>
            </w:r>
          </w:p>
        </w:tc>
        <w:tc>
          <w:tcPr>
            <w:tcW w:w="391" w:type="pct"/>
            <w:shd w:val="clear" w:color="auto" w:fill="auto"/>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p>
        </w:tc>
        <w:tc>
          <w:tcPr>
            <w:tcW w:w="432" w:type="pct"/>
            <w:shd w:val="clear" w:color="auto" w:fill="auto"/>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154 852</w:t>
            </w:r>
          </w:p>
        </w:tc>
        <w:tc>
          <w:tcPr>
            <w:tcW w:w="397" w:type="pct"/>
            <w:shd w:val="clear" w:color="auto" w:fill="auto"/>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p>
        </w:tc>
        <w:tc>
          <w:tcPr>
            <w:tcW w:w="281"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90%</w:t>
            </w:r>
          </w:p>
        </w:tc>
        <w:tc>
          <w:tcPr>
            <w:tcW w:w="364" w:type="pct"/>
            <w:shd w:val="clear" w:color="auto" w:fill="auto"/>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p>
        </w:tc>
        <w:tc>
          <w:tcPr>
            <w:tcW w:w="283" w:type="pct"/>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97%</w:t>
            </w:r>
          </w:p>
        </w:tc>
        <w:tc>
          <w:tcPr>
            <w:cnfStyle w:val="000100000000" w:firstRow="0" w:lastRow="0" w:firstColumn="0" w:lastColumn="1" w:oddVBand="0" w:evenVBand="0" w:oddHBand="0" w:evenHBand="0" w:firstRowFirstColumn="0" w:firstRowLastColumn="0" w:lastRowFirstColumn="0" w:lastRowLastColumn="0"/>
            <w:tcW w:w="419" w:type="pct"/>
            <w:vAlign w:val="center"/>
          </w:tcPr>
          <w:p w:rsidR="00E84F24" w:rsidRPr="00E84F24" w:rsidRDefault="00E84F24" w:rsidP="00E84F24">
            <w:pPr>
              <w:spacing w:before="0" w:line="240" w:lineRule="auto"/>
              <w:jc w:val="center"/>
              <w:rPr>
                <w:rFonts w:cs="Calibri"/>
                <w:sz w:val="16"/>
                <w:szCs w:val="16"/>
                <w:lang w:val="sq-AL"/>
              </w:rPr>
            </w:pPr>
          </w:p>
        </w:tc>
      </w:tr>
      <w:tr w:rsidR="00E84F24" w:rsidRPr="00E84F24" w:rsidTr="00E84F24">
        <w:trPr>
          <w:trHeight w:val="181"/>
          <w:jc w:val="center"/>
        </w:trPr>
        <w:tc>
          <w:tcPr>
            <w:cnfStyle w:val="001000000000" w:firstRow="0" w:lastRow="0" w:firstColumn="1" w:lastColumn="0" w:oddVBand="0" w:evenVBand="0" w:oddHBand="0" w:evenHBand="0" w:firstRowFirstColumn="0" w:firstRowLastColumn="0" w:lastRowFirstColumn="0" w:lastRowLastColumn="0"/>
            <w:tcW w:w="1206" w:type="pct"/>
            <w:shd w:val="clear" w:color="auto" w:fill="FFFFFF" w:themeFill="background1"/>
            <w:vAlign w:val="center"/>
          </w:tcPr>
          <w:p w:rsidR="00E84F24" w:rsidRPr="00E84F24" w:rsidRDefault="00E84F24" w:rsidP="00E84F24">
            <w:pPr>
              <w:spacing w:before="0" w:line="240" w:lineRule="auto"/>
              <w:jc w:val="center"/>
              <w:rPr>
                <w:rFonts w:cs="Calibri"/>
                <w:sz w:val="16"/>
                <w:szCs w:val="16"/>
                <w:lang w:val="sq-AL"/>
              </w:rPr>
            </w:pPr>
            <w:r w:rsidRPr="00E84F24">
              <w:rPr>
                <w:rFonts w:cs="Calibri"/>
                <w:color w:val="000000"/>
                <w:sz w:val="16"/>
                <w:szCs w:val="16"/>
                <w:lang w:val="sq-AL"/>
              </w:rPr>
              <w:t>Trashëgimia kulturore dhe muzetë (Financim i Brendshem)</w:t>
            </w:r>
          </w:p>
        </w:tc>
        <w:tc>
          <w:tcPr>
            <w:tcW w:w="386"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630 840</w:t>
            </w:r>
          </w:p>
        </w:tc>
        <w:tc>
          <w:tcPr>
            <w:tcW w:w="425"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20 000</w:t>
            </w:r>
          </w:p>
        </w:tc>
        <w:tc>
          <w:tcPr>
            <w:tcW w:w="418"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616 930</w:t>
            </w:r>
          </w:p>
        </w:tc>
        <w:tc>
          <w:tcPr>
            <w:tcW w:w="391"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18 000</w:t>
            </w:r>
          </w:p>
        </w:tc>
        <w:tc>
          <w:tcPr>
            <w:tcW w:w="432"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589 475</w:t>
            </w:r>
          </w:p>
        </w:tc>
        <w:tc>
          <w:tcPr>
            <w:tcW w:w="397"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17 198</w:t>
            </w:r>
          </w:p>
        </w:tc>
        <w:tc>
          <w:tcPr>
            <w:tcW w:w="281"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93%</w:t>
            </w:r>
          </w:p>
        </w:tc>
        <w:tc>
          <w:tcPr>
            <w:tcW w:w="364"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86%</w:t>
            </w:r>
          </w:p>
        </w:tc>
        <w:tc>
          <w:tcPr>
            <w:tcW w:w="283"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96%</w:t>
            </w:r>
          </w:p>
        </w:tc>
        <w:tc>
          <w:tcPr>
            <w:cnfStyle w:val="000100000000" w:firstRow="0" w:lastRow="0" w:firstColumn="0" w:lastColumn="1" w:oddVBand="0" w:evenVBand="0" w:oddHBand="0" w:evenHBand="0" w:firstRowFirstColumn="0" w:firstRowLastColumn="0" w:lastRowFirstColumn="0" w:lastRowLastColumn="0"/>
            <w:tcW w:w="419" w:type="pct"/>
            <w:shd w:val="clear" w:color="auto" w:fill="FFFFFF" w:themeFill="background1"/>
            <w:vAlign w:val="center"/>
          </w:tcPr>
          <w:p w:rsidR="00E84F24" w:rsidRPr="00E84F24" w:rsidRDefault="00E84F24" w:rsidP="00E84F24">
            <w:pPr>
              <w:spacing w:before="0" w:line="240" w:lineRule="auto"/>
              <w:jc w:val="center"/>
              <w:rPr>
                <w:rFonts w:cs="Calibri"/>
                <w:sz w:val="16"/>
                <w:szCs w:val="16"/>
                <w:lang w:val="sq-AL"/>
              </w:rPr>
            </w:pPr>
            <w:r w:rsidRPr="00E84F24">
              <w:rPr>
                <w:rFonts w:cs="Calibri"/>
                <w:sz w:val="16"/>
                <w:szCs w:val="16"/>
                <w:lang w:val="sq-AL"/>
              </w:rPr>
              <w:t>96%</w:t>
            </w:r>
          </w:p>
        </w:tc>
      </w:tr>
      <w:tr w:rsidR="00E84F24" w:rsidRPr="00E84F24" w:rsidTr="00E84F24">
        <w:trPr>
          <w:trHeight w:val="181"/>
          <w:jc w:val="center"/>
        </w:trPr>
        <w:tc>
          <w:tcPr>
            <w:cnfStyle w:val="001000000000" w:firstRow="0" w:lastRow="0" w:firstColumn="1" w:lastColumn="0" w:oddVBand="0" w:evenVBand="0" w:oddHBand="0" w:evenHBand="0" w:firstRowFirstColumn="0" w:firstRowLastColumn="0" w:lastRowFirstColumn="0" w:lastRowLastColumn="0"/>
            <w:tcW w:w="1206" w:type="pct"/>
            <w:shd w:val="clear" w:color="auto" w:fill="FFFFFF" w:themeFill="background1"/>
            <w:vAlign w:val="center"/>
          </w:tcPr>
          <w:p w:rsidR="00E84F24" w:rsidRPr="00E84F24" w:rsidRDefault="00E84F24" w:rsidP="00E84F24">
            <w:pPr>
              <w:spacing w:before="0" w:line="240" w:lineRule="auto"/>
              <w:jc w:val="center"/>
              <w:rPr>
                <w:rFonts w:cs="Calibri"/>
                <w:sz w:val="16"/>
                <w:szCs w:val="16"/>
                <w:lang w:val="sq-AL"/>
              </w:rPr>
            </w:pPr>
            <w:r w:rsidRPr="00E84F24">
              <w:rPr>
                <w:rFonts w:cs="Calibri"/>
                <w:color w:val="000000"/>
                <w:sz w:val="16"/>
                <w:szCs w:val="16"/>
                <w:lang w:val="sq-AL"/>
              </w:rPr>
              <w:t>Financimi i huaj</w:t>
            </w:r>
          </w:p>
        </w:tc>
        <w:tc>
          <w:tcPr>
            <w:tcW w:w="386"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p>
        </w:tc>
        <w:tc>
          <w:tcPr>
            <w:tcW w:w="425"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65 000</w:t>
            </w:r>
          </w:p>
        </w:tc>
        <w:tc>
          <w:tcPr>
            <w:tcW w:w="418"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p>
        </w:tc>
        <w:tc>
          <w:tcPr>
            <w:tcW w:w="391"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65 000</w:t>
            </w:r>
          </w:p>
        </w:tc>
        <w:tc>
          <w:tcPr>
            <w:tcW w:w="432"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p>
        </w:tc>
        <w:tc>
          <w:tcPr>
            <w:tcW w:w="397"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r w:rsidRPr="00E84F24">
              <w:rPr>
                <w:rFonts w:cs="Calibri"/>
                <w:sz w:val="16"/>
                <w:szCs w:val="16"/>
                <w:lang w:val="sq-AL"/>
              </w:rPr>
              <w:t>4 008</w:t>
            </w:r>
          </w:p>
        </w:tc>
        <w:tc>
          <w:tcPr>
            <w:tcW w:w="281"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lang w:val="sq-AL"/>
              </w:rPr>
            </w:pPr>
          </w:p>
        </w:tc>
        <w:tc>
          <w:tcPr>
            <w:tcW w:w="364"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6%</w:t>
            </w:r>
          </w:p>
        </w:tc>
        <w:tc>
          <w:tcPr>
            <w:tcW w:w="283"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p>
        </w:tc>
        <w:tc>
          <w:tcPr>
            <w:cnfStyle w:val="000100000000" w:firstRow="0" w:lastRow="0" w:firstColumn="0" w:lastColumn="1" w:oddVBand="0" w:evenVBand="0" w:oddHBand="0" w:evenHBand="0" w:firstRowFirstColumn="0" w:firstRowLastColumn="0" w:lastRowFirstColumn="0" w:lastRowLastColumn="0"/>
            <w:tcW w:w="419" w:type="pct"/>
            <w:shd w:val="clear" w:color="auto" w:fill="FFFFFF" w:themeFill="background1"/>
            <w:vAlign w:val="center"/>
          </w:tcPr>
          <w:p w:rsidR="00E84F24" w:rsidRPr="00E84F24" w:rsidRDefault="00E84F24" w:rsidP="00E84F24">
            <w:pPr>
              <w:spacing w:before="0" w:line="240" w:lineRule="auto"/>
              <w:jc w:val="center"/>
              <w:rPr>
                <w:rFonts w:cs="Calibri"/>
                <w:sz w:val="16"/>
                <w:szCs w:val="16"/>
                <w:lang w:val="sq-AL"/>
              </w:rPr>
            </w:pPr>
            <w:r w:rsidRPr="00E84F24">
              <w:rPr>
                <w:rFonts w:cs="Calibri"/>
                <w:sz w:val="16"/>
                <w:szCs w:val="16"/>
                <w:lang w:val="sq-AL"/>
              </w:rPr>
              <w:t>6%</w:t>
            </w:r>
          </w:p>
        </w:tc>
      </w:tr>
      <w:tr w:rsidR="00E84F24" w:rsidRPr="00E84F24" w:rsidTr="00E84F24">
        <w:trPr>
          <w:trHeight w:val="94"/>
          <w:jc w:val="center"/>
        </w:trPr>
        <w:tc>
          <w:tcPr>
            <w:cnfStyle w:val="001000000000" w:firstRow="0" w:lastRow="0" w:firstColumn="1" w:lastColumn="0" w:oddVBand="0" w:evenVBand="0" w:oddHBand="0" w:evenHBand="0" w:firstRowFirstColumn="0" w:firstRowLastColumn="0" w:lastRowFirstColumn="0" w:lastRowLastColumn="0"/>
            <w:tcW w:w="1206" w:type="pct"/>
            <w:shd w:val="clear" w:color="auto" w:fill="FFFFFF" w:themeFill="background1"/>
            <w:vAlign w:val="center"/>
          </w:tcPr>
          <w:p w:rsidR="00E84F24" w:rsidRDefault="00E84F24" w:rsidP="00E84F24">
            <w:pPr>
              <w:spacing w:before="0" w:line="240" w:lineRule="auto"/>
              <w:jc w:val="center"/>
              <w:rPr>
                <w:rFonts w:cs="Calibri"/>
                <w:b w:val="0"/>
                <w:bCs w:val="0"/>
                <w:color w:val="000000"/>
                <w:sz w:val="16"/>
                <w:szCs w:val="16"/>
                <w:lang w:val="sq-AL"/>
              </w:rPr>
            </w:pPr>
            <w:r w:rsidRPr="00E84F24">
              <w:rPr>
                <w:rFonts w:cs="Calibri"/>
                <w:color w:val="000000"/>
                <w:sz w:val="16"/>
                <w:szCs w:val="16"/>
                <w:lang w:val="sq-AL"/>
              </w:rPr>
              <w:t xml:space="preserve">Arti dhe Kultura </w:t>
            </w:r>
          </w:p>
          <w:p w:rsidR="00E84F24" w:rsidRPr="00E84F24" w:rsidRDefault="00E84F24" w:rsidP="00E84F24">
            <w:pPr>
              <w:spacing w:before="0" w:line="240" w:lineRule="auto"/>
              <w:jc w:val="center"/>
              <w:rPr>
                <w:rFonts w:cs="Calibri"/>
                <w:sz w:val="16"/>
                <w:szCs w:val="16"/>
                <w:lang w:val="sq-AL"/>
              </w:rPr>
            </w:pPr>
            <w:r w:rsidRPr="00E84F24">
              <w:rPr>
                <w:rFonts w:cs="Calibri"/>
                <w:color w:val="000000"/>
                <w:sz w:val="16"/>
                <w:szCs w:val="16"/>
                <w:lang w:val="sq-AL"/>
              </w:rPr>
              <w:t>(Financim i Brendshem)</w:t>
            </w:r>
          </w:p>
        </w:tc>
        <w:tc>
          <w:tcPr>
            <w:tcW w:w="386"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1 086 520</w:t>
            </w:r>
          </w:p>
        </w:tc>
        <w:tc>
          <w:tcPr>
            <w:tcW w:w="425"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2 242 500</w:t>
            </w:r>
          </w:p>
        </w:tc>
        <w:tc>
          <w:tcPr>
            <w:tcW w:w="418"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2 000 332</w:t>
            </w:r>
          </w:p>
        </w:tc>
        <w:tc>
          <w:tcPr>
            <w:tcW w:w="391"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1 420 500</w:t>
            </w:r>
          </w:p>
        </w:tc>
        <w:tc>
          <w:tcPr>
            <w:tcW w:w="432" w:type="pct"/>
            <w:shd w:val="clear" w:color="auto" w:fill="FFFFFF" w:themeFill="background1"/>
            <w:vAlign w:val="center"/>
          </w:tcPr>
          <w:p w:rsidR="00E84F24" w:rsidRPr="00E84F24" w:rsidRDefault="00E84F24" w:rsidP="00E84F24">
            <w:pPr>
              <w:spacing w:before="0" w:line="240" w:lineRule="auto"/>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1 922 429</w:t>
            </w:r>
          </w:p>
        </w:tc>
        <w:tc>
          <w:tcPr>
            <w:tcW w:w="397" w:type="pct"/>
            <w:shd w:val="clear" w:color="auto" w:fill="FFFFFF" w:themeFill="background1"/>
            <w:vAlign w:val="center"/>
          </w:tcPr>
          <w:p w:rsidR="00E84F24" w:rsidRPr="00E84F24" w:rsidRDefault="00E84F24" w:rsidP="00E84F24">
            <w:pPr>
              <w:spacing w:before="0" w:line="240" w:lineRule="auto"/>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1339 051</w:t>
            </w:r>
          </w:p>
        </w:tc>
        <w:tc>
          <w:tcPr>
            <w:tcW w:w="281" w:type="pct"/>
            <w:shd w:val="clear" w:color="auto" w:fill="FFFFFF" w:themeFill="background1"/>
            <w:vAlign w:val="center"/>
          </w:tcPr>
          <w:p w:rsidR="00E84F24" w:rsidRPr="00E84F24" w:rsidRDefault="00E84F24" w:rsidP="00E84F24">
            <w:pPr>
              <w:spacing w:before="0" w:line="240" w:lineRule="auto"/>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177%</w:t>
            </w:r>
          </w:p>
        </w:tc>
        <w:tc>
          <w:tcPr>
            <w:tcW w:w="364" w:type="pct"/>
            <w:shd w:val="clear" w:color="auto" w:fill="FFFFFF" w:themeFill="background1"/>
            <w:vAlign w:val="center"/>
          </w:tcPr>
          <w:p w:rsidR="00E84F24" w:rsidRPr="00E84F24" w:rsidRDefault="00E84F24" w:rsidP="00E84F24">
            <w:pPr>
              <w:tabs>
                <w:tab w:val="left" w:pos="285"/>
                <w:tab w:val="center" w:pos="474"/>
              </w:tabs>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60%</w:t>
            </w:r>
          </w:p>
        </w:tc>
        <w:tc>
          <w:tcPr>
            <w:tcW w:w="283" w:type="pct"/>
            <w:shd w:val="clear" w:color="auto" w:fill="FFFFFF" w:themeFill="background1"/>
            <w:vAlign w:val="center"/>
          </w:tcPr>
          <w:p w:rsidR="00E84F24" w:rsidRPr="00E84F24" w:rsidRDefault="00E84F24" w:rsidP="00E84F24">
            <w:pPr>
              <w:tabs>
                <w:tab w:val="left" w:pos="285"/>
                <w:tab w:val="center" w:pos="474"/>
              </w:tabs>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Cs/>
                <w:sz w:val="16"/>
                <w:szCs w:val="16"/>
                <w:lang w:val="sq-AL"/>
              </w:rPr>
            </w:pPr>
            <w:r w:rsidRPr="00E84F24">
              <w:rPr>
                <w:rFonts w:cs="Calibri"/>
                <w:bCs/>
                <w:sz w:val="16"/>
                <w:szCs w:val="16"/>
                <w:lang w:val="sq-AL"/>
              </w:rPr>
              <w:t>96%</w:t>
            </w:r>
          </w:p>
        </w:tc>
        <w:tc>
          <w:tcPr>
            <w:cnfStyle w:val="000100000000" w:firstRow="0" w:lastRow="0" w:firstColumn="0" w:lastColumn="1" w:oddVBand="0" w:evenVBand="0" w:oddHBand="0" w:evenHBand="0" w:firstRowFirstColumn="0" w:firstRowLastColumn="0" w:lastRowFirstColumn="0" w:lastRowLastColumn="0"/>
            <w:tcW w:w="419" w:type="pct"/>
            <w:shd w:val="clear" w:color="auto" w:fill="FFFFFF" w:themeFill="background1"/>
            <w:vAlign w:val="center"/>
          </w:tcPr>
          <w:p w:rsidR="00E84F24" w:rsidRPr="00E84F24" w:rsidRDefault="00E84F24" w:rsidP="00E84F24">
            <w:pPr>
              <w:tabs>
                <w:tab w:val="left" w:pos="285"/>
                <w:tab w:val="center" w:pos="474"/>
              </w:tabs>
              <w:spacing w:before="0" w:line="240" w:lineRule="auto"/>
              <w:jc w:val="center"/>
              <w:rPr>
                <w:rFonts w:cs="Calibri"/>
                <w:sz w:val="16"/>
                <w:szCs w:val="16"/>
                <w:lang w:val="sq-AL"/>
              </w:rPr>
            </w:pPr>
            <w:r w:rsidRPr="00E84F24">
              <w:rPr>
                <w:rFonts w:cs="Calibri"/>
                <w:sz w:val="16"/>
                <w:szCs w:val="16"/>
                <w:lang w:val="sq-AL"/>
              </w:rPr>
              <w:t>94%</w:t>
            </w:r>
          </w:p>
        </w:tc>
      </w:tr>
      <w:tr w:rsidR="00E84F24" w:rsidRPr="00E84F24" w:rsidTr="00E84F24">
        <w:trPr>
          <w:trHeight w:val="94"/>
          <w:jc w:val="center"/>
        </w:trPr>
        <w:tc>
          <w:tcPr>
            <w:cnfStyle w:val="001000000000" w:firstRow="0" w:lastRow="0" w:firstColumn="1" w:lastColumn="0" w:oddVBand="0" w:evenVBand="0" w:oddHBand="0" w:evenHBand="0" w:firstRowFirstColumn="0" w:firstRowLastColumn="0" w:lastRowFirstColumn="0" w:lastRowLastColumn="0"/>
            <w:tcW w:w="1206" w:type="pct"/>
            <w:shd w:val="clear" w:color="auto" w:fill="FFFFFF" w:themeFill="background1"/>
            <w:vAlign w:val="center"/>
          </w:tcPr>
          <w:p w:rsidR="00E84F24" w:rsidRPr="00E84F24" w:rsidRDefault="00E84F24" w:rsidP="00E84F24">
            <w:pPr>
              <w:spacing w:before="0" w:line="240" w:lineRule="auto"/>
              <w:jc w:val="center"/>
              <w:rPr>
                <w:rFonts w:cs="Calibri"/>
                <w:color w:val="000000"/>
                <w:sz w:val="16"/>
                <w:szCs w:val="16"/>
                <w:lang w:val="sq-AL"/>
              </w:rPr>
            </w:pPr>
            <w:r w:rsidRPr="00E84F24">
              <w:rPr>
                <w:rFonts w:cs="Calibri"/>
                <w:color w:val="000000"/>
                <w:sz w:val="16"/>
                <w:szCs w:val="16"/>
                <w:lang w:val="sq-AL"/>
              </w:rPr>
              <w:t>Financimi i huaj</w:t>
            </w:r>
          </w:p>
        </w:tc>
        <w:tc>
          <w:tcPr>
            <w:tcW w:w="386"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p>
        </w:tc>
        <w:tc>
          <w:tcPr>
            <w:tcW w:w="425"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6"/>
                <w:szCs w:val="16"/>
              </w:rPr>
            </w:pPr>
            <w:r w:rsidRPr="00E84F24">
              <w:rPr>
                <w:rFonts w:cs="Calibri"/>
                <w:sz w:val="16"/>
                <w:szCs w:val="16"/>
              </w:rPr>
              <w:t>95 000</w:t>
            </w:r>
          </w:p>
        </w:tc>
        <w:tc>
          <w:tcPr>
            <w:tcW w:w="418"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sq-AL"/>
              </w:rPr>
            </w:pPr>
          </w:p>
        </w:tc>
        <w:tc>
          <w:tcPr>
            <w:tcW w:w="391"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r w:rsidRPr="00E84F24">
              <w:rPr>
                <w:rFonts w:cs="Calibri"/>
                <w:color w:val="000000"/>
                <w:sz w:val="16"/>
                <w:szCs w:val="16"/>
              </w:rPr>
              <w:t>95 000</w:t>
            </w:r>
          </w:p>
        </w:tc>
        <w:tc>
          <w:tcPr>
            <w:tcW w:w="432"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sq-AL"/>
              </w:rPr>
            </w:pPr>
          </w:p>
        </w:tc>
        <w:tc>
          <w:tcPr>
            <w:tcW w:w="397"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sq-AL"/>
              </w:rPr>
            </w:pPr>
            <w:r w:rsidRPr="00E84F24">
              <w:rPr>
                <w:rFonts w:cs="Calibri"/>
                <w:color w:val="000000"/>
                <w:sz w:val="16"/>
                <w:szCs w:val="16"/>
                <w:lang w:val="sq-AL"/>
              </w:rPr>
              <w:t>19 338</w:t>
            </w:r>
          </w:p>
        </w:tc>
        <w:tc>
          <w:tcPr>
            <w:tcW w:w="281" w:type="pct"/>
            <w:shd w:val="clear" w:color="auto" w:fill="FFFFFF" w:themeFill="background1"/>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sq-AL"/>
              </w:rPr>
            </w:pPr>
          </w:p>
        </w:tc>
        <w:tc>
          <w:tcPr>
            <w:tcW w:w="364" w:type="pct"/>
            <w:shd w:val="clear" w:color="auto" w:fill="FFFFFF" w:themeFill="background1"/>
            <w:vAlign w:val="center"/>
          </w:tcPr>
          <w:p w:rsidR="00E84F24" w:rsidRPr="00E84F24" w:rsidRDefault="00E84F24" w:rsidP="00E84F24">
            <w:pPr>
              <w:tabs>
                <w:tab w:val="left" w:pos="285"/>
                <w:tab w:val="center" w:pos="474"/>
              </w:tabs>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lang w:val="sq-AL"/>
              </w:rPr>
            </w:pPr>
            <w:r w:rsidRPr="00E84F24">
              <w:rPr>
                <w:rFonts w:cs="Calibri"/>
                <w:color w:val="000000"/>
                <w:sz w:val="16"/>
                <w:szCs w:val="16"/>
                <w:lang w:val="sq-AL"/>
              </w:rPr>
              <w:t>20%</w:t>
            </w:r>
          </w:p>
        </w:tc>
        <w:tc>
          <w:tcPr>
            <w:tcW w:w="283" w:type="pct"/>
            <w:shd w:val="clear" w:color="auto" w:fill="FFFFFF" w:themeFill="background1"/>
            <w:vAlign w:val="center"/>
          </w:tcPr>
          <w:p w:rsidR="00E84F24" w:rsidRPr="00E84F24" w:rsidRDefault="00E84F24" w:rsidP="00E84F24">
            <w:pPr>
              <w:tabs>
                <w:tab w:val="left" w:pos="285"/>
                <w:tab w:val="center" w:pos="474"/>
              </w:tabs>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color w:val="000000"/>
                <w:sz w:val="16"/>
                <w:szCs w:val="16"/>
              </w:rPr>
            </w:pPr>
          </w:p>
        </w:tc>
        <w:tc>
          <w:tcPr>
            <w:cnfStyle w:val="000100000000" w:firstRow="0" w:lastRow="0" w:firstColumn="0" w:lastColumn="1" w:oddVBand="0" w:evenVBand="0" w:oddHBand="0" w:evenHBand="0" w:firstRowFirstColumn="0" w:firstRowLastColumn="0" w:lastRowFirstColumn="0" w:lastRowLastColumn="0"/>
            <w:tcW w:w="419" w:type="pct"/>
            <w:shd w:val="clear" w:color="auto" w:fill="FFFFFF" w:themeFill="background1"/>
            <w:vAlign w:val="center"/>
          </w:tcPr>
          <w:p w:rsidR="00E84F24" w:rsidRPr="00E84F24" w:rsidRDefault="00E84F24" w:rsidP="00E84F24">
            <w:pPr>
              <w:tabs>
                <w:tab w:val="left" w:pos="285"/>
                <w:tab w:val="center" w:pos="474"/>
              </w:tabs>
              <w:spacing w:before="0" w:line="240" w:lineRule="auto"/>
              <w:jc w:val="center"/>
              <w:rPr>
                <w:rFonts w:cs="Calibri"/>
                <w:color w:val="000000"/>
                <w:sz w:val="16"/>
                <w:szCs w:val="16"/>
              </w:rPr>
            </w:pPr>
            <w:r w:rsidRPr="00E84F24">
              <w:rPr>
                <w:rFonts w:cs="Calibri"/>
                <w:color w:val="000000"/>
                <w:sz w:val="16"/>
                <w:szCs w:val="16"/>
              </w:rPr>
              <w:t>20%</w:t>
            </w:r>
          </w:p>
        </w:tc>
      </w:tr>
      <w:tr w:rsidR="00E84F24" w:rsidRPr="00E84F24" w:rsidTr="00E84F24">
        <w:trPr>
          <w:trHeight w:val="118"/>
          <w:jc w:val="center"/>
        </w:trPr>
        <w:tc>
          <w:tcPr>
            <w:cnfStyle w:val="001000000000" w:firstRow="0" w:lastRow="0" w:firstColumn="1" w:lastColumn="0" w:oddVBand="0" w:evenVBand="0" w:oddHBand="0" w:evenHBand="0" w:firstRowFirstColumn="0" w:firstRowLastColumn="0" w:lastRowFirstColumn="0" w:lastRowLastColumn="0"/>
            <w:tcW w:w="1206" w:type="pct"/>
            <w:tcBorders>
              <w:bottom w:val="double" w:sz="2" w:space="0" w:color="59A9F2"/>
            </w:tcBorders>
            <w:shd w:val="clear" w:color="auto" w:fill="auto"/>
            <w:vAlign w:val="center"/>
          </w:tcPr>
          <w:p w:rsidR="00E84F24" w:rsidRPr="00E84F24" w:rsidRDefault="00E84F24" w:rsidP="00E84F24">
            <w:pPr>
              <w:spacing w:before="0" w:line="240" w:lineRule="auto"/>
              <w:contextualSpacing/>
              <w:jc w:val="center"/>
              <w:rPr>
                <w:rFonts w:cs="Calibri"/>
                <w:i/>
                <w:sz w:val="16"/>
                <w:szCs w:val="16"/>
                <w:lang w:val="sq-AL"/>
              </w:rPr>
            </w:pPr>
            <w:r w:rsidRPr="00E84F24">
              <w:rPr>
                <w:rFonts w:cs="Calibri"/>
                <w:i/>
                <w:sz w:val="16"/>
                <w:szCs w:val="16"/>
                <w:lang w:val="sq-AL"/>
              </w:rPr>
              <w:t>Gjithsej sipas natyrës</w:t>
            </w:r>
          </w:p>
        </w:tc>
        <w:tc>
          <w:tcPr>
            <w:tcW w:w="386" w:type="pct"/>
            <w:tcBorders>
              <w:bottom w:val="double" w:sz="2" w:space="0" w:color="59A9F2"/>
            </w:tcBorders>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i/>
                <w:sz w:val="16"/>
                <w:szCs w:val="16"/>
                <w:lang w:val="sq-AL"/>
              </w:rPr>
            </w:pPr>
            <w:r w:rsidRPr="00E84F24">
              <w:rPr>
                <w:rFonts w:cs="Calibri"/>
                <w:b/>
                <w:i/>
                <w:sz w:val="16"/>
                <w:szCs w:val="16"/>
                <w:lang w:val="sq-AL"/>
              </w:rPr>
              <w:t>1 889 760</w:t>
            </w:r>
          </w:p>
        </w:tc>
        <w:tc>
          <w:tcPr>
            <w:tcW w:w="425" w:type="pct"/>
            <w:tcBorders>
              <w:bottom w:val="double" w:sz="2" w:space="0" w:color="59A9F2"/>
            </w:tcBorders>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i/>
                <w:sz w:val="16"/>
                <w:szCs w:val="16"/>
                <w:lang w:val="sq-AL"/>
              </w:rPr>
            </w:pPr>
            <w:r w:rsidRPr="00E84F24">
              <w:rPr>
                <w:rFonts w:cs="Calibri"/>
                <w:b/>
                <w:i/>
                <w:sz w:val="16"/>
                <w:szCs w:val="16"/>
                <w:lang w:val="sq-AL"/>
              </w:rPr>
              <w:t>2 422 500</w:t>
            </w:r>
          </w:p>
        </w:tc>
        <w:tc>
          <w:tcPr>
            <w:tcW w:w="418" w:type="pct"/>
            <w:tcBorders>
              <w:bottom w:val="double" w:sz="2" w:space="0" w:color="59A9F2"/>
            </w:tcBorders>
            <w:shd w:val="clear" w:color="auto" w:fill="auto"/>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i/>
                <w:sz w:val="16"/>
                <w:szCs w:val="16"/>
                <w:lang w:val="sq-AL"/>
              </w:rPr>
            </w:pPr>
            <w:r w:rsidRPr="00E84F24">
              <w:rPr>
                <w:rFonts w:cs="Calibri"/>
                <w:b/>
                <w:i/>
                <w:sz w:val="16"/>
                <w:szCs w:val="16"/>
                <w:lang w:val="sq-AL"/>
              </w:rPr>
              <w:t>2 777 241</w:t>
            </w:r>
          </w:p>
        </w:tc>
        <w:tc>
          <w:tcPr>
            <w:tcW w:w="391" w:type="pct"/>
            <w:tcBorders>
              <w:bottom w:val="double" w:sz="2" w:space="0" w:color="59A9F2"/>
            </w:tcBorders>
            <w:shd w:val="clear" w:color="auto" w:fill="auto"/>
            <w:vAlign w:val="center"/>
          </w:tcPr>
          <w:p w:rsidR="00E84F24" w:rsidRPr="00E84F24" w:rsidRDefault="00E84F24" w:rsidP="00E84F24">
            <w:pPr>
              <w:spacing w:before="0" w:line="240" w:lineRule="auto"/>
              <w:cnfStyle w:val="000000000000" w:firstRow="0" w:lastRow="0" w:firstColumn="0" w:lastColumn="0" w:oddVBand="0" w:evenVBand="0" w:oddHBand="0" w:evenHBand="0" w:firstRowFirstColumn="0" w:firstRowLastColumn="0" w:lastRowFirstColumn="0" w:lastRowLastColumn="0"/>
              <w:rPr>
                <w:rFonts w:cs="Calibri"/>
                <w:b/>
                <w:i/>
                <w:sz w:val="16"/>
                <w:szCs w:val="16"/>
                <w:lang w:val="sq-AL"/>
              </w:rPr>
            </w:pPr>
            <w:r w:rsidRPr="00E84F24">
              <w:rPr>
                <w:rFonts w:cs="Calibri"/>
                <w:b/>
                <w:i/>
                <w:sz w:val="16"/>
                <w:szCs w:val="16"/>
                <w:lang w:val="sq-AL"/>
              </w:rPr>
              <w:t>1598 500</w:t>
            </w:r>
          </w:p>
        </w:tc>
        <w:tc>
          <w:tcPr>
            <w:tcW w:w="432" w:type="pct"/>
            <w:tcBorders>
              <w:bottom w:val="double" w:sz="2" w:space="0" w:color="59A9F2"/>
            </w:tcBorders>
            <w:shd w:val="clear" w:color="auto" w:fill="auto"/>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i/>
                <w:sz w:val="16"/>
                <w:szCs w:val="16"/>
                <w:lang w:val="sq-AL"/>
              </w:rPr>
            </w:pPr>
            <w:r w:rsidRPr="00E84F24">
              <w:rPr>
                <w:rFonts w:cs="Calibri"/>
                <w:b/>
                <w:i/>
                <w:sz w:val="16"/>
                <w:szCs w:val="16"/>
                <w:lang w:val="sq-AL"/>
              </w:rPr>
              <w:t>2666 756</w:t>
            </w:r>
          </w:p>
        </w:tc>
        <w:tc>
          <w:tcPr>
            <w:tcW w:w="397" w:type="pct"/>
            <w:tcBorders>
              <w:bottom w:val="double" w:sz="2" w:space="0" w:color="59A9F2"/>
            </w:tcBorders>
            <w:shd w:val="clear" w:color="auto" w:fill="auto"/>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i/>
                <w:sz w:val="16"/>
                <w:szCs w:val="16"/>
                <w:lang w:val="sq-AL"/>
              </w:rPr>
            </w:pPr>
            <w:r w:rsidRPr="00E84F24">
              <w:rPr>
                <w:rFonts w:cs="Calibri"/>
                <w:b/>
                <w:i/>
                <w:sz w:val="16"/>
                <w:szCs w:val="16"/>
                <w:lang w:val="sq-AL"/>
              </w:rPr>
              <w:t>1379 595</w:t>
            </w:r>
          </w:p>
        </w:tc>
        <w:tc>
          <w:tcPr>
            <w:tcW w:w="281" w:type="pct"/>
            <w:tcBorders>
              <w:bottom w:val="double" w:sz="2" w:space="0" w:color="59A9F2"/>
            </w:tcBorders>
            <w:shd w:val="clear" w:color="auto" w:fill="auto"/>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i/>
                <w:sz w:val="16"/>
                <w:szCs w:val="16"/>
                <w:lang w:val="sq-AL"/>
              </w:rPr>
            </w:pPr>
            <w:r w:rsidRPr="00E84F24">
              <w:rPr>
                <w:rFonts w:cs="Calibri"/>
                <w:b/>
                <w:i/>
                <w:sz w:val="16"/>
                <w:szCs w:val="16"/>
                <w:lang w:val="sq-AL"/>
              </w:rPr>
              <w:t>141%</w:t>
            </w:r>
          </w:p>
        </w:tc>
        <w:tc>
          <w:tcPr>
            <w:tcW w:w="364" w:type="pct"/>
            <w:tcBorders>
              <w:bottom w:val="double" w:sz="2" w:space="0" w:color="59A9F2"/>
            </w:tcBorders>
            <w:shd w:val="clear" w:color="auto" w:fill="auto"/>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i/>
                <w:sz w:val="16"/>
                <w:szCs w:val="16"/>
                <w:lang w:val="sq-AL"/>
              </w:rPr>
            </w:pPr>
            <w:r w:rsidRPr="00E84F24">
              <w:rPr>
                <w:rFonts w:cs="Calibri"/>
                <w:b/>
                <w:bCs/>
                <w:i/>
                <w:sz w:val="16"/>
                <w:szCs w:val="16"/>
                <w:lang w:val="sq-AL"/>
              </w:rPr>
              <w:t>57%</w:t>
            </w:r>
          </w:p>
        </w:tc>
        <w:tc>
          <w:tcPr>
            <w:tcW w:w="283" w:type="pct"/>
            <w:tcBorders>
              <w:bottom w:val="double" w:sz="2" w:space="0" w:color="59A9F2"/>
            </w:tcBorders>
            <w:vAlign w:val="center"/>
          </w:tcPr>
          <w:p w:rsidR="00E84F24" w:rsidRPr="00E84F24" w:rsidRDefault="00E84F24" w:rsidP="00E84F24">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b/>
                <w:bCs/>
                <w:i/>
                <w:sz w:val="16"/>
                <w:szCs w:val="16"/>
                <w:lang w:val="sq-AL"/>
              </w:rPr>
            </w:pPr>
            <w:r w:rsidRPr="00E84F24">
              <w:rPr>
                <w:rFonts w:cs="Calibri"/>
                <w:b/>
                <w:bCs/>
                <w:i/>
                <w:sz w:val="16"/>
                <w:szCs w:val="16"/>
                <w:lang w:val="sq-AL"/>
              </w:rPr>
              <w:t>96%</w:t>
            </w:r>
          </w:p>
        </w:tc>
        <w:tc>
          <w:tcPr>
            <w:cnfStyle w:val="000100000000" w:firstRow="0" w:lastRow="0" w:firstColumn="0" w:lastColumn="1" w:oddVBand="0" w:evenVBand="0" w:oddHBand="0" w:evenHBand="0" w:firstRowFirstColumn="0" w:firstRowLastColumn="0" w:lastRowFirstColumn="0" w:lastRowLastColumn="0"/>
            <w:tcW w:w="419" w:type="pct"/>
            <w:tcBorders>
              <w:bottom w:val="double" w:sz="2" w:space="0" w:color="59A9F2"/>
            </w:tcBorders>
            <w:vAlign w:val="center"/>
          </w:tcPr>
          <w:p w:rsidR="00E84F24" w:rsidRPr="00E84F24" w:rsidRDefault="00E84F24" w:rsidP="00E84F24">
            <w:pPr>
              <w:spacing w:before="0" w:line="240" w:lineRule="auto"/>
              <w:jc w:val="center"/>
              <w:rPr>
                <w:rFonts w:cs="Calibri"/>
                <w:i/>
                <w:sz w:val="16"/>
                <w:szCs w:val="16"/>
                <w:lang w:val="sq-AL"/>
              </w:rPr>
            </w:pPr>
            <w:r w:rsidRPr="00E84F24">
              <w:rPr>
                <w:rFonts w:cs="Calibri"/>
                <w:i/>
                <w:sz w:val="16"/>
                <w:szCs w:val="16"/>
                <w:lang w:val="sq-AL"/>
              </w:rPr>
              <w:t>86%</w:t>
            </w:r>
          </w:p>
        </w:tc>
      </w:tr>
      <w:tr w:rsidR="00E84F24" w:rsidRPr="00E84F24" w:rsidTr="00E84F24">
        <w:trPr>
          <w:cnfStyle w:val="010000000000" w:firstRow="0" w:lastRow="1" w:firstColumn="0" w:lastColumn="0" w:oddVBand="0" w:evenVBand="0" w:oddHBand="0"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1206" w:type="pct"/>
            <w:shd w:val="clear" w:color="auto" w:fill="0B5294"/>
            <w:vAlign w:val="center"/>
          </w:tcPr>
          <w:p w:rsidR="00E84F24" w:rsidRPr="00E84F24" w:rsidRDefault="00E84F24" w:rsidP="00E84F24">
            <w:pPr>
              <w:spacing w:before="0" w:line="240" w:lineRule="auto"/>
              <w:contextualSpacing/>
              <w:jc w:val="center"/>
              <w:rPr>
                <w:rFonts w:cs="Calibri"/>
                <w:color w:val="FFFFFF"/>
                <w:sz w:val="16"/>
                <w:szCs w:val="16"/>
                <w:lang w:val="sq-AL"/>
              </w:rPr>
            </w:pPr>
            <w:r w:rsidRPr="00E84F24">
              <w:rPr>
                <w:rFonts w:cs="Calibri"/>
                <w:color w:val="FFFFFF"/>
                <w:sz w:val="16"/>
                <w:szCs w:val="16"/>
                <w:lang w:val="sq-AL"/>
              </w:rPr>
              <w:t>Gjithsej</w:t>
            </w:r>
          </w:p>
        </w:tc>
        <w:tc>
          <w:tcPr>
            <w:tcW w:w="811" w:type="pct"/>
            <w:gridSpan w:val="2"/>
            <w:shd w:val="clear" w:color="auto" w:fill="0B5294"/>
            <w:vAlign w:val="bottom"/>
          </w:tcPr>
          <w:p w:rsidR="00E84F24" w:rsidRPr="00E84F24" w:rsidRDefault="00E84F24" w:rsidP="00E84F24">
            <w:pPr>
              <w:spacing w:before="0" w:line="240" w:lineRule="auto"/>
              <w:jc w:val="center"/>
              <w:cnfStyle w:val="010000000000" w:firstRow="0" w:lastRow="1"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color w:val="FFFFFF"/>
                <w:sz w:val="16"/>
                <w:szCs w:val="16"/>
              </w:rPr>
              <w:t>4 312 260</w:t>
            </w:r>
          </w:p>
        </w:tc>
        <w:tc>
          <w:tcPr>
            <w:tcW w:w="808" w:type="pct"/>
            <w:gridSpan w:val="2"/>
            <w:shd w:val="clear" w:color="auto" w:fill="0B5294"/>
            <w:vAlign w:val="bottom"/>
          </w:tcPr>
          <w:p w:rsidR="00E84F24" w:rsidRPr="00E84F24" w:rsidRDefault="00E84F24" w:rsidP="00E84F24">
            <w:pPr>
              <w:spacing w:before="0" w:line="240" w:lineRule="auto"/>
              <w:jc w:val="center"/>
              <w:cnfStyle w:val="010000000000" w:firstRow="0" w:lastRow="1" w:firstColumn="0" w:lastColumn="0" w:oddVBand="0" w:evenVBand="0" w:oddHBand="0" w:evenHBand="0" w:firstRowFirstColumn="0" w:firstRowLastColumn="0" w:lastRowFirstColumn="0" w:lastRowLastColumn="0"/>
              <w:rPr>
                <w:rFonts w:cs="Calibri"/>
                <w:color w:val="FFFFFF"/>
                <w:sz w:val="16"/>
                <w:szCs w:val="16"/>
                <w:lang w:val="sq-AL"/>
              </w:rPr>
            </w:pPr>
            <w:r w:rsidRPr="00E84F24">
              <w:rPr>
                <w:rFonts w:cs="Calibri"/>
                <w:color w:val="FFFFFF"/>
                <w:sz w:val="16"/>
                <w:szCs w:val="16"/>
                <w:lang w:val="sq-AL"/>
              </w:rPr>
              <w:t>4 375 741</w:t>
            </w:r>
          </w:p>
        </w:tc>
        <w:tc>
          <w:tcPr>
            <w:tcW w:w="829" w:type="pct"/>
            <w:gridSpan w:val="2"/>
            <w:shd w:val="clear" w:color="auto" w:fill="0B5294"/>
            <w:vAlign w:val="bottom"/>
          </w:tcPr>
          <w:p w:rsidR="00E84F24" w:rsidRPr="00E84F24" w:rsidRDefault="00E84F24" w:rsidP="00E84F24">
            <w:pPr>
              <w:spacing w:before="0" w:line="240" w:lineRule="auto"/>
              <w:jc w:val="center"/>
              <w:cnfStyle w:val="010000000000" w:firstRow="0" w:lastRow="1" w:firstColumn="0" w:lastColumn="0" w:oddVBand="0" w:evenVBand="0" w:oddHBand="0" w:evenHBand="0" w:firstRowFirstColumn="0" w:firstRowLastColumn="0" w:lastRowFirstColumn="0" w:lastRowLastColumn="0"/>
              <w:rPr>
                <w:rFonts w:cs="Calibri"/>
                <w:color w:val="FFFFFF"/>
                <w:sz w:val="16"/>
                <w:szCs w:val="16"/>
              </w:rPr>
            </w:pPr>
            <w:r w:rsidRPr="00E84F24">
              <w:rPr>
                <w:rFonts w:cs="Calibri"/>
                <w:color w:val="FFFFFF"/>
                <w:sz w:val="16"/>
                <w:szCs w:val="16"/>
              </w:rPr>
              <w:t>4 046 351</w:t>
            </w:r>
          </w:p>
        </w:tc>
        <w:tc>
          <w:tcPr>
            <w:tcW w:w="645" w:type="pct"/>
            <w:gridSpan w:val="2"/>
            <w:shd w:val="clear" w:color="auto" w:fill="0B5294"/>
            <w:vAlign w:val="bottom"/>
          </w:tcPr>
          <w:p w:rsidR="00E84F24" w:rsidRPr="00E84F24" w:rsidRDefault="00E84F24" w:rsidP="00E84F24">
            <w:pPr>
              <w:spacing w:before="0" w:line="240" w:lineRule="auto"/>
              <w:jc w:val="center"/>
              <w:cnfStyle w:val="010000000000" w:firstRow="0" w:lastRow="1" w:firstColumn="0" w:lastColumn="0" w:oddVBand="0" w:evenVBand="0" w:oddHBand="0" w:evenHBand="0" w:firstRowFirstColumn="0" w:firstRowLastColumn="0" w:lastRowFirstColumn="0" w:lastRowLastColumn="0"/>
              <w:rPr>
                <w:rFonts w:cs="Calibri"/>
                <w:color w:val="FFFFFF"/>
                <w:sz w:val="16"/>
                <w:szCs w:val="16"/>
              </w:rPr>
            </w:pPr>
            <w:r w:rsidRPr="00E84F24">
              <w:rPr>
                <w:rFonts w:cs="Calibri"/>
                <w:color w:val="FFFFFF"/>
                <w:sz w:val="16"/>
                <w:szCs w:val="16"/>
              </w:rPr>
              <w:t>94%</w:t>
            </w:r>
          </w:p>
        </w:tc>
        <w:tc>
          <w:tcPr>
            <w:cnfStyle w:val="000100000000" w:firstRow="0" w:lastRow="0" w:firstColumn="0" w:lastColumn="1" w:oddVBand="0" w:evenVBand="0" w:oddHBand="0" w:evenHBand="0" w:firstRowFirstColumn="0" w:firstRowLastColumn="0" w:lastRowFirstColumn="0" w:lastRowLastColumn="0"/>
            <w:tcW w:w="702" w:type="pct"/>
            <w:gridSpan w:val="2"/>
            <w:shd w:val="clear" w:color="auto" w:fill="0B5294"/>
            <w:vAlign w:val="bottom"/>
          </w:tcPr>
          <w:p w:rsidR="00E84F24" w:rsidRPr="00E84F24" w:rsidRDefault="00E84F24" w:rsidP="00E84F24">
            <w:pPr>
              <w:spacing w:before="0" w:line="240" w:lineRule="auto"/>
              <w:jc w:val="center"/>
              <w:rPr>
                <w:rFonts w:cs="Calibri"/>
                <w:color w:val="FFFFFF"/>
                <w:sz w:val="16"/>
                <w:szCs w:val="16"/>
              </w:rPr>
            </w:pPr>
            <w:r w:rsidRPr="00E84F24">
              <w:rPr>
                <w:rFonts w:cs="Calibri"/>
                <w:color w:val="FFFFFF"/>
                <w:sz w:val="16"/>
                <w:szCs w:val="16"/>
              </w:rPr>
              <w:t>92%</w:t>
            </w:r>
          </w:p>
        </w:tc>
      </w:tr>
    </w:tbl>
    <w:p w:rsidR="00A35358" w:rsidRPr="00A35358" w:rsidRDefault="00A35358" w:rsidP="00FC729E">
      <w:pPr>
        <w:jc w:val="center"/>
        <w:rPr>
          <w:rFonts w:cs="Calibri"/>
          <w:color w:val="000000"/>
          <w:sz w:val="8"/>
          <w:lang w:val="sq-AL"/>
        </w:rPr>
      </w:pPr>
    </w:p>
    <w:p w:rsidR="00E84F24" w:rsidRPr="00F95C93" w:rsidRDefault="00E84F24" w:rsidP="00E84F24">
      <w:pPr>
        <w:spacing w:line="240" w:lineRule="auto"/>
        <w:rPr>
          <w:rFonts w:cs="Calibri"/>
          <w:color w:val="000000"/>
          <w:lang w:val="sq-AL"/>
        </w:rPr>
      </w:pPr>
      <w:bookmarkStart w:id="293" w:name="_Hlk40881889"/>
      <w:r w:rsidRPr="00F95C93">
        <w:rPr>
          <w:rFonts w:cs="Calibri"/>
          <w:color w:val="000000"/>
          <w:lang w:val="sq-AL"/>
        </w:rPr>
        <w:t>Buxheti i Ministrisë së Kulturës u rishikua në rritje gjatë vitit 2022, ndryshime këto që kanë pasur të bëjnë me mbartjen e fondeve të pashpenzuara të rindërtimit nga viti 2021,  si edhe me Aktet Normative të miratuara gjatë vitit. Buxheti u rrit me rreth 1.5% në krahasim me planin fillestar të përgjithshëm: rritja i atribuohet kryesisht programit  të “Artit dhe Kulturës”.</w:t>
      </w:r>
    </w:p>
    <w:p w:rsidR="00E84F24" w:rsidRPr="00F95C93" w:rsidRDefault="00E84F24" w:rsidP="00E84F24">
      <w:pPr>
        <w:spacing w:line="240" w:lineRule="auto"/>
        <w:rPr>
          <w:rFonts w:eastAsia="MS Mincho" w:cs="Calibri"/>
          <w:lang w:val="sq-AL"/>
        </w:rPr>
      </w:pPr>
      <w:r w:rsidRPr="00F95C93">
        <w:rPr>
          <w:rFonts w:eastAsia="MS Mincho" w:cs="Calibri"/>
          <w:lang w:val="sq-AL"/>
        </w:rPr>
        <w:t>Në programin</w:t>
      </w:r>
      <w:r w:rsidRPr="00F95C93">
        <w:rPr>
          <w:rFonts w:eastAsia="MS Mincho" w:cs="Calibri"/>
          <w:b/>
          <w:lang w:val="sq-AL"/>
        </w:rPr>
        <w:t xml:space="preserve"> “Trashëgimia Kulturore</w:t>
      </w:r>
      <w:r w:rsidRPr="00F95C93">
        <w:rPr>
          <w:rFonts w:eastAsia="MS Mincho" w:cs="Calibri"/>
          <w:lang w:val="sq-AL"/>
        </w:rPr>
        <w:t>, gjatë vitit 2022,</w:t>
      </w:r>
      <w:r w:rsidRPr="00F95C93">
        <w:rPr>
          <w:rFonts w:eastAsia="MS Mincho"/>
          <w:sz w:val="24"/>
          <w:lang w:val="sq-AL"/>
        </w:rPr>
        <w:t xml:space="preserve"> është </w:t>
      </w:r>
      <w:r w:rsidRPr="00F95C93">
        <w:rPr>
          <w:rFonts w:eastAsia="MS Mincho" w:cs="Calibri"/>
          <w:lang w:val="sq-AL"/>
        </w:rPr>
        <w:t xml:space="preserve">synuar në realizimin e objektivit “Reabilitimi i trashëgimisë arkitektonike, muzeve dhe peisazhit përmes rritjes së numrit të monumenteve dhe muzeve të rehabilituara”. Kështu: </w:t>
      </w:r>
    </w:p>
    <w:p w:rsidR="00E84F24" w:rsidRPr="00F95C93" w:rsidRDefault="00E84F24" w:rsidP="00C71069">
      <w:pPr>
        <w:numPr>
          <w:ilvl w:val="0"/>
          <w:numId w:val="45"/>
        </w:numPr>
        <w:spacing w:before="0" w:line="240" w:lineRule="auto"/>
        <w:contextualSpacing/>
        <w:rPr>
          <w:i/>
          <w:iCs/>
          <w:lang w:val="sq-AL"/>
        </w:rPr>
      </w:pPr>
      <w:r w:rsidRPr="00F95C93">
        <w:rPr>
          <w:i/>
          <w:iCs/>
          <w:lang w:val="sq-AL"/>
        </w:rPr>
        <w:t xml:space="preserve">Me një kosto rreth 250.9  milion lekë, janë kryer punime mirëmbajtje dhe restaurime në 136 objekte, si edhe ndërhyrje restauruese, konsoliduese, pastrime nga vegjetacioni apo mirëmbajtje. </w:t>
      </w:r>
    </w:p>
    <w:p w:rsidR="00E84F24" w:rsidRPr="00F95C93" w:rsidRDefault="00E84F24" w:rsidP="00C71069">
      <w:pPr>
        <w:numPr>
          <w:ilvl w:val="0"/>
          <w:numId w:val="45"/>
        </w:numPr>
        <w:spacing w:before="0" w:line="240" w:lineRule="auto"/>
        <w:contextualSpacing/>
        <w:rPr>
          <w:i/>
          <w:iCs/>
          <w:lang w:val="sq-AL"/>
        </w:rPr>
      </w:pPr>
      <w:r w:rsidRPr="00F95C93">
        <w:rPr>
          <w:i/>
          <w:iCs/>
          <w:lang w:val="sq-AL"/>
        </w:rPr>
        <w:t>Gjithashtu janë zhvilluar rreth 91 aktivitete edukuese dhe promovuese, ekspozita, botime, etj.me nje kosto prej 62.3 milion lekesh.</w:t>
      </w:r>
    </w:p>
    <w:p w:rsidR="00E84F24" w:rsidRPr="00F95C93" w:rsidRDefault="00E84F24" w:rsidP="00C71069">
      <w:pPr>
        <w:numPr>
          <w:ilvl w:val="0"/>
          <w:numId w:val="45"/>
        </w:numPr>
        <w:spacing w:before="0" w:line="240" w:lineRule="auto"/>
        <w:contextualSpacing/>
        <w:rPr>
          <w:i/>
          <w:iCs/>
          <w:lang w:val="sq-AL"/>
        </w:rPr>
      </w:pPr>
      <w:r w:rsidRPr="00F95C93">
        <w:rPr>
          <w:i/>
          <w:iCs/>
          <w:lang w:val="sq-AL"/>
        </w:rPr>
        <w:t>Jane mirembajtur 11 muze te vizitueshme nga publiku me nje kosto prej 164.8 milion lekesh.</w:t>
      </w:r>
    </w:p>
    <w:p w:rsidR="00E84F24" w:rsidRPr="00F95C93" w:rsidRDefault="00E84F24" w:rsidP="00C71069">
      <w:pPr>
        <w:numPr>
          <w:ilvl w:val="0"/>
          <w:numId w:val="45"/>
        </w:numPr>
        <w:spacing w:before="0" w:line="240" w:lineRule="auto"/>
        <w:contextualSpacing/>
        <w:rPr>
          <w:i/>
          <w:iCs/>
          <w:lang w:val="sq-AL"/>
        </w:rPr>
      </w:pPr>
      <w:r w:rsidRPr="00F95C93">
        <w:rPr>
          <w:i/>
          <w:iCs/>
          <w:lang w:val="sq-AL"/>
        </w:rPr>
        <w:lastRenderedPageBreak/>
        <w:t>Eshte realizuar  produkti “Trashegimia materiale e jo materiale e inventarizuar” me nje numer kartesh faktike prej 13 339 , me nje kosto prej 12.2 milion lekesh.</w:t>
      </w:r>
    </w:p>
    <w:p w:rsidR="00E84F24" w:rsidRPr="00F95C93" w:rsidRDefault="00E84F24" w:rsidP="00C71069">
      <w:pPr>
        <w:numPr>
          <w:ilvl w:val="0"/>
          <w:numId w:val="45"/>
        </w:numPr>
        <w:spacing w:before="0" w:line="240" w:lineRule="auto"/>
        <w:contextualSpacing/>
        <w:rPr>
          <w:i/>
          <w:iCs/>
          <w:lang w:val="sq-AL"/>
        </w:rPr>
      </w:pPr>
      <w:r w:rsidRPr="00F95C93">
        <w:rPr>
          <w:i/>
          <w:iCs/>
          <w:lang w:val="sq-AL"/>
        </w:rPr>
        <w:t>Ne kalane e Beratit ka pasur 4582 vizitore deri ne momentin e mbylljes. Gjithashtu janë realizuar shumë punime mirembajtje, pastrimi e nderhyrje restauruese ne lagjen kala e disa territore të tjera.</w:t>
      </w:r>
    </w:p>
    <w:p w:rsidR="00E84F24" w:rsidRPr="00F95C93" w:rsidRDefault="00E84F24" w:rsidP="00C71069">
      <w:pPr>
        <w:numPr>
          <w:ilvl w:val="0"/>
          <w:numId w:val="45"/>
        </w:numPr>
        <w:spacing w:before="0" w:line="240" w:lineRule="auto"/>
        <w:contextualSpacing/>
        <w:rPr>
          <w:i/>
          <w:iCs/>
          <w:lang w:val="sq-AL"/>
        </w:rPr>
      </w:pPr>
      <w:r w:rsidRPr="00F95C93">
        <w:rPr>
          <w:i/>
          <w:iCs/>
          <w:lang w:val="sq-AL"/>
        </w:rPr>
        <w:t>Në Korçë është përfunduar “Restaurimi i pikturave murale në Kishën e Shën Kollit, Voskopojë”, është kryer mirëmbajtja në 3 objekte, si edhe jane kryer 10 aktivitete.Janë realizuar disa projekte që lidhen me kujdesin ndaj monumenteve të kulturës, ku përmendim5 punime restauruese të zbatuara me fonde buxhetore, 20 projekte restaurimi dhe konsolidimi të hartuara, Restaurimi i kishës dhe pikturës murale në ishullin e Maligradit. Ka patur 7 përfitues nga nën programi “Bonus i rijetëzimit”</w:t>
      </w:r>
    </w:p>
    <w:p w:rsidR="00E84F24" w:rsidRPr="00F95C93" w:rsidRDefault="00E84F24" w:rsidP="00C71069">
      <w:pPr>
        <w:numPr>
          <w:ilvl w:val="0"/>
          <w:numId w:val="45"/>
        </w:numPr>
        <w:spacing w:before="0" w:line="240" w:lineRule="auto"/>
        <w:contextualSpacing/>
        <w:rPr>
          <w:i/>
          <w:iCs/>
          <w:lang w:val="sq-AL"/>
        </w:rPr>
      </w:pPr>
      <w:r w:rsidRPr="00F95C93">
        <w:rPr>
          <w:i/>
          <w:iCs/>
          <w:lang w:val="sq-AL"/>
        </w:rPr>
        <w:t>Ndërsa në Vlorë  DRTK ka realizuar restaurime e mirembajtje në 10 objekte,  ka zhvilluar rreth  70 aktivitete kulturore me fokus edukimin, ku temat kane qene kryesisht nga trashegimia kulturore.</w:t>
      </w:r>
    </w:p>
    <w:p w:rsidR="00E84F24" w:rsidRPr="00F95C93" w:rsidRDefault="00E84F24" w:rsidP="00C71069">
      <w:pPr>
        <w:numPr>
          <w:ilvl w:val="0"/>
          <w:numId w:val="45"/>
        </w:numPr>
        <w:spacing w:before="0" w:line="240" w:lineRule="auto"/>
        <w:contextualSpacing/>
        <w:rPr>
          <w:i/>
          <w:iCs/>
          <w:lang w:val="sq-AL"/>
        </w:rPr>
      </w:pPr>
      <w:r w:rsidRPr="00F95C93">
        <w:rPr>
          <w:i/>
          <w:iCs/>
          <w:lang w:val="sq-AL"/>
        </w:rPr>
        <w:t>Gjithashtu, veprimtaria muzeale vijoi nëpërmjet aktiviteteve dhe projekteve në Muzeun Kombëtar të Fotografisë “Marubi”, Muzeun Historik Kombëtar ku janë zhvilluar aktivitete, ekspozita, aktivitete për promovime librash. Gjithashtu evidentojmë që nga nenprogrami Bonusi i Rijetëzimit”, ka pasur 3 përfitues në Shkodër dhe 4 në Tiranë.</w:t>
      </w:r>
    </w:p>
    <w:p w:rsidR="00E84F24" w:rsidRPr="00F95C93" w:rsidRDefault="00E84F24" w:rsidP="00C71069">
      <w:pPr>
        <w:numPr>
          <w:ilvl w:val="0"/>
          <w:numId w:val="45"/>
        </w:numPr>
        <w:spacing w:before="0" w:line="240" w:lineRule="auto"/>
        <w:contextualSpacing/>
        <w:rPr>
          <w:i/>
          <w:iCs/>
          <w:lang w:val="sq-AL"/>
        </w:rPr>
      </w:pPr>
      <w:r w:rsidRPr="00F95C93">
        <w:rPr>
          <w:i/>
          <w:iCs/>
          <w:lang w:val="sq-AL"/>
        </w:rPr>
        <w:t>Në Gjirokatër janë realizuar 43 punime restauruese, punime pastrimi dhe sinjalistikë të përmirësuar. Ka patur 13 përfitues nga programi “Bonusi i Rijetëzimit”, si edhe janë zhvilluar 21 aktivitete, edukuese dhe ndërgjegjësuese.</w:t>
      </w:r>
    </w:p>
    <w:p w:rsidR="00E84F24" w:rsidRPr="00F95C93" w:rsidRDefault="00E84F24" w:rsidP="00C71069">
      <w:pPr>
        <w:numPr>
          <w:ilvl w:val="0"/>
          <w:numId w:val="45"/>
        </w:numPr>
        <w:spacing w:before="0" w:line="240" w:lineRule="auto"/>
        <w:contextualSpacing/>
        <w:rPr>
          <w:i/>
          <w:iCs/>
          <w:lang w:val="sq-AL"/>
        </w:rPr>
      </w:pPr>
      <w:r w:rsidRPr="00F95C93">
        <w:rPr>
          <w:i/>
          <w:iCs/>
          <w:lang w:val="sq-AL"/>
        </w:rPr>
        <w:t>Në kalanë e Gjirokatrës ka patur 137 556 vizitorë</w:t>
      </w:r>
      <w:r>
        <w:rPr>
          <w:i/>
          <w:iCs/>
          <w:lang w:val="sq-AL"/>
        </w:rPr>
        <w:t xml:space="preserve">, </w:t>
      </w:r>
      <w:r w:rsidRPr="00F95C93">
        <w:rPr>
          <w:i/>
          <w:iCs/>
          <w:lang w:val="sq-AL"/>
        </w:rPr>
        <w:t>në Parkun Arkeologjik të Antigonesë 1774 vizitorë.</w:t>
      </w:r>
    </w:p>
    <w:p w:rsidR="00E84F24" w:rsidRPr="00F95C93" w:rsidRDefault="00E84F24" w:rsidP="00C71069">
      <w:pPr>
        <w:numPr>
          <w:ilvl w:val="0"/>
          <w:numId w:val="45"/>
        </w:numPr>
        <w:spacing w:before="0" w:line="240" w:lineRule="auto"/>
        <w:contextualSpacing/>
        <w:rPr>
          <w:i/>
          <w:iCs/>
          <w:lang w:val="sq-AL"/>
        </w:rPr>
      </w:pPr>
      <w:r w:rsidRPr="00F95C93">
        <w:rPr>
          <w:i/>
          <w:iCs/>
          <w:lang w:val="sq-AL"/>
        </w:rPr>
        <w:t>Janë zhvilluar aktivitete, të fushës së trashëgimisë jomateriale, ku, pas thirrjes së hapur që Ministria e Kulturës shpall për mbështetjen financiare të projekteve në fushën e artit, kulturës dhe trashëgimisë janë</w:t>
      </w:r>
      <w:r w:rsidR="004E5E8E">
        <w:rPr>
          <w:i/>
          <w:iCs/>
          <w:lang w:val="sq-AL"/>
        </w:rPr>
        <w:t xml:space="preserve"> </w:t>
      </w:r>
      <w:r w:rsidRPr="00F95C93">
        <w:rPr>
          <w:i/>
          <w:iCs/>
          <w:lang w:val="sq-AL"/>
        </w:rPr>
        <w:t>zhvilluar</w:t>
      </w:r>
      <w:r w:rsidR="004E5E8E">
        <w:rPr>
          <w:i/>
          <w:iCs/>
          <w:lang w:val="sq-AL"/>
        </w:rPr>
        <w:t xml:space="preserve"> </w:t>
      </w:r>
      <w:r w:rsidRPr="00F95C93">
        <w:rPr>
          <w:i/>
          <w:iCs/>
          <w:lang w:val="sq-AL"/>
        </w:rPr>
        <w:t>60 aktivitete për promovimin e vlerave kulturore-artistike, ruajtjen/mbrojtjen/promovimin e trashëgimisë kulturore.</w:t>
      </w:r>
    </w:p>
    <w:p w:rsidR="00E84F24" w:rsidRPr="00F95C93" w:rsidRDefault="00E84F24" w:rsidP="00E84F24">
      <w:pPr>
        <w:spacing w:line="240" w:lineRule="auto"/>
        <w:rPr>
          <w:lang w:val="sq-AL"/>
        </w:rPr>
      </w:pPr>
      <w:r w:rsidRPr="00F95C93">
        <w:rPr>
          <w:lang w:val="sq-AL"/>
        </w:rPr>
        <w:t>Programi</w:t>
      </w:r>
      <w:r w:rsidRPr="00F95C93">
        <w:rPr>
          <w:b/>
          <w:lang w:val="sq-AL"/>
        </w:rPr>
        <w:t xml:space="preserve"> “Arti dhe Kultura</w:t>
      </w:r>
      <w:r w:rsidRPr="00F95C93">
        <w:rPr>
          <w:lang w:val="sq-AL"/>
        </w:rPr>
        <w:t xml:space="preserve"> ka për qëllim, edukimin, zhvillimin dhe promovimin e skenes artistike dhe vlerave kulturore kombëtare dhe ka objektiv rritjen e interesit të publikut ndaj programeve kulturore përmes përmirësimit të shërbimeve në infrastrukturë si dhe rritjen e cilësisë artistike. Kështu gjatë vitit 2022 janë realizuar:</w:t>
      </w:r>
    </w:p>
    <w:p w:rsidR="00E84F24" w:rsidRPr="00F95C93" w:rsidRDefault="00E84F24" w:rsidP="00C71069">
      <w:pPr>
        <w:numPr>
          <w:ilvl w:val="0"/>
          <w:numId w:val="45"/>
        </w:numPr>
        <w:spacing w:before="0" w:line="240" w:lineRule="auto"/>
        <w:contextualSpacing/>
        <w:rPr>
          <w:i/>
          <w:iCs/>
          <w:lang w:val="sq-AL"/>
        </w:rPr>
      </w:pPr>
      <w:r w:rsidRPr="00F95C93">
        <w:rPr>
          <w:i/>
          <w:iCs/>
          <w:lang w:val="sq-AL"/>
        </w:rPr>
        <w:t>211 premiera dhe shfaqje artistike të zhanrit skenik operistik, koreografik dhe folklorik kombëtar (326.4 milion lekë).</w:t>
      </w:r>
    </w:p>
    <w:p w:rsidR="00E84F24" w:rsidRPr="00F95C93" w:rsidRDefault="00E84F24" w:rsidP="00C71069">
      <w:pPr>
        <w:numPr>
          <w:ilvl w:val="0"/>
          <w:numId w:val="45"/>
        </w:numPr>
        <w:spacing w:before="0" w:line="240" w:lineRule="auto"/>
        <w:contextualSpacing/>
        <w:rPr>
          <w:i/>
          <w:iCs/>
          <w:lang w:val="sq-AL"/>
        </w:rPr>
      </w:pPr>
      <w:r w:rsidRPr="00F95C93">
        <w:rPr>
          <w:i/>
          <w:iCs/>
          <w:lang w:val="sq-AL"/>
        </w:rPr>
        <w:t xml:space="preserve">162 Premiera dhe shfaqie artistike të zhanrit teatror klasik dhe bashkëkohor (98 mln leke); </w:t>
      </w:r>
    </w:p>
    <w:p w:rsidR="00E84F24" w:rsidRPr="00F95C93" w:rsidRDefault="00E84F24" w:rsidP="00C71069">
      <w:pPr>
        <w:numPr>
          <w:ilvl w:val="0"/>
          <w:numId w:val="45"/>
        </w:numPr>
        <w:spacing w:before="0" w:line="240" w:lineRule="auto"/>
        <w:contextualSpacing/>
        <w:rPr>
          <w:i/>
          <w:iCs/>
          <w:lang w:val="sq-AL"/>
        </w:rPr>
      </w:pPr>
      <w:r w:rsidRPr="00F95C93">
        <w:rPr>
          <w:i/>
          <w:iCs/>
          <w:lang w:val="sq-AL"/>
        </w:rPr>
        <w:t>370 premiera dhe shfaqje artistike të zhanrit skenik teatror eksperimental klasik</w:t>
      </w:r>
      <w:r>
        <w:rPr>
          <w:i/>
          <w:iCs/>
          <w:lang w:val="sq-AL"/>
        </w:rPr>
        <w:t>/</w:t>
      </w:r>
      <w:r w:rsidRPr="00F95C93">
        <w:rPr>
          <w:i/>
          <w:iCs/>
          <w:lang w:val="sq-AL"/>
        </w:rPr>
        <w:t xml:space="preserve">bashkekohor (30mln lekë) </w:t>
      </w:r>
    </w:p>
    <w:p w:rsidR="00E84F24" w:rsidRPr="00F95C93" w:rsidRDefault="00E84F24" w:rsidP="00C71069">
      <w:pPr>
        <w:numPr>
          <w:ilvl w:val="0"/>
          <w:numId w:val="45"/>
        </w:numPr>
        <w:spacing w:before="0" w:line="240" w:lineRule="auto"/>
        <w:contextualSpacing/>
        <w:rPr>
          <w:i/>
          <w:iCs/>
          <w:lang w:val="sq-AL"/>
        </w:rPr>
      </w:pPr>
      <w:r w:rsidRPr="00F95C93">
        <w:rPr>
          <w:i/>
          <w:iCs/>
          <w:lang w:val="sq-AL"/>
        </w:rPr>
        <w:t xml:space="preserve">26 ekspozita me vepra pjesë e fondit të GKA, të përkohshme të traditës dhe bashkëkohore, autorë të diasporës dhe të huaj (29.6 milion lekë), </w:t>
      </w:r>
    </w:p>
    <w:p w:rsidR="00E84F24" w:rsidRPr="00F95C93" w:rsidRDefault="00E84F24" w:rsidP="00C71069">
      <w:pPr>
        <w:numPr>
          <w:ilvl w:val="0"/>
          <w:numId w:val="45"/>
        </w:numPr>
        <w:spacing w:before="0" w:line="240" w:lineRule="auto"/>
        <w:contextualSpacing/>
        <w:rPr>
          <w:i/>
          <w:iCs/>
          <w:lang w:val="sq-AL"/>
        </w:rPr>
      </w:pPr>
      <w:r w:rsidRPr="00F95C93">
        <w:rPr>
          <w:i/>
          <w:iCs/>
          <w:lang w:val="sq-AL"/>
        </w:rPr>
        <w:t xml:space="preserve">42 veprimtari edukuese të teatrit me dhe për fëmijë (38.4 milion lekë), </w:t>
      </w:r>
    </w:p>
    <w:p w:rsidR="00E84F24" w:rsidRPr="00F95C93" w:rsidRDefault="00E84F24" w:rsidP="00C71069">
      <w:pPr>
        <w:numPr>
          <w:ilvl w:val="0"/>
          <w:numId w:val="45"/>
        </w:numPr>
        <w:spacing w:before="0" w:line="240" w:lineRule="auto"/>
        <w:contextualSpacing/>
        <w:rPr>
          <w:i/>
          <w:iCs/>
          <w:lang w:val="sq-AL"/>
        </w:rPr>
      </w:pPr>
      <w:r w:rsidRPr="00F95C93">
        <w:rPr>
          <w:i/>
          <w:iCs/>
          <w:lang w:val="sq-AL"/>
        </w:rPr>
        <w:t>42 veprimtari artistike ne zhanrin e cirkut dhe eksperimentimin e formave te reja te shprehjes skenike bashkekohore (40.8 milion leke).</w:t>
      </w:r>
    </w:p>
    <w:p w:rsidR="00E84F24" w:rsidRPr="00F95C93" w:rsidRDefault="00E84F24" w:rsidP="00C71069">
      <w:pPr>
        <w:numPr>
          <w:ilvl w:val="0"/>
          <w:numId w:val="45"/>
        </w:numPr>
        <w:spacing w:before="0" w:line="240" w:lineRule="auto"/>
        <w:contextualSpacing/>
        <w:rPr>
          <w:i/>
          <w:iCs/>
          <w:lang w:val="sq-AL"/>
        </w:rPr>
      </w:pPr>
      <w:r w:rsidRPr="00F95C93">
        <w:rPr>
          <w:i/>
          <w:iCs/>
          <w:lang w:val="sq-AL"/>
        </w:rPr>
        <w:t>205 aktivitete për qytetarët përdorues dhe frekuentues të koleksioneve bibliotekare (98.6 mln lekë).</w:t>
      </w:r>
    </w:p>
    <w:p w:rsidR="00EE419E" w:rsidRPr="00EE419E" w:rsidRDefault="00E84F24" w:rsidP="00EE419E">
      <w:pPr>
        <w:spacing w:line="240" w:lineRule="auto"/>
        <w:rPr>
          <w:rFonts w:asciiTheme="majorHAnsi" w:hAnsiTheme="majorHAnsi" w:cs="Calibri Light"/>
          <w:szCs w:val="22"/>
          <w:lang w:val="sq-AL"/>
        </w:rPr>
      </w:pPr>
      <w:r w:rsidRPr="00EE419E">
        <w:rPr>
          <w:rFonts w:eastAsia="Cambria" w:cs="Calibri"/>
          <w:lang w:val="sq-AL"/>
        </w:rPr>
        <w:t xml:space="preserve">Për sa i përket </w:t>
      </w:r>
      <w:r w:rsidRPr="00EE419E">
        <w:rPr>
          <w:rFonts w:eastAsia="Cambria" w:cs="Calibri"/>
          <w:b/>
          <w:bCs/>
          <w:lang w:val="sq-AL"/>
        </w:rPr>
        <w:t>investimeve publike</w:t>
      </w:r>
      <w:r w:rsidR="00EE419E" w:rsidRPr="00EE419E">
        <w:rPr>
          <w:rFonts w:cs="Calibri"/>
          <w:lang w:val="sq-AL"/>
        </w:rPr>
        <w:t xml:space="preserve"> realizimi në vitin 2022 ishte 59.9% e buxhetit fillestar për projektet me financim të brendshëm (1.35 miliard lekë)</w:t>
      </w:r>
      <w:r w:rsidR="00EE419E" w:rsidRPr="00EE419E">
        <w:rPr>
          <w:rFonts w:cs="Calibri"/>
          <w:bCs/>
          <w:iCs/>
          <w:lang w:val="sq-AL"/>
        </w:rPr>
        <w:t xml:space="preserve"> (94.3% të planit vjetor të ndryshuar me AN nr.19) </w:t>
      </w:r>
      <w:r w:rsidR="00EE419E" w:rsidRPr="00EE419E">
        <w:rPr>
          <w:rFonts w:cs="Calibri"/>
          <w:lang w:val="sq-AL"/>
        </w:rPr>
        <w:t>dhe 14.6% e buxhetit për projektet me financim të huaj (0.16 milard lekë).</w:t>
      </w:r>
      <w:r w:rsidR="00EE419E" w:rsidRPr="00EE419E">
        <w:rPr>
          <w:rFonts w:cs="Calibri"/>
          <w:bCs/>
          <w:iCs/>
          <w:lang w:val="sq-AL"/>
        </w:rPr>
        <w:t xml:space="preserve"> </w:t>
      </w:r>
      <w:r w:rsidR="00EE419E" w:rsidRPr="00EE419E">
        <w:rPr>
          <w:rFonts w:asciiTheme="majorHAnsi" w:eastAsiaTheme="minorHAnsi" w:hAnsiTheme="majorHAnsi" w:cs="Calibri Light"/>
          <w:szCs w:val="22"/>
          <w:lang w:val="sq-AL"/>
        </w:rPr>
        <w:t xml:space="preserve">Janë mbyllur kontratat e investimit si më poshtë, ku ndër më kryesoret veçojmë rreth </w:t>
      </w:r>
      <w:r w:rsidR="00EE419E" w:rsidRPr="00EE419E">
        <w:rPr>
          <w:rFonts w:asciiTheme="majorHAnsi" w:hAnsiTheme="majorHAnsi" w:cs="Calibri Light"/>
          <w:szCs w:val="22"/>
          <w:lang w:val="sq-AL"/>
        </w:rPr>
        <w:t xml:space="preserve">15 kontrata </w:t>
      </w:r>
      <w:bookmarkStart w:id="294" w:name="_Hlk40881858"/>
      <w:r w:rsidR="00EE419E" w:rsidRPr="00EE419E">
        <w:rPr>
          <w:rFonts w:asciiTheme="majorHAnsi" w:hAnsiTheme="majorHAnsi" w:cs="Calibri Light"/>
          <w:szCs w:val="22"/>
          <w:lang w:val="sq-AL"/>
        </w:rPr>
        <w:t>me vlerë totale rreth 100 milionë lekë nga të cilat veçojmë:</w:t>
      </w:r>
    </w:p>
    <w:bookmarkEnd w:id="294"/>
    <w:p w:rsidR="00EE419E" w:rsidRPr="00EE419E" w:rsidRDefault="00EE419E"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EE419E">
        <w:rPr>
          <w:rFonts w:asciiTheme="majorHAnsi" w:hAnsiTheme="majorHAnsi" w:cs="Calibri Light"/>
          <w:bCs/>
          <w:i/>
          <w:szCs w:val="22"/>
          <w:lang w:val="sq-AL" w:eastAsia="en-GB"/>
        </w:rPr>
        <w:t>Hartimi i projektit per Qendren Kulturore per Femije dhe Teatrin e Kukullave me vlerë të plotë investimi prej 50 milionë lekë;</w:t>
      </w:r>
    </w:p>
    <w:p w:rsidR="00EE419E" w:rsidRPr="00EE419E" w:rsidRDefault="00EE419E"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EE419E">
        <w:rPr>
          <w:rFonts w:asciiTheme="majorHAnsi" w:hAnsiTheme="majorHAnsi" w:cs="Calibri Light"/>
          <w:bCs/>
          <w:i/>
          <w:szCs w:val="22"/>
          <w:lang w:val="sq-AL" w:eastAsia="en-GB"/>
        </w:rPr>
        <w:t>Blerje pajisjeshsh  për Drejtoritë Rajonale te Trashëgimisë Kulturore;</w:t>
      </w:r>
    </w:p>
    <w:p w:rsidR="00EE419E" w:rsidRPr="00EE419E" w:rsidRDefault="00EE419E"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EE419E">
        <w:rPr>
          <w:rFonts w:asciiTheme="majorHAnsi" w:hAnsiTheme="majorHAnsi" w:cs="Calibri Light"/>
          <w:bCs/>
          <w:i/>
          <w:szCs w:val="22"/>
          <w:lang w:val="sq-AL" w:eastAsia="en-GB"/>
        </w:rPr>
        <w:t>Ndërkohë, janë financuar 458 milionë lekë shpronësime për projekte të ndryshme</w:t>
      </w:r>
      <w:r w:rsidR="0081272B">
        <w:rPr>
          <w:rFonts w:asciiTheme="majorHAnsi" w:hAnsiTheme="majorHAnsi" w:cs="Calibri Light"/>
          <w:bCs/>
          <w:i/>
          <w:szCs w:val="22"/>
          <w:lang w:val="sq-AL" w:eastAsia="en-GB"/>
        </w:rPr>
        <w:t>;</w:t>
      </w:r>
    </w:p>
    <w:p w:rsidR="00EE419E" w:rsidRDefault="00EE419E"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EE419E">
        <w:rPr>
          <w:rFonts w:asciiTheme="majorHAnsi" w:hAnsiTheme="majorHAnsi" w:cs="Calibri Light"/>
          <w:bCs/>
          <w:i/>
          <w:szCs w:val="22"/>
          <w:lang w:val="sq-AL" w:eastAsia="en-GB"/>
        </w:rPr>
        <w:t>Është financuar me rreth 450 milionë lekë projekti i Rijetësimit të Piramidës etj.</w:t>
      </w:r>
    </w:p>
    <w:p w:rsidR="004E5E8E" w:rsidRDefault="004E5E8E" w:rsidP="004E5E8E">
      <w:pPr>
        <w:pStyle w:val="ListParagraph"/>
        <w:shd w:val="clear" w:color="auto" w:fill="FFFFFF" w:themeFill="background1"/>
        <w:spacing w:before="0" w:line="240" w:lineRule="auto"/>
        <w:ind w:left="630"/>
        <w:rPr>
          <w:rFonts w:asciiTheme="majorHAnsi" w:hAnsiTheme="majorHAnsi" w:cs="Calibri Light"/>
          <w:bCs/>
          <w:i/>
          <w:szCs w:val="22"/>
          <w:lang w:val="sq-AL" w:eastAsia="en-GB"/>
        </w:rPr>
      </w:pPr>
    </w:p>
    <w:p w:rsidR="004E5E8E" w:rsidRDefault="004E5E8E" w:rsidP="004E5E8E">
      <w:pPr>
        <w:pStyle w:val="ListParagraph"/>
        <w:shd w:val="clear" w:color="auto" w:fill="FFFFFF" w:themeFill="background1"/>
        <w:spacing w:before="0" w:line="240" w:lineRule="auto"/>
        <w:ind w:left="630"/>
        <w:rPr>
          <w:rFonts w:asciiTheme="majorHAnsi" w:hAnsiTheme="majorHAnsi" w:cs="Calibri Light"/>
          <w:bCs/>
          <w:i/>
          <w:szCs w:val="22"/>
          <w:lang w:val="sq-AL" w:eastAsia="en-GB"/>
        </w:rPr>
      </w:pPr>
    </w:p>
    <w:p w:rsidR="004E5E8E" w:rsidRDefault="004E5E8E" w:rsidP="004E5E8E">
      <w:pPr>
        <w:pStyle w:val="ListParagraph"/>
        <w:shd w:val="clear" w:color="auto" w:fill="FFFFFF" w:themeFill="background1"/>
        <w:spacing w:before="0" w:line="240" w:lineRule="auto"/>
        <w:ind w:left="630"/>
        <w:rPr>
          <w:rFonts w:asciiTheme="majorHAnsi" w:hAnsiTheme="majorHAnsi" w:cs="Calibri Light"/>
          <w:bCs/>
          <w:i/>
          <w:szCs w:val="22"/>
          <w:lang w:val="sq-AL" w:eastAsia="en-GB"/>
        </w:rPr>
      </w:pPr>
    </w:p>
    <w:p w:rsidR="001A7510" w:rsidRDefault="001A7510" w:rsidP="004E5E8E">
      <w:pPr>
        <w:pStyle w:val="ListParagraph"/>
        <w:shd w:val="clear" w:color="auto" w:fill="FFFFFF" w:themeFill="background1"/>
        <w:spacing w:before="0" w:line="240" w:lineRule="auto"/>
        <w:ind w:left="630"/>
        <w:rPr>
          <w:rFonts w:asciiTheme="majorHAnsi" w:hAnsiTheme="majorHAnsi" w:cs="Calibri Light"/>
          <w:bCs/>
          <w:i/>
          <w:szCs w:val="22"/>
          <w:lang w:val="sq-AL" w:eastAsia="en-GB"/>
        </w:rPr>
      </w:pPr>
    </w:p>
    <w:p w:rsidR="001A7510" w:rsidRPr="00EE419E" w:rsidRDefault="001A7510" w:rsidP="004E5E8E">
      <w:pPr>
        <w:pStyle w:val="ListParagraph"/>
        <w:shd w:val="clear" w:color="auto" w:fill="FFFFFF" w:themeFill="background1"/>
        <w:spacing w:before="0" w:line="240" w:lineRule="auto"/>
        <w:ind w:left="630"/>
        <w:rPr>
          <w:rFonts w:asciiTheme="majorHAnsi" w:hAnsiTheme="majorHAnsi" w:cs="Calibri Light"/>
          <w:bCs/>
          <w:i/>
          <w:szCs w:val="22"/>
          <w:lang w:val="sq-AL" w:eastAsia="en-GB"/>
        </w:rPr>
      </w:pPr>
    </w:p>
    <w:p w:rsidR="007B7B50" w:rsidRPr="00476D2E" w:rsidRDefault="007B7B50" w:rsidP="00FC729E">
      <w:pPr>
        <w:pStyle w:val="fiskale3"/>
        <w:rPr>
          <w:rFonts w:ascii="Calibri" w:hAnsi="Calibri" w:cs="Calibri"/>
          <w:b/>
        </w:rPr>
      </w:pPr>
      <w:bookmarkStart w:id="295" w:name="_Toc10033301"/>
      <w:bookmarkStart w:id="296" w:name="_Toc10721437"/>
      <w:bookmarkStart w:id="297" w:name="_Toc104980370"/>
      <w:bookmarkEnd w:id="293"/>
      <w:r w:rsidRPr="00476D2E">
        <w:rPr>
          <w:rFonts w:ascii="Calibri" w:hAnsi="Calibri" w:cs="Calibri"/>
          <w:b/>
        </w:rPr>
        <w:lastRenderedPageBreak/>
        <w:t>Rendi dhe Siguria Publike</w:t>
      </w:r>
      <w:bookmarkEnd w:id="295"/>
      <w:bookmarkEnd w:id="296"/>
      <w:bookmarkEnd w:id="297"/>
    </w:p>
    <w:p w:rsidR="007B7B50" w:rsidRPr="00476D2E" w:rsidRDefault="007B7B50" w:rsidP="00FB73CC">
      <w:pPr>
        <w:spacing w:line="240" w:lineRule="auto"/>
        <w:rPr>
          <w:rFonts w:cs="Calibri"/>
          <w:color w:val="000000"/>
          <w:lang w:val="sq-AL"/>
        </w:rPr>
      </w:pPr>
      <w:r w:rsidRPr="00476D2E">
        <w:rPr>
          <w:rFonts w:cs="Calibri"/>
          <w:color w:val="000000"/>
          <w:lang w:val="sq-AL"/>
        </w:rPr>
        <w:t>Performanca e treguesve buxhetorë për programet kryesore të Ministrisë së Brendshme paraqitet si mëposhtë:</w:t>
      </w:r>
    </w:p>
    <w:p w:rsidR="007B7B50" w:rsidRPr="00476D2E" w:rsidRDefault="007B7B50" w:rsidP="00FC729E">
      <w:pPr>
        <w:pStyle w:val="Caption"/>
        <w:keepNext/>
        <w:spacing w:after="0"/>
        <w:rPr>
          <w:rFonts w:cs="Calibri"/>
          <w:i w:val="0"/>
          <w:color w:val="0B5294" w:themeColor="accent1" w:themeShade="BF"/>
          <w:sz w:val="20"/>
          <w:u w:val="single"/>
          <w:lang w:val="sq-AL"/>
        </w:rPr>
      </w:pPr>
      <w:bookmarkStart w:id="298" w:name="_Toc136526361"/>
      <w:r w:rsidRPr="00476D2E">
        <w:rPr>
          <w:rFonts w:cs="Calibri"/>
          <w:color w:val="0B5294" w:themeColor="accent1" w:themeShade="BF"/>
          <w:lang w:val="sq-AL"/>
        </w:rPr>
        <w:t xml:space="preserve">Tabela </w:t>
      </w:r>
      <w:r w:rsidRPr="00476D2E">
        <w:rPr>
          <w:rFonts w:cs="Calibri"/>
          <w:color w:val="0B5294" w:themeColor="accent1" w:themeShade="BF"/>
          <w:lang w:val="sq-AL"/>
        </w:rPr>
        <w:fldChar w:fldCharType="begin"/>
      </w:r>
      <w:r w:rsidRPr="00476D2E">
        <w:rPr>
          <w:rFonts w:cs="Calibri"/>
          <w:color w:val="0B5294" w:themeColor="accent1" w:themeShade="BF"/>
          <w:lang w:val="sq-AL"/>
        </w:rPr>
        <w:instrText xml:space="preserve"> SEQ Tabela \* ARABIC </w:instrText>
      </w:r>
      <w:r w:rsidRPr="00476D2E">
        <w:rPr>
          <w:rFonts w:cs="Calibri"/>
          <w:color w:val="0B5294" w:themeColor="accent1" w:themeShade="BF"/>
          <w:lang w:val="sq-AL"/>
        </w:rPr>
        <w:fldChar w:fldCharType="separate"/>
      </w:r>
      <w:r w:rsidR="008C3E07">
        <w:rPr>
          <w:rFonts w:cs="Calibri"/>
          <w:noProof/>
          <w:color w:val="0B5294" w:themeColor="accent1" w:themeShade="BF"/>
          <w:lang w:val="sq-AL"/>
        </w:rPr>
        <w:t>35</w:t>
      </w:r>
      <w:r w:rsidRPr="00476D2E">
        <w:rPr>
          <w:rFonts w:cs="Calibri"/>
          <w:color w:val="0B5294" w:themeColor="accent1" w:themeShade="BF"/>
          <w:lang w:val="sq-AL"/>
        </w:rPr>
        <w:fldChar w:fldCharType="end"/>
      </w:r>
      <w:r w:rsidRPr="00476D2E">
        <w:rPr>
          <w:rFonts w:cs="Calibri"/>
          <w:color w:val="0B5294" w:themeColor="accent1" w:themeShade="BF"/>
          <w:lang w:val="sq-AL"/>
        </w:rPr>
        <w:t xml:space="preserve"> Realizimi i buxhetit 202</w:t>
      </w:r>
      <w:r w:rsidR="00E84F24">
        <w:rPr>
          <w:rFonts w:cs="Calibri"/>
          <w:color w:val="0B5294" w:themeColor="accent1" w:themeShade="BF"/>
          <w:lang w:val="sq-AL"/>
        </w:rPr>
        <w:t>2</w:t>
      </w:r>
      <w:r w:rsidRPr="00476D2E">
        <w:rPr>
          <w:rFonts w:cs="Calibri"/>
          <w:color w:val="0B5294" w:themeColor="accent1" w:themeShade="BF"/>
          <w:lang w:val="sq-AL"/>
        </w:rPr>
        <w:t xml:space="preserve"> për Ministrinë e Brendshme</w:t>
      </w:r>
      <w:bookmarkEnd w:id="298"/>
    </w:p>
    <w:tbl>
      <w:tblPr>
        <w:tblW w:w="10662" w:type="dxa"/>
        <w:jc w:val="center"/>
        <w:tblLayout w:type="fixed"/>
        <w:tblLook w:val="04A0" w:firstRow="1" w:lastRow="0" w:firstColumn="1" w:lastColumn="0" w:noHBand="0" w:noVBand="1"/>
      </w:tblPr>
      <w:tblGrid>
        <w:gridCol w:w="2138"/>
        <w:gridCol w:w="1151"/>
        <w:gridCol w:w="976"/>
        <w:gridCol w:w="1063"/>
        <w:gridCol w:w="975"/>
        <w:gridCol w:w="974"/>
        <w:gridCol w:w="887"/>
        <w:gridCol w:w="87"/>
        <w:gridCol w:w="536"/>
        <w:gridCol w:w="84"/>
        <w:gridCol w:w="541"/>
        <w:gridCol w:w="79"/>
        <w:gridCol w:w="546"/>
        <w:gridCol w:w="625"/>
      </w:tblGrid>
      <w:tr w:rsidR="00721657" w:rsidRPr="00F95C93" w:rsidTr="004E5E8E">
        <w:trPr>
          <w:trHeight w:val="384"/>
          <w:jc w:val="center"/>
        </w:trPr>
        <w:tc>
          <w:tcPr>
            <w:tcW w:w="2138" w:type="dxa"/>
            <w:tcBorders>
              <w:top w:val="single" w:sz="8" w:space="0" w:color="B8CCE4"/>
              <w:left w:val="single" w:sz="8" w:space="0" w:color="B8CCE4"/>
              <w:bottom w:val="nil"/>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Programi</w:t>
            </w:r>
            <w:r>
              <w:rPr>
                <w:b/>
                <w:bCs/>
                <w:color w:val="FFFFFF"/>
                <w:sz w:val="16"/>
                <w:szCs w:val="18"/>
              </w:rPr>
              <w:t xml:space="preserve"> </w:t>
            </w:r>
            <w:r w:rsidRPr="00721657">
              <w:rPr>
                <w:b/>
                <w:bCs/>
                <w:color w:val="FFFFFF"/>
                <w:sz w:val="16"/>
                <w:szCs w:val="18"/>
              </w:rPr>
              <w:t>buxhetor</w:t>
            </w:r>
          </w:p>
        </w:tc>
        <w:tc>
          <w:tcPr>
            <w:tcW w:w="2127"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Plani</w:t>
            </w:r>
            <w:r>
              <w:rPr>
                <w:b/>
                <w:bCs/>
                <w:color w:val="FFFFFF"/>
                <w:sz w:val="16"/>
                <w:szCs w:val="18"/>
              </w:rPr>
              <w:t xml:space="preserve"> </w:t>
            </w:r>
            <w:r w:rsidRPr="00721657">
              <w:rPr>
                <w:b/>
                <w:bCs/>
                <w:color w:val="FFFFFF"/>
                <w:sz w:val="16"/>
                <w:szCs w:val="18"/>
              </w:rPr>
              <w:t>fillestar 2022</w:t>
            </w:r>
          </w:p>
        </w:tc>
        <w:tc>
          <w:tcPr>
            <w:tcW w:w="2038"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Plani i rishikuar 2022</w:t>
            </w:r>
          </w:p>
        </w:tc>
        <w:tc>
          <w:tcPr>
            <w:tcW w:w="1861"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Fakti 2022</w:t>
            </w:r>
          </w:p>
        </w:tc>
        <w:tc>
          <w:tcPr>
            <w:tcW w:w="1248" w:type="dxa"/>
            <w:gridSpan w:val="4"/>
            <w:tcBorders>
              <w:top w:val="single" w:sz="8" w:space="0" w:color="B8CCE4"/>
              <w:left w:val="nil"/>
              <w:bottom w:val="single" w:sz="12" w:space="0" w:color="95B3D7"/>
              <w:right w:val="single" w:sz="8" w:space="0" w:color="B8CCE4"/>
            </w:tcBorders>
            <w:shd w:val="clear" w:color="000000" w:fill="365F91"/>
            <w:vAlign w:val="center"/>
            <w:hideMark/>
          </w:tcPr>
          <w:p w:rsidR="00721657" w:rsidRPr="00721657" w:rsidRDefault="00721657" w:rsidP="00721657">
            <w:pPr>
              <w:spacing w:before="0" w:line="240" w:lineRule="auto"/>
              <w:jc w:val="center"/>
              <w:rPr>
                <w:color w:val="FFFFFF"/>
                <w:sz w:val="16"/>
                <w:szCs w:val="18"/>
              </w:rPr>
            </w:pPr>
            <w:r w:rsidRPr="00721657">
              <w:rPr>
                <w:color w:val="FFFFFF"/>
                <w:sz w:val="16"/>
                <w:szCs w:val="18"/>
              </w:rPr>
              <w:t>Diferenca</w:t>
            </w:r>
            <w:r>
              <w:rPr>
                <w:color w:val="FFFFFF"/>
                <w:sz w:val="16"/>
                <w:szCs w:val="18"/>
              </w:rPr>
              <w:t xml:space="preserve"> </w:t>
            </w:r>
            <w:r w:rsidRPr="00721657">
              <w:rPr>
                <w:color w:val="FFFFFF"/>
                <w:sz w:val="16"/>
                <w:szCs w:val="18"/>
              </w:rPr>
              <w:t>në % me planin</w:t>
            </w:r>
            <w:r>
              <w:rPr>
                <w:color w:val="FFFFFF"/>
                <w:sz w:val="16"/>
                <w:szCs w:val="18"/>
              </w:rPr>
              <w:t xml:space="preserve"> </w:t>
            </w:r>
            <w:r w:rsidRPr="00721657">
              <w:rPr>
                <w:color w:val="FFFFFF"/>
                <w:sz w:val="16"/>
                <w:szCs w:val="18"/>
              </w:rPr>
              <w:t>fillestar</w:t>
            </w:r>
          </w:p>
        </w:tc>
        <w:tc>
          <w:tcPr>
            <w:tcW w:w="1250" w:type="dxa"/>
            <w:gridSpan w:val="3"/>
            <w:tcBorders>
              <w:top w:val="single" w:sz="8" w:space="0" w:color="B8CCE4"/>
              <w:left w:val="nil"/>
              <w:bottom w:val="single" w:sz="12" w:space="0" w:color="95B3D7"/>
              <w:right w:val="single" w:sz="8" w:space="0" w:color="B8CCE4"/>
            </w:tcBorders>
            <w:shd w:val="clear" w:color="000000" w:fill="365F91"/>
            <w:vAlign w:val="center"/>
            <w:hideMark/>
          </w:tcPr>
          <w:p w:rsidR="00721657" w:rsidRPr="00721657" w:rsidRDefault="00721657" w:rsidP="00721657">
            <w:pPr>
              <w:spacing w:before="0" w:line="240" w:lineRule="auto"/>
              <w:jc w:val="center"/>
              <w:rPr>
                <w:color w:val="FFFFFF"/>
                <w:sz w:val="16"/>
                <w:szCs w:val="18"/>
              </w:rPr>
            </w:pPr>
            <w:r w:rsidRPr="00721657">
              <w:rPr>
                <w:color w:val="FFFFFF"/>
                <w:sz w:val="16"/>
                <w:szCs w:val="18"/>
              </w:rPr>
              <w:t>Diferenca</w:t>
            </w:r>
            <w:r>
              <w:rPr>
                <w:color w:val="FFFFFF"/>
                <w:sz w:val="16"/>
                <w:szCs w:val="18"/>
              </w:rPr>
              <w:t xml:space="preserve"> </w:t>
            </w:r>
            <w:r w:rsidRPr="00721657">
              <w:rPr>
                <w:color w:val="FFFFFF"/>
                <w:sz w:val="16"/>
                <w:szCs w:val="18"/>
              </w:rPr>
              <w:t>në % me planin e rishikuar</w:t>
            </w:r>
          </w:p>
        </w:tc>
      </w:tr>
      <w:tr w:rsidR="00721657" w:rsidRPr="00F95C93" w:rsidTr="004E5E8E">
        <w:trPr>
          <w:trHeight w:val="264"/>
          <w:jc w:val="center"/>
        </w:trPr>
        <w:tc>
          <w:tcPr>
            <w:tcW w:w="2138" w:type="dxa"/>
            <w:tcBorders>
              <w:top w:val="nil"/>
              <w:left w:val="single" w:sz="8" w:space="0" w:color="B8CCE4"/>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i/>
                <w:iCs/>
                <w:color w:val="FFFFFF"/>
                <w:sz w:val="16"/>
                <w:szCs w:val="18"/>
              </w:rPr>
            </w:pPr>
            <w:r w:rsidRPr="00721657">
              <w:rPr>
                <w:i/>
                <w:iCs/>
                <w:color w:val="FFFFFF"/>
                <w:sz w:val="16"/>
                <w:szCs w:val="18"/>
              </w:rPr>
              <w:t>000 lekë</w:t>
            </w:r>
          </w:p>
        </w:tc>
        <w:tc>
          <w:tcPr>
            <w:tcW w:w="1151"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Korrente</w:t>
            </w:r>
          </w:p>
        </w:tc>
        <w:tc>
          <w:tcPr>
            <w:tcW w:w="975"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Investime</w:t>
            </w:r>
          </w:p>
        </w:tc>
        <w:tc>
          <w:tcPr>
            <w:tcW w:w="1063"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Korrente</w:t>
            </w:r>
          </w:p>
        </w:tc>
        <w:tc>
          <w:tcPr>
            <w:tcW w:w="975"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Investime</w:t>
            </w:r>
          </w:p>
        </w:tc>
        <w:tc>
          <w:tcPr>
            <w:tcW w:w="974"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Korrente</w:t>
            </w:r>
          </w:p>
        </w:tc>
        <w:tc>
          <w:tcPr>
            <w:tcW w:w="887"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Investime</w:t>
            </w:r>
          </w:p>
        </w:tc>
        <w:tc>
          <w:tcPr>
            <w:tcW w:w="623" w:type="dxa"/>
            <w:gridSpan w:val="2"/>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Korr.</w:t>
            </w:r>
          </w:p>
        </w:tc>
        <w:tc>
          <w:tcPr>
            <w:tcW w:w="625" w:type="dxa"/>
            <w:gridSpan w:val="2"/>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color w:val="FFFFFF"/>
                <w:sz w:val="16"/>
                <w:szCs w:val="18"/>
              </w:rPr>
            </w:pPr>
            <w:r w:rsidRPr="00721657">
              <w:rPr>
                <w:color w:val="FFFFFF"/>
                <w:sz w:val="16"/>
                <w:szCs w:val="18"/>
              </w:rPr>
              <w:t>Inv.</w:t>
            </w:r>
          </w:p>
        </w:tc>
        <w:tc>
          <w:tcPr>
            <w:tcW w:w="625" w:type="dxa"/>
            <w:gridSpan w:val="2"/>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Korr.</w:t>
            </w:r>
          </w:p>
        </w:tc>
        <w:tc>
          <w:tcPr>
            <w:tcW w:w="625"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Inv.</w:t>
            </w:r>
          </w:p>
        </w:tc>
      </w:tr>
      <w:tr w:rsidR="00721657" w:rsidRPr="00F95C93" w:rsidTr="004E5E8E">
        <w:trPr>
          <w:trHeight w:val="251"/>
          <w:jc w:val="center"/>
        </w:trPr>
        <w:tc>
          <w:tcPr>
            <w:tcW w:w="2138" w:type="dxa"/>
            <w:tcBorders>
              <w:top w:val="nil"/>
              <w:left w:val="single" w:sz="8" w:space="0" w:color="B8CCE4"/>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b/>
                <w:bCs/>
                <w:color w:val="000000"/>
                <w:sz w:val="16"/>
                <w:szCs w:val="18"/>
              </w:rPr>
            </w:pPr>
            <w:r w:rsidRPr="00721657">
              <w:rPr>
                <w:b/>
                <w:bCs/>
                <w:color w:val="000000"/>
                <w:sz w:val="16"/>
                <w:szCs w:val="18"/>
              </w:rPr>
              <w:t>Planifikimi, Menaxhimi</w:t>
            </w:r>
            <w:r>
              <w:rPr>
                <w:b/>
                <w:bCs/>
                <w:color w:val="000000"/>
                <w:sz w:val="16"/>
                <w:szCs w:val="18"/>
              </w:rPr>
              <w:t xml:space="preserve"> </w:t>
            </w:r>
            <w:r w:rsidRPr="00721657">
              <w:rPr>
                <w:b/>
                <w:bCs/>
                <w:color w:val="000000"/>
                <w:sz w:val="16"/>
                <w:szCs w:val="18"/>
              </w:rPr>
              <w:t>dhe</w:t>
            </w:r>
            <w:r>
              <w:rPr>
                <w:b/>
                <w:bCs/>
                <w:color w:val="000000"/>
                <w:sz w:val="16"/>
                <w:szCs w:val="18"/>
              </w:rPr>
              <w:t xml:space="preserve"> </w:t>
            </w:r>
            <w:r w:rsidRPr="00721657">
              <w:rPr>
                <w:b/>
                <w:bCs/>
                <w:color w:val="000000"/>
                <w:sz w:val="16"/>
                <w:szCs w:val="18"/>
              </w:rPr>
              <w:t>Administrimi</w:t>
            </w:r>
          </w:p>
        </w:tc>
        <w:tc>
          <w:tcPr>
            <w:tcW w:w="1151"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1,232,980</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106,250</w:t>
            </w:r>
          </w:p>
        </w:tc>
        <w:tc>
          <w:tcPr>
            <w:tcW w:w="1063" w:type="dxa"/>
            <w:tcBorders>
              <w:top w:val="nil"/>
              <w:left w:val="nil"/>
              <w:bottom w:val="single" w:sz="8" w:space="0" w:color="B8CCE4"/>
              <w:right w:val="nil"/>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1,209,512</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24,750</w:t>
            </w:r>
          </w:p>
        </w:tc>
        <w:tc>
          <w:tcPr>
            <w:tcW w:w="97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1,186,149</w:t>
            </w:r>
          </w:p>
        </w:tc>
        <w:tc>
          <w:tcPr>
            <w:tcW w:w="974"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21,912</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96%</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21%</w:t>
            </w:r>
          </w:p>
        </w:tc>
        <w:tc>
          <w:tcPr>
            <w:tcW w:w="54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98%</w:t>
            </w:r>
          </w:p>
        </w:tc>
        <w:tc>
          <w:tcPr>
            <w:tcW w:w="62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89%</w:t>
            </w:r>
          </w:p>
        </w:tc>
      </w:tr>
      <w:tr w:rsidR="00721657" w:rsidRPr="00F95C93" w:rsidTr="004E5E8E">
        <w:trPr>
          <w:trHeight w:val="251"/>
          <w:jc w:val="center"/>
        </w:trPr>
        <w:tc>
          <w:tcPr>
            <w:tcW w:w="2138" w:type="dxa"/>
            <w:tcBorders>
              <w:top w:val="nil"/>
              <w:left w:val="single" w:sz="8" w:space="0" w:color="B8CCE4"/>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b/>
                <w:bCs/>
                <w:color w:val="000000"/>
                <w:sz w:val="16"/>
                <w:szCs w:val="18"/>
              </w:rPr>
            </w:pPr>
            <w:r w:rsidRPr="00721657">
              <w:rPr>
                <w:b/>
                <w:bCs/>
                <w:color w:val="000000"/>
                <w:sz w:val="16"/>
                <w:szCs w:val="18"/>
              </w:rPr>
              <w:t>Policia e Shtetit</w:t>
            </w:r>
          </w:p>
        </w:tc>
        <w:tc>
          <w:tcPr>
            <w:tcW w:w="1151"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15,819,570</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742,750</w:t>
            </w:r>
          </w:p>
        </w:tc>
        <w:tc>
          <w:tcPr>
            <w:tcW w:w="1063"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16,793,270</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893,688</w:t>
            </w:r>
          </w:p>
        </w:tc>
        <w:tc>
          <w:tcPr>
            <w:tcW w:w="97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16,763,044</w:t>
            </w:r>
          </w:p>
        </w:tc>
        <w:tc>
          <w:tcPr>
            <w:tcW w:w="974"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722,161</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106%</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97%</w:t>
            </w:r>
          </w:p>
        </w:tc>
        <w:tc>
          <w:tcPr>
            <w:tcW w:w="54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100%</w:t>
            </w:r>
          </w:p>
        </w:tc>
        <w:tc>
          <w:tcPr>
            <w:tcW w:w="62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81%</w:t>
            </w:r>
          </w:p>
        </w:tc>
      </w:tr>
      <w:tr w:rsidR="00721657" w:rsidRPr="00F95C93" w:rsidTr="004E5E8E">
        <w:trPr>
          <w:trHeight w:val="251"/>
          <w:jc w:val="center"/>
        </w:trPr>
        <w:tc>
          <w:tcPr>
            <w:tcW w:w="2138" w:type="dxa"/>
            <w:tcBorders>
              <w:top w:val="nil"/>
              <w:left w:val="single" w:sz="8" w:space="0" w:color="B8CCE4"/>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b/>
                <w:bCs/>
                <w:color w:val="000000"/>
                <w:sz w:val="16"/>
                <w:szCs w:val="18"/>
              </w:rPr>
            </w:pPr>
            <w:r w:rsidRPr="00721657">
              <w:rPr>
                <w:b/>
                <w:bCs/>
                <w:color w:val="000000"/>
                <w:sz w:val="16"/>
                <w:szCs w:val="18"/>
              </w:rPr>
              <w:t>Financimi i huaj</w:t>
            </w:r>
          </w:p>
        </w:tc>
        <w:tc>
          <w:tcPr>
            <w:tcW w:w="1151"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335,290</w:t>
            </w:r>
          </w:p>
        </w:tc>
        <w:tc>
          <w:tcPr>
            <w:tcW w:w="1063"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668,290</w:t>
            </w:r>
          </w:p>
        </w:tc>
        <w:tc>
          <w:tcPr>
            <w:tcW w:w="97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p>
        </w:tc>
        <w:tc>
          <w:tcPr>
            <w:tcW w:w="974"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792,220</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0%</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236%</w:t>
            </w:r>
          </w:p>
        </w:tc>
        <w:tc>
          <w:tcPr>
            <w:tcW w:w="54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0%</w:t>
            </w:r>
          </w:p>
        </w:tc>
        <w:tc>
          <w:tcPr>
            <w:tcW w:w="62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119%</w:t>
            </w:r>
          </w:p>
        </w:tc>
      </w:tr>
      <w:tr w:rsidR="00721657" w:rsidRPr="00F95C93" w:rsidTr="004E5E8E">
        <w:trPr>
          <w:trHeight w:val="251"/>
          <w:jc w:val="center"/>
        </w:trPr>
        <w:tc>
          <w:tcPr>
            <w:tcW w:w="2138" w:type="dxa"/>
            <w:tcBorders>
              <w:top w:val="nil"/>
              <w:left w:val="single" w:sz="8" w:space="0" w:color="B8CCE4"/>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b/>
                <w:bCs/>
                <w:color w:val="000000"/>
                <w:sz w:val="16"/>
                <w:szCs w:val="18"/>
              </w:rPr>
            </w:pPr>
            <w:r w:rsidRPr="00721657">
              <w:rPr>
                <w:b/>
                <w:bCs/>
                <w:color w:val="000000"/>
                <w:sz w:val="16"/>
                <w:szCs w:val="18"/>
              </w:rPr>
              <w:t>Garda e Republikës</w:t>
            </w:r>
          </w:p>
        </w:tc>
        <w:tc>
          <w:tcPr>
            <w:tcW w:w="1151"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1,782,800</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29,000</w:t>
            </w:r>
          </w:p>
        </w:tc>
        <w:tc>
          <w:tcPr>
            <w:tcW w:w="1063"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1,776,515</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27,700</w:t>
            </w:r>
          </w:p>
        </w:tc>
        <w:tc>
          <w:tcPr>
            <w:tcW w:w="97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1,766,437</w:t>
            </w:r>
          </w:p>
        </w:tc>
        <w:tc>
          <w:tcPr>
            <w:tcW w:w="974"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27,623</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99%</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95%</w:t>
            </w:r>
          </w:p>
        </w:tc>
        <w:tc>
          <w:tcPr>
            <w:tcW w:w="54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99%</w:t>
            </w:r>
          </w:p>
        </w:tc>
        <w:tc>
          <w:tcPr>
            <w:tcW w:w="62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100%</w:t>
            </w:r>
          </w:p>
        </w:tc>
      </w:tr>
      <w:tr w:rsidR="00721657" w:rsidRPr="00F95C93" w:rsidTr="004E5E8E">
        <w:trPr>
          <w:trHeight w:val="251"/>
          <w:jc w:val="center"/>
        </w:trPr>
        <w:tc>
          <w:tcPr>
            <w:tcW w:w="2138" w:type="dxa"/>
            <w:tcBorders>
              <w:top w:val="nil"/>
              <w:left w:val="single" w:sz="8" w:space="0" w:color="B8CCE4"/>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b/>
                <w:bCs/>
                <w:color w:val="000000"/>
                <w:sz w:val="16"/>
                <w:szCs w:val="18"/>
              </w:rPr>
            </w:pPr>
            <w:r w:rsidRPr="00721657">
              <w:rPr>
                <w:b/>
                <w:bCs/>
                <w:color w:val="000000"/>
                <w:sz w:val="16"/>
                <w:szCs w:val="18"/>
              </w:rPr>
              <w:t>Shërbimi i Gjendjes</w:t>
            </w:r>
            <w:r>
              <w:rPr>
                <w:b/>
                <w:bCs/>
                <w:color w:val="000000"/>
                <w:sz w:val="16"/>
                <w:szCs w:val="18"/>
              </w:rPr>
              <w:t xml:space="preserve"> </w:t>
            </w:r>
            <w:r w:rsidRPr="00721657">
              <w:rPr>
                <w:b/>
                <w:bCs/>
                <w:color w:val="000000"/>
                <w:sz w:val="16"/>
                <w:szCs w:val="18"/>
              </w:rPr>
              <w:t>Civile</w:t>
            </w:r>
          </w:p>
        </w:tc>
        <w:tc>
          <w:tcPr>
            <w:tcW w:w="1151"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495,760</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60,000</w:t>
            </w:r>
          </w:p>
        </w:tc>
        <w:tc>
          <w:tcPr>
            <w:tcW w:w="1063"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465,009</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0</w:t>
            </w:r>
          </w:p>
        </w:tc>
        <w:tc>
          <w:tcPr>
            <w:tcW w:w="97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426,871</w:t>
            </w:r>
          </w:p>
        </w:tc>
        <w:tc>
          <w:tcPr>
            <w:tcW w:w="974"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0</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86%</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0%</w:t>
            </w:r>
          </w:p>
        </w:tc>
        <w:tc>
          <w:tcPr>
            <w:tcW w:w="54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92%</w:t>
            </w:r>
          </w:p>
        </w:tc>
        <w:tc>
          <w:tcPr>
            <w:tcW w:w="62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0%</w:t>
            </w:r>
          </w:p>
        </w:tc>
      </w:tr>
      <w:tr w:rsidR="00721657" w:rsidRPr="00F95C93" w:rsidTr="004E5E8E">
        <w:trPr>
          <w:trHeight w:val="251"/>
          <w:jc w:val="center"/>
        </w:trPr>
        <w:tc>
          <w:tcPr>
            <w:tcW w:w="2138" w:type="dxa"/>
            <w:tcBorders>
              <w:top w:val="nil"/>
              <w:left w:val="single" w:sz="8" w:space="0" w:color="B8CCE4"/>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b/>
                <w:bCs/>
                <w:color w:val="000000"/>
                <w:sz w:val="16"/>
                <w:szCs w:val="18"/>
              </w:rPr>
            </w:pPr>
            <w:r w:rsidRPr="00721657">
              <w:rPr>
                <w:b/>
                <w:bCs/>
                <w:color w:val="000000"/>
                <w:sz w:val="16"/>
                <w:szCs w:val="18"/>
              </w:rPr>
              <w:t>Prefekturat</w:t>
            </w:r>
            <w:r>
              <w:rPr>
                <w:b/>
                <w:bCs/>
                <w:color w:val="000000"/>
                <w:sz w:val="16"/>
                <w:szCs w:val="18"/>
              </w:rPr>
              <w:t xml:space="preserve"> </w:t>
            </w:r>
            <w:r w:rsidRPr="00721657">
              <w:rPr>
                <w:b/>
                <w:bCs/>
                <w:color w:val="000000"/>
                <w:sz w:val="16"/>
                <w:szCs w:val="18"/>
              </w:rPr>
              <w:t>dhe</w:t>
            </w:r>
            <w:r>
              <w:rPr>
                <w:b/>
                <w:bCs/>
                <w:color w:val="000000"/>
                <w:sz w:val="16"/>
                <w:szCs w:val="18"/>
              </w:rPr>
              <w:t xml:space="preserve"> </w:t>
            </w:r>
            <w:r w:rsidRPr="00721657">
              <w:rPr>
                <w:b/>
                <w:bCs/>
                <w:color w:val="000000"/>
                <w:sz w:val="16"/>
                <w:szCs w:val="18"/>
              </w:rPr>
              <w:t>Funksionet e Deleguar</w:t>
            </w:r>
            <w:r>
              <w:rPr>
                <w:b/>
                <w:bCs/>
                <w:color w:val="000000"/>
                <w:sz w:val="16"/>
                <w:szCs w:val="18"/>
              </w:rPr>
              <w:t>a</w:t>
            </w:r>
          </w:p>
        </w:tc>
        <w:tc>
          <w:tcPr>
            <w:tcW w:w="1151"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510,000</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62,000</w:t>
            </w:r>
          </w:p>
        </w:tc>
        <w:tc>
          <w:tcPr>
            <w:tcW w:w="1063"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482,498</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93,460</w:t>
            </w:r>
          </w:p>
        </w:tc>
        <w:tc>
          <w:tcPr>
            <w:tcW w:w="97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442,725</w:t>
            </w:r>
          </w:p>
        </w:tc>
        <w:tc>
          <w:tcPr>
            <w:tcW w:w="974"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81,686</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87%</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132%</w:t>
            </w:r>
          </w:p>
        </w:tc>
        <w:tc>
          <w:tcPr>
            <w:tcW w:w="54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92%</w:t>
            </w:r>
          </w:p>
        </w:tc>
        <w:tc>
          <w:tcPr>
            <w:tcW w:w="62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87%</w:t>
            </w:r>
          </w:p>
        </w:tc>
      </w:tr>
      <w:tr w:rsidR="00721657" w:rsidRPr="00F95C93" w:rsidTr="004E5E8E">
        <w:trPr>
          <w:trHeight w:val="251"/>
          <w:jc w:val="center"/>
        </w:trPr>
        <w:tc>
          <w:tcPr>
            <w:tcW w:w="2138" w:type="dxa"/>
            <w:tcBorders>
              <w:top w:val="nil"/>
              <w:left w:val="single" w:sz="8" w:space="0" w:color="B8CCE4"/>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b/>
                <w:bCs/>
                <w:color w:val="000000"/>
                <w:sz w:val="16"/>
                <w:szCs w:val="18"/>
              </w:rPr>
            </w:pPr>
            <w:r w:rsidRPr="00721657">
              <w:rPr>
                <w:b/>
                <w:bCs/>
                <w:color w:val="000000"/>
                <w:sz w:val="16"/>
                <w:szCs w:val="18"/>
              </w:rPr>
              <w:t>Financimi i huaj</w:t>
            </w:r>
          </w:p>
        </w:tc>
        <w:tc>
          <w:tcPr>
            <w:tcW w:w="1151"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15,000</w:t>
            </w:r>
          </w:p>
        </w:tc>
        <w:tc>
          <w:tcPr>
            <w:tcW w:w="1063"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15,000</w:t>
            </w:r>
          </w:p>
        </w:tc>
        <w:tc>
          <w:tcPr>
            <w:tcW w:w="97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p>
        </w:tc>
        <w:tc>
          <w:tcPr>
            <w:tcW w:w="974"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14,898</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0%</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99%</w:t>
            </w:r>
          </w:p>
        </w:tc>
        <w:tc>
          <w:tcPr>
            <w:tcW w:w="54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0%</w:t>
            </w:r>
          </w:p>
        </w:tc>
        <w:tc>
          <w:tcPr>
            <w:tcW w:w="62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99%</w:t>
            </w:r>
          </w:p>
        </w:tc>
      </w:tr>
      <w:tr w:rsidR="00721657" w:rsidRPr="00F95C93" w:rsidTr="004E5E8E">
        <w:trPr>
          <w:trHeight w:val="251"/>
          <w:jc w:val="center"/>
        </w:trPr>
        <w:tc>
          <w:tcPr>
            <w:tcW w:w="2138" w:type="dxa"/>
            <w:tcBorders>
              <w:top w:val="nil"/>
              <w:left w:val="single" w:sz="8" w:space="0" w:color="B8CCE4"/>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b/>
                <w:bCs/>
                <w:color w:val="000000"/>
                <w:sz w:val="16"/>
                <w:szCs w:val="18"/>
              </w:rPr>
            </w:pPr>
            <w:r w:rsidRPr="00721657">
              <w:rPr>
                <w:b/>
                <w:bCs/>
                <w:color w:val="000000"/>
                <w:sz w:val="16"/>
                <w:szCs w:val="18"/>
              </w:rPr>
              <w:t>Gjithsej</w:t>
            </w:r>
            <w:r>
              <w:rPr>
                <w:b/>
                <w:bCs/>
                <w:color w:val="000000"/>
                <w:sz w:val="16"/>
                <w:szCs w:val="18"/>
              </w:rPr>
              <w:t xml:space="preserve"> </w:t>
            </w:r>
            <w:r w:rsidRPr="00721657">
              <w:rPr>
                <w:b/>
                <w:bCs/>
                <w:color w:val="000000"/>
                <w:sz w:val="16"/>
                <w:szCs w:val="18"/>
              </w:rPr>
              <w:t>sipas</w:t>
            </w:r>
            <w:r>
              <w:rPr>
                <w:b/>
                <w:bCs/>
                <w:color w:val="000000"/>
                <w:sz w:val="16"/>
                <w:szCs w:val="18"/>
              </w:rPr>
              <w:t xml:space="preserve"> </w:t>
            </w:r>
            <w:r w:rsidRPr="00721657">
              <w:rPr>
                <w:b/>
                <w:bCs/>
                <w:color w:val="000000"/>
                <w:sz w:val="16"/>
                <w:szCs w:val="18"/>
              </w:rPr>
              <w:t>natyrës</w:t>
            </w:r>
          </w:p>
        </w:tc>
        <w:tc>
          <w:tcPr>
            <w:tcW w:w="1151"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19,841,110</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1,350,290</w:t>
            </w:r>
          </w:p>
        </w:tc>
        <w:tc>
          <w:tcPr>
            <w:tcW w:w="1063"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20,726,804</w:t>
            </w:r>
          </w:p>
        </w:tc>
        <w:tc>
          <w:tcPr>
            <w:tcW w:w="97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1,722,889</w:t>
            </w:r>
          </w:p>
        </w:tc>
        <w:tc>
          <w:tcPr>
            <w:tcW w:w="97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20,585,227</w:t>
            </w:r>
          </w:p>
        </w:tc>
        <w:tc>
          <w:tcPr>
            <w:tcW w:w="974"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1,660,499</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104%</w:t>
            </w:r>
          </w:p>
        </w:tc>
        <w:tc>
          <w:tcPr>
            <w:tcW w:w="620" w:type="dxa"/>
            <w:gridSpan w:val="2"/>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123%</w:t>
            </w:r>
          </w:p>
        </w:tc>
        <w:tc>
          <w:tcPr>
            <w:tcW w:w="54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99%</w:t>
            </w:r>
          </w:p>
        </w:tc>
        <w:tc>
          <w:tcPr>
            <w:tcW w:w="625"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6"/>
              </w:rPr>
            </w:pPr>
            <w:r w:rsidRPr="00721657">
              <w:rPr>
                <w:color w:val="000000"/>
                <w:sz w:val="16"/>
                <w:szCs w:val="16"/>
              </w:rPr>
              <w:t>96%</w:t>
            </w:r>
          </w:p>
        </w:tc>
      </w:tr>
      <w:tr w:rsidR="00721657" w:rsidRPr="00F95C93" w:rsidTr="004E5E8E">
        <w:trPr>
          <w:trHeight w:val="395"/>
          <w:jc w:val="center"/>
        </w:trPr>
        <w:tc>
          <w:tcPr>
            <w:tcW w:w="2138" w:type="dxa"/>
            <w:tcBorders>
              <w:top w:val="nil"/>
              <w:left w:val="single" w:sz="8" w:space="0" w:color="B8CCE4"/>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Gjithsej</w:t>
            </w:r>
          </w:p>
        </w:tc>
        <w:tc>
          <w:tcPr>
            <w:tcW w:w="2127" w:type="dxa"/>
            <w:gridSpan w:val="2"/>
            <w:tcBorders>
              <w:top w:val="single" w:sz="8" w:space="0" w:color="B8CCE4"/>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21,191,400</w:t>
            </w:r>
          </w:p>
        </w:tc>
        <w:tc>
          <w:tcPr>
            <w:tcW w:w="2038" w:type="dxa"/>
            <w:gridSpan w:val="2"/>
            <w:tcBorders>
              <w:top w:val="single" w:sz="8" w:space="0" w:color="B8CCE4"/>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22,449,693</w:t>
            </w:r>
          </w:p>
        </w:tc>
        <w:tc>
          <w:tcPr>
            <w:tcW w:w="1861" w:type="dxa"/>
            <w:gridSpan w:val="2"/>
            <w:tcBorders>
              <w:top w:val="single" w:sz="8" w:space="0" w:color="B8CCE4"/>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22,245,726</w:t>
            </w:r>
          </w:p>
        </w:tc>
        <w:tc>
          <w:tcPr>
            <w:tcW w:w="1248" w:type="dxa"/>
            <w:gridSpan w:val="4"/>
            <w:tcBorders>
              <w:top w:val="single" w:sz="8" w:space="0" w:color="B8CCE4"/>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105%</w:t>
            </w:r>
          </w:p>
        </w:tc>
        <w:tc>
          <w:tcPr>
            <w:tcW w:w="1250" w:type="dxa"/>
            <w:gridSpan w:val="3"/>
            <w:tcBorders>
              <w:top w:val="single" w:sz="8" w:space="0" w:color="B8CCE4"/>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99%</w:t>
            </w:r>
          </w:p>
        </w:tc>
      </w:tr>
    </w:tbl>
    <w:p w:rsidR="002361F4" w:rsidRPr="00AB22B6" w:rsidRDefault="002361F4" w:rsidP="00FC729E">
      <w:pPr>
        <w:jc w:val="center"/>
        <w:rPr>
          <w:sz w:val="8"/>
          <w:lang w:val="sq-AL"/>
        </w:rPr>
      </w:pPr>
    </w:p>
    <w:p w:rsidR="00721657" w:rsidRPr="00F95C93" w:rsidRDefault="00721657" w:rsidP="00721657">
      <w:pPr>
        <w:spacing w:line="240" w:lineRule="auto"/>
        <w:rPr>
          <w:rFonts w:cs="Calibri"/>
          <w:szCs w:val="22"/>
          <w:lang w:val="sq-AL"/>
        </w:rPr>
      </w:pPr>
      <w:r w:rsidRPr="00F95C93">
        <w:rPr>
          <w:szCs w:val="22"/>
          <w:lang w:val="sq-AL"/>
        </w:rPr>
        <w:t>Buxheti i Ministrisë së Brendshme u rishikua në rritje të lehtë gjatë vitit 2022 duke arritur në 22.4 miliardë lekë, nga të cilat u realizuan 22.2 miliardë lekë, ose 99 përqind. Rritja i atribuohet kryesisht programit të shpenzimeve për Policinë e Shtetit, ku fondet u shtuan me 973 milion leke në shpenzimet korrente, ndërsa buxheti për investime u rriten në tërësi prej 372.5 milion lekë.</w:t>
      </w:r>
    </w:p>
    <w:p w:rsidR="00721657" w:rsidRPr="00F95C93" w:rsidRDefault="00721657" w:rsidP="00721657">
      <w:pPr>
        <w:spacing w:line="240" w:lineRule="auto"/>
        <w:rPr>
          <w:rFonts w:cs="Calibri"/>
          <w:szCs w:val="22"/>
          <w:lang w:val="sq-AL"/>
        </w:rPr>
      </w:pPr>
      <w:r w:rsidRPr="00F95C93">
        <w:rPr>
          <w:rFonts w:cs="Calibri"/>
          <w:szCs w:val="22"/>
          <w:lang w:val="sq-AL"/>
        </w:rPr>
        <w:t>Në programin</w:t>
      </w:r>
      <w:r w:rsidRPr="00F95C93">
        <w:rPr>
          <w:rFonts w:cs="Calibri"/>
          <w:b/>
          <w:szCs w:val="22"/>
          <w:lang w:val="sq-AL"/>
        </w:rPr>
        <w:t xml:space="preserve"> “Policia e Shtetit</w:t>
      </w:r>
      <w:r w:rsidRPr="00F95C93">
        <w:rPr>
          <w:rFonts w:cs="Calibri"/>
          <w:szCs w:val="22"/>
          <w:lang w:val="sq-AL"/>
        </w:rPr>
        <w:t>”, u realizuan 100% e shpenzimeve ndaj planit vjetor për:</w:t>
      </w:r>
    </w:p>
    <w:p w:rsidR="00721657" w:rsidRPr="00F95C93" w:rsidRDefault="00721657"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Rritja e hetimeve proaktive në luftën kundër krimit të organizuar, trafiqeve, korrupsionit, terrorizmit si dhe forcimi i koordinimit ndërinstitucional ndërkombëtar në luftën kundër krimit të organizuar e terrorizmit ku u kryen 205 operacione të posaçme; 39 728 operacione policore të hetuara apo sherbime; dhe 50 operacione policore ndaj ekstremisteve e grupeve terroriste, me realizim thuajse të plotë.</w:t>
      </w:r>
    </w:p>
    <w:p w:rsidR="00721657" w:rsidRPr="00F95C93" w:rsidRDefault="00721657"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Rritja e sigurisë publike dhe sigurisë rrugore përmes patrullimeve në rrugë dhe forcimi i kontrollit të territorit me policimin në komunitet; duke realizuar 6 794 shërbime të policisë rrugore të kryera në rrugët nacionale; apo 100% e sasisë së rishikuar për vitin 2022, me një kosto totale prej 280 milionë lekë; 609 shërbime të Forcave Speciale dhe e NSH për sigurimin e rendit publik apo 100% e sasisë së planifikuar vjetore, me një kosto totale prej 1,058 milionë lekë; 59 objekte dhe personalitete të siguaruara, apo 100% e sasisë së planifikuar për vitin 2022, me një kosto totale prej 282 milion lekë.</w:t>
      </w:r>
    </w:p>
    <w:p w:rsidR="00721657" w:rsidRPr="00F95C93" w:rsidRDefault="00721657"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 xml:space="preserve">Forcimi i masave për luftën kundë krimit ndërkufitar dhe trafiqeve të paligjshme me synim rritjen e standardeve të sigurisë së kufijve duke realizuar 54 operacione të sigurisë në kufirin blu, apo 100% e sasisë së planifikuar për vitin 2022, me një kosto totale prej 125 milionë lekë; janë procesuar 34,501,065 persona në PKK, kategoria I; II dhe e II-të (ajrore, detare, tokësore), apo 100% e sasisë së planifikuar për vitin 2022, me një kosto totale prej 2,196 milionë lekë dhe janë trajnuar 198 </w:t>
      </w:r>
      <w:r>
        <w:rPr>
          <w:rFonts w:cs="Calibri Light"/>
          <w:bCs/>
          <w:i/>
          <w:szCs w:val="22"/>
          <w:lang w:val="sq-AL" w:eastAsia="en-GB"/>
        </w:rPr>
        <w:t>q</w:t>
      </w:r>
      <w:r w:rsidRPr="00F95C93">
        <w:rPr>
          <w:rFonts w:cs="Calibri Light"/>
          <w:bCs/>
          <w:i/>
          <w:szCs w:val="22"/>
          <w:lang w:val="sq-AL" w:eastAsia="en-GB"/>
        </w:rPr>
        <w:t>en policie në kushte shërbimi, apo 99% e sasisë së planifikuar për vitin 2022.</w:t>
      </w:r>
    </w:p>
    <w:p w:rsidR="00721657" w:rsidRPr="00F95C93" w:rsidRDefault="00721657"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Përafrimi i standardeve të shërbimeve policore me ato të BE-së, u trajnuan 625 rekrutë të rinj, apo 100% e sasisë së planifikuar për vitin 2022, me një kosto totale prej 125 milionë lekë.</w:t>
      </w:r>
    </w:p>
    <w:p w:rsidR="00721657" w:rsidRPr="00F95C93" w:rsidRDefault="00721657" w:rsidP="00721657">
      <w:pPr>
        <w:spacing w:line="240" w:lineRule="auto"/>
        <w:rPr>
          <w:rFonts w:cs="Calibri"/>
          <w:szCs w:val="22"/>
          <w:lang w:val="sq-AL"/>
        </w:rPr>
      </w:pPr>
      <w:r w:rsidRPr="00F95C93">
        <w:rPr>
          <w:rFonts w:cs="Calibri"/>
          <w:szCs w:val="22"/>
          <w:lang w:val="sq-AL"/>
        </w:rPr>
        <w:t xml:space="preserve">Programi </w:t>
      </w:r>
      <w:r w:rsidRPr="00F95C93">
        <w:rPr>
          <w:rFonts w:cs="Calibri"/>
          <w:b/>
          <w:szCs w:val="22"/>
          <w:lang w:val="sq-AL"/>
        </w:rPr>
        <w:t>“Garda e Republikës”</w:t>
      </w:r>
      <w:r w:rsidRPr="00F95C93">
        <w:rPr>
          <w:rFonts w:cs="Calibri"/>
          <w:szCs w:val="22"/>
          <w:lang w:val="sq-AL"/>
        </w:rPr>
        <w:t>, me realizimin e fondeve me rreth 100% ndaj planit vjetor, me ndryshime, ka realizuar ruajtjen e 110 Personaliteteve VIP vendas dhe të huaj, me një kosto prej 1,766 milionë lekë.</w:t>
      </w:r>
    </w:p>
    <w:p w:rsidR="00721657" w:rsidRPr="00F95C93" w:rsidRDefault="00721657" w:rsidP="00721657">
      <w:pPr>
        <w:spacing w:line="240" w:lineRule="auto"/>
        <w:rPr>
          <w:rFonts w:cs="Calibri"/>
          <w:szCs w:val="22"/>
          <w:lang w:val="sq-AL"/>
        </w:rPr>
      </w:pPr>
      <w:r w:rsidRPr="00F95C93">
        <w:rPr>
          <w:rFonts w:cs="Calibri"/>
          <w:szCs w:val="22"/>
          <w:lang w:val="sq-AL"/>
        </w:rPr>
        <w:t xml:space="preserve">Në programin </w:t>
      </w:r>
      <w:r w:rsidRPr="00F95C93">
        <w:rPr>
          <w:rFonts w:cs="Calibri"/>
          <w:b/>
          <w:szCs w:val="22"/>
          <w:lang w:val="sq-AL"/>
        </w:rPr>
        <w:t>“Shërbimi i Gjendjes Civile”</w:t>
      </w:r>
      <w:r w:rsidRPr="00F95C93">
        <w:rPr>
          <w:rFonts w:cs="Calibri"/>
          <w:szCs w:val="22"/>
          <w:lang w:val="sq-AL"/>
        </w:rPr>
        <w:t xml:space="preserve">, ka realizim të fondeve rreth 92% ndaj planit vjetor, duke realizuar kështu regjistrimin e 913 924 akteve dhe dokumenteve të lëshuara nga shërbimi i Gjendjes Civile, me kosto prej 398 milionë lekë. </w:t>
      </w:r>
    </w:p>
    <w:p w:rsidR="00721657" w:rsidRPr="00F95C93" w:rsidRDefault="00721657" w:rsidP="00721657">
      <w:pPr>
        <w:spacing w:line="240" w:lineRule="auto"/>
        <w:rPr>
          <w:rFonts w:cs="Calibri"/>
          <w:i/>
          <w:szCs w:val="22"/>
          <w:lang w:val="sq-AL"/>
        </w:rPr>
      </w:pPr>
      <w:r w:rsidRPr="00F95C93">
        <w:rPr>
          <w:rFonts w:cs="Calibri"/>
          <w:szCs w:val="22"/>
          <w:lang w:val="sq-AL"/>
        </w:rPr>
        <w:t xml:space="preserve">Programi </w:t>
      </w:r>
      <w:r w:rsidRPr="00F95C93">
        <w:rPr>
          <w:rFonts w:cs="Calibri"/>
          <w:b/>
          <w:szCs w:val="22"/>
          <w:lang w:val="sq-AL"/>
        </w:rPr>
        <w:t>“Prefektura dhe Funksionet e Deleguara”</w:t>
      </w:r>
      <w:r w:rsidRPr="00F95C93">
        <w:rPr>
          <w:rFonts w:cs="Calibri"/>
          <w:szCs w:val="22"/>
          <w:lang w:val="sq-AL"/>
        </w:rPr>
        <w:t xml:space="preserve">, ka realizuar fondet për vitin 2022 në masën 91%. </w:t>
      </w:r>
    </w:p>
    <w:p w:rsidR="001A7510" w:rsidRDefault="001A7510" w:rsidP="00FB73CC">
      <w:pPr>
        <w:spacing w:line="240" w:lineRule="auto"/>
        <w:rPr>
          <w:rFonts w:eastAsiaTheme="minorHAnsi" w:cs="Calibri"/>
          <w:lang w:val="sq-AL"/>
        </w:rPr>
      </w:pPr>
    </w:p>
    <w:p w:rsidR="001A7510" w:rsidRDefault="001A7510" w:rsidP="00FB73CC">
      <w:pPr>
        <w:spacing w:line="240" w:lineRule="auto"/>
        <w:rPr>
          <w:rFonts w:eastAsiaTheme="minorHAnsi" w:cs="Calibri"/>
          <w:lang w:val="sq-AL"/>
        </w:rPr>
      </w:pPr>
    </w:p>
    <w:p w:rsidR="00FB73CC" w:rsidRPr="002617BE" w:rsidRDefault="007B7B50" w:rsidP="00FB73CC">
      <w:pPr>
        <w:spacing w:line="240" w:lineRule="auto"/>
        <w:rPr>
          <w:rFonts w:asciiTheme="majorHAnsi" w:hAnsiTheme="majorHAnsi" w:cs="Calibri Light"/>
          <w:szCs w:val="22"/>
          <w:lang w:val="sq-AL"/>
        </w:rPr>
      </w:pPr>
      <w:r w:rsidRPr="00FB73CC">
        <w:rPr>
          <w:rFonts w:eastAsiaTheme="minorHAnsi" w:cs="Calibri"/>
          <w:lang w:val="sq-AL"/>
        </w:rPr>
        <w:lastRenderedPageBreak/>
        <w:t xml:space="preserve">Për sa u përket </w:t>
      </w:r>
      <w:r w:rsidRPr="00FB73CC">
        <w:rPr>
          <w:rFonts w:eastAsiaTheme="minorHAnsi" w:cs="Calibri"/>
          <w:b/>
          <w:bCs/>
          <w:lang w:val="sq-AL"/>
        </w:rPr>
        <w:t>investimeve publike</w:t>
      </w:r>
      <w:r w:rsidRPr="00FB73CC">
        <w:rPr>
          <w:rFonts w:eastAsiaTheme="minorHAnsi" w:cs="Calibri"/>
          <w:lang w:val="sq-AL"/>
        </w:rPr>
        <w:t xml:space="preserve"> </w:t>
      </w:r>
      <w:r w:rsidR="00FB73CC" w:rsidRPr="00FB73CC">
        <w:rPr>
          <w:rFonts w:cs="Calibri"/>
          <w:lang w:val="sq-AL"/>
        </w:rPr>
        <w:t>realizimi në vitin 2022 ishte 77.7% e buxhetit fillestar për projektet me</w:t>
      </w:r>
      <w:r w:rsidR="00FB73CC" w:rsidRPr="002617BE">
        <w:rPr>
          <w:rFonts w:cs="Calibri"/>
          <w:lang w:val="sq-AL"/>
        </w:rPr>
        <w:t xml:space="preserve"> financim të brendshëm (0.77 miliard lekë)</w:t>
      </w:r>
      <w:r w:rsidR="00FB73CC" w:rsidRPr="002617BE">
        <w:rPr>
          <w:rFonts w:cs="Calibri"/>
          <w:bCs/>
          <w:iCs/>
          <w:lang w:val="sq-AL"/>
        </w:rPr>
        <w:t xml:space="preserve"> (96 % të planit vjetor të ndryshuar me AN nr.19)</w:t>
      </w:r>
      <w:r w:rsidR="00FB73CC" w:rsidRPr="002617BE">
        <w:rPr>
          <w:rFonts w:cs="Calibri"/>
          <w:lang w:val="sq-AL"/>
        </w:rPr>
        <w:t xml:space="preserve"> dhe 230.4% e buxhetit fillestar për projektet me financim të huaj (0.8 milard lekë)</w:t>
      </w:r>
      <w:r w:rsidR="00FB73CC" w:rsidRPr="002617BE">
        <w:rPr>
          <w:rFonts w:cs="Calibri"/>
          <w:bCs/>
          <w:iCs/>
          <w:lang w:val="sq-AL"/>
        </w:rPr>
        <w:t xml:space="preserve"> (118% të planit vjetor të ndryshuar me AN nr.19).</w:t>
      </w:r>
      <w:r w:rsidR="00FB73CC" w:rsidRPr="002617BE">
        <w:rPr>
          <w:rFonts w:cs="Calibri"/>
          <w:lang w:val="sq-AL"/>
        </w:rPr>
        <w:t xml:space="preserve"> </w:t>
      </w:r>
      <w:r w:rsidR="00FB73CC" w:rsidRPr="002617BE">
        <w:rPr>
          <w:rFonts w:asciiTheme="majorHAnsi" w:eastAsiaTheme="minorHAnsi" w:hAnsiTheme="majorHAnsi" w:cs="Calibri Light"/>
          <w:szCs w:val="22"/>
          <w:lang w:val="sq-AL"/>
        </w:rPr>
        <w:t>Janë mbyllur kontratat e investimit si më poshtë, ku ndër më kryesoret veçojmë rreth 15</w:t>
      </w:r>
      <w:r w:rsidR="00FB73CC" w:rsidRPr="002617BE">
        <w:rPr>
          <w:rFonts w:asciiTheme="majorHAnsi" w:hAnsiTheme="majorHAnsi" w:cs="Calibri Light"/>
          <w:szCs w:val="22"/>
          <w:lang w:val="sq-AL"/>
        </w:rPr>
        <w:t xml:space="preserve"> kontrata me vlerë të plotë projektesh prej rreth 720 milionë lekë lekë. Nga projektet e përfunduara veçojmë:</w:t>
      </w:r>
    </w:p>
    <w:p w:rsidR="00FB73CC" w:rsidRPr="002617BE" w:rsidRDefault="00FB73CC"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Orendi e paisje zyre për Godinen e Re të SH.Ç.B.A në vlerën 39 milionë lekë;</w:t>
      </w:r>
    </w:p>
    <w:p w:rsidR="00FB73CC" w:rsidRPr="002617BE" w:rsidRDefault="00FB73CC"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Blerje paisjesh për prefekturat;</w:t>
      </w:r>
    </w:p>
    <w:p w:rsidR="00FB73CC" w:rsidRPr="002617BE" w:rsidRDefault="00FB73CC"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 xml:space="preserve">Ndertim </w:t>
      </w:r>
      <w:r>
        <w:rPr>
          <w:rFonts w:asciiTheme="majorHAnsi" w:hAnsiTheme="majorHAnsi" w:cs="Calibri Light"/>
          <w:bCs/>
          <w:i/>
          <w:szCs w:val="22"/>
          <w:lang w:val="sq-AL" w:eastAsia="en-GB"/>
        </w:rPr>
        <w:t>i</w:t>
      </w:r>
      <w:r w:rsidRPr="002617BE">
        <w:rPr>
          <w:rFonts w:asciiTheme="majorHAnsi" w:hAnsiTheme="majorHAnsi" w:cs="Calibri Light"/>
          <w:bCs/>
          <w:i/>
          <w:szCs w:val="22"/>
          <w:lang w:val="sq-AL" w:eastAsia="en-GB"/>
        </w:rPr>
        <w:t xml:space="preserve">  Bllokut te Sigurise dhe Rikonstruksion </w:t>
      </w:r>
      <w:r>
        <w:rPr>
          <w:rFonts w:asciiTheme="majorHAnsi" w:hAnsiTheme="majorHAnsi" w:cs="Calibri Light"/>
          <w:bCs/>
          <w:i/>
          <w:szCs w:val="22"/>
          <w:lang w:val="sq-AL" w:eastAsia="en-GB"/>
        </w:rPr>
        <w:t>i</w:t>
      </w:r>
      <w:r w:rsidRPr="002617BE">
        <w:rPr>
          <w:rFonts w:asciiTheme="majorHAnsi" w:hAnsiTheme="majorHAnsi" w:cs="Calibri Light"/>
          <w:bCs/>
          <w:i/>
          <w:szCs w:val="22"/>
          <w:lang w:val="sq-AL" w:eastAsia="en-GB"/>
        </w:rPr>
        <w:t xml:space="preserve"> Dhomave te shoqerimit ne DVP Tirane 297</w:t>
      </w:r>
      <w:r>
        <w:rPr>
          <w:rFonts w:asciiTheme="majorHAnsi" w:hAnsiTheme="majorHAnsi" w:cs="Calibri Light"/>
          <w:bCs/>
          <w:i/>
          <w:szCs w:val="22"/>
          <w:lang w:val="sq-AL" w:eastAsia="en-GB"/>
        </w:rPr>
        <w:t>mln</w:t>
      </w:r>
      <w:r w:rsidRPr="002617BE">
        <w:rPr>
          <w:rFonts w:asciiTheme="majorHAnsi" w:hAnsiTheme="majorHAnsi" w:cs="Calibri Light"/>
          <w:bCs/>
          <w:i/>
          <w:szCs w:val="22"/>
          <w:lang w:val="sq-AL" w:eastAsia="en-GB"/>
        </w:rPr>
        <w:t xml:space="preserve"> lekë;</w:t>
      </w:r>
    </w:p>
    <w:p w:rsidR="00FB73CC" w:rsidRPr="002617BE" w:rsidRDefault="00FB73CC"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Rikonstruksion ambjentesh ne Institutin e Pergatitjes se Qenve te Policise në vlerën 16 milionë lekë;</w:t>
      </w:r>
    </w:p>
    <w:p w:rsidR="00FB73CC" w:rsidRPr="002617BE" w:rsidRDefault="00FB73CC"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Ndertim/Rikonstruksion i godines se PKK Qafe Boti në vlerën 36 milionë lekë;</w:t>
      </w:r>
    </w:p>
    <w:p w:rsidR="00FB73CC" w:rsidRPr="002617BE" w:rsidRDefault="00FB73CC"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Financimi i projektit "Rikonstruksion i objekteve të ish Repartit RENEA për akomodimin e Drejtorisë së Forcës së Posaçme Operacionale" Tiranë në vlerën 260 milionë lekë;</w:t>
      </w:r>
    </w:p>
    <w:p w:rsidR="00FB73CC" w:rsidRPr="002617BE" w:rsidRDefault="00FB73CC" w:rsidP="00C71069">
      <w:pPr>
        <w:pStyle w:val="ListParagraph"/>
        <w:numPr>
          <w:ilvl w:val="0"/>
          <w:numId w:val="24"/>
        </w:numPr>
        <w:shd w:val="clear" w:color="auto" w:fill="FFFFFF" w:themeFill="background1"/>
        <w:spacing w:before="0" w:line="240" w:lineRule="auto"/>
        <w:ind w:left="630"/>
        <w:rPr>
          <w:rFonts w:asciiTheme="majorHAnsi" w:hAnsiTheme="majorHAnsi" w:cs="Calibri Light"/>
          <w:bCs/>
          <w:i/>
          <w:szCs w:val="22"/>
          <w:lang w:val="sq-AL" w:eastAsia="en-GB"/>
        </w:rPr>
      </w:pPr>
      <w:r w:rsidRPr="002617BE">
        <w:rPr>
          <w:rFonts w:asciiTheme="majorHAnsi" w:hAnsiTheme="majorHAnsi" w:cs="Calibri Light"/>
          <w:bCs/>
          <w:i/>
          <w:szCs w:val="22"/>
          <w:lang w:val="sq-AL" w:eastAsia="en-GB"/>
        </w:rPr>
        <w:t>Modernizimi i Sektorit të Ruajtjes nga incidentet me ASHM në vlerën 48 milionë lekë etj</w:t>
      </w:r>
      <w:r>
        <w:rPr>
          <w:rFonts w:asciiTheme="majorHAnsi" w:hAnsiTheme="majorHAnsi" w:cs="Calibri Light"/>
          <w:bCs/>
          <w:i/>
          <w:szCs w:val="22"/>
          <w:lang w:val="sq-AL" w:eastAsia="en-GB"/>
        </w:rPr>
        <w:t>.</w:t>
      </w:r>
    </w:p>
    <w:p w:rsidR="004E5E8E" w:rsidRDefault="004E5E8E" w:rsidP="00FB73CC">
      <w:pPr>
        <w:rPr>
          <w:rFonts w:cs="Calibri"/>
          <w:lang w:val="sq-AL"/>
        </w:rPr>
      </w:pPr>
    </w:p>
    <w:p w:rsidR="004E5E8E" w:rsidRDefault="004E5E8E" w:rsidP="00FB73CC">
      <w:pPr>
        <w:rPr>
          <w:rFonts w:cs="Calibri"/>
          <w:lang w:val="sq-AL"/>
        </w:rPr>
      </w:pPr>
    </w:p>
    <w:p w:rsidR="007B7B50" w:rsidRPr="00476D2E" w:rsidRDefault="007B7B50" w:rsidP="00FC729E">
      <w:pPr>
        <w:pStyle w:val="fiskale3"/>
        <w:rPr>
          <w:rFonts w:ascii="Calibri" w:hAnsi="Calibri" w:cs="Calibri"/>
          <w:b/>
        </w:rPr>
      </w:pPr>
      <w:bookmarkStart w:id="299" w:name="_Toc10033300"/>
      <w:bookmarkStart w:id="300" w:name="_Toc10721436"/>
      <w:bookmarkStart w:id="301" w:name="_Toc104980371"/>
      <w:r w:rsidRPr="00476D2E">
        <w:rPr>
          <w:rFonts w:ascii="Calibri" w:hAnsi="Calibri" w:cs="Calibri"/>
          <w:b/>
        </w:rPr>
        <w:t>Politika e Jashtme</w:t>
      </w:r>
      <w:bookmarkEnd w:id="299"/>
      <w:bookmarkEnd w:id="300"/>
      <w:bookmarkEnd w:id="301"/>
    </w:p>
    <w:p w:rsidR="007B7B50" w:rsidRDefault="007B7B50" w:rsidP="00965E89">
      <w:pPr>
        <w:spacing w:line="240" w:lineRule="auto"/>
        <w:rPr>
          <w:rFonts w:cs="Calibri"/>
          <w:lang w:val="sq-AL"/>
        </w:rPr>
      </w:pPr>
      <w:r w:rsidRPr="00476D2E">
        <w:rPr>
          <w:rFonts w:cs="Calibri"/>
          <w:lang w:val="sq-AL"/>
        </w:rPr>
        <w:t>Performanca e treguesve buxhetorë për katër programet kryesore në Ministrinë për Evropën dhe Punët e Jashtme paraqitet si më poshtë:</w:t>
      </w:r>
    </w:p>
    <w:p w:rsidR="007B7B50" w:rsidRPr="00476D2E" w:rsidRDefault="007B7B50" w:rsidP="00FC729E">
      <w:pPr>
        <w:keepNext/>
        <w:rPr>
          <w:rFonts w:cs="Calibri"/>
          <w:i/>
          <w:iCs/>
          <w:color w:val="0B5294" w:themeColor="accent1" w:themeShade="BF"/>
          <w:sz w:val="18"/>
          <w:szCs w:val="18"/>
          <w:lang w:val="sq-AL"/>
        </w:rPr>
      </w:pPr>
      <w:bookmarkStart w:id="302" w:name="_Toc136526362"/>
      <w:r w:rsidRPr="00476D2E">
        <w:rPr>
          <w:rFonts w:cs="Calibri"/>
          <w:i/>
          <w:iCs/>
          <w:color w:val="0B5294" w:themeColor="accent1" w:themeShade="BF"/>
          <w:sz w:val="18"/>
          <w:szCs w:val="18"/>
          <w:lang w:val="sq-AL"/>
        </w:rPr>
        <w:t xml:space="preserve">Tabela </w:t>
      </w:r>
      <w:r w:rsidRPr="00476D2E">
        <w:rPr>
          <w:rFonts w:cs="Calibri"/>
          <w:i/>
          <w:iCs/>
          <w:color w:val="0B5294" w:themeColor="accent1" w:themeShade="BF"/>
          <w:sz w:val="18"/>
          <w:szCs w:val="18"/>
          <w:lang w:val="sq-AL"/>
        </w:rPr>
        <w:fldChar w:fldCharType="begin"/>
      </w:r>
      <w:r w:rsidRPr="00476D2E">
        <w:rPr>
          <w:rFonts w:cs="Calibri"/>
          <w:i/>
          <w:iCs/>
          <w:color w:val="0B5294" w:themeColor="accent1" w:themeShade="BF"/>
          <w:sz w:val="18"/>
          <w:szCs w:val="18"/>
          <w:lang w:val="sq-AL"/>
        </w:rPr>
        <w:instrText xml:space="preserve"> SEQ Tabela \* ARABIC </w:instrText>
      </w:r>
      <w:r w:rsidRPr="00476D2E">
        <w:rPr>
          <w:rFonts w:cs="Calibri"/>
          <w:i/>
          <w:iCs/>
          <w:color w:val="0B5294" w:themeColor="accent1" w:themeShade="BF"/>
          <w:sz w:val="18"/>
          <w:szCs w:val="18"/>
          <w:lang w:val="sq-AL"/>
        </w:rPr>
        <w:fldChar w:fldCharType="separate"/>
      </w:r>
      <w:r w:rsidR="008C3E07">
        <w:rPr>
          <w:rFonts w:cs="Calibri"/>
          <w:i/>
          <w:iCs/>
          <w:noProof/>
          <w:color w:val="0B5294" w:themeColor="accent1" w:themeShade="BF"/>
          <w:sz w:val="18"/>
          <w:szCs w:val="18"/>
          <w:lang w:val="sq-AL"/>
        </w:rPr>
        <w:t>36</w:t>
      </w:r>
      <w:r w:rsidRPr="00476D2E">
        <w:rPr>
          <w:rFonts w:cs="Calibri"/>
          <w:i/>
          <w:iCs/>
          <w:color w:val="0B5294" w:themeColor="accent1" w:themeShade="BF"/>
          <w:sz w:val="18"/>
          <w:szCs w:val="18"/>
          <w:lang w:val="sq-AL"/>
        </w:rPr>
        <w:fldChar w:fldCharType="end"/>
      </w:r>
      <w:r w:rsidRPr="00476D2E">
        <w:rPr>
          <w:rFonts w:cs="Calibri"/>
          <w:i/>
          <w:iCs/>
          <w:color w:val="0B5294" w:themeColor="accent1" w:themeShade="BF"/>
          <w:sz w:val="18"/>
          <w:szCs w:val="18"/>
          <w:lang w:val="sq-AL"/>
        </w:rPr>
        <w:t xml:space="preserve"> Realizimi i buxhetit 202</w:t>
      </w:r>
      <w:r w:rsidR="00721657">
        <w:rPr>
          <w:rFonts w:cs="Calibri"/>
          <w:i/>
          <w:iCs/>
          <w:color w:val="0B5294" w:themeColor="accent1" w:themeShade="BF"/>
          <w:sz w:val="18"/>
          <w:szCs w:val="18"/>
          <w:lang w:val="sq-AL"/>
        </w:rPr>
        <w:t>2</w:t>
      </w:r>
      <w:r w:rsidRPr="00476D2E">
        <w:rPr>
          <w:rFonts w:cs="Calibri"/>
          <w:i/>
          <w:iCs/>
          <w:color w:val="0B5294" w:themeColor="accent1" w:themeShade="BF"/>
          <w:sz w:val="18"/>
          <w:szCs w:val="18"/>
          <w:lang w:val="sq-AL"/>
        </w:rPr>
        <w:t xml:space="preserve"> për Ministrinë për Evropën dhe Punët e Jashtme</w:t>
      </w:r>
      <w:bookmarkEnd w:id="302"/>
    </w:p>
    <w:tbl>
      <w:tblPr>
        <w:tblW w:w="10636" w:type="dxa"/>
        <w:jc w:val="center"/>
        <w:tblLayout w:type="fixed"/>
        <w:tblLook w:val="04A0" w:firstRow="1" w:lastRow="0" w:firstColumn="1" w:lastColumn="0" w:noHBand="0" w:noVBand="1"/>
      </w:tblPr>
      <w:tblGrid>
        <w:gridCol w:w="2597"/>
        <w:gridCol w:w="882"/>
        <w:gridCol w:w="886"/>
        <w:gridCol w:w="908"/>
        <w:gridCol w:w="886"/>
        <w:gridCol w:w="882"/>
        <w:gridCol w:w="992"/>
        <w:gridCol w:w="664"/>
        <w:gridCol w:w="730"/>
        <w:gridCol w:w="622"/>
        <w:gridCol w:w="587"/>
      </w:tblGrid>
      <w:tr w:rsidR="00721657" w:rsidRPr="00721657" w:rsidTr="00721657">
        <w:trPr>
          <w:trHeight w:val="322"/>
          <w:jc w:val="center"/>
        </w:trPr>
        <w:tc>
          <w:tcPr>
            <w:tcW w:w="2597" w:type="dxa"/>
            <w:vMerge w:val="restart"/>
            <w:tcBorders>
              <w:top w:val="nil"/>
              <w:left w:val="nil"/>
              <w:bottom w:val="nil"/>
              <w:right w:val="nil"/>
            </w:tcBorders>
            <w:shd w:val="clear" w:color="000000" w:fill="366092"/>
            <w:noWrap/>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Programi buxhetor</w:t>
            </w:r>
          </w:p>
        </w:tc>
        <w:tc>
          <w:tcPr>
            <w:tcW w:w="1768" w:type="dxa"/>
            <w:gridSpan w:val="2"/>
            <w:tcBorders>
              <w:top w:val="single" w:sz="8" w:space="0" w:color="B8CCE4"/>
              <w:left w:val="single" w:sz="8" w:space="0" w:color="B8CCE4"/>
              <w:bottom w:val="single" w:sz="12" w:space="0" w:color="95B3D7"/>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Plani fillestar 2022</w:t>
            </w:r>
          </w:p>
        </w:tc>
        <w:tc>
          <w:tcPr>
            <w:tcW w:w="1794"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Plani i rishikuar 2022</w:t>
            </w:r>
          </w:p>
        </w:tc>
        <w:tc>
          <w:tcPr>
            <w:tcW w:w="1874"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Fakti 2022</w:t>
            </w:r>
          </w:p>
        </w:tc>
        <w:tc>
          <w:tcPr>
            <w:tcW w:w="1394"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21657" w:rsidRPr="00721657" w:rsidRDefault="00721657" w:rsidP="00721657">
            <w:pPr>
              <w:spacing w:before="0" w:line="240" w:lineRule="auto"/>
              <w:jc w:val="center"/>
              <w:rPr>
                <w:color w:val="FFFFFF"/>
                <w:sz w:val="16"/>
                <w:szCs w:val="18"/>
              </w:rPr>
            </w:pPr>
            <w:r w:rsidRPr="00721657">
              <w:rPr>
                <w:color w:val="FFFFFF"/>
                <w:sz w:val="16"/>
                <w:szCs w:val="18"/>
              </w:rPr>
              <w:t>Diferenca në % me planin fillestar</w:t>
            </w:r>
          </w:p>
        </w:tc>
        <w:tc>
          <w:tcPr>
            <w:tcW w:w="1209" w:type="dxa"/>
            <w:gridSpan w:val="2"/>
            <w:tcBorders>
              <w:top w:val="single" w:sz="8" w:space="0" w:color="B8CCE4"/>
              <w:left w:val="nil"/>
              <w:bottom w:val="single" w:sz="12" w:space="0" w:color="95B3D7"/>
              <w:right w:val="single" w:sz="8" w:space="0" w:color="B8CCE4"/>
            </w:tcBorders>
            <w:shd w:val="clear" w:color="000000" w:fill="365F91"/>
            <w:vAlign w:val="center"/>
            <w:hideMark/>
          </w:tcPr>
          <w:p w:rsidR="00721657" w:rsidRPr="00721657" w:rsidRDefault="00721657" w:rsidP="00721657">
            <w:pPr>
              <w:spacing w:before="0" w:line="240" w:lineRule="auto"/>
              <w:jc w:val="center"/>
              <w:rPr>
                <w:color w:val="FFFFFF"/>
                <w:sz w:val="16"/>
                <w:szCs w:val="18"/>
              </w:rPr>
            </w:pPr>
            <w:r w:rsidRPr="00721657">
              <w:rPr>
                <w:color w:val="FFFFFF"/>
                <w:sz w:val="16"/>
                <w:szCs w:val="18"/>
              </w:rPr>
              <w:t>Diferenca në % me planin e rishikuar</w:t>
            </w:r>
          </w:p>
        </w:tc>
      </w:tr>
      <w:tr w:rsidR="00721657" w:rsidRPr="00721657" w:rsidTr="00721657">
        <w:trPr>
          <w:trHeight w:val="199"/>
          <w:jc w:val="center"/>
        </w:trPr>
        <w:tc>
          <w:tcPr>
            <w:tcW w:w="2597" w:type="dxa"/>
            <w:vMerge/>
            <w:tcBorders>
              <w:top w:val="nil"/>
              <w:left w:val="nil"/>
              <w:bottom w:val="nil"/>
              <w:right w:val="nil"/>
            </w:tcBorders>
            <w:vAlign w:val="center"/>
            <w:hideMark/>
          </w:tcPr>
          <w:p w:rsidR="00721657" w:rsidRPr="00721657" w:rsidRDefault="00721657" w:rsidP="00721657">
            <w:pPr>
              <w:spacing w:before="0" w:line="240" w:lineRule="auto"/>
              <w:jc w:val="left"/>
              <w:rPr>
                <w:b/>
                <w:bCs/>
                <w:color w:val="FFFFFF"/>
                <w:sz w:val="16"/>
                <w:szCs w:val="18"/>
              </w:rPr>
            </w:pPr>
          </w:p>
        </w:tc>
        <w:tc>
          <w:tcPr>
            <w:tcW w:w="882"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Korrente</w:t>
            </w:r>
          </w:p>
        </w:tc>
        <w:tc>
          <w:tcPr>
            <w:tcW w:w="886"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Investime</w:t>
            </w:r>
          </w:p>
        </w:tc>
        <w:tc>
          <w:tcPr>
            <w:tcW w:w="908"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Korrente</w:t>
            </w:r>
          </w:p>
        </w:tc>
        <w:tc>
          <w:tcPr>
            <w:tcW w:w="886"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Investime</w:t>
            </w:r>
          </w:p>
        </w:tc>
        <w:tc>
          <w:tcPr>
            <w:tcW w:w="882"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Korrente</w:t>
            </w:r>
          </w:p>
        </w:tc>
        <w:tc>
          <w:tcPr>
            <w:tcW w:w="992"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Investime</w:t>
            </w:r>
          </w:p>
        </w:tc>
        <w:tc>
          <w:tcPr>
            <w:tcW w:w="664"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Korr.</w:t>
            </w:r>
          </w:p>
        </w:tc>
        <w:tc>
          <w:tcPr>
            <w:tcW w:w="729"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color w:val="FFFFFF"/>
                <w:sz w:val="16"/>
                <w:szCs w:val="18"/>
              </w:rPr>
            </w:pPr>
            <w:r w:rsidRPr="00721657">
              <w:rPr>
                <w:color w:val="FFFFFF"/>
                <w:sz w:val="16"/>
                <w:szCs w:val="18"/>
              </w:rPr>
              <w:t>Inv.</w:t>
            </w:r>
          </w:p>
        </w:tc>
        <w:tc>
          <w:tcPr>
            <w:tcW w:w="622"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Korr.</w:t>
            </w:r>
          </w:p>
        </w:tc>
        <w:tc>
          <w:tcPr>
            <w:tcW w:w="586" w:type="dxa"/>
            <w:tcBorders>
              <w:top w:val="nil"/>
              <w:left w:val="nil"/>
              <w:bottom w:val="single" w:sz="8" w:space="0" w:color="B8CCE4"/>
              <w:right w:val="single" w:sz="8" w:space="0" w:color="B8CCE4"/>
            </w:tcBorders>
            <w:shd w:val="clear" w:color="000000" w:fill="365F91"/>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Inv.</w:t>
            </w:r>
          </w:p>
        </w:tc>
      </w:tr>
      <w:tr w:rsidR="00721657" w:rsidRPr="00721657" w:rsidTr="00721657">
        <w:trPr>
          <w:trHeight w:val="246"/>
          <w:jc w:val="center"/>
        </w:trPr>
        <w:tc>
          <w:tcPr>
            <w:tcW w:w="2597" w:type="dxa"/>
            <w:tcBorders>
              <w:top w:val="nil"/>
              <w:left w:val="single" w:sz="8" w:space="0" w:color="90C5F6"/>
              <w:bottom w:val="single" w:sz="8" w:space="0" w:color="90C5F6"/>
              <w:right w:val="single" w:sz="8" w:space="0" w:color="90C5F6"/>
            </w:tcBorders>
            <w:shd w:val="clear" w:color="auto" w:fill="auto"/>
            <w:vAlign w:val="center"/>
            <w:hideMark/>
          </w:tcPr>
          <w:p w:rsidR="00721657" w:rsidRPr="00721657" w:rsidRDefault="00721657" w:rsidP="00721657">
            <w:pPr>
              <w:spacing w:before="0" w:line="240" w:lineRule="auto"/>
              <w:jc w:val="center"/>
              <w:rPr>
                <w:b/>
                <w:bCs/>
                <w:color w:val="000000"/>
                <w:sz w:val="16"/>
                <w:szCs w:val="16"/>
              </w:rPr>
            </w:pPr>
            <w:r w:rsidRPr="00721657">
              <w:rPr>
                <w:b/>
                <w:bCs/>
                <w:color w:val="000000"/>
                <w:sz w:val="16"/>
                <w:szCs w:val="16"/>
                <w:lang w:val="sq-AL"/>
              </w:rPr>
              <w:t>Planifikimi, Menaxhimi dhe Administrimi</w:t>
            </w:r>
          </w:p>
        </w:tc>
        <w:tc>
          <w:tcPr>
            <w:tcW w:w="88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268,756</w:t>
            </w:r>
          </w:p>
        </w:tc>
        <w:tc>
          <w:tcPr>
            <w:tcW w:w="8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55,000</w:t>
            </w:r>
          </w:p>
        </w:tc>
        <w:tc>
          <w:tcPr>
            <w:tcW w:w="908"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210,291</w:t>
            </w:r>
          </w:p>
        </w:tc>
        <w:tc>
          <w:tcPr>
            <w:tcW w:w="8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144,000</w:t>
            </w:r>
          </w:p>
        </w:tc>
        <w:tc>
          <w:tcPr>
            <w:tcW w:w="88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197,620</w:t>
            </w:r>
          </w:p>
        </w:tc>
        <w:tc>
          <w:tcPr>
            <w:tcW w:w="99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137,813</w:t>
            </w:r>
          </w:p>
        </w:tc>
        <w:tc>
          <w:tcPr>
            <w:tcW w:w="66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74%</w:t>
            </w:r>
          </w:p>
        </w:tc>
        <w:tc>
          <w:tcPr>
            <w:tcW w:w="729"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251%</w:t>
            </w:r>
          </w:p>
        </w:tc>
        <w:tc>
          <w:tcPr>
            <w:tcW w:w="62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94%</w:t>
            </w:r>
          </w:p>
        </w:tc>
        <w:tc>
          <w:tcPr>
            <w:tcW w:w="5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96%</w:t>
            </w:r>
          </w:p>
        </w:tc>
      </w:tr>
      <w:tr w:rsidR="00721657" w:rsidRPr="00721657" w:rsidTr="00721657">
        <w:trPr>
          <w:trHeight w:val="246"/>
          <w:jc w:val="center"/>
        </w:trPr>
        <w:tc>
          <w:tcPr>
            <w:tcW w:w="2597" w:type="dxa"/>
            <w:tcBorders>
              <w:top w:val="nil"/>
              <w:left w:val="single" w:sz="8" w:space="0" w:color="90C5F6"/>
              <w:bottom w:val="single" w:sz="8" w:space="0" w:color="90C5F6"/>
              <w:right w:val="single" w:sz="8" w:space="0" w:color="90C5F6"/>
            </w:tcBorders>
            <w:shd w:val="clear" w:color="auto" w:fill="auto"/>
            <w:vAlign w:val="center"/>
            <w:hideMark/>
          </w:tcPr>
          <w:p w:rsidR="00721657" w:rsidRPr="00721657" w:rsidRDefault="00721657" w:rsidP="00721657">
            <w:pPr>
              <w:spacing w:before="0" w:line="240" w:lineRule="auto"/>
              <w:jc w:val="center"/>
              <w:rPr>
                <w:b/>
                <w:bCs/>
                <w:color w:val="000000"/>
                <w:sz w:val="16"/>
                <w:szCs w:val="16"/>
              </w:rPr>
            </w:pPr>
            <w:r w:rsidRPr="00721657">
              <w:rPr>
                <w:b/>
                <w:bCs/>
                <w:color w:val="000000"/>
                <w:sz w:val="16"/>
                <w:szCs w:val="16"/>
                <w:lang w:val="sq-AL"/>
              </w:rPr>
              <w:t>Mbështetje diplomatike jashtë shtetit</w:t>
            </w:r>
          </w:p>
        </w:tc>
        <w:tc>
          <w:tcPr>
            <w:tcW w:w="88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2,391,927</w:t>
            </w:r>
          </w:p>
        </w:tc>
        <w:tc>
          <w:tcPr>
            <w:tcW w:w="8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15,000</w:t>
            </w:r>
          </w:p>
        </w:tc>
        <w:tc>
          <w:tcPr>
            <w:tcW w:w="908"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2,204,569</w:t>
            </w:r>
          </w:p>
        </w:tc>
        <w:tc>
          <w:tcPr>
            <w:tcW w:w="8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15,000</w:t>
            </w:r>
          </w:p>
        </w:tc>
        <w:tc>
          <w:tcPr>
            <w:tcW w:w="88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1,891,190</w:t>
            </w:r>
          </w:p>
        </w:tc>
        <w:tc>
          <w:tcPr>
            <w:tcW w:w="99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15,000</w:t>
            </w:r>
          </w:p>
        </w:tc>
        <w:tc>
          <w:tcPr>
            <w:tcW w:w="66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79%</w:t>
            </w:r>
          </w:p>
        </w:tc>
        <w:tc>
          <w:tcPr>
            <w:tcW w:w="729"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100%</w:t>
            </w:r>
          </w:p>
        </w:tc>
        <w:tc>
          <w:tcPr>
            <w:tcW w:w="62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86%</w:t>
            </w:r>
          </w:p>
        </w:tc>
        <w:tc>
          <w:tcPr>
            <w:tcW w:w="5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100%</w:t>
            </w:r>
          </w:p>
        </w:tc>
      </w:tr>
      <w:tr w:rsidR="00721657" w:rsidRPr="00721657" w:rsidTr="00721657">
        <w:trPr>
          <w:trHeight w:val="246"/>
          <w:jc w:val="center"/>
        </w:trPr>
        <w:tc>
          <w:tcPr>
            <w:tcW w:w="2597" w:type="dxa"/>
            <w:tcBorders>
              <w:top w:val="nil"/>
              <w:left w:val="single" w:sz="8" w:space="0" w:color="90C5F6"/>
              <w:bottom w:val="single" w:sz="8" w:space="0" w:color="90C5F6"/>
              <w:right w:val="single" w:sz="8" w:space="0" w:color="90C5F6"/>
            </w:tcBorders>
            <w:shd w:val="clear" w:color="auto" w:fill="auto"/>
            <w:vAlign w:val="center"/>
            <w:hideMark/>
          </w:tcPr>
          <w:p w:rsidR="00721657" w:rsidRPr="00721657" w:rsidRDefault="00721657" w:rsidP="00721657">
            <w:pPr>
              <w:spacing w:before="0" w:line="240" w:lineRule="auto"/>
              <w:jc w:val="center"/>
              <w:rPr>
                <w:b/>
                <w:bCs/>
                <w:color w:val="000000"/>
                <w:sz w:val="16"/>
                <w:szCs w:val="16"/>
              </w:rPr>
            </w:pPr>
            <w:r w:rsidRPr="00721657">
              <w:rPr>
                <w:b/>
                <w:bCs/>
                <w:color w:val="000000"/>
                <w:sz w:val="16"/>
                <w:szCs w:val="16"/>
                <w:lang w:val="sq-AL"/>
              </w:rPr>
              <w:t>Aktiviteti diplomatik dhe konsullor i MPJ</w:t>
            </w:r>
          </w:p>
        </w:tc>
        <w:tc>
          <w:tcPr>
            <w:tcW w:w="88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204,440</w:t>
            </w:r>
          </w:p>
        </w:tc>
        <w:tc>
          <w:tcPr>
            <w:tcW w:w="8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0</w:t>
            </w:r>
          </w:p>
        </w:tc>
        <w:tc>
          <w:tcPr>
            <w:tcW w:w="908"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185,209</w:t>
            </w:r>
          </w:p>
        </w:tc>
        <w:tc>
          <w:tcPr>
            <w:tcW w:w="8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0</w:t>
            </w:r>
          </w:p>
        </w:tc>
        <w:tc>
          <w:tcPr>
            <w:tcW w:w="88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184,605</w:t>
            </w:r>
          </w:p>
        </w:tc>
        <w:tc>
          <w:tcPr>
            <w:tcW w:w="99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0</w:t>
            </w:r>
          </w:p>
        </w:tc>
        <w:tc>
          <w:tcPr>
            <w:tcW w:w="66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90%</w:t>
            </w:r>
          </w:p>
        </w:tc>
        <w:tc>
          <w:tcPr>
            <w:tcW w:w="729"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w:t>
            </w:r>
          </w:p>
        </w:tc>
        <w:tc>
          <w:tcPr>
            <w:tcW w:w="62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100%</w:t>
            </w:r>
          </w:p>
        </w:tc>
        <w:tc>
          <w:tcPr>
            <w:tcW w:w="5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w:t>
            </w:r>
          </w:p>
        </w:tc>
      </w:tr>
      <w:tr w:rsidR="00721657" w:rsidRPr="00721657" w:rsidTr="00721657">
        <w:trPr>
          <w:trHeight w:val="246"/>
          <w:jc w:val="center"/>
        </w:trPr>
        <w:tc>
          <w:tcPr>
            <w:tcW w:w="2597" w:type="dxa"/>
            <w:tcBorders>
              <w:top w:val="nil"/>
              <w:left w:val="single" w:sz="8" w:space="0" w:color="90C5F6"/>
              <w:bottom w:val="single" w:sz="8" w:space="0" w:color="90C5F6"/>
              <w:right w:val="single" w:sz="8" w:space="0" w:color="90C5F6"/>
            </w:tcBorders>
            <w:shd w:val="clear" w:color="auto" w:fill="auto"/>
            <w:vAlign w:val="center"/>
            <w:hideMark/>
          </w:tcPr>
          <w:p w:rsidR="00721657" w:rsidRPr="00721657" w:rsidRDefault="00721657" w:rsidP="00721657">
            <w:pPr>
              <w:spacing w:before="0" w:line="240" w:lineRule="auto"/>
              <w:jc w:val="center"/>
              <w:rPr>
                <w:b/>
                <w:bCs/>
                <w:color w:val="000000"/>
                <w:sz w:val="16"/>
                <w:szCs w:val="16"/>
              </w:rPr>
            </w:pPr>
            <w:r w:rsidRPr="00721657">
              <w:rPr>
                <w:b/>
                <w:bCs/>
                <w:color w:val="000000"/>
                <w:sz w:val="16"/>
                <w:szCs w:val="16"/>
                <w:lang w:val="sq-AL"/>
              </w:rPr>
              <w:t>Mbështetje për procesin e Integrimit</w:t>
            </w:r>
          </w:p>
        </w:tc>
        <w:tc>
          <w:tcPr>
            <w:tcW w:w="88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83,240</w:t>
            </w:r>
          </w:p>
        </w:tc>
        <w:tc>
          <w:tcPr>
            <w:tcW w:w="8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101,780</w:t>
            </w:r>
          </w:p>
        </w:tc>
        <w:tc>
          <w:tcPr>
            <w:tcW w:w="908"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70,629</w:t>
            </w:r>
          </w:p>
        </w:tc>
        <w:tc>
          <w:tcPr>
            <w:tcW w:w="8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116,235</w:t>
            </w:r>
          </w:p>
        </w:tc>
        <w:tc>
          <w:tcPr>
            <w:tcW w:w="88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68,945</w:t>
            </w:r>
          </w:p>
        </w:tc>
        <w:tc>
          <w:tcPr>
            <w:tcW w:w="99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83,005</w:t>
            </w:r>
          </w:p>
        </w:tc>
        <w:tc>
          <w:tcPr>
            <w:tcW w:w="664"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83%</w:t>
            </w:r>
          </w:p>
        </w:tc>
        <w:tc>
          <w:tcPr>
            <w:tcW w:w="729"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82%</w:t>
            </w:r>
          </w:p>
        </w:tc>
        <w:tc>
          <w:tcPr>
            <w:tcW w:w="622"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98%</w:t>
            </w:r>
          </w:p>
        </w:tc>
        <w:tc>
          <w:tcPr>
            <w:tcW w:w="586" w:type="dxa"/>
            <w:tcBorders>
              <w:top w:val="nil"/>
              <w:left w:val="nil"/>
              <w:bottom w:val="single" w:sz="8" w:space="0" w:color="B8CCE4"/>
              <w:right w:val="single" w:sz="8" w:space="0" w:color="B8CCE4"/>
            </w:tcBorders>
            <w:shd w:val="clear" w:color="auto" w:fill="auto"/>
            <w:vAlign w:val="center"/>
            <w:hideMark/>
          </w:tcPr>
          <w:p w:rsidR="00721657" w:rsidRPr="00721657" w:rsidRDefault="00721657" w:rsidP="00721657">
            <w:pPr>
              <w:spacing w:before="0" w:line="240" w:lineRule="auto"/>
              <w:jc w:val="center"/>
              <w:rPr>
                <w:color w:val="000000"/>
                <w:sz w:val="16"/>
                <w:szCs w:val="18"/>
              </w:rPr>
            </w:pPr>
            <w:r w:rsidRPr="00721657">
              <w:rPr>
                <w:color w:val="000000"/>
                <w:sz w:val="16"/>
                <w:szCs w:val="18"/>
              </w:rPr>
              <w:t>71%</w:t>
            </w:r>
          </w:p>
        </w:tc>
      </w:tr>
      <w:tr w:rsidR="00721657" w:rsidRPr="00721657" w:rsidTr="00721657">
        <w:trPr>
          <w:trHeight w:val="199"/>
          <w:jc w:val="center"/>
        </w:trPr>
        <w:tc>
          <w:tcPr>
            <w:tcW w:w="2597"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TOTALI</w:t>
            </w:r>
          </w:p>
        </w:tc>
        <w:tc>
          <w:tcPr>
            <w:tcW w:w="882"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2,948,363</w:t>
            </w:r>
          </w:p>
        </w:tc>
        <w:tc>
          <w:tcPr>
            <w:tcW w:w="886"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171,780</w:t>
            </w:r>
          </w:p>
        </w:tc>
        <w:tc>
          <w:tcPr>
            <w:tcW w:w="908"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2,670,697</w:t>
            </w:r>
          </w:p>
        </w:tc>
        <w:tc>
          <w:tcPr>
            <w:tcW w:w="886"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275,235</w:t>
            </w:r>
          </w:p>
        </w:tc>
        <w:tc>
          <w:tcPr>
            <w:tcW w:w="882"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2,342,360</w:t>
            </w:r>
          </w:p>
        </w:tc>
        <w:tc>
          <w:tcPr>
            <w:tcW w:w="992"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235,818</w:t>
            </w:r>
          </w:p>
        </w:tc>
        <w:tc>
          <w:tcPr>
            <w:tcW w:w="664"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79%</w:t>
            </w:r>
          </w:p>
        </w:tc>
        <w:tc>
          <w:tcPr>
            <w:tcW w:w="729"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137%</w:t>
            </w:r>
          </w:p>
        </w:tc>
        <w:tc>
          <w:tcPr>
            <w:tcW w:w="622"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88%</w:t>
            </w:r>
          </w:p>
        </w:tc>
        <w:tc>
          <w:tcPr>
            <w:tcW w:w="586" w:type="dxa"/>
            <w:tcBorders>
              <w:top w:val="nil"/>
              <w:left w:val="nil"/>
              <w:bottom w:val="single" w:sz="8" w:space="0" w:color="B8CCE4"/>
              <w:right w:val="single" w:sz="8" w:space="0" w:color="B8CCE4"/>
            </w:tcBorders>
            <w:shd w:val="clear" w:color="000000" w:fill="366092"/>
            <w:vAlign w:val="center"/>
            <w:hideMark/>
          </w:tcPr>
          <w:p w:rsidR="00721657" w:rsidRPr="00721657" w:rsidRDefault="00721657" w:rsidP="00721657">
            <w:pPr>
              <w:spacing w:before="0" w:line="240" w:lineRule="auto"/>
              <w:jc w:val="center"/>
              <w:rPr>
                <w:b/>
                <w:bCs/>
                <w:color w:val="FFFFFF"/>
                <w:sz w:val="16"/>
                <w:szCs w:val="18"/>
              </w:rPr>
            </w:pPr>
            <w:r w:rsidRPr="00721657">
              <w:rPr>
                <w:b/>
                <w:bCs/>
                <w:color w:val="FFFFFF"/>
                <w:sz w:val="16"/>
                <w:szCs w:val="18"/>
              </w:rPr>
              <w:t>86%</w:t>
            </w:r>
          </w:p>
        </w:tc>
      </w:tr>
    </w:tbl>
    <w:p w:rsidR="00AB22B6" w:rsidRPr="00CC123A" w:rsidRDefault="00AB22B6" w:rsidP="00FC729E">
      <w:pPr>
        <w:jc w:val="center"/>
        <w:rPr>
          <w:rFonts w:cs="Calibri"/>
          <w:noProof/>
          <w:sz w:val="4"/>
          <w:szCs w:val="8"/>
          <w:lang w:val="sq-AL"/>
        </w:rPr>
      </w:pPr>
    </w:p>
    <w:p w:rsidR="00721657" w:rsidRPr="00F95C93" w:rsidRDefault="00721657" w:rsidP="00721657">
      <w:pPr>
        <w:spacing w:line="240" w:lineRule="auto"/>
        <w:rPr>
          <w:noProof/>
          <w:szCs w:val="22"/>
          <w:lang w:val="sq-AL"/>
        </w:rPr>
      </w:pPr>
      <w:r w:rsidRPr="00F95C93">
        <w:rPr>
          <w:noProof/>
          <w:szCs w:val="22"/>
          <w:lang w:val="sq-AL"/>
        </w:rPr>
        <w:t>Programi “</w:t>
      </w:r>
      <w:r w:rsidRPr="00F95C93">
        <w:rPr>
          <w:b/>
          <w:noProof/>
          <w:szCs w:val="22"/>
          <w:lang w:val="sq-AL"/>
        </w:rPr>
        <w:t>Mbështetje diplomatike jashtë shtetit</w:t>
      </w:r>
      <w:r w:rsidRPr="00F95C93">
        <w:rPr>
          <w:noProof/>
          <w:szCs w:val="22"/>
          <w:lang w:val="sq-AL"/>
        </w:rPr>
        <w:t>”,  zë vendin kryesor në realizimin e shpenzimeve për MEPJ me një vlerë prej 1.9 mili</w:t>
      </w:r>
      <w:r>
        <w:rPr>
          <w:noProof/>
          <w:szCs w:val="22"/>
          <w:lang w:val="sq-AL"/>
        </w:rPr>
        <w:t>ardë lekë.</w:t>
      </w:r>
      <w:r w:rsidRPr="00F95C93">
        <w:rPr>
          <w:noProof/>
          <w:szCs w:val="22"/>
          <w:lang w:val="sq-AL"/>
        </w:rPr>
        <w:t xml:space="preserve"> </w:t>
      </w:r>
      <w:r>
        <w:rPr>
          <w:noProof/>
          <w:szCs w:val="22"/>
          <w:lang w:val="sq-AL"/>
        </w:rPr>
        <w:t>N</w:t>
      </w:r>
      <w:r w:rsidRPr="00F95C93">
        <w:rPr>
          <w:noProof/>
          <w:szCs w:val="22"/>
          <w:lang w:val="sq-AL"/>
        </w:rPr>
        <w:t>ë përmbushje të objektivave të këtij programi gjatë vitit 2022, janë realizuar aktivietet si mëposhtë:</w:t>
      </w:r>
    </w:p>
    <w:p w:rsidR="00721657" w:rsidRPr="00F95C93" w:rsidRDefault="00721657"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 xml:space="preserve">Janë shlyer detyrimet ndaj Organizatës së Kombeve të Bashkuara; Misioneve Paqeruajtëse; Frankofonisë; ANEA-s; UNIDO-s; UNESCO; Këshilli i Evropës, NATO-s; OSBE-së etj; </w:t>
      </w:r>
    </w:p>
    <w:p w:rsidR="00721657" w:rsidRPr="00F95C93" w:rsidRDefault="00721657"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Janë realizuar raporte mbi zgjerimin e shërbimeve konsullore ku theksojmë procesin e lëshimit të certifikatave nga përfaqësitë diplomatike;</w:t>
      </w:r>
    </w:p>
    <w:p w:rsidR="00721657" w:rsidRPr="00F95C93" w:rsidRDefault="00721657"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Është ofruar mbështetja e përfaqësive diplomatike dhe konsullore me personel dhe kushte të përshtatshme pune dhe jetese, për 325 punonjës nga 364 të planifikuar pë</w:t>
      </w:r>
      <w:r>
        <w:rPr>
          <w:rFonts w:cs="Calibri Light"/>
          <w:bCs/>
          <w:i/>
          <w:szCs w:val="22"/>
          <w:lang w:val="sq-AL" w:eastAsia="en-GB"/>
        </w:rPr>
        <w:t>r vitin 2022</w:t>
      </w:r>
      <w:r w:rsidRPr="00F95C93">
        <w:rPr>
          <w:rFonts w:cs="Calibri Light"/>
          <w:bCs/>
          <w:i/>
          <w:szCs w:val="22"/>
          <w:lang w:val="sq-AL" w:eastAsia="en-GB"/>
        </w:rPr>
        <w:t xml:space="preserve">, shoqëruar më një kosto prej 1.4 miliard lekë. </w:t>
      </w:r>
    </w:p>
    <w:p w:rsidR="00721657" w:rsidRPr="00F95C93" w:rsidRDefault="00721657" w:rsidP="00C71069">
      <w:pPr>
        <w:pStyle w:val="ListParagraph"/>
        <w:numPr>
          <w:ilvl w:val="0"/>
          <w:numId w:val="24"/>
        </w:numPr>
        <w:shd w:val="clear" w:color="auto" w:fill="FFFFFF" w:themeFill="background1"/>
        <w:spacing w:before="0" w:line="240" w:lineRule="auto"/>
        <w:ind w:left="630"/>
        <w:rPr>
          <w:rFonts w:cs="Calibri Light"/>
          <w:bCs/>
          <w:i/>
          <w:szCs w:val="22"/>
          <w:lang w:val="sq-AL" w:eastAsia="en-GB"/>
        </w:rPr>
      </w:pPr>
      <w:r w:rsidRPr="00F95C93">
        <w:rPr>
          <w:rFonts w:cs="Calibri Light"/>
          <w:bCs/>
          <w:i/>
          <w:szCs w:val="22"/>
          <w:lang w:val="sq-AL" w:eastAsia="en-GB"/>
        </w:rPr>
        <w:t>Shqipëria mori presidencën e Këshillit të Sigurimit të OKB-së.</w:t>
      </w:r>
    </w:p>
    <w:p w:rsidR="00965E89" w:rsidRDefault="007B7B50" w:rsidP="00965E89">
      <w:pPr>
        <w:spacing w:line="240" w:lineRule="auto"/>
        <w:rPr>
          <w:rFonts w:cs="Calibri"/>
          <w:lang w:val="sq-AL"/>
        </w:rPr>
      </w:pPr>
      <w:r w:rsidRPr="00965E89">
        <w:rPr>
          <w:rFonts w:cs="Calibri"/>
          <w:lang w:val="sq-AL"/>
        </w:rPr>
        <w:t xml:space="preserve">Për sa </w:t>
      </w:r>
      <w:r w:rsidR="00374BB8" w:rsidRPr="00965E89">
        <w:rPr>
          <w:rFonts w:cs="Calibri"/>
          <w:lang w:val="sq-AL"/>
        </w:rPr>
        <w:t>i</w:t>
      </w:r>
      <w:r w:rsidRPr="00965E89">
        <w:rPr>
          <w:rFonts w:cs="Calibri"/>
          <w:lang w:val="sq-AL"/>
        </w:rPr>
        <w:t xml:space="preserve"> përket </w:t>
      </w:r>
      <w:r w:rsidRPr="00965E89">
        <w:rPr>
          <w:rFonts w:cs="Calibri"/>
          <w:b/>
          <w:lang w:val="sq-AL"/>
        </w:rPr>
        <w:t>investimeve publike</w:t>
      </w:r>
      <w:r w:rsidRPr="00965E89">
        <w:rPr>
          <w:rFonts w:cs="Calibri"/>
          <w:lang w:val="sq-AL"/>
        </w:rPr>
        <w:t xml:space="preserve">, </w:t>
      </w:r>
      <w:r w:rsidR="00965E89" w:rsidRPr="00965E89">
        <w:rPr>
          <w:rFonts w:cs="Calibri"/>
          <w:lang w:val="sq-AL"/>
        </w:rPr>
        <w:t>realizimi në vitin 2022 ishte 196% e buxhetit fillestar për projektet me</w:t>
      </w:r>
      <w:r w:rsidR="00965E89" w:rsidRPr="002617BE">
        <w:rPr>
          <w:rFonts w:cs="Calibri"/>
          <w:lang w:val="sq-AL"/>
        </w:rPr>
        <w:t xml:space="preserve"> financim të brendshëm (0.18 miliard lekë)</w:t>
      </w:r>
      <w:r w:rsidR="00965E89" w:rsidRPr="002617BE">
        <w:rPr>
          <w:rFonts w:cs="Calibri"/>
          <w:bCs/>
          <w:iCs/>
          <w:lang w:val="sq-AL"/>
        </w:rPr>
        <w:t xml:space="preserve"> (92% të planit vjetor të ndryshuar me AN nr.19)</w:t>
      </w:r>
      <w:r w:rsidR="00965E89" w:rsidRPr="002617BE">
        <w:rPr>
          <w:rFonts w:cs="Calibri"/>
          <w:lang w:val="sq-AL"/>
        </w:rPr>
        <w:t xml:space="preserve"> dhe 71.5% e buxhetit fillestar për projektet me financim të huaj (0.057 milard lekë)</w:t>
      </w:r>
      <w:r w:rsidR="00965E89" w:rsidRPr="002617BE">
        <w:rPr>
          <w:rFonts w:cs="Calibri"/>
          <w:bCs/>
          <w:iCs/>
          <w:lang w:val="sq-AL"/>
        </w:rPr>
        <w:t>.</w:t>
      </w:r>
      <w:r w:rsidR="00965E89" w:rsidRPr="002617BE">
        <w:rPr>
          <w:rFonts w:cs="Calibri"/>
          <w:lang w:val="sq-AL"/>
        </w:rPr>
        <w:t xml:space="preserve"> </w:t>
      </w:r>
      <w:r w:rsidR="00965E89" w:rsidRPr="002617BE">
        <w:rPr>
          <w:rFonts w:asciiTheme="majorHAnsi" w:eastAsiaTheme="minorHAnsi" w:hAnsiTheme="majorHAnsi" w:cs="Calibri Light"/>
          <w:szCs w:val="22"/>
          <w:lang w:val="sq-AL"/>
        </w:rPr>
        <w:t xml:space="preserve"> Për Ministrinë për Evropën dhe Punët e Jashtme janë paguar disa kontrata për blerje paisjesh për përfqësitë diplomatike, dhe pagesa në kuadër të projekteve të asistencës teknike.</w:t>
      </w:r>
      <w:r w:rsidR="00965E89" w:rsidRPr="00476D2E">
        <w:rPr>
          <w:rFonts w:cs="Calibri"/>
          <w:lang w:val="sq-AL"/>
        </w:rPr>
        <w:t xml:space="preserve"> </w:t>
      </w:r>
    </w:p>
    <w:bookmarkEnd w:id="250"/>
    <w:bookmarkEnd w:id="251"/>
    <w:p w:rsidR="000703F6" w:rsidRDefault="000703F6" w:rsidP="00FC729E">
      <w:pPr>
        <w:rPr>
          <w:rFonts w:cs="Calibri"/>
          <w:lang w:val="sq-AL"/>
        </w:rPr>
      </w:pPr>
    </w:p>
    <w:p w:rsidR="000703F6" w:rsidRPr="00476D2E" w:rsidRDefault="000703F6" w:rsidP="00FC729E">
      <w:pPr>
        <w:rPr>
          <w:rFonts w:eastAsia="SimSun" w:cs="Calibri"/>
          <w:sz w:val="20"/>
          <w:lang w:val="sq-AL"/>
        </w:rPr>
      </w:pPr>
    </w:p>
    <w:sectPr w:rsidR="000703F6" w:rsidRPr="00476D2E" w:rsidSect="00D60122">
      <w:headerReference w:type="even" r:id="rId73"/>
      <w:headerReference w:type="default" r:id="rId74"/>
      <w:footerReference w:type="even" r:id="rId75"/>
      <w:footerReference w:type="default" r:id="rId76"/>
      <w:headerReference w:type="first" r:id="rId77"/>
      <w:footerReference w:type="first" r:id="rId78"/>
      <w:pgSz w:w="11907" w:h="16839" w:code="9"/>
      <w:pgMar w:top="201" w:right="1017" w:bottom="720" w:left="990" w:header="45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E86" w:rsidRDefault="00AA0E86" w:rsidP="00BC6AC3">
      <w:r>
        <w:separator/>
      </w:r>
    </w:p>
  </w:endnote>
  <w:endnote w:type="continuationSeparator" w:id="0">
    <w:p w:rsidR="00AA0E86" w:rsidRDefault="00AA0E86" w:rsidP="00BC6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ucida Grande">
    <w:altName w:val="Arial"/>
    <w:charset w:val="00"/>
    <w:family w:val="swiss"/>
    <w:pitch w:val="variable"/>
    <w:sig w:usb0="00000000"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725484"/>
      <w:docPartObj>
        <w:docPartGallery w:val="Page Numbers (Bottom of Page)"/>
        <w:docPartUnique/>
      </w:docPartObj>
    </w:sdtPr>
    <w:sdtEndPr>
      <w:rPr>
        <w:noProof/>
      </w:rPr>
    </w:sdtEndPr>
    <w:sdtContent>
      <w:p w:rsidR="00ED218A" w:rsidRDefault="00ED218A">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ED218A" w:rsidRDefault="00ED21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3426012"/>
      <w:docPartObj>
        <w:docPartGallery w:val="Page Numbers (Bottom of Page)"/>
        <w:docPartUnique/>
      </w:docPartObj>
    </w:sdtPr>
    <w:sdtEndPr>
      <w:rPr>
        <w:noProof/>
      </w:rPr>
    </w:sdtEndPr>
    <w:sdtContent>
      <w:p w:rsidR="00ED218A" w:rsidRDefault="00ED218A">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rsidR="00ED218A" w:rsidRDefault="00ED21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738892"/>
      <w:docPartObj>
        <w:docPartGallery w:val="Page Numbers (Bottom of Page)"/>
        <w:docPartUnique/>
      </w:docPartObj>
    </w:sdtPr>
    <w:sdtEndPr>
      <w:rPr>
        <w:noProof/>
      </w:rPr>
    </w:sdtEndPr>
    <w:sdtContent>
      <w:p w:rsidR="00ED218A" w:rsidRDefault="00ED218A">
        <w:pPr>
          <w:pStyle w:val="Footer"/>
          <w:jc w:val="right"/>
        </w:pPr>
        <w:r>
          <w:fldChar w:fldCharType="begin"/>
        </w:r>
        <w:r>
          <w:instrText xml:space="preserve"> PAGE   \* MERGEFORMAT </w:instrText>
        </w:r>
        <w:r>
          <w:fldChar w:fldCharType="separate"/>
        </w:r>
        <w:r>
          <w:rPr>
            <w:noProof/>
          </w:rPr>
          <w:t>86</w:t>
        </w:r>
        <w:r>
          <w:rPr>
            <w:noProof/>
          </w:rPr>
          <w:fldChar w:fldCharType="end"/>
        </w:r>
      </w:p>
    </w:sdtContent>
  </w:sdt>
  <w:p w:rsidR="00ED218A" w:rsidRDefault="00ED21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8415599"/>
      <w:docPartObj>
        <w:docPartGallery w:val="Page Numbers (Bottom of Page)"/>
        <w:docPartUnique/>
      </w:docPartObj>
    </w:sdtPr>
    <w:sdtContent>
      <w:p w:rsidR="00ED218A" w:rsidRDefault="00ED218A">
        <w:pPr>
          <w:pStyle w:val="Footer"/>
          <w:jc w:val="right"/>
        </w:pPr>
        <w:r>
          <w:fldChar w:fldCharType="begin"/>
        </w:r>
        <w:r>
          <w:instrText xml:space="preserve"> PAGE   \* MERGEFORMAT </w:instrText>
        </w:r>
        <w:r>
          <w:fldChar w:fldCharType="separate"/>
        </w:r>
        <w:r>
          <w:rPr>
            <w:noProof/>
          </w:rPr>
          <w:t>85</w:t>
        </w:r>
        <w:r>
          <w:rPr>
            <w:noProof/>
          </w:rPr>
          <w:fldChar w:fldCharType="end"/>
        </w:r>
      </w:p>
    </w:sdtContent>
  </w:sdt>
  <w:p w:rsidR="00ED218A" w:rsidRDefault="00ED218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18A" w:rsidRDefault="00ED21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E86" w:rsidRDefault="00AA0E86" w:rsidP="00BC6AC3">
      <w:r>
        <w:separator/>
      </w:r>
    </w:p>
  </w:footnote>
  <w:footnote w:type="continuationSeparator" w:id="0">
    <w:p w:rsidR="00AA0E86" w:rsidRDefault="00AA0E86" w:rsidP="00BC6AC3">
      <w:r>
        <w:continuationSeparator/>
      </w:r>
    </w:p>
  </w:footnote>
  <w:footnote w:id="1">
    <w:p w:rsidR="00ED218A" w:rsidRPr="008034A3" w:rsidRDefault="00ED218A" w:rsidP="00FD62C9">
      <w:pPr>
        <w:pStyle w:val="FootnoteText"/>
        <w:spacing w:before="0" w:line="240" w:lineRule="auto"/>
        <w:rPr>
          <w:rFonts w:cs="Calibri"/>
          <w:i/>
          <w:sz w:val="16"/>
          <w:lang w:val="sq-AL"/>
        </w:rPr>
      </w:pPr>
      <w:r w:rsidRPr="008034A3">
        <w:rPr>
          <w:rStyle w:val="FootnoteReference"/>
          <w:rFonts w:cs="Calibri"/>
          <w:i/>
          <w:sz w:val="16"/>
        </w:rPr>
        <w:footnoteRef/>
      </w:r>
      <w:r w:rsidRPr="008034A3">
        <w:rPr>
          <w:rFonts w:cs="Calibri"/>
          <w:i/>
          <w:sz w:val="16"/>
        </w:rPr>
        <w:t xml:space="preserve"> </w:t>
      </w:r>
      <w:r w:rsidRPr="008034A3">
        <w:rPr>
          <w:rFonts w:cs="Calibri"/>
          <w:i/>
          <w:sz w:val="16"/>
          <w:lang w:val="sq-AL"/>
        </w:rPr>
        <w:t>Këto shifra i referohen një mesatare rrëshqitëse për 4 tremujorët</w:t>
      </w:r>
    </w:p>
    <w:p w:rsidR="00ED218A" w:rsidRPr="008034A3" w:rsidRDefault="00ED218A" w:rsidP="00FD62C9">
      <w:pPr>
        <w:pStyle w:val="FootnoteText"/>
        <w:spacing w:before="0" w:line="240" w:lineRule="auto"/>
        <w:rPr>
          <w:rFonts w:cs="Calibri"/>
          <w:i/>
          <w:sz w:val="16"/>
          <w:lang w:val="sq-AL"/>
        </w:rPr>
      </w:pPr>
      <w:r w:rsidRPr="008034A3">
        <w:rPr>
          <w:rFonts w:cs="Calibri"/>
          <w:i/>
          <w:sz w:val="16"/>
          <w:lang w:val="sq-AL"/>
        </w:rPr>
        <w:t>** Këto shifra i referohen balancës tremujore pjestuar me PBB vjetore të vlerësuar</w:t>
      </w:r>
    </w:p>
    <w:p w:rsidR="00ED218A" w:rsidRPr="008034A3" w:rsidRDefault="00ED218A" w:rsidP="00FD62C9">
      <w:pPr>
        <w:pStyle w:val="FootnoteText"/>
        <w:spacing w:before="0" w:line="240" w:lineRule="auto"/>
        <w:rPr>
          <w:rFonts w:cs="Calibri"/>
          <w:i/>
          <w:sz w:val="16"/>
          <w:lang w:val="sq-AL"/>
        </w:rPr>
      </w:pPr>
      <w:r w:rsidRPr="008034A3">
        <w:rPr>
          <w:rFonts w:cs="Calibri"/>
          <w:i/>
          <w:sz w:val="16"/>
          <w:lang w:val="sq-AL"/>
        </w:rPr>
        <w:t>*** Këto shifra i referohen balancës tremujore pjestuar me PBB tremujore</w:t>
      </w:r>
    </w:p>
  </w:footnote>
  <w:footnote w:id="2">
    <w:p w:rsidR="00ED218A" w:rsidRPr="001C1F7E" w:rsidRDefault="00ED218A" w:rsidP="001C1F7E">
      <w:pPr>
        <w:spacing w:before="0" w:line="240" w:lineRule="auto"/>
        <w:rPr>
          <w:rFonts w:eastAsia="MS Mincho" w:cs="Calibri"/>
          <w:i/>
          <w:sz w:val="16"/>
          <w:szCs w:val="18"/>
          <w:lang w:val="sq-AL"/>
        </w:rPr>
      </w:pPr>
      <w:r>
        <w:rPr>
          <w:rStyle w:val="FootnoteReference"/>
        </w:rPr>
        <w:footnoteRef/>
      </w:r>
      <w:r>
        <w:t xml:space="preserve"> </w:t>
      </w:r>
      <w:r w:rsidRPr="001C1F7E">
        <w:rPr>
          <w:rFonts w:eastAsia="MS Mincho" w:cs="Calibri"/>
          <w:i/>
          <w:sz w:val="16"/>
          <w:szCs w:val="18"/>
          <w:lang w:val="sq-AL"/>
        </w:rPr>
        <w:t>Sh</w:t>
      </w:r>
      <w:r>
        <w:rPr>
          <w:rFonts w:eastAsia="MS Mincho" w:cs="Calibri"/>
          <w:i/>
          <w:sz w:val="16"/>
          <w:szCs w:val="18"/>
          <w:lang w:val="sq-AL"/>
        </w:rPr>
        <w:t>ë</w:t>
      </w:r>
      <w:r w:rsidRPr="001C1F7E">
        <w:rPr>
          <w:rFonts w:eastAsia="MS Mincho" w:cs="Calibri"/>
          <w:i/>
          <w:sz w:val="16"/>
          <w:szCs w:val="18"/>
          <w:lang w:val="sq-AL"/>
        </w:rPr>
        <w:t>nim: Taksa mbi biznesin e vogël, pas ndryshimeve fiskale ligjore më të fundit, është bërë zero (ligji nr.112/2020 “Për disa ndryshime në ligjin nr.9632 datë 30.10.2006, “Për sistemin e taksave vendore”, të ndryshuar”). Nga realizimi faktik gjatë vitit 2022, rezulton se nga ky zë janë mbledhur rreth 72 milion lekë, që përbëjnë vetëm 0.26% të totalit të burimeve tatimore të pushtetit vendor, të cilat përfaqësojnë detyrime të paguara me vonesë.</w:t>
      </w:r>
    </w:p>
  </w:footnote>
  <w:footnote w:id="3">
    <w:p w:rsidR="00ED218A" w:rsidRPr="00EF464F" w:rsidRDefault="00ED218A" w:rsidP="00DB6854">
      <w:pPr>
        <w:pStyle w:val="FootnoteText"/>
        <w:spacing w:before="0" w:line="240" w:lineRule="auto"/>
        <w:rPr>
          <w:rFonts w:cs="Calibri"/>
          <w:i/>
          <w:sz w:val="18"/>
        </w:rPr>
      </w:pPr>
      <w:r w:rsidRPr="00EF464F">
        <w:rPr>
          <w:rStyle w:val="FootnoteReference"/>
          <w:rFonts w:cs="Calibri"/>
          <w:i/>
          <w:sz w:val="18"/>
        </w:rPr>
        <w:footnoteRef/>
      </w:r>
      <w:r w:rsidRPr="00EF464F">
        <w:rPr>
          <w:rFonts w:cs="Calibri"/>
          <w:i/>
          <w:sz w:val="18"/>
        </w:rPr>
        <w:t xml:space="preserve"> </w:t>
      </w:r>
      <w:r w:rsidRPr="00EF464F">
        <w:rPr>
          <w:rFonts w:cs="Calibri"/>
          <w:i/>
          <w:noProof/>
          <w:sz w:val="18"/>
          <w:lang w:val="sq-AL"/>
        </w:rPr>
        <w:t>Nuk përfshihen të ardhurat nga sigurimet shoqërore dhe shëndetësore</w:t>
      </w:r>
    </w:p>
  </w:footnote>
  <w:footnote w:id="4">
    <w:p w:rsidR="00ED218A" w:rsidRPr="00CF6A7A" w:rsidRDefault="00ED218A" w:rsidP="00242E33">
      <w:pPr>
        <w:pStyle w:val="FootnoteText"/>
        <w:spacing w:before="0" w:line="240" w:lineRule="auto"/>
        <w:rPr>
          <w:i/>
          <w:sz w:val="16"/>
          <w:lang w:val="sq-AL"/>
        </w:rPr>
      </w:pPr>
      <w:r w:rsidRPr="00CF6A7A">
        <w:rPr>
          <w:rStyle w:val="FootnoteReference"/>
          <w:i/>
          <w:sz w:val="16"/>
        </w:rPr>
        <w:footnoteRef/>
      </w:r>
      <w:r w:rsidRPr="00CF6A7A">
        <w:rPr>
          <w:i/>
          <w:sz w:val="16"/>
          <w:lang w:val="sq-AL"/>
        </w:rPr>
        <w:t xml:space="preserve"> Të dhënat financiare për vitin 2021 dhe 2022 për OSHEE Group sh.a. janë paraprake. Të dhënat financiare për vitin 2022 për OST sh.a. janë paraprake.</w:t>
      </w:r>
    </w:p>
  </w:footnote>
  <w:footnote w:id="5">
    <w:p w:rsidR="00ED218A" w:rsidRPr="004F4BDA" w:rsidRDefault="00ED218A" w:rsidP="004F4BDA">
      <w:pPr>
        <w:pStyle w:val="FootnoteText"/>
        <w:spacing w:before="0" w:line="240" w:lineRule="auto"/>
        <w:rPr>
          <w:i/>
          <w:sz w:val="16"/>
          <w:lang w:val="sq-AL"/>
        </w:rPr>
      </w:pPr>
      <w:r w:rsidRPr="004F4BDA">
        <w:rPr>
          <w:rStyle w:val="FootnoteReference"/>
          <w:i/>
          <w:sz w:val="16"/>
        </w:rPr>
        <w:footnoteRef/>
      </w:r>
      <w:r w:rsidRPr="004F4BDA">
        <w:rPr>
          <w:i/>
          <w:sz w:val="16"/>
          <w:lang w:val="sq-AL"/>
        </w:rPr>
        <w:t xml:space="preserve"> Pa përfshirë detyrimet e prapambetura të Ujësjellës Kanalizime dhe Universiteteve</w:t>
      </w:r>
    </w:p>
  </w:footnote>
  <w:footnote w:id="6">
    <w:p w:rsidR="00ED218A" w:rsidRPr="004E5E8E" w:rsidRDefault="00ED218A" w:rsidP="00004DA4">
      <w:pPr>
        <w:pStyle w:val="FootnoteText"/>
        <w:spacing w:before="0" w:line="240" w:lineRule="auto"/>
        <w:jc w:val="left"/>
        <w:rPr>
          <w:i/>
          <w:sz w:val="18"/>
          <w:szCs w:val="18"/>
        </w:rPr>
      </w:pPr>
      <w:r w:rsidRPr="004E5E8E">
        <w:rPr>
          <w:rStyle w:val="FootnoteReference"/>
          <w:i/>
          <w:sz w:val="18"/>
          <w:szCs w:val="18"/>
        </w:rPr>
        <w:footnoteRef/>
      </w:r>
      <w:r w:rsidRPr="004E5E8E">
        <w:rPr>
          <w:i/>
          <w:sz w:val="18"/>
          <w:szCs w:val="18"/>
        </w:rPr>
        <w:t xml:space="preserve"> </w:t>
      </w:r>
      <w:r>
        <w:rPr>
          <w:i/>
          <w:sz w:val="18"/>
          <w:szCs w:val="18"/>
        </w:rPr>
        <w:t>Ë</w:t>
      </w:r>
      <w:r w:rsidRPr="004E5E8E">
        <w:rPr>
          <w:i/>
          <w:sz w:val="18"/>
          <w:szCs w:val="18"/>
        </w:rPr>
        <w:t xml:space="preserve">orld Economic Outook, October 2022 (pg. 99), </w:t>
      </w:r>
      <w:hyperlink r:id="rId1" w:history="1">
        <w:r w:rsidRPr="004E5E8E">
          <w:rPr>
            <w:rStyle w:val="Hyperlink"/>
            <w:i/>
            <w:color w:val="00B0F0"/>
            <w:sz w:val="18"/>
            <w:szCs w:val="18"/>
          </w:rPr>
          <w:t>https://</w:t>
        </w:r>
        <w:r>
          <w:rPr>
            <w:rStyle w:val="Hyperlink"/>
            <w:i/>
            <w:color w:val="00B0F0"/>
            <w:sz w:val="18"/>
            <w:szCs w:val="18"/>
          </w:rPr>
          <w:t>ëëë</w:t>
        </w:r>
        <w:r w:rsidRPr="004E5E8E">
          <w:rPr>
            <w:rStyle w:val="Hyperlink"/>
            <w:i/>
            <w:color w:val="00B0F0"/>
            <w:sz w:val="18"/>
            <w:szCs w:val="18"/>
          </w:rPr>
          <w:t>.imf.org//media/Files/Publications/ËEO/2022/October/English/text.ashx</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65" w:type="pct"/>
      <w:jc w:val="center"/>
      <w:tblBorders>
        <w:bottom w:val="single" w:sz="12" w:space="0" w:color="A6A6A6" w:themeColor="background1" w:themeShade="A6"/>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9005"/>
      <w:gridCol w:w="1869"/>
    </w:tblGrid>
    <w:tr w:rsidR="00ED218A" w:rsidRPr="005B570E" w:rsidTr="00D0175F">
      <w:trPr>
        <w:trHeight w:val="155"/>
        <w:jc w:val="center"/>
      </w:trPr>
      <w:sdt>
        <w:sdtPr>
          <w:rPr>
            <w:rFonts w:asciiTheme="majorHAnsi" w:eastAsiaTheme="majorEastAsia" w:hAnsiTheme="majorHAnsi" w:cstheme="majorBidi"/>
            <w:color w:val="A6A6A6" w:themeColor="background1" w:themeShade="A6"/>
            <w:sz w:val="18"/>
            <w:szCs w:val="18"/>
          </w:rPr>
          <w:alias w:val="Title"/>
          <w:id w:val="-796920042"/>
          <w:showingPlcHdr/>
          <w:dataBinding w:prefixMappings="xmlns:ns0='http://schemas.openxmlformats.org/package/2006/metadata/core-properties' xmlns:ns1='http://purl.org/dc/elements/1.1/'" w:xpath="/ns0:coreProperties[1]/ns1:title[1]" w:storeItemID="{6C3C8BC8-F283-45AE-878A-BAB7291924A1}"/>
          <w:text/>
        </w:sdtPr>
        <w:sdtContent>
          <w:tc>
            <w:tcPr>
              <w:tcW w:w="8665" w:type="dxa"/>
              <w:tcBorders>
                <w:right w:val="single" w:sz="12" w:space="0" w:color="A6A6A6" w:themeColor="background1" w:themeShade="A6"/>
              </w:tcBorders>
            </w:tcPr>
            <w:p w:rsidR="00ED218A" w:rsidRPr="008E7E7B" w:rsidRDefault="00ED218A" w:rsidP="00D0175F">
              <w:pPr>
                <w:pStyle w:val="Header"/>
                <w:jc w:val="right"/>
                <w:rPr>
                  <w:rFonts w:asciiTheme="majorHAnsi" w:eastAsiaTheme="majorEastAsia" w:hAnsiTheme="majorHAnsi" w:cstheme="majorBidi"/>
                  <w:color w:val="A6A6A6" w:themeColor="background1" w:themeShade="A6"/>
                  <w:sz w:val="18"/>
                  <w:szCs w:val="18"/>
                </w:rPr>
              </w:pPr>
              <w:r>
                <w:rPr>
                  <w:rFonts w:asciiTheme="majorHAnsi" w:eastAsiaTheme="majorEastAsia" w:hAnsiTheme="majorHAnsi" w:cstheme="majorBidi"/>
                  <w:color w:val="A6A6A6" w:themeColor="background1" w:themeShade="A6"/>
                  <w:sz w:val="18"/>
                  <w:szCs w:val="18"/>
                </w:rPr>
                <w:t xml:space="preserve">     </w:t>
              </w:r>
            </w:p>
          </w:tc>
        </w:sdtContent>
      </w:sdt>
      <w:tc>
        <w:tcPr>
          <w:tcW w:w="1799" w:type="dxa"/>
          <w:tcBorders>
            <w:left w:val="single" w:sz="12" w:space="0" w:color="A6A6A6" w:themeColor="background1" w:themeShade="A6"/>
          </w:tcBorders>
        </w:tcPr>
        <w:p w:rsidR="00ED218A" w:rsidRPr="00D0175F" w:rsidRDefault="00ED218A" w:rsidP="006469E4">
          <w:pPr>
            <w:pStyle w:val="Header"/>
            <w:rPr>
              <w:rFonts w:asciiTheme="majorHAnsi" w:eastAsiaTheme="majorEastAsia" w:hAnsiTheme="majorHAnsi" w:cstheme="majorBidi"/>
              <w:b/>
              <w:bCs/>
              <w:color w:val="A6A6A6" w:themeColor="background1" w:themeShade="A6"/>
              <w:sz w:val="18"/>
              <w:szCs w:val="18"/>
            </w:rPr>
          </w:pPr>
          <w:r w:rsidRPr="00D0175F">
            <w:rPr>
              <w:rFonts w:asciiTheme="majorHAnsi" w:eastAsiaTheme="majorEastAsia" w:hAnsiTheme="majorHAnsi" w:cstheme="majorBidi"/>
              <w:b/>
              <w:bCs/>
              <w:color w:val="A6A6A6" w:themeColor="background1" w:themeShade="A6"/>
              <w:sz w:val="18"/>
              <w:szCs w:val="18"/>
            </w:rPr>
            <w:t>Buxheti Faktik 20</w:t>
          </w:r>
          <w:r>
            <w:rPr>
              <w:rFonts w:asciiTheme="majorHAnsi" w:eastAsiaTheme="majorEastAsia" w:hAnsiTheme="majorHAnsi" w:cstheme="majorBidi"/>
              <w:b/>
              <w:bCs/>
              <w:color w:val="A6A6A6" w:themeColor="background1" w:themeShade="A6"/>
              <w:sz w:val="18"/>
              <w:szCs w:val="18"/>
            </w:rPr>
            <w:t>22</w:t>
          </w:r>
        </w:p>
      </w:tc>
    </w:tr>
  </w:tbl>
  <w:p w:rsidR="00ED218A" w:rsidRDefault="00ED218A" w:rsidP="00D01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65" w:type="pct"/>
      <w:jc w:val="center"/>
      <w:tblBorders>
        <w:bottom w:val="single" w:sz="12" w:space="0" w:color="A6A6A6" w:themeColor="background1" w:themeShade="A6"/>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9005"/>
      <w:gridCol w:w="1869"/>
    </w:tblGrid>
    <w:tr w:rsidR="00ED218A" w:rsidRPr="005B570E" w:rsidTr="00D0175F">
      <w:trPr>
        <w:trHeight w:val="155"/>
        <w:jc w:val="center"/>
      </w:trPr>
      <w:sdt>
        <w:sdtPr>
          <w:rPr>
            <w:rFonts w:asciiTheme="majorHAnsi" w:eastAsiaTheme="majorEastAsia" w:hAnsiTheme="majorHAnsi" w:cstheme="majorBidi"/>
            <w:color w:val="A6A6A6" w:themeColor="background1" w:themeShade="A6"/>
            <w:sz w:val="18"/>
            <w:szCs w:val="18"/>
          </w:rPr>
          <w:alias w:val="Title"/>
          <w:id w:val="1650703291"/>
          <w:showingPlcHdr/>
          <w:dataBinding w:prefixMappings="xmlns:ns0='http://schemas.openxmlformats.org/package/2006/metadata/core-properties' xmlns:ns1='http://purl.org/dc/elements/1.1/'" w:xpath="/ns0:coreProperties[1]/ns1:title[1]" w:storeItemID="{6C3C8BC8-F283-45AE-878A-BAB7291924A1}"/>
          <w:text/>
        </w:sdtPr>
        <w:sdtContent>
          <w:tc>
            <w:tcPr>
              <w:tcW w:w="8665" w:type="dxa"/>
              <w:tcBorders>
                <w:right w:val="single" w:sz="12" w:space="0" w:color="A6A6A6" w:themeColor="background1" w:themeShade="A6"/>
              </w:tcBorders>
            </w:tcPr>
            <w:p w:rsidR="00ED218A" w:rsidRPr="008E7E7B" w:rsidRDefault="00ED218A" w:rsidP="00D0175F">
              <w:pPr>
                <w:pStyle w:val="Header"/>
                <w:jc w:val="right"/>
                <w:rPr>
                  <w:rFonts w:asciiTheme="majorHAnsi" w:eastAsiaTheme="majorEastAsia" w:hAnsiTheme="majorHAnsi" w:cstheme="majorBidi"/>
                  <w:color w:val="A6A6A6" w:themeColor="background1" w:themeShade="A6"/>
                  <w:sz w:val="18"/>
                  <w:szCs w:val="18"/>
                </w:rPr>
              </w:pPr>
              <w:r>
                <w:rPr>
                  <w:rFonts w:asciiTheme="majorHAnsi" w:eastAsiaTheme="majorEastAsia" w:hAnsiTheme="majorHAnsi" w:cstheme="majorBidi"/>
                  <w:color w:val="A6A6A6" w:themeColor="background1" w:themeShade="A6"/>
                  <w:sz w:val="18"/>
                  <w:szCs w:val="18"/>
                </w:rPr>
                <w:t xml:space="preserve">     </w:t>
              </w:r>
            </w:p>
          </w:tc>
        </w:sdtContent>
      </w:sdt>
      <w:tc>
        <w:tcPr>
          <w:tcW w:w="1799" w:type="dxa"/>
          <w:tcBorders>
            <w:left w:val="single" w:sz="12" w:space="0" w:color="A6A6A6" w:themeColor="background1" w:themeShade="A6"/>
          </w:tcBorders>
        </w:tcPr>
        <w:p w:rsidR="00ED218A" w:rsidRPr="005F12D1" w:rsidRDefault="00ED218A" w:rsidP="006469E4">
          <w:pPr>
            <w:pStyle w:val="Header"/>
            <w:rPr>
              <w:rFonts w:asciiTheme="majorHAnsi" w:eastAsiaTheme="majorEastAsia" w:hAnsiTheme="majorHAnsi" w:cstheme="majorBidi"/>
              <w:b/>
              <w:bCs/>
              <w:color w:val="17406D" w:themeColor="text2"/>
              <w:sz w:val="18"/>
              <w:szCs w:val="18"/>
            </w:rPr>
          </w:pPr>
          <w:r w:rsidRPr="005F12D1">
            <w:rPr>
              <w:rFonts w:asciiTheme="majorHAnsi" w:eastAsiaTheme="majorEastAsia" w:hAnsiTheme="majorHAnsi" w:cstheme="majorBidi"/>
              <w:b/>
              <w:bCs/>
              <w:color w:val="17406D" w:themeColor="text2"/>
              <w:sz w:val="18"/>
              <w:szCs w:val="18"/>
            </w:rPr>
            <w:t>Buxheti Faktik 202</w:t>
          </w:r>
          <w:r>
            <w:rPr>
              <w:rFonts w:asciiTheme="majorHAnsi" w:eastAsiaTheme="majorEastAsia" w:hAnsiTheme="majorHAnsi" w:cstheme="majorBidi"/>
              <w:b/>
              <w:bCs/>
              <w:color w:val="17406D" w:themeColor="text2"/>
              <w:sz w:val="18"/>
              <w:szCs w:val="18"/>
            </w:rPr>
            <w:t>2</w:t>
          </w:r>
        </w:p>
      </w:tc>
      <w:bookmarkStart w:id="0" w:name="_Toc515446547"/>
    </w:tr>
    <w:bookmarkEnd w:id="0"/>
  </w:tbl>
  <w:p w:rsidR="00ED218A" w:rsidRDefault="00ED218A" w:rsidP="00D01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65" w:type="pct"/>
      <w:jc w:val="center"/>
      <w:tblBorders>
        <w:bottom w:val="single" w:sz="12" w:space="0" w:color="A6A6A6" w:themeColor="background1" w:themeShade="A6"/>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453"/>
      <w:gridCol w:w="1774"/>
    </w:tblGrid>
    <w:tr w:rsidR="00ED218A" w:rsidRPr="005B570E" w:rsidTr="00276D93">
      <w:trPr>
        <w:trHeight w:val="155"/>
        <w:jc w:val="center"/>
      </w:trPr>
      <w:sdt>
        <w:sdtPr>
          <w:rPr>
            <w:rFonts w:asciiTheme="majorHAnsi" w:eastAsiaTheme="majorEastAsia" w:hAnsiTheme="majorHAnsi" w:cstheme="majorBidi"/>
            <w:color w:val="A6A6A6" w:themeColor="background1" w:themeShade="A6"/>
            <w:sz w:val="18"/>
            <w:szCs w:val="18"/>
          </w:rPr>
          <w:alias w:val="Title"/>
          <w:id w:val="-672183682"/>
          <w:showingPlcHdr/>
          <w:dataBinding w:prefixMappings="xmlns:ns0='http://schemas.openxmlformats.org/package/2006/metadata/core-properties' xmlns:ns1='http://purl.org/dc/elements/1.1/'" w:xpath="/ns0:coreProperties[1]/ns1:title[1]" w:storeItemID="{6C3C8BC8-F283-45AE-878A-BAB7291924A1}"/>
          <w:text/>
        </w:sdtPr>
        <w:sdtContent>
          <w:tc>
            <w:tcPr>
              <w:tcW w:w="8665" w:type="dxa"/>
              <w:tcBorders>
                <w:right w:val="single" w:sz="12" w:space="0" w:color="A6A6A6" w:themeColor="background1" w:themeShade="A6"/>
              </w:tcBorders>
            </w:tcPr>
            <w:p w:rsidR="00ED218A" w:rsidRPr="008E7E7B" w:rsidRDefault="00ED218A" w:rsidP="00276D93">
              <w:pPr>
                <w:pStyle w:val="Header"/>
                <w:jc w:val="right"/>
                <w:rPr>
                  <w:rFonts w:asciiTheme="majorHAnsi" w:eastAsiaTheme="majorEastAsia" w:hAnsiTheme="majorHAnsi" w:cstheme="majorBidi"/>
                  <w:color w:val="A6A6A6" w:themeColor="background1" w:themeShade="A6"/>
                  <w:sz w:val="18"/>
                  <w:szCs w:val="18"/>
                </w:rPr>
              </w:pPr>
              <w:r>
                <w:rPr>
                  <w:rFonts w:asciiTheme="majorHAnsi" w:eastAsiaTheme="majorEastAsia" w:hAnsiTheme="majorHAnsi" w:cstheme="majorBidi"/>
                  <w:color w:val="A6A6A6" w:themeColor="background1" w:themeShade="A6"/>
                  <w:sz w:val="18"/>
                  <w:szCs w:val="18"/>
                </w:rPr>
                <w:t xml:space="preserve">     </w:t>
              </w:r>
            </w:p>
          </w:tc>
        </w:sdtContent>
      </w:sdt>
      <w:tc>
        <w:tcPr>
          <w:tcW w:w="1799" w:type="dxa"/>
          <w:tcBorders>
            <w:left w:val="single" w:sz="12" w:space="0" w:color="A6A6A6" w:themeColor="background1" w:themeShade="A6"/>
          </w:tcBorders>
        </w:tcPr>
        <w:p w:rsidR="00ED218A" w:rsidRPr="00D0175F" w:rsidRDefault="00ED218A" w:rsidP="00CC123A">
          <w:pPr>
            <w:pStyle w:val="Header"/>
            <w:rPr>
              <w:rFonts w:asciiTheme="majorHAnsi" w:eastAsiaTheme="majorEastAsia" w:hAnsiTheme="majorHAnsi" w:cstheme="majorBidi"/>
              <w:b/>
              <w:bCs/>
              <w:color w:val="A6A6A6" w:themeColor="background1" w:themeShade="A6"/>
              <w:sz w:val="18"/>
              <w:szCs w:val="18"/>
            </w:rPr>
          </w:pPr>
          <w:r>
            <w:rPr>
              <w:rFonts w:asciiTheme="majorHAnsi" w:eastAsiaTheme="majorEastAsia" w:hAnsiTheme="majorHAnsi" w:cstheme="majorBidi"/>
              <w:b/>
              <w:bCs/>
              <w:color w:val="A6A6A6" w:themeColor="background1" w:themeShade="A6"/>
              <w:sz w:val="18"/>
              <w:szCs w:val="18"/>
            </w:rPr>
            <w:t>Buxheti Faktik 2022</w:t>
          </w:r>
        </w:p>
      </w:tc>
    </w:tr>
  </w:tbl>
  <w:p w:rsidR="00ED218A" w:rsidRDefault="00ED218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65" w:type="pct"/>
      <w:tblBorders>
        <w:bottom w:val="single" w:sz="12" w:space="0" w:color="A6A6A6" w:themeColor="background1" w:themeShade="A6"/>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453"/>
      <w:gridCol w:w="1774"/>
    </w:tblGrid>
    <w:tr w:rsidR="00ED218A" w:rsidRPr="005B570E" w:rsidTr="00D0175F">
      <w:trPr>
        <w:trHeight w:val="155"/>
      </w:trPr>
      <w:sdt>
        <w:sdtPr>
          <w:rPr>
            <w:rFonts w:asciiTheme="majorHAnsi" w:eastAsiaTheme="majorEastAsia" w:hAnsiTheme="majorHAnsi" w:cstheme="majorBidi"/>
            <w:color w:val="A6A6A6" w:themeColor="background1" w:themeShade="A6"/>
            <w:sz w:val="18"/>
            <w:szCs w:val="18"/>
          </w:rPr>
          <w:alias w:val="Title"/>
          <w:id w:val="127978099"/>
          <w:showingPlcHdr/>
          <w:dataBinding w:prefixMappings="xmlns:ns0='http://schemas.openxmlformats.org/package/2006/metadata/core-properties' xmlns:ns1='http://purl.org/dc/elements/1.1/'" w:xpath="/ns0:coreProperties[1]/ns1:title[1]" w:storeItemID="{6C3C8BC8-F283-45AE-878A-BAB7291924A1}"/>
          <w:text/>
        </w:sdtPr>
        <w:sdtContent>
          <w:tc>
            <w:tcPr>
              <w:tcW w:w="8665" w:type="dxa"/>
              <w:tcBorders>
                <w:right w:val="single" w:sz="12" w:space="0" w:color="A6A6A6" w:themeColor="background1" w:themeShade="A6"/>
              </w:tcBorders>
            </w:tcPr>
            <w:p w:rsidR="00ED218A" w:rsidRPr="008E7E7B" w:rsidRDefault="00ED218A" w:rsidP="003734A7">
              <w:pPr>
                <w:pStyle w:val="Header"/>
                <w:jc w:val="right"/>
                <w:rPr>
                  <w:rFonts w:asciiTheme="majorHAnsi" w:eastAsiaTheme="majorEastAsia" w:hAnsiTheme="majorHAnsi" w:cstheme="majorBidi"/>
                  <w:color w:val="A6A6A6" w:themeColor="background1" w:themeShade="A6"/>
                  <w:sz w:val="18"/>
                  <w:szCs w:val="18"/>
                </w:rPr>
              </w:pPr>
              <w:r>
                <w:rPr>
                  <w:rFonts w:asciiTheme="majorHAnsi" w:eastAsiaTheme="majorEastAsia" w:hAnsiTheme="majorHAnsi" w:cstheme="majorBidi"/>
                  <w:color w:val="A6A6A6" w:themeColor="background1" w:themeShade="A6"/>
                  <w:sz w:val="18"/>
                  <w:szCs w:val="18"/>
                </w:rPr>
                <w:t xml:space="preserve">     </w:t>
              </w:r>
            </w:p>
          </w:tc>
        </w:sdtContent>
      </w:sdt>
      <w:tc>
        <w:tcPr>
          <w:tcW w:w="1799" w:type="dxa"/>
          <w:tcBorders>
            <w:left w:val="single" w:sz="12" w:space="0" w:color="A6A6A6" w:themeColor="background1" w:themeShade="A6"/>
          </w:tcBorders>
        </w:tcPr>
        <w:p w:rsidR="00ED218A" w:rsidRPr="00D0175F" w:rsidRDefault="00ED218A" w:rsidP="00374BB8">
          <w:pPr>
            <w:pStyle w:val="Header"/>
            <w:rPr>
              <w:rFonts w:asciiTheme="majorHAnsi" w:eastAsiaTheme="majorEastAsia" w:hAnsiTheme="majorHAnsi" w:cstheme="majorBidi"/>
              <w:b/>
              <w:bCs/>
              <w:color w:val="A6A6A6" w:themeColor="background1" w:themeShade="A6"/>
              <w:sz w:val="18"/>
              <w:szCs w:val="18"/>
            </w:rPr>
          </w:pPr>
          <w:r>
            <w:rPr>
              <w:rFonts w:asciiTheme="majorHAnsi" w:eastAsiaTheme="majorEastAsia" w:hAnsiTheme="majorHAnsi" w:cstheme="majorBidi"/>
              <w:b/>
              <w:bCs/>
              <w:color w:val="A6A6A6" w:themeColor="background1" w:themeShade="A6"/>
              <w:sz w:val="18"/>
              <w:szCs w:val="18"/>
            </w:rPr>
            <w:t>Buxheti Faktik 2022</w:t>
          </w:r>
        </w:p>
      </w:tc>
    </w:tr>
  </w:tbl>
  <w:p w:rsidR="00ED218A" w:rsidRDefault="00ED218A" w:rsidP="003734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165" w:type="pct"/>
      <w:jc w:val="center"/>
      <w:tblBorders>
        <w:bottom w:val="single" w:sz="12" w:space="0" w:color="A6A6A6" w:themeColor="background1" w:themeShade="A6"/>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8453"/>
      <w:gridCol w:w="1774"/>
    </w:tblGrid>
    <w:tr w:rsidR="00ED218A" w:rsidRPr="005B570E" w:rsidTr="007D7D97">
      <w:trPr>
        <w:trHeight w:val="155"/>
        <w:jc w:val="center"/>
      </w:trPr>
      <w:sdt>
        <w:sdtPr>
          <w:rPr>
            <w:rFonts w:asciiTheme="majorHAnsi" w:eastAsiaTheme="majorEastAsia" w:hAnsiTheme="majorHAnsi" w:cstheme="majorBidi"/>
            <w:color w:val="A6A6A6" w:themeColor="background1" w:themeShade="A6"/>
            <w:sz w:val="18"/>
            <w:szCs w:val="18"/>
          </w:rPr>
          <w:alias w:val="Title"/>
          <w:id w:val="-2055081775"/>
          <w:showingPlcHdr/>
          <w:dataBinding w:prefixMappings="xmlns:ns0='http://schemas.openxmlformats.org/package/2006/metadata/core-properties' xmlns:ns1='http://purl.org/dc/elements/1.1/'" w:xpath="/ns0:coreProperties[1]/ns1:title[1]" w:storeItemID="{6C3C8BC8-F283-45AE-878A-BAB7291924A1}"/>
          <w:text/>
        </w:sdtPr>
        <w:sdtContent>
          <w:tc>
            <w:tcPr>
              <w:tcW w:w="8665" w:type="dxa"/>
              <w:tcBorders>
                <w:right w:val="single" w:sz="12" w:space="0" w:color="A6A6A6" w:themeColor="background1" w:themeShade="A6"/>
              </w:tcBorders>
            </w:tcPr>
            <w:p w:rsidR="00ED218A" w:rsidRPr="008E7E7B" w:rsidRDefault="00ED218A" w:rsidP="00EB3D5E">
              <w:pPr>
                <w:pStyle w:val="Header"/>
                <w:jc w:val="right"/>
                <w:rPr>
                  <w:rFonts w:asciiTheme="majorHAnsi" w:eastAsiaTheme="majorEastAsia" w:hAnsiTheme="majorHAnsi" w:cstheme="majorBidi"/>
                  <w:color w:val="A6A6A6" w:themeColor="background1" w:themeShade="A6"/>
                  <w:sz w:val="18"/>
                  <w:szCs w:val="18"/>
                </w:rPr>
              </w:pPr>
              <w:r>
                <w:rPr>
                  <w:rFonts w:asciiTheme="majorHAnsi" w:eastAsiaTheme="majorEastAsia" w:hAnsiTheme="majorHAnsi" w:cstheme="majorBidi"/>
                  <w:color w:val="A6A6A6" w:themeColor="background1" w:themeShade="A6"/>
                  <w:sz w:val="18"/>
                  <w:szCs w:val="18"/>
                </w:rPr>
                <w:t xml:space="preserve">     </w:t>
              </w:r>
            </w:p>
          </w:tc>
        </w:sdtContent>
      </w:sdt>
      <w:tc>
        <w:tcPr>
          <w:tcW w:w="1799" w:type="dxa"/>
          <w:tcBorders>
            <w:left w:val="single" w:sz="12" w:space="0" w:color="A6A6A6" w:themeColor="background1" w:themeShade="A6"/>
          </w:tcBorders>
        </w:tcPr>
        <w:p w:rsidR="00ED218A" w:rsidRPr="00D0175F" w:rsidRDefault="00ED218A" w:rsidP="00DD1FAF">
          <w:pPr>
            <w:pStyle w:val="Header"/>
            <w:rPr>
              <w:rFonts w:asciiTheme="majorHAnsi" w:eastAsiaTheme="majorEastAsia" w:hAnsiTheme="majorHAnsi" w:cstheme="majorBidi"/>
              <w:b/>
              <w:bCs/>
              <w:color w:val="A6A6A6" w:themeColor="background1" w:themeShade="A6"/>
              <w:sz w:val="18"/>
              <w:szCs w:val="18"/>
            </w:rPr>
          </w:pPr>
          <w:r>
            <w:rPr>
              <w:rFonts w:asciiTheme="majorHAnsi" w:eastAsiaTheme="majorEastAsia" w:hAnsiTheme="majorHAnsi" w:cstheme="majorBidi"/>
              <w:b/>
              <w:bCs/>
              <w:color w:val="A6A6A6" w:themeColor="background1" w:themeShade="A6"/>
              <w:sz w:val="18"/>
              <w:szCs w:val="18"/>
            </w:rPr>
            <w:t>Buxheti Faktik 2022</w:t>
          </w:r>
        </w:p>
      </w:tc>
    </w:tr>
  </w:tbl>
  <w:p w:rsidR="00ED218A" w:rsidRDefault="00ED21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55F6"/>
    <w:multiLevelType w:val="hybridMultilevel"/>
    <w:tmpl w:val="2FA65260"/>
    <w:lvl w:ilvl="0" w:tplc="04090003">
      <w:start w:val="1"/>
      <w:numFmt w:val="bullet"/>
      <w:lvlText w:val="o"/>
      <w:lvlJc w:val="left"/>
      <w:pPr>
        <w:ind w:left="99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14C6F79"/>
    <w:multiLevelType w:val="hybridMultilevel"/>
    <w:tmpl w:val="75D00D9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1721AF"/>
    <w:multiLevelType w:val="hybridMultilevel"/>
    <w:tmpl w:val="C2C495E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E356E1"/>
    <w:multiLevelType w:val="hybridMultilevel"/>
    <w:tmpl w:val="7D500242"/>
    <w:lvl w:ilvl="0" w:tplc="0409000D">
      <w:start w:val="1"/>
      <w:numFmt w:val="bullet"/>
      <w:lvlText w:val=""/>
      <w:lvlJc w:val="left"/>
      <w:pPr>
        <w:ind w:left="720" w:hanging="360"/>
      </w:pPr>
      <w:rPr>
        <w:rFonts w:ascii="Wingdings" w:hAnsi="Wingding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319E6"/>
    <w:multiLevelType w:val="hybridMultilevel"/>
    <w:tmpl w:val="7714AB6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7C2610"/>
    <w:multiLevelType w:val="multilevel"/>
    <w:tmpl w:val="2D188156"/>
    <w:lvl w:ilvl="0">
      <w:start w:val="1"/>
      <w:numFmt w:val="decimal"/>
      <w:pStyle w:val="Fiskale1"/>
      <w:lvlText w:val="%1."/>
      <w:lvlJc w:val="left"/>
      <w:pPr>
        <w:ind w:left="450" w:hanging="360"/>
      </w:pPr>
    </w:lvl>
    <w:lvl w:ilvl="1">
      <w:start w:val="1"/>
      <w:numFmt w:val="decimal"/>
      <w:pStyle w:val="Fiskale2"/>
      <w:isLgl/>
      <w:lvlText w:val="%1.%2"/>
      <w:lvlJc w:val="left"/>
      <w:pPr>
        <w:ind w:left="720" w:hanging="360"/>
      </w:pPr>
      <w:rPr>
        <w:rFonts w:hint="default"/>
      </w:rPr>
    </w:lvl>
    <w:lvl w:ilvl="2">
      <w:start w:val="1"/>
      <w:numFmt w:val="decimal"/>
      <w:pStyle w:val="fiskale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9E7A7C"/>
    <w:multiLevelType w:val="hybridMultilevel"/>
    <w:tmpl w:val="964EB1F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8245D15"/>
    <w:multiLevelType w:val="hybridMultilevel"/>
    <w:tmpl w:val="6DEEBF5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6A2126"/>
    <w:multiLevelType w:val="hybridMultilevel"/>
    <w:tmpl w:val="D646C000"/>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782C62"/>
    <w:multiLevelType w:val="hybridMultilevel"/>
    <w:tmpl w:val="F300E5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284501"/>
    <w:multiLevelType w:val="hybridMultilevel"/>
    <w:tmpl w:val="DEACF5AE"/>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2F3909"/>
    <w:multiLevelType w:val="hybridMultilevel"/>
    <w:tmpl w:val="314C97EA"/>
    <w:lvl w:ilvl="0" w:tplc="04090003">
      <w:start w:val="1"/>
      <w:numFmt w:val="bullet"/>
      <w:lvlText w:val="o"/>
      <w:lvlJc w:val="left"/>
      <w:pPr>
        <w:ind w:left="1170" w:hanging="360"/>
      </w:pPr>
      <w:rPr>
        <w:rFonts w:ascii="Courier New" w:hAnsi="Courier New" w:cs="Courier New" w:hint="default"/>
      </w:rPr>
    </w:lvl>
    <w:lvl w:ilvl="1" w:tplc="08090003" w:tentative="1">
      <w:start w:val="1"/>
      <w:numFmt w:val="bullet"/>
      <w:lvlText w:val="o"/>
      <w:lvlJc w:val="left"/>
      <w:pPr>
        <w:ind w:left="1890" w:hanging="360"/>
      </w:pPr>
      <w:rPr>
        <w:rFonts w:ascii="Courier New" w:hAnsi="Courier New" w:cs="Courier New" w:hint="default"/>
      </w:rPr>
    </w:lvl>
    <w:lvl w:ilvl="2" w:tplc="08090005" w:tentative="1">
      <w:start w:val="1"/>
      <w:numFmt w:val="bullet"/>
      <w:lvlText w:val=""/>
      <w:lvlJc w:val="left"/>
      <w:pPr>
        <w:ind w:left="2610" w:hanging="360"/>
      </w:pPr>
      <w:rPr>
        <w:rFonts w:ascii="Wingdings" w:hAnsi="Wingdings" w:hint="default"/>
      </w:rPr>
    </w:lvl>
    <w:lvl w:ilvl="3" w:tplc="08090001" w:tentative="1">
      <w:start w:val="1"/>
      <w:numFmt w:val="bullet"/>
      <w:lvlText w:val=""/>
      <w:lvlJc w:val="left"/>
      <w:pPr>
        <w:ind w:left="3330" w:hanging="360"/>
      </w:pPr>
      <w:rPr>
        <w:rFonts w:ascii="Symbol" w:hAnsi="Symbol" w:hint="default"/>
      </w:rPr>
    </w:lvl>
    <w:lvl w:ilvl="4" w:tplc="08090003" w:tentative="1">
      <w:start w:val="1"/>
      <w:numFmt w:val="bullet"/>
      <w:lvlText w:val="o"/>
      <w:lvlJc w:val="left"/>
      <w:pPr>
        <w:ind w:left="4050" w:hanging="360"/>
      </w:pPr>
      <w:rPr>
        <w:rFonts w:ascii="Courier New" w:hAnsi="Courier New" w:cs="Courier New" w:hint="default"/>
      </w:rPr>
    </w:lvl>
    <w:lvl w:ilvl="5" w:tplc="08090005" w:tentative="1">
      <w:start w:val="1"/>
      <w:numFmt w:val="bullet"/>
      <w:lvlText w:val=""/>
      <w:lvlJc w:val="left"/>
      <w:pPr>
        <w:ind w:left="4770" w:hanging="360"/>
      </w:pPr>
      <w:rPr>
        <w:rFonts w:ascii="Wingdings" w:hAnsi="Wingdings" w:hint="default"/>
      </w:rPr>
    </w:lvl>
    <w:lvl w:ilvl="6" w:tplc="08090001" w:tentative="1">
      <w:start w:val="1"/>
      <w:numFmt w:val="bullet"/>
      <w:lvlText w:val=""/>
      <w:lvlJc w:val="left"/>
      <w:pPr>
        <w:ind w:left="5490" w:hanging="360"/>
      </w:pPr>
      <w:rPr>
        <w:rFonts w:ascii="Symbol" w:hAnsi="Symbol" w:hint="default"/>
      </w:rPr>
    </w:lvl>
    <w:lvl w:ilvl="7" w:tplc="08090003" w:tentative="1">
      <w:start w:val="1"/>
      <w:numFmt w:val="bullet"/>
      <w:lvlText w:val="o"/>
      <w:lvlJc w:val="left"/>
      <w:pPr>
        <w:ind w:left="6210" w:hanging="360"/>
      </w:pPr>
      <w:rPr>
        <w:rFonts w:ascii="Courier New" w:hAnsi="Courier New" w:cs="Courier New" w:hint="default"/>
      </w:rPr>
    </w:lvl>
    <w:lvl w:ilvl="8" w:tplc="08090005" w:tentative="1">
      <w:start w:val="1"/>
      <w:numFmt w:val="bullet"/>
      <w:lvlText w:val=""/>
      <w:lvlJc w:val="left"/>
      <w:pPr>
        <w:ind w:left="6930" w:hanging="360"/>
      </w:pPr>
      <w:rPr>
        <w:rFonts w:ascii="Wingdings" w:hAnsi="Wingdings" w:hint="default"/>
      </w:rPr>
    </w:lvl>
  </w:abstractNum>
  <w:abstractNum w:abstractNumId="12" w15:restartNumberingAfterBreak="0">
    <w:nsid w:val="29707570"/>
    <w:multiLevelType w:val="hybridMultilevel"/>
    <w:tmpl w:val="8BE8AE7C"/>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9C81DD4"/>
    <w:multiLevelType w:val="hybridMultilevel"/>
    <w:tmpl w:val="1BCCDF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EF72D1"/>
    <w:multiLevelType w:val="hybridMultilevel"/>
    <w:tmpl w:val="EF589F5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B5F0A47"/>
    <w:multiLevelType w:val="hybridMultilevel"/>
    <w:tmpl w:val="14684B9E"/>
    <w:lvl w:ilvl="0" w:tplc="04090003">
      <w:start w:val="1"/>
      <w:numFmt w:val="bullet"/>
      <w:lvlText w:val="o"/>
      <w:lvlJc w:val="left"/>
      <w:pPr>
        <w:ind w:left="90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06B37F7"/>
    <w:multiLevelType w:val="hybridMultilevel"/>
    <w:tmpl w:val="86B2E5D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955DB"/>
    <w:multiLevelType w:val="hybridMultilevel"/>
    <w:tmpl w:val="E69A31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FA1088"/>
    <w:multiLevelType w:val="hybridMultilevel"/>
    <w:tmpl w:val="DD2430DC"/>
    <w:lvl w:ilvl="0" w:tplc="0409001B">
      <w:start w:val="1"/>
      <w:numFmt w:val="lowerRoman"/>
      <w:lvlText w:val="%1."/>
      <w:lvlJc w:val="righ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30E6FD9"/>
    <w:multiLevelType w:val="hybridMultilevel"/>
    <w:tmpl w:val="42C4D76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5025B74"/>
    <w:multiLevelType w:val="hybridMultilevel"/>
    <w:tmpl w:val="8A544B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2D2A37"/>
    <w:multiLevelType w:val="hybridMultilevel"/>
    <w:tmpl w:val="7A5209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DB2B22"/>
    <w:multiLevelType w:val="hybridMultilevel"/>
    <w:tmpl w:val="DAFA3BC8"/>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126D4C"/>
    <w:multiLevelType w:val="hybridMultilevel"/>
    <w:tmpl w:val="E9FAB0A8"/>
    <w:lvl w:ilvl="0" w:tplc="9EEAF2B8">
      <w:start w:val="4"/>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3A492FF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5" w15:restartNumberingAfterBreak="0">
    <w:nsid w:val="3C9436C6"/>
    <w:multiLevelType w:val="hybridMultilevel"/>
    <w:tmpl w:val="F00EF65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C311C6"/>
    <w:multiLevelType w:val="hybridMultilevel"/>
    <w:tmpl w:val="1C4A83B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4179790D"/>
    <w:multiLevelType w:val="hybridMultilevel"/>
    <w:tmpl w:val="748A424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B33002"/>
    <w:multiLevelType w:val="hybridMultilevel"/>
    <w:tmpl w:val="83B89556"/>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4A53F4"/>
    <w:multiLevelType w:val="hybridMultilevel"/>
    <w:tmpl w:val="E7D42CC8"/>
    <w:lvl w:ilvl="0" w:tplc="04090003">
      <w:start w:val="1"/>
      <w:numFmt w:val="bullet"/>
      <w:lvlText w:val="o"/>
      <w:lvlJc w:val="left"/>
      <w:pPr>
        <w:ind w:left="810" w:hanging="360"/>
      </w:pPr>
      <w:rPr>
        <w:rFonts w:ascii="Courier New" w:hAnsi="Courier New" w:cs="Courier New"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30" w15:restartNumberingAfterBreak="0">
    <w:nsid w:val="46D17C77"/>
    <w:multiLevelType w:val="hybridMultilevel"/>
    <w:tmpl w:val="9768F56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86E7A64"/>
    <w:multiLevelType w:val="hybridMultilevel"/>
    <w:tmpl w:val="5316FF1A"/>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E07949"/>
    <w:multiLevelType w:val="hybridMultilevel"/>
    <w:tmpl w:val="804E972E"/>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4B3E5562"/>
    <w:multiLevelType w:val="hybridMultilevel"/>
    <w:tmpl w:val="9200A914"/>
    <w:lvl w:ilvl="0" w:tplc="04090005">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BC2445"/>
    <w:multiLevelType w:val="hybridMultilevel"/>
    <w:tmpl w:val="530414F8"/>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4CD14037"/>
    <w:multiLevelType w:val="hybridMultilevel"/>
    <w:tmpl w:val="D4EABB82"/>
    <w:lvl w:ilvl="0" w:tplc="0809000D">
      <w:start w:val="1"/>
      <w:numFmt w:val="bullet"/>
      <w:lvlText w:val=""/>
      <w:lvlJc w:val="left"/>
      <w:pPr>
        <w:ind w:left="630" w:hanging="360"/>
      </w:pPr>
      <w:rPr>
        <w:rFonts w:ascii="Wingdings" w:hAnsi="Wingdings" w:hint="default"/>
      </w:rPr>
    </w:lvl>
    <w:lvl w:ilvl="1" w:tplc="08090003" w:tentative="1">
      <w:start w:val="1"/>
      <w:numFmt w:val="bullet"/>
      <w:lvlText w:val="o"/>
      <w:lvlJc w:val="left"/>
      <w:pPr>
        <w:ind w:left="1350" w:hanging="360"/>
      </w:pPr>
      <w:rPr>
        <w:rFonts w:ascii="Courier New" w:hAnsi="Courier New" w:cs="Courier New" w:hint="default"/>
      </w:rPr>
    </w:lvl>
    <w:lvl w:ilvl="2" w:tplc="08090005" w:tentative="1">
      <w:start w:val="1"/>
      <w:numFmt w:val="bullet"/>
      <w:lvlText w:val=""/>
      <w:lvlJc w:val="left"/>
      <w:pPr>
        <w:ind w:left="2070" w:hanging="360"/>
      </w:pPr>
      <w:rPr>
        <w:rFonts w:ascii="Wingdings" w:hAnsi="Wingdings" w:hint="default"/>
      </w:rPr>
    </w:lvl>
    <w:lvl w:ilvl="3" w:tplc="08090001" w:tentative="1">
      <w:start w:val="1"/>
      <w:numFmt w:val="bullet"/>
      <w:lvlText w:val=""/>
      <w:lvlJc w:val="left"/>
      <w:pPr>
        <w:ind w:left="2790" w:hanging="360"/>
      </w:pPr>
      <w:rPr>
        <w:rFonts w:ascii="Symbol" w:hAnsi="Symbol" w:hint="default"/>
      </w:rPr>
    </w:lvl>
    <w:lvl w:ilvl="4" w:tplc="08090003" w:tentative="1">
      <w:start w:val="1"/>
      <w:numFmt w:val="bullet"/>
      <w:lvlText w:val="o"/>
      <w:lvlJc w:val="left"/>
      <w:pPr>
        <w:ind w:left="3510" w:hanging="360"/>
      </w:pPr>
      <w:rPr>
        <w:rFonts w:ascii="Courier New" w:hAnsi="Courier New" w:cs="Courier New" w:hint="default"/>
      </w:rPr>
    </w:lvl>
    <w:lvl w:ilvl="5" w:tplc="08090005" w:tentative="1">
      <w:start w:val="1"/>
      <w:numFmt w:val="bullet"/>
      <w:lvlText w:val=""/>
      <w:lvlJc w:val="left"/>
      <w:pPr>
        <w:ind w:left="4230" w:hanging="360"/>
      </w:pPr>
      <w:rPr>
        <w:rFonts w:ascii="Wingdings" w:hAnsi="Wingdings" w:hint="default"/>
      </w:rPr>
    </w:lvl>
    <w:lvl w:ilvl="6" w:tplc="08090001" w:tentative="1">
      <w:start w:val="1"/>
      <w:numFmt w:val="bullet"/>
      <w:lvlText w:val=""/>
      <w:lvlJc w:val="left"/>
      <w:pPr>
        <w:ind w:left="4950" w:hanging="360"/>
      </w:pPr>
      <w:rPr>
        <w:rFonts w:ascii="Symbol" w:hAnsi="Symbol" w:hint="default"/>
      </w:rPr>
    </w:lvl>
    <w:lvl w:ilvl="7" w:tplc="08090003" w:tentative="1">
      <w:start w:val="1"/>
      <w:numFmt w:val="bullet"/>
      <w:lvlText w:val="o"/>
      <w:lvlJc w:val="left"/>
      <w:pPr>
        <w:ind w:left="5670" w:hanging="360"/>
      </w:pPr>
      <w:rPr>
        <w:rFonts w:ascii="Courier New" w:hAnsi="Courier New" w:cs="Courier New" w:hint="default"/>
      </w:rPr>
    </w:lvl>
    <w:lvl w:ilvl="8" w:tplc="08090005" w:tentative="1">
      <w:start w:val="1"/>
      <w:numFmt w:val="bullet"/>
      <w:lvlText w:val=""/>
      <w:lvlJc w:val="left"/>
      <w:pPr>
        <w:ind w:left="6390" w:hanging="360"/>
      </w:pPr>
      <w:rPr>
        <w:rFonts w:ascii="Wingdings" w:hAnsi="Wingdings" w:hint="default"/>
      </w:rPr>
    </w:lvl>
  </w:abstractNum>
  <w:abstractNum w:abstractNumId="36" w15:restartNumberingAfterBreak="0">
    <w:nsid w:val="4EAF4E18"/>
    <w:multiLevelType w:val="hybridMultilevel"/>
    <w:tmpl w:val="473AD1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FA6F43"/>
    <w:multiLevelType w:val="hybridMultilevel"/>
    <w:tmpl w:val="5F6054B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860298D"/>
    <w:multiLevelType w:val="hybridMultilevel"/>
    <w:tmpl w:val="5C50BE2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D9564D"/>
    <w:multiLevelType w:val="hybridMultilevel"/>
    <w:tmpl w:val="2BC465D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E03C5E"/>
    <w:multiLevelType w:val="hybridMultilevel"/>
    <w:tmpl w:val="447A81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E373865"/>
    <w:multiLevelType w:val="hybridMultilevel"/>
    <w:tmpl w:val="8B965C7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0706106"/>
    <w:multiLevelType w:val="hybridMultilevel"/>
    <w:tmpl w:val="06ECE92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B640C9"/>
    <w:multiLevelType w:val="hybridMultilevel"/>
    <w:tmpl w:val="5F8E3E2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B94610C"/>
    <w:multiLevelType w:val="hybridMultilevel"/>
    <w:tmpl w:val="949A7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D564BC2"/>
    <w:multiLevelType w:val="hybridMultilevel"/>
    <w:tmpl w:val="35EAE2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E685046"/>
    <w:multiLevelType w:val="hybridMultilevel"/>
    <w:tmpl w:val="32FA17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30B4AC9"/>
    <w:multiLevelType w:val="hybridMultilevel"/>
    <w:tmpl w:val="6136C7DE"/>
    <w:lvl w:ilvl="0" w:tplc="201C18C0">
      <w:start w:val="1"/>
      <w:numFmt w:val="decimal"/>
      <w:lvlText w:val="%1)"/>
      <w:lvlJc w:val="left"/>
      <w:pPr>
        <w:ind w:left="720" w:hanging="360"/>
      </w:pPr>
      <w:rPr>
        <w:rFonts w:hint="default"/>
        <w:b/>
        <w:i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8" w15:restartNumberingAfterBreak="0">
    <w:nsid w:val="76CE1F86"/>
    <w:multiLevelType w:val="hybridMultilevel"/>
    <w:tmpl w:val="24DA14AC"/>
    <w:lvl w:ilvl="0" w:tplc="04090003">
      <w:start w:val="1"/>
      <w:numFmt w:val="bullet"/>
      <w:lvlText w:val="o"/>
      <w:lvlJc w:val="left"/>
      <w:pPr>
        <w:ind w:left="900" w:hanging="360"/>
      </w:pPr>
      <w:rPr>
        <w:rFonts w:ascii="Courier New" w:hAnsi="Courier New" w:cs="Courier New" w:hint="default"/>
      </w:rPr>
    </w:lvl>
    <w:lvl w:ilvl="1" w:tplc="08090003" w:tentative="1">
      <w:start w:val="1"/>
      <w:numFmt w:val="bullet"/>
      <w:lvlText w:val="o"/>
      <w:lvlJc w:val="left"/>
      <w:pPr>
        <w:ind w:left="1620" w:hanging="360"/>
      </w:pPr>
      <w:rPr>
        <w:rFonts w:ascii="Courier New" w:hAnsi="Courier New" w:cs="Courier New" w:hint="default"/>
      </w:rPr>
    </w:lvl>
    <w:lvl w:ilvl="2" w:tplc="08090005" w:tentative="1">
      <w:start w:val="1"/>
      <w:numFmt w:val="bullet"/>
      <w:lvlText w:val=""/>
      <w:lvlJc w:val="left"/>
      <w:pPr>
        <w:ind w:left="2340" w:hanging="360"/>
      </w:pPr>
      <w:rPr>
        <w:rFonts w:ascii="Wingdings" w:hAnsi="Wingdings" w:hint="default"/>
      </w:rPr>
    </w:lvl>
    <w:lvl w:ilvl="3" w:tplc="08090001" w:tentative="1">
      <w:start w:val="1"/>
      <w:numFmt w:val="bullet"/>
      <w:lvlText w:val=""/>
      <w:lvlJc w:val="left"/>
      <w:pPr>
        <w:ind w:left="3060" w:hanging="360"/>
      </w:pPr>
      <w:rPr>
        <w:rFonts w:ascii="Symbol" w:hAnsi="Symbol" w:hint="default"/>
      </w:rPr>
    </w:lvl>
    <w:lvl w:ilvl="4" w:tplc="08090003" w:tentative="1">
      <w:start w:val="1"/>
      <w:numFmt w:val="bullet"/>
      <w:lvlText w:val="o"/>
      <w:lvlJc w:val="left"/>
      <w:pPr>
        <w:ind w:left="3780" w:hanging="360"/>
      </w:pPr>
      <w:rPr>
        <w:rFonts w:ascii="Courier New" w:hAnsi="Courier New" w:cs="Courier New" w:hint="default"/>
      </w:rPr>
    </w:lvl>
    <w:lvl w:ilvl="5" w:tplc="08090005" w:tentative="1">
      <w:start w:val="1"/>
      <w:numFmt w:val="bullet"/>
      <w:lvlText w:val=""/>
      <w:lvlJc w:val="left"/>
      <w:pPr>
        <w:ind w:left="4500" w:hanging="360"/>
      </w:pPr>
      <w:rPr>
        <w:rFonts w:ascii="Wingdings" w:hAnsi="Wingdings" w:hint="default"/>
      </w:rPr>
    </w:lvl>
    <w:lvl w:ilvl="6" w:tplc="08090001" w:tentative="1">
      <w:start w:val="1"/>
      <w:numFmt w:val="bullet"/>
      <w:lvlText w:val=""/>
      <w:lvlJc w:val="left"/>
      <w:pPr>
        <w:ind w:left="5220" w:hanging="360"/>
      </w:pPr>
      <w:rPr>
        <w:rFonts w:ascii="Symbol" w:hAnsi="Symbol" w:hint="default"/>
      </w:rPr>
    </w:lvl>
    <w:lvl w:ilvl="7" w:tplc="08090003" w:tentative="1">
      <w:start w:val="1"/>
      <w:numFmt w:val="bullet"/>
      <w:lvlText w:val="o"/>
      <w:lvlJc w:val="left"/>
      <w:pPr>
        <w:ind w:left="5940" w:hanging="360"/>
      </w:pPr>
      <w:rPr>
        <w:rFonts w:ascii="Courier New" w:hAnsi="Courier New" w:cs="Courier New" w:hint="default"/>
      </w:rPr>
    </w:lvl>
    <w:lvl w:ilvl="8" w:tplc="08090005" w:tentative="1">
      <w:start w:val="1"/>
      <w:numFmt w:val="bullet"/>
      <w:lvlText w:val=""/>
      <w:lvlJc w:val="left"/>
      <w:pPr>
        <w:ind w:left="6660" w:hanging="360"/>
      </w:pPr>
      <w:rPr>
        <w:rFonts w:ascii="Wingdings" w:hAnsi="Wingdings" w:hint="default"/>
      </w:rPr>
    </w:lvl>
  </w:abstractNum>
  <w:abstractNum w:abstractNumId="49" w15:restartNumberingAfterBreak="0">
    <w:nsid w:val="77345CBB"/>
    <w:multiLevelType w:val="hybridMultilevel"/>
    <w:tmpl w:val="691263E0"/>
    <w:lvl w:ilvl="0" w:tplc="0409000D">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BF3149"/>
    <w:multiLevelType w:val="hybridMultilevel"/>
    <w:tmpl w:val="D3EED23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C0B017B"/>
    <w:multiLevelType w:val="hybridMultilevel"/>
    <w:tmpl w:val="0CE4C888"/>
    <w:lvl w:ilvl="0" w:tplc="0409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52" w15:restartNumberingAfterBreak="0">
    <w:nsid w:val="7C760EAA"/>
    <w:multiLevelType w:val="hybridMultilevel"/>
    <w:tmpl w:val="84764460"/>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3"/>
  </w:num>
  <w:num w:numId="2">
    <w:abstractNumId w:val="34"/>
  </w:num>
  <w:num w:numId="3">
    <w:abstractNumId w:val="5"/>
  </w:num>
  <w:num w:numId="4">
    <w:abstractNumId w:val="24"/>
  </w:num>
  <w:num w:numId="5">
    <w:abstractNumId w:val="33"/>
  </w:num>
  <w:num w:numId="6">
    <w:abstractNumId w:val="46"/>
  </w:num>
  <w:num w:numId="7">
    <w:abstractNumId w:val="6"/>
  </w:num>
  <w:num w:numId="8">
    <w:abstractNumId w:val="42"/>
  </w:num>
  <w:num w:numId="9">
    <w:abstractNumId w:val="40"/>
  </w:num>
  <w:num w:numId="10">
    <w:abstractNumId w:val="39"/>
  </w:num>
  <w:num w:numId="11">
    <w:abstractNumId w:val="30"/>
  </w:num>
  <w:num w:numId="12">
    <w:abstractNumId w:val="28"/>
  </w:num>
  <w:num w:numId="13">
    <w:abstractNumId w:val="16"/>
  </w:num>
  <w:num w:numId="14">
    <w:abstractNumId w:val="7"/>
  </w:num>
  <w:num w:numId="15">
    <w:abstractNumId w:val="25"/>
  </w:num>
  <w:num w:numId="16">
    <w:abstractNumId w:val="35"/>
  </w:num>
  <w:num w:numId="17">
    <w:abstractNumId w:val="37"/>
  </w:num>
  <w:num w:numId="18">
    <w:abstractNumId w:val="52"/>
  </w:num>
  <w:num w:numId="19">
    <w:abstractNumId w:val="11"/>
  </w:num>
  <w:num w:numId="20">
    <w:abstractNumId w:val="17"/>
  </w:num>
  <w:num w:numId="21">
    <w:abstractNumId w:val="45"/>
  </w:num>
  <w:num w:numId="22">
    <w:abstractNumId w:val="32"/>
  </w:num>
  <w:num w:numId="23">
    <w:abstractNumId w:val="12"/>
  </w:num>
  <w:num w:numId="24">
    <w:abstractNumId w:val="22"/>
  </w:num>
  <w:num w:numId="25">
    <w:abstractNumId w:val="15"/>
  </w:num>
  <w:num w:numId="26">
    <w:abstractNumId w:val="0"/>
  </w:num>
  <w:num w:numId="27">
    <w:abstractNumId w:val="48"/>
  </w:num>
  <w:num w:numId="28">
    <w:abstractNumId w:val="29"/>
  </w:num>
  <w:num w:numId="29">
    <w:abstractNumId w:val="41"/>
  </w:num>
  <w:num w:numId="30">
    <w:abstractNumId w:val="9"/>
  </w:num>
  <w:num w:numId="31">
    <w:abstractNumId w:val="27"/>
  </w:num>
  <w:num w:numId="32">
    <w:abstractNumId w:val="51"/>
  </w:num>
  <w:num w:numId="33">
    <w:abstractNumId w:val="4"/>
  </w:num>
  <w:num w:numId="34">
    <w:abstractNumId w:val="21"/>
  </w:num>
  <w:num w:numId="35">
    <w:abstractNumId w:val="2"/>
  </w:num>
  <w:num w:numId="36">
    <w:abstractNumId w:val="44"/>
  </w:num>
  <w:num w:numId="37">
    <w:abstractNumId w:val="31"/>
  </w:num>
  <w:num w:numId="38">
    <w:abstractNumId w:val="13"/>
  </w:num>
  <w:num w:numId="39">
    <w:abstractNumId w:val="38"/>
  </w:num>
  <w:num w:numId="40">
    <w:abstractNumId w:val="8"/>
  </w:num>
  <w:num w:numId="41">
    <w:abstractNumId w:val="47"/>
  </w:num>
  <w:num w:numId="42">
    <w:abstractNumId w:val="50"/>
  </w:num>
  <w:num w:numId="43">
    <w:abstractNumId w:val="19"/>
  </w:num>
  <w:num w:numId="44">
    <w:abstractNumId w:val="18"/>
  </w:num>
  <w:num w:numId="45">
    <w:abstractNumId w:val="14"/>
  </w:num>
  <w:num w:numId="46">
    <w:abstractNumId w:val="10"/>
  </w:num>
  <w:num w:numId="47">
    <w:abstractNumId w:val="49"/>
  </w:num>
  <w:num w:numId="48">
    <w:abstractNumId w:val="3"/>
  </w:num>
  <w:num w:numId="49">
    <w:abstractNumId w:val="26"/>
  </w:num>
  <w:num w:numId="50">
    <w:abstractNumId w:val="20"/>
  </w:num>
  <w:num w:numId="51">
    <w:abstractNumId w:val="43"/>
  </w:num>
  <w:num w:numId="52">
    <w:abstractNumId w:val="36"/>
  </w:num>
  <w:num w:numId="53">
    <w:abstractNumId w:val="5"/>
  </w:num>
  <w:num w:numId="54">
    <w:abstractNumId w:val="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670"/>
    <w:rsid w:val="00000518"/>
    <w:rsid w:val="00001FA5"/>
    <w:rsid w:val="00004DA4"/>
    <w:rsid w:val="000064FD"/>
    <w:rsid w:val="0000713F"/>
    <w:rsid w:val="000077B5"/>
    <w:rsid w:val="00007D36"/>
    <w:rsid w:val="000124AC"/>
    <w:rsid w:val="00012DFB"/>
    <w:rsid w:val="000151AD"/>
    <w:rsid w:val="000156B7"/>
    <w:rsid w:val="00015B80"/>
    <w:rsid w:val="000168EF"/>
    <w:rsid w:val="00017DE1"/>
    <w:rsid w:val="00020F57"/>
    <w:rsid w:val="000255A6"/>
    <w:rsid w:val="00025D7B"/>
    <w:rsid w:val="000279F1"/>
    <w:rsid w:val="00030985"/>
    <w:rsid w:val="00030C57"/>
    <w:rsid w:val="00031470"/>
    <w:rsid w:val="00031CAC"/>
    <w:rsid w:val="00032B8A"/>
    <w:rsid w:val="00035363"/>
    <w:rsid w:val="00036B4F"/>
    <w:rsid w:val="00040978"/>
    <w:rsid w:val="00042892"/>
    <w:rsid w:val="00043D27"/>
    <w:rsid w:val="00044EFE"/>
    <w:rsid w:val="0004548D"/>
    <w:rsid w:val="000501DD"/>
    <w:rsid w:val="0005125A"/>
    <w:rsid w:val="000527CB"/>
    <w:rsid w:val="00052968"/>
    <w:rsid w:val="0005367A"/>
    <w:rsid w:val="0005408D"/>
    <w:rsid w:val="00057746"/>
    <w:rsid w:val="00060EC4"/>
    <w:rsid w:val="0006149D"/>
    <w:rsid w:val="00062D5D"/>
    <w:rsid w:val="000641F7"/>
    <w:rsid w:val="000643E7"/>
    <w:rsid w:val="00065CCC"/>
    <w:rsid w:val="000661E2"/>
    <w:rsid w:val="0006797B"/>
    <w:rsid w:val="00067A2D"/>
    <w:rsid w:val="000703F6"/>
    <w:rsid w:val="00070F3E"/>
    <w:rsid w:val="00071D89"/>
    <w:rsid w:val="00076DF5"/>
    <w:rsid w:val="00077771"/>
    <w:rsid w:val="000804E3"/>
    <w:rsid w:val="000804FA"/>
    <w:rsid w:val="000807FD"/>
    <w:rsid w:val="00083EB3"/>
    <w:rsid w:val="00085074"/>
    <w:rsid w:val="000853C2"/>
    <w:rsid w:val="00085C53"/>
    <w:rsid w:val="00086007"/>
    <w:rsid w:val="00086626"/>
    <w:rsid w:val="00087712"/>
    <w:rsid w:val="00090BD1"/>
    <w:rsid w:val="000936EC"/>
    <w:rsid w:val="00093E30"/>
    <w:rsid w:val="00095B84"/>
    <w:rsid w:val="000964B4"/>
    <w:rsid w:val="0009715F"/>
    <w:rsid w:val="00097BD7"/>
    <w:rsid w:val="000A00DD"/>
    <w:rsid w:val="000A14BC"/>
    <w:rsid w:val="000A215B"/>
    <w:rsid w:val="000A3917"/>
    <w:rsid w:val="000A44A9"/>
    <w:rsid w:val="000A6CB0"/>
    <w:rsid w:val="000A6FCE"/>
    <w:rsid w:val="000A70B6"/>
    <w:rsid w:val="000A737D"/>
    <w:rsid w:val="000A7445"/>
    <w:rsid w:val="000B1D3A"/>
    <w:rsid w:val="000B327D"/>
    <w:rsid w:val="000B5D5E"/>
    <w:rsid w:val="000B7167"/>
    <w:rsid w:val="000C1E84"/>
    <w:rsid w:val="000C27BF"/>
    <w:rsid w:val="000C2F27"/>
    <w:rsid w:val="000C49C1"/>
    <w:rsid w:val="000C55BB"/>
    <w:rsid w:val="000C7A4E"/>
    <w:rsid w:val="000D0539"/>
    <w:rsid w:val="000D1F68"/>
    <w:rsid w:val="000D25D8"/>
    <w:rsid w:val="000D79FB"/>
    <w:rsid w:val="000E085A"/>
    <w:rsid w:val="000E093D"/>
    <w:rsid w:val="000E34AF"/>
    <w:rsid w:val="000E45B8"/>
    <w:rsid w:val="000E6B77"/>
    <w:rsid w:val="000E6D69"/>
    <w:rsid w:val="000F27FD"/>
    <w:rsid w:val="000F3F3E"/>
    <w:rsid w:val="001007C6"/>
    <w:rsid w:val="001012FE"/>
    <w:rsid w:val="0010282F"/>
    <w:rsid w:val="00102D8C"/>
    <w:rsid w:val="00102F0D"/>
    <w:rsid w:val="00103D33"/>
    <w:rsid w:val="00106495"/>
    <w:rsid w:val="001106AA"/>
    <w:rsid w:val="00110CDC"/>
    <w:rsid w:val="001114A6"/>
    <w:rsid w:val="001119D4"/>
    <w:rsid w:val="00112782"/>
    <w:rsid w:val="00113685"/>
    <w:rsid w:val="001216DB"/>
    <w:rsid w:val="0012563B"/>
    <w:rsid w:val="00127222"/>
    <w:rsid w:val="00127994"/>
    <w:rsid w:val="00127C01"/>
    <w:rsid w:val="00130001"/>
    <w:rsid w:val="00130577"/>
    <w:rsid w:val="001319B0"/>
    <w:rsid w:val="001323FC"/>
    <w:rsid w:val="00133A19"/>
    <w:rsid w:val="001348DF"/>
    <w:rsid w:val="00135292"/>
    <w:rsid w:val="001364FD"/>
    <w:rsid w:val="00140052"/>
    <w:rsid w:val="0014089E"/>
    <w:rsid w:val="001409FB"/>
    <w:rsid w:val="00142C19"/>
    <w:rsid w:val="00146BA4"/>
    <w:rsid w:val="00146CA5"/>
    <w:rsid w:val="00146E22"/>
    <w:rsid w:val="001509BA"/>
    <w:rsid w:val="00151804"/>
    <w:rsid w:val="001535B2"/>
    <w:rsid w:val="00153CD6"/>
    <w:rsid w:val="001550B0"/>
    <w:rsid w:val="00156B9F"/>
    <w:rsid w:val="00162011"/>
    <w:rsid w:val="001628DB"/>
    <w:rsid w:val="00163A5D"/>
    <w:rsid w:val="00164344"/>
    <w:rsid w:val="00165883"/>
    <w:rsid w:val="001662E1"/>
    <w:rsid w:val="00170585"/>
    <w:rsid w:val="00171404"/>
    <w:rsid w:val="0017428F"/>
    <w:rsid w:val="00175F54"/>
    <w:rsid w:val="001760A1"/>
    <w:rsid w:val="001766F3"/>
    <w:rsid w:val="00176A40"/>
    <w:rsid w:val="00176A9A"/>
    <w:rsid w:val="001779A0"/>
    <w:rsid w:val="00177F3C"/>
    <w:rsid w:val="001808E9"/>
    <w:rsid w:val="00181D61"/>
    <w:rsid w:val="001823BA"/>
    <w:rsid w:val="001846AE"/>
    <w:rsid w:val="001854AF"/>
    <w:rsid w:val="00186099"/>
    <w:rsid w:val="00187EEE"/>
    <w:rsid w:val="001916CC"/>
    <w:rsid w:val="00194883"/>
    <w:rsid w:val="001949C8"/>
    <w:rsid w:val="00195EEB"/>
    <w:rsid w:val="001A13A5"/>
    <w:rsid w:val="001A1B6A"/>
    <w:rsid w:val="001A1CA9"/>
    <w:rsid w:val="001A3391"/>
    <w:rsid w:val="001A5052"/>
    <w:rsid w:val="001A5183"/>
    <w:rsid w:val="001A68C5"/>
    <w:rsid w:val="001A7510"/>
    <w:rsid w:val="001B123B"/>
    <w:rsid w:val="001B16B9"/>
    <w:rsid w:val="001B491F"/>
    <w:rsid w:val="001B5558"/>
    <w:rsid w:val="001B5814"/>
    <w:rsid w:val="001B6B1A"/>
    <w:rsid w:val="001B7769"/>
    <w:rsid w:val="001B7BED"/>
    <w:rsid w:val="001C1F7E"/>
    <w:rsid w:val="001C245C"/>
    <w:rsid w:val="001C2548"/>
    <w:rsid w:val="001C259E"/>
    <w:rsid w:val="001C2B47"/>
    <w:rsid w:val="001C3070"/>
    <w:rsid w:val="001C3103"/>
    <w:rsid w:val="001C3F86"/>
    <w:rsid w:val="001C5BC6"/>
    <w:rsid w:val="001C6F84"/>
    <w:rsid w:val="001D05F8"/>
    <w:rsid w:val="001D1528"/>
    <w:rsid w:val="001D1FB4"/>
    <w:rsid w:val="001D35B2"/>
    <w:rsid w:val="001D3D8F"/>
    <w:rsid w:val="001D4BD5"/>
    <w:rsid w:val="001D536D"/>
    <w:rsid w:val="001D54B0"/>
    <w:rsid w:val="001D56FA"/>
    <w:rsid w:val="001D7413"/>
    <w:rsid w:val="001D7807"/>
    <w:rsid w:val="001D7ECF"/>
    <w:rsid w:val="001E236B"/>
    <w:rsid w:val="001E5167"/>
    <w:rsid w:val="001E63C0"/>
    <w:rsid w:val="001E681B"/>
    <w:rsid w:val="001F026B"/>
    <w:rsid w:val="001F05DF"/>
    <w:rsid w:val="001F0EA8"/>
    <w:rsid w:val="001F12F7"/>
    <w:rsid w:val="001F1435"/>
    <w:rsid w:val="001F2244"/>
    <w:rsid w:val="001F256B"/>
    <w:rsid w:val="001F28BA"/>
    <w:rsid w:val="001F3D1A"/>
    <w:rsid w:val="001F4829"/>
    <w:rsid w:val="001F5636"/>
    <w:rsid w:val="001F6930"/>
    <w:rsid w:val="001F6B60"/>
    <w:rsid w:val="001F75C7"/>
    <w:rsid w:val="001F7E47"/>
    <w:rsid w:val="00200A44"/>
    <w:rsid w:val="00201B36"/>
    <w:rsid w:val="00201E9C"/>
    <w:rsid w:val="00203A54"/>
    <w:rsid w:val="00203B24"/>
    <w:rsid w:val="002051A5"/>
    <w:rsid w:val="002059F2"/>
    <w:rsid w:val="00206876"/>
    <w:rsid w:val="00206AB0"/>
    <w:rsid w:val="00207711"/>
    <w:rsid w:val="00207749"/>
    <w:rsid w:val="0020776D"/>
    <w:rsid w:val="00207EB8"/>
    <w:rsid w:val="002100DE"/>
    <w:rsid w:val="002108AB"/>
    <w:rsid w:val="002111DF"/>
    <w:rsid w:val="0021138B"/>
    <w:rsid w:val="00211835"/>
    <w:rsid w:val="00213041"/>
    <w:rsid w:val="0021306B"/>
    <w:rsid w:val="00213EFC"/>
    <w:rsid w:val="00214036"/>
    <w:rsid w:val="0021491A"/>
    <w:rsid w:val="00214DF1"/>
    <w:rsid w:val="002152C7"/>
    <w:rsid w:val="00215A42"/>
    <w:rsid w:val="00215ABD"/>
    <w:rsid w:val="00216E70"/>
    <w:rsid w:val="002174D9"/>
    <w:rsid w:val="00221442"/>
    <w:rsid w:val="00221E18"/>
    <w:rsid w:val="00224CEA"/>
    <w:rsid w:val="00225D45"/>
    <w:rsid w:val="00226516"/>
    <w:rsid w:val="00226751"/>
    <w:rsid w:val="00226833"/>
    <w:rsid w:val="0023003F"/>
    <w:rsid w:val="00232A9B"/>
    <w:rsid w:val="00232B0E"/>
    <w:rsid w:val="00232F76"/>
    <w:rsid w:val="00233F66"/>
    <w:rsid w:val="00234461"/>
    <w:rsid w:val="00234465"/>
    <w:rsid w:val="002350D2"/>
    <w:rsid w:val="00235F4C"/>
    <w:rsid w:val="002361F4"/>
    <w:rsid w:val="00236222"/>
    <w:rsid w:val="0023750F"/>
    <w:rsid w:val="0023797C"/>
    <w:rsid w:val="002400BB"/>
    <w:rsid w:val="00241417"/>
    <w:rsid w:val="00241BB6"/>
    <w:rsid w:val="00242E33"/>
    <w:rsid w:val="00243DA8"/>
    <w:rsid w:val="0024447E"/>
    <w:rsid w:val="002464D3"/>
    <w:rsid w:val="00250349"/>
    <w:rsid w:val="00250A3D"/>
    <w:rsid w:val="00251DB0"/>
    <w:rsid w:val="002521DC"/>
    <w:rsid w:val="00252CB2"/>
    <w:rsid w:val="002560F1"/>
    <w:rsid w:val="0025634D"/>
    <w:rsid w:val="00257F1A"/>
    <w:rsid w:val="00261182"/>
    <w:rsid w:val="00261811"/>
    <w:rsid w:val="00261FA8"/>
    <w:rsid w:val="002654D7"/>
    <w:rsid w:val="00265528"/>
    <w:rsid w:val="00266A2D"/>
    <w:rsid w:val="002719F2"/>
    <w:rsid w:val="00273F12"/>
    <w:rsid w:val="002755E8"/>
    <w:rsid w:val="00276062"/>
    <w:rsid w:val="00276D93"/>
    <w:rsid w:val="00277CFC"/>
    <w:rsid w:val="00281910"/>
    <w:rsid w:val="00281C6E"/>
    <w:rsid w:val="002822DF"/>
    <w:rsid w:val="00282C32"/>
    <w:rsid w:val="0028312F"/>
    <w:rsid w:val="00283D5D"/>
    <w:rsid w:val="00284FFE"/>
    <w:rsid w:val="002903DC"/>
    <w:rsid w:val="00293720"/>
    <w:rsid w:val="00294099"/>
    <w:rsid w:val="0029617C"/>
    <w:rsid w:val="0029730B"/>
    <w:rsid w:val="002A00BD"/>
    <w:rsid w:val="002A27D5"/>
    <w:rsid w:val="002A593E"/>
    <w:rsid w:val="002A6746"/>
    <w:rsid w:val="002A74B0"/>
    <w:rsid w:val="002B200F"/>
    <w:rsid w:val="002B21AB"/>
    <w:rsid w:val="002B318B"/>
    <w:rsid w:val="002B34A1"/>
    <w:rsid w:val="002B365E"/>
    <w:rsid w:val="002B370B"/>
    <w:rsid w:val="002B4496"/>
    <w:rsid w:val="002B5B6C"/>
    <w:rsid w:val="002B740E"/>
    <w:rsid w:val="002C01FC"/>
    <w:rsid w:val="002C152C"/>
    <w:rsid w:val="002C2DD9"/>
    <w:rsid w:val="002C4DD7"/>
    <w:rsid w:val="002C4FAF"/>
    <w:rsid w:val="002C600D"/>
    <w:rsid w:val="002C7095"/>
    <w:rsid w:val="002D01B2"/>
    <w:rsid w:val="002D2658"/>
    <w:rsid w:val="002D3766"/>
    <w:rsid w:val="002D6FA3"/>
    <w:rsid w:val="002E06C4"/>
    <w:rsid w:val="002E0B72"/>
    <w:rsid w:val="002E135E"/>
    <w:rsid w:val="002E1EE1"/>
    <w:rsid w:val="002E2899"/>
    <w:rsid w:val="002E4773"/>
    <w:rsid w:val="002E6CA1"/>
    <w:rsid w:val="002F029D"/>
    <w:rsid w:val="002F0D82"/>
    <w:rsid w:val="002F31B6"/>
    <w:rsid w:val="002F3257"/>
    <w:rsid w:val="002F50D2"/>
    <w:rsid w:val="002F6176"/>
    <w:rsid w:val="002F71CA"/>
    <w:rsid w:val="002F7463"/>
    <w:rsid w:val="002F75BC"/>
    <w:rsid w:val="002F7DBC"/>
    <w:rsid w:val="003039FA"/>
    <w:rsid w:val="00304DF6"/>
    <w:rsid w:val="00307C6F"/>
    <w:rsid w:val="003101B1"/>
    <w:rsid w:val="003135D4"/>
    <w:rsid w:val="00313D60"/>
    <w:rsid w:val="00316AE2"/>
    <w:rsid w:val="00317AD6"/>
    <w:rsid w:val="00320584"/>
    <w:rsid w:val="00321F99"/>
    <w:rsid w:val="003221E6"/>
    <w:rsid w:val="003228F8"/>
    <w:rsid w:val="00322905"/>
    <w:rsid w:val="00323E94"/>
    <w:rsid w:val="003256DA"/>
    <w:rsid w:val="00325806"/>
    <w:rsid w:val="00326412"/>
    <w:rsid w:val="00333B0E"/>
    <w:rsid w:val="00334B7C"/>
    <w:rsid w:val="0033511C"/>
    <w:rsid w:val="0033539C"/>
    <w:rsid w:val="0033564E"/>
    <w:rsid w:val="00335A3A"/>
    <w:rsid w:val="00335DB8"/>
    <w:rsid w:val="00341932"/>
    <w:rsid w:val="00341B3C"/>
    <w:rsid w:val="00342123"/>
    <w:rsid w:val="0034438D"/>
    <w:rsid w:val="00350A9F"/>
    <w:rsid w:val="00350CF6"/>
    <w:rsid w:val="00351572"/>
    <w:rsid w:val="0035253D"/>
    <w:rsid w:val="003560F2"/>
    <w:rsid w:val="00356552"/>
    <w:rsid w:val="00357FD1"/>
    <w:rsid w:val="00360A79"/>
    <w:rsid w:val="0036334C"/>
    <w:rsid w:val="00364143"/>
    <w:rsid w:val="00364D41"/>
    <w:rsid w:val="00364F55"/>
    <w:rsid w:val="00365BD3"/>
    <w:rsid w:val="00366408"/>
    <w:rsid w:val="00366E32"/>
    <w:rsid w:val="00367A4C"/>
    <w:rsid w:val="00370140"/>
    <w:rsid w:val="00371EF3"/>
    <w:rsid w:val="00371F22"/>
    <w:rsid w:val="00372C43"/>
    <w:rsid w:val="00372CDC"/>
    <w:rsid w:val="00372F41"/>
    <w:rsid w:val="0037316F"/>
    <w:rsid w:val="003734A7"/>
    <w:rsid w:val="003739C3"/>
    <w:rsid w:val="00374BB8"/>
    <w:rsid w:val="00375A25"/>
    <w:rsid w:val="00376C0C"/>
    <w:rsid w:val="00377806"/>
    <w:rsid w:val="00377962"/>
    <w:rsid w:val="00380C50"/>
    <w:rsid w:val="00382115"/>
    <w:rsid w:val="00382236"/>
    <w:rsid w:val="00384E5B"/>
    <w:rsid w:val="003854C2"/>
    <w:rsid w:val="00386C45"/>
    <w:rsid w:val="00390006"/>
    <w:rsid w:val="00392139"/>
    <w:rsid w:val="00392522"/>
    <w:rsid w:val="003933CD"/>
    <w:rsid w:val="00393657"/>
    <w:rsid w:val="0039456F"/>
    <w:rsid w:val="003956FF"/>
    <w:rsid w:val="0039583E"/>
    <w:rsid w:val="00395FC6"/>
    <w:rsid w:val="00397741"/>
    <w:rsid w:val="003A4E50"/>
    <w:rsid w:val="003A4FF8"/>
    <w:rsid w:val="003A7E93"/>
    <w:rsid w:val="003B22D8"/>
    <w:rsid w:val="003B247C"/>
    <w:rsid w:val="003B2AF7"/>
    <w:rsid w:val="003B39CA"/>
    <w:rsid w:val="003B3A33"/>
    <w:rsid w:val="003B5B12"/>
    <w:rsid w:val="003B65F9"/>
    <w:rsid w:val="003B6EC7"/>
    <w:rsid w:val="003B6F24"/>
    <w:rsid w:val="003B75A6"/>
    <w:rsid w:val="003C0BE3"/>
    <w:rsid w:val="003C4271"/>
    <w:rsid w:val="003C5CDD"/>
    <w:rsid w:val="003D0C75"/>
    <w:rsid w:val="003D1223"/>
    <w:rsid w:val="003D1D3B"/>
    <w:rsid w:val="003D2134"/>
    <w:rsid w:val="003D27AD"/>
    <w:rsid w:val="003D3302"/>
    <w:rsid w:val="003D3813"/>
    <w:rsid w:val="003D5164"/>
    <w:rsid w:val="003D7D6D"/>
    <w:rsid w:val="003E010E"/>
    <w:rsid w:val="003E3C6E"/>
    <w:rsid w:val="003E4F38"/>
    <w:rsid w:val="003E52B1"/>
    <w:rsid w:val="003E54CE"/>
    <w:rsid w:val="003E5F73"/>
    <w:rsid w:val="003E608B"/>
    <w:rsid w:val="003F1A83"/>
    <w:rsid w:val="003F3B2D"/>
    <w:rsid w:val="003F488B"/>
    <w:rsid w:val="003F5ECF"/>
    <w:rsid w:val="003F6966"/>
    <w:rsid w:val="003F7EC0"/>
    <w:rsid w:val="00400FC0"/>
    <w:rsid w:val="00401CD5"/>
    <w:rsid w:val="004036D4"/>
    <w:rsid w:val="0040396E"/>
    <w:rsid w:val="00405A27"/>
    <w:rsid w:val="00405E64"/>
    <w:rsid w:val="004101C5"/>
    <w:rsid w:val="004116F3"/>
    <w:rsid w:val="00411FB7"/>
    <w:rsid w:val="00413093"/>
    <w:rsid w:val="00413B5B"/>
    <w:rsid w:val="00413C45"/>
    <w:rsid w:val="004143A0"/>
    <w:rsid w:val="004163D4"/>
    <w:rsid w:val="004167C8"/>
    <w:rsid w:val="00416B32"/>
    <w:rsid w:val="00417902"/>
    <w:rsid w:val="00417AAD"/>
    <w:rsid w:val="00421C4B"/>
    <w:rsid w:val="004251C6"/>
    <w:rsid w:val="00426D6A"/>
    <w:rsid w:val="00430C1D"/>
    <w:rsid w:val="00430DCC"/>
    <w:rsid w:val="00434988"/>
    <w:rsid w:val="00434B08"/>
    <w:rsid w:val="0043521D"/>
    <w:rsid w:val="00435492"/>
    <w:rsid w:val="00437CC4"/>
    <w:rsid w:val="00441FF6"/>
    <w:rsid w:val="00442452"/>
    <w:rsid w:val="0044331B"/>
    <w:rsid w:val="004437B8"/>
    <w:rsid w:val="00443A7E"/>
    <w:rsid w:val="00445C7D"/>
    <w:rsid w:val="004479DD"/>
    <w:rsid w:val="00447A3B"/>
    <w:rsid w:val="00450CC7"/>
    <w:rsid w:val="00450CD8"/>
    <w:rsid w:val="00452070"/>
    <w:rsid w:val="0045266E"/>
    <w:rsid w:val="00453DA8"/>
    <w:rsid w:val="0046078E"/>
    <w:rsid w:val="0046374E"/>
    <w:rsid w:val="00463755"/>
    <w:rsid w:val="00464A3C"/>
    <w:rsid w:val="00466B20"/>
    <w:rsid w:val="004671AF"/>
    <w:rsid w:val="00470455"/>
    <w:rsid w:val="0047328B"/>
    <w:rsid w:val="00473E24"/>
    <w:rsid w:val="004741E3"/>
    <w:rsid w:val="00474274"/>
    <w:rsid w:val="00474F9D"/>
    <w:rsid w:val="00475B98"/>
    <w:rsid w:val="00476D2E"/>
    <w:rsid w:val="00476DCB"/>
    <w:rsid w:val="00477915"/>
    <w:rsid w:val="00481F1A"/>
    <w:rsid w:val="004820FF"/>
    <w:rsid w:val="004821A6"/>
    <w:rsid w:val="00482E89"/>
    <w:rsid w:val="004832C9"/>
    <w:rsid w:val="00483509"/>
    <w:rsid w:val="00483CF6"/>
    <w:rsid w:val="00484AAA"/>
    <w:rsid w:val="0048642D"/>
    <w:rsid w:val="00487791"/>
    <w:rsid w:val="004878D4"/>
    <w:rsid w:val="00490709"/>
    <w:rsid w:val="0049325D"/>
    <w:rsid w:val="00494EAD"/>
    <w:rsid w:val="0049548B"/>
    <w:rsid w:val="00497022"/>
    <w:rsid w:val="00497861"/>
    <w:rsid w:val="00497A19"/>
    <w:rsid w:val="004A5CBB"/>
    <w:rsid w:val="004A6E7A"/>
    <w:rsid w:val="004B06BA"/>
    <w:rsid w:val="004B2FC0"/>
    <w:rsid w:val="004B3959"/>
    <w:rsid w:val="004B41B1"/>
    <w:rsid w:val="004B7C48"/>
    <w:rsid w:val="004C1EB3"/>
    <w:rsid w:val="004C217D"/>
    <w:rsid w:val="004C2202"/>
    <w:rsid w:val="004C2B76"/>
    <w:rsid w:val="004C380C"/>
    <w:rsid w:val="004C4B71"/>
    <w:rsid w:val="004C5626"/>
    <w:rsid w:val="004C5DBF"/>
    <w:rsid w:val="004C6892"/>
    <w:rsid w:val="004C70E7"/>
    <w:rsid w:val="004D03CD"/>
    <w:rsid w:val="004D0CC0"/>
    <w:rsid w:val="004D114F"/>
    <w:rsid w:val="004D1D1D"/>
    <w:rsid w:val="004D27FD"/>
    <w:rsid w:val="004D2D98"/>
    <w:rsid w:val="004D2E8B"/>
    <w:rsid w:val="004D353D"/>
    <w:rsid w:val="004D3D10"/>
    <w:rsid w:val="004D43B0"/>
    <w:rsid w:val="004D5C3A"/>
    <w:rsid w:val="004D6548"/>
    <w:rsid w:val="004E017B"/>
    <w:rsid w:val="004E027F"/>
    <w:rsid w:val="004E0DC2"/>
    <w:rsid w:val="004E15B6"/>
    <w:rsid w:val="004E22C1"/>
    <w:rsid w:val="004E25CC"/>
    <w:rsid w:val="004E3D1C"/>
    <w:rsid w:val="004E4116"/>
    <w:rsid w:val="004E4AF0"/>
    <w:rsid w:val="004E5E8E"/>
    <w:rsid w:val="004E7254"/>
    <w:rsid w:val="004F05D2"/>
    <w:rsid w:val="004F0FA0"/>
    <w:rsid w:val="004F1049"/>
    <w:rsid w:val="004F15E5"/>
    <w:rsid w:val="004F2FEF"/>
    <w:rsid w:val="004F4BDA"/>
    <w:rsid w:val="004F698A"/>
    <w:rsid w:val="004F77A0"/>
    <w:rsid w:val="004F78E1"/>
    <w:rsid w:val="004F78E5"/>
    <w:rsid w:val="00502E37"/>
    <w:rsid w:val="00503385"/>
    <w:rsid w:val="00504D51"/>
    <w:rsid w:val="00504FC9"/>
    <w:rsid w:val="0050555B"/>
    <w:rsid w:val="005057DC"/>
    <w:rsid w:val="0050611D"/>
    <w:rsid w:val="0051084E"/>
    <w:rsid w:val="0051101D"/>
    <w:rsid w:val="00512034"/>
    <w:rsid w:val="00512A7B"/>
    <w:rsid w:val="005139C5"/>
    <w:rsid w:val="00513D2E"/>
    <w:rsid w:val="005140E3"/>
    <w:rsid w:val="0051438E"/>
    <w:rsid w:val="005150A4"/>
    <w:rsid w:val="0051589C"/>
    <w:rsid w:val="00516438"/>
    <w:rsid w:val="005168D3"/>
    <w:rsid w:val="00517BE0"/>
    <w:rsid w:val="00520560"/>
    <w:rsid w:val="005209FF"/>
    <w:rsid w:val="0052275F"/>
    <w:rsid w:val="00524D6E"/>
    <w:rsid w:val="0052551F"/>
    <w:rsid w:val="00526C04"/>
    <w:rsid w:val="00531015"/>
    <w:rsid w:val="005338B2"/>
    <w:rsid w:val="0053605E"/>
    <w:rsid w:val="00536998"/>
    <w:rsid w:val="00537BF7"/>
    <w:rsid w:val="00540920"/>
    <w:rsid w:val="00543C22"/>
    <w:rsid w:val="00543C81"/>
    <w:rsid w:val="00544538"/>
    <w:rsid w:val="00545459"/>
    <w:rsid w:val="00545E5E"/>
    <w:rsid w:val="0054609E"/>
    <w:rsid w:val="005465D6"/>
    <w:rsid w:val="00546C92"/>
    <w:rsid w:val="00551EC1"/>
    <w:rsid w:val="00552F70"/>
    <w:rsid w:val="00553C04"/>
    <w:rsid w:val="00554B94"/>
    <w:rsid w:val="00554F56"/>
    <w:rsid w:val="00556319"/>
    <w:rsid w:val="00556872"/>
    <w:rsid w:val="00556E22"/>
    <w:rsid w:val="0055755A"/>
    <w:rsid w:val="00557D34"/>
    <w:rsid w:val="00560062"/>
    <w:rsid w:val="005616CC"/>
    <w:rsid w:val="005624B6"/>
    <w:rsid w:val="00562D7C"/>
    <w:rsid w:val="0056303A"/>
    <w:rsid w:val="005650DF"/>
    <w:rsid w:val="00571A04"/>
    <w:rsid w:val="0057238C"/>
    <w:rsid w:val="00575D3C"/>
    <w:rsid w:val="00575DE7"/>
    <w:rsid w:val="005772D9"/>
    <w:rsid w:val="00577E9F"/>
    <w:rsid w:val="00581819"/>
    <w:rsid w:val="00581B53"/>
    <w:rsid w:val="005827FC"/>
    <w:rsid w:val="00584AC2"/>
    <w:rsid w:val="00584F66"/>
    <w:rsid w:val="005915C5"/>
    <w:rsid w:val="005931B3"/>
    <w:rsid w:val="00593E3B"/>
    <w:rsid w:val="00593F3B"/>
    <w:rsid w:val="005A06E2"/>
    <w:rsid w:val="005A0F02"/>
    <w:rsid w:val="005A184C"/>
    <w:rsid w:val="005A1EC1"/>
    <w:rsid w:val="005A1F52"/>
    <w:rsid w:val="005A2B25"/>
    <w:rsid w:val="005A34D3"/>
    <w:rsid w:val="005A3996"/>
    <w:rsid w:val="005A3AB9"/>
    <w:rsid w:val="005A3EE8"/>
    <w:rsid w:val="005A48B8"/>
    <w:rsid w:val="005A57B2"/>
    <w:rsid w:val="005A5874"/>
    <w:rsid w:val="005A5D0D"/>
    <w:rsid w:val="005A7BA7"/>
    <w:rsid w:val="005B0142"/>
    <w:rsid w:val="005B1BD0"/>
    <w:rsid w:val="005B3083"/>
    <w:rsid w:val="005B52B4"/>
    <w:rsid w:val="005B591F"/>
    <w:rsid w:val="005B5BD5"/>
    <w:rsid w:val="005B6F8D"/>
    <w:rsid w:val="005B70B6"/>
    <w:rsid w:val="005C0A17"/>
    <w:rsid w:val="005C4D37"/>
    <w:rsid w:val="005C579A"/>
    <w:rsid w:val="005C6E2E"/>
    <w:rsid w:val="005C6FA4"/>
    <w:rsid w:val="005D3AB6"/>
    <w:rsid w:val="005D608C"/>
    <w:rsid w:val="005D7763"/>
    <w:rsid w:val="005E1DA5"/>
    <w:rsid w:val="005E1F7E"/>
    <w:rsid w:val="005E343F"/>
    <w:rsid w:val="005E54DC"/>
    <w:rsid w:val="005E6CFD"/>
    <w:rsid w:val="005F0D6E"/>
    <w:rsid w:val="005F12D1"/>
    <w:rsid w:val="005F1700"/>
    <w:rsid w:val="005F189D"/>
    <w:rsid w:val="005F21B4"/>
    <w:rsid w:val="005F6C69"/>
    <w:rsid w:val="005F7576"/>
    <w:rsid w:val="005F773F"/>
    <w:rsid w:val="00605DAF"/>
    <w:rsid w:val="00610215"/>
    <w:rsid w:val="00613BA1"/>
    <w:rsid w:val="00614FE6"/>
    <w:rsid w:val="006158FC"/>
    <w:rsid w:val="0061709A"/>
    <w:rsid w:val="00617B1B"/>
    <w:rsid w:val="00623CE1"/>
    <w:rsid w:val="0062455C"/>
    <w:rsid w:val="00626069"/>
    <w:rsid w:val="00627D0F"/>
    <w:rsid w:val="00627FF9"/>
    <w:rsid w:val="006308C7"/>
    <w:rsid w:val="00630904"/>
    <w:rsid w:val="006310A3"/>
    <w:rsid w:val="00631B41"/>
    <w:rsid w:val="006335AB"/>
    <w:rsid w:val="00633A7A"/>
    <w:rsid w:val="00635D0E"/>
    <w:rsid w:val="006360DC"/>
    <w:rsid w:val="006366DF"/>
    <w:rsid w:val="00636D95"/>
    <w:rsid w:val="00637CCA"/>
    <w:rsid w:val="0064011A"/>
    <w:rsid w:val="0064074A"/>
    <w:rsid w:val="00641116"/>
    <w:rsid w:val="00641278"/>
    <w:rsid w:val="00641747"/>
    <w:rsid w:val="00642782"/>
    <w:rsid w:val="006465CC"/>
    <w:rsid w:val="006469E4"/>
    <w:rsid w:val="00647042"/>
    <w:rsid w:val="00651DF4"/>
    <w:rsid w:val="00654365"/>
    <w:rsid w:val="0065593B"/>
    <w:rsid w:val="006559C4"/>
    <w:rsid w:val="006562E3"/>
    <w:rsid w:val="0065721A"/>
    <w:rsid w:val="00662FCB"/>
    <w:rsid w:val="0066327E"/>
    <w:rsid w:val="00663DB1"/>
    <w:rsid w:val="0066571B"/>
    <w:rsid w:val="0066605F"/>
    <w:rsid w:val="0066618F"/>
    <w:rsid w:val="006715A1"/>
    <w:rsid w:val="00672CFB"/>
    <w:rsid w:val="00672F62"/>
    <w:rsid w:val="006739B9"/>
    <w:rsid w:val="00674235"/>
    <w:rsid w:val="00675507"/>
    <w:rsid w:val="006764A7"/>
    <w:rsid w:val="00676751"/>
    <w:rsid w:val="00677F0E"/>
    <w:rsid w:val="006801BB"/>
    <w:rsid w:val="00680D98"/>
    <w:rsid w:val="0068175B"/>
    <w:rsid w:val="00683EED"/>
    <w:rsid w:val="006841DB"/>
    <w:rsid w:val="00691C1E"/>
    <w:rsid w:val="00692262"/>
    <w:rsid w:val="0069237D"/>
    <w:rsid w:val="0069258E"/>
    <w:rsid w:val="00693614"/>
    <w:rsid w:val="00694021"/>
    <w:rsid w:val="006960DB"/>
    <w:rsid w:val="00696131"/>
    <w:rsid w:val="006A1D2A"/>
    <w:rsid w:val="006A24CE"/>
    <w:rsid w:val="006A2BEC"/>
    <w:rsid w:val="006A2EC9"/>
    <w:rsid w:val="006A4362"/>
    <w:rsid w:val="006A57F3"/>
    <w:rsid w:val="006A619D"/>
    <w:rsid w:val="006A69AA"/>
    <w:rsid w:val="006A69B9"/>
    <w:rsid w:val="006A7D7B"/>
    <w:rsid w:val="006B0654"/>
    <w:rsid w:val="006B1099"/>
    <w:rsid w:val="006B1705"/>
    <w:rsid w:val="006B3031"/>
    <w:rsid w:val="006B4944"/>
    <w:rsid w:val="006B5C51"/>
    <w:rsid w:val="006B6B5D"/>
    <w:rsid w:val="006B7133"/>
    <w:rsid w:val="006B7599"/>
    <w:rsid w:val="006C0253"/>
    <w:rsid w:val="006C1CEA"/>
    <w:rsid w:val="006C27F0"/>
    <w:rsid w:val="006C5937"/>
    <w:rsid w:val="006C630D"/>
    <w:rsid w:val="006C653F"/>
    <w:rsid w:val="006D089B"/>
    <w:rsid w:val="006D0AA9"/>
    <w:rsid w:val="006D2CC4"/>
    <w:rsid w:val="006D2F9F"/>
    <w:rsid w:val="006D3C14"/>
    <w:rsid w:val="006D5155"/>
    <w:rsid w:val="006D573A"/>
    <w:rsid w:val="006D577E"/>
    <w:rsid w:val="006D58CD"/>
    <w:rsid w:val="006D6CD5"/>
    <w:rsid w:val="006D6D0A"/>
    <w:rsid w:val="006D7370"/>
    <w:rsid w:val="006E055E"/>
    <w:rsid w:val="006E1920"/>
    <w:rsid w:val="006E3070"/>
    <w:rsid w:val="006E4EB6"/>
    <w:rsid w:val="006E5463"/>
    <w:rsid w:val="006E5C89"/>
    <w:rsid w:val="006E5E97"/>
    <w:rsid w:val="006F10EA"/>
    <w:rsid w:val="006F2305"/>
    <w:rsid w:val="006F2EE9"/>
    <w:rsid w:val="006F5C44"/>
    <w:rsid w:val="006F5EFF"/>
    <w:rsid w:val="006F657B"/>
    <w:rsid w:val="006F65C8"/>
    <w:rsid w:val="006F69EC"/>
    <w:rsid w:val="007005C1"/>
    <w:rsid w:val="00700EA3"/>
    <w:rsid w:val="00701758"/>
    <w:rsid w:val="0070205E"/>
    <w:rsid w:val="007022F8"/>
    <w:rsid w:val="00702893"/>
    <w:rsid w:val="00703D97"/>
    <w:rsid w:val="007047DE"/>
    <w:rsid w:val="007048F7"/>
    <w:rsid w:val="00704EC5"/>
    <w:rsid w:val="00706958"/>
    <w:rsid w:val="00711B9D"/>
    <w:rsid w:val="00711D30"/>
    <w:rsid w:val="0071248C"/>
    <w:rsid w:val="00714180"/>
    <w:rsid w:val="00714B16"/>
    <w:rsid w:val="00720638"/>
    <w:rsid w:val="0072111D"/>
    <w:rsid w:val="00721657"/>
    <w:rsid w:val="007223E1"/>
    <w:rsid w:val="007253E8"/>
    <w:rsid w:val="00726DE8"/>
    <w:rsid w:val="007302EB"/>
    <w:rsid w:val="00731151"/>
    <w:rsid w:val="0073216C"/>
    <w:rsid w:val="007331F3"/>
    <w:rsid w:val="00733C08"/>
    <w:rsid w:val="00734BC6"/>
    <w:rsid w:val="00735CC6"/>
    <w:rsid w:val="0073639F"/>
    <w:rsid w:val="00737045"/>
    <w:rsid w:val="00737253"/>
    <w:rsid w:val="00741C6D"/>
    <w:rsid w:val="00746150"/>
    <w:rsid w:val="0074673D"/>
    <w:rsid w:val="00746995"/>
    <w:rsid w:val="00746FCF"/>
    <w:rsid w:val="00751B54"/>
    <w:rsid w:val="00752031"/>
    <w:rsid w:val="0075228B"/>
    <w:rsid w:val="0075268F"/>
    <w:rsid w:val="00754769"/>
    <w:rsid w:val="00757148"/>
    <w:rsid w:val="00762818"/>
    <w:rsid w:val="007632A1"/>
    <w:rsid w:val="0076336C"/>
    <w:rsid w:val="0076564D"/>
    <w:rsid w:val="00772BF0"/>
    <w:rsid w:val="007739F3"/>
    <w:rsid w:val="007760EB"/>
    <w:rsid w:val="0077678B"/>
    <w:rsid w:val="00777EB2"/>
    <w:rsid w:val="0078341E"/>
    <w:rsid w:val="007834A2"/>
    <w:rsid w:val="0078429B"/>
    <w:rsid w:val="00786E22"/>
    <w:rsid w:val="00787063"/>
    <w:rsid w:val="00787591"/>
    <w:rsid w:val="00787F0C"/>
    <w:rsid w:val="00790724"/>
    <w:rsid w:val="00790A8E"/>
    <w:rsid w:val="0079121D"/>
    <w:rsid w:val="0079130E"/>
    <w:rsid w:val="00792A3B"/>
    <w:rsid w:val="007933C7"/>
    <w:rsid w:val="00794895"/>
    <w:rsid w:val="00795885"/>
    <w:rsid w:val="00796BF1"/>
    <w:rsid w:val="00797534"/>
    <w:rsid w:val="007A3DB6"/>
    <w:rsid w:val="007A5192"/>
    <w:rsid w:val="007A5DCB"/>
    <w:rsid w:val="007B0DB8"/>
    <w:rsid w:val="007B3DF7"/>
    <w:rsid w:val="007B5DED"/>
    <w:rsid w:val="007B5FA8"/>
    <w:rsid w:val="007B6437"/>
    <w:rsid w:val="007B7B50"/>
    <w:rsid w:val="007C51DF"/>
    <w:rsid w:val="007C609F"/>
    <w:rsid w:val="007D083F"/>
    <w:rsid w:val="007D2EA4"/>
    <w:rsid w:val="007D3088"/>
    <w:rsid w:val="007D3B5F"/>
    <w:rsid w:val="007D4685"/>
    <w:rsid w:val="007D4C4E"/>
    <w:rsid w:val="007D6E17"/>
    <w:rsid w:val="007D7D97"/>
    <w:rsid w:val="007E0F26"/>
    <w:rsid w:val="007E15E3"/>
    <w:rsid w:val="007E1BCD"/>
    <w:rsid w:val="007E29D9"/>
    <w:rsid w:val="007E3116"/>
    <w:rsid w:val="007E397B"/>
    <w:rsid w:val="007E67EA"/>
    <w:rsid w:val="007E683E"/>
    <w:rsid w:val="007E68C1"/>
    <w:rsid w:val="007E774E"/>
    <w:rsid w:val="007F11D7"/>
    <w:rsid w:val="007F2203"/>
    <w:rsid w:val="007F25C9"/>
    <w:rsid w:val="007F2A17"/>
    <w:rsid w:val="007F2B8C"/>
    <w:rsid w:val="007F3A35"/>
    <w:rsid w:val="007F40F2"/>
    <w:rsid w:val="007F44B9"/>
    <w:rsid w:val="007F68A7"/>
    <w:rsid w:val="007F6A96"/>
    <w:rsid w:val="007F737B"/>
    <w:rsid w:val="007F7B21"/>
    <w:rsid w:val="0080198A"/>
    <w:rsid w:val="00801A1A"/>
    <w:rsid w:val="00801A29"/>
    <w:rsid w:val="00802414"/>
    <w:rsid w:val="008034A3"/>
    <w:rsid w:val="008043A0"/>
    <w:rsid w:val="0080471C"/>
    <w:rsid w:val="0080499B"/>
    <w:rsid w:val="00805195"/>
    <w:rsid w:val="00807E1E"/>
    <w:rsid w:val="00810C22"/>
    <w:rsid w:val="0081272B"/>
    <w:rsid w:val="008134E0"/>
    <w:rsid w:val="008136C0"/>
    <w:rsid w:val="00814B55"/>
    <w:rsid w:val="00815C0C"/>
    <w:rsid w:val="0082016A"/>
    <w:rsid w:val="008205C2"/>
    <w:rsid w:val="008216B6"/>
    <w:rsid w:val="0082321F"/>
    <w:rsid w:val="0082464B"/>
    <w:rsid w:val="008249D9"/>
    <w:rsid w:val="00824B19"/>
    <w:rsid w:val="0082521A"/>
    <w:rsid w:val="008260A8"/>
    <w:rsid w:val="00827FA0"/>
    <w:rsid w:val="00830E13"/>
    <w:rsid w:val="008312AD"/>
    <w:rsid w:val="0083288B"/>
    <w:rsid w:val="00833EC1"/>
    <w:rsid w:val="0083420F"/>
    <w:rsid w:val="00835D0F"/>
    <w:rsid w:val="0083794F"/>
    <w:rsid w:val="00840C91"/>
    <w:rsid w:val="00842D6E"/>
    <w:rsid w:val="00842F80"/>
    <w:rsid w:val="008447BF"/>
    <w:rsid w:val="00845C50"/>
    <w:rsid w:val="0084689F"/>
    <w:rsid w:val="00850001"/>
    <w:rsid w:val="00850AED"/>
    <w:rsid w:val="00850BFB"/>
    <w:rsid w:val="00851D57"/>
    <w:rsid w:val="0085397E"/>
    <w:rsid w:val="00854DE1"/>
    <w:rsid w:val="00854F96"/>
    <w:rsid w:val="00857F60"/>
    <w:rsid w:val="00860251"/>
    <w:rsid w:val="0086346E"/>
    <w:rsid w:val="00865F63"/>
    <w:rsid w:val="00866102"/>
    <w:rsid w:val="008666EF"/>
    <w:rsid w:val="0086688C"/>
    <w:rsid w:val="00867D58"/>
    <w:rsid w:val="00875E7E"/>
    <w:rsid w:val="00876BCA"/>
    <w:rsid w:val="008810C6"/>
    <w:rsid w:val="00881259"/>
    <w:rsid w:val="00882763"/>
    <w:rsid w:val="008868EB"/>
    <w:rsid w:val="00887CC8"/>
    <w:rsid w:val="00891C97"/>
    <w:rsid w:val="00891E8D"/>
    <w:rsid w:val="008939F4"/>
    <w:rsid w:val="0089454D"/>
    <w:rsid w:val="008961B4"/>
    <w:rsid w:val="00897758"/>
    <w:rsid w:val="008A03FF"/>
    <w:rsid w:val="008A24EC"/>
    <w:rsid w:val="008A2AE6"/>
    <w:rsid w:val="008A32EC"/>
    <w:rsid w:val="008A3A82"/>
    <w:rsid w:val="008B00DE"/>
    <w:rsid w:val="008B12E4"/>
    <w:rsid w:val="008B38B8"/>
    <w:rsid w:val="008B4882"/>
    <w:rsid w:val="008B6B58"/>
    <w:rsid w:val="008B709D"/>
    <w:rsid w:val="008C2787"/>
    <w:rsid w:val="008C3C77"/>
    <w:rsid w:val="008C3E07"/>
    <w:rsid w:val="008C4812"/>
    <w:rsid w:val="008D19CE"/>
    <w:rsid w:val="008D3462"/>
    <w:rsid w:val="008D7A39"/>
    <w:rsid w:val="008E1CBE"/>
    <w:rsid w:val="008E253E"/>
    <w:rsid w:val="008E527B"/>
    <w:rsid w:val="008E5AD8"/>
    <w:rsid w:val="008E73FF"/>
    <w:rsid w:val="008F10E8"/>
    <w:rsid w:val="008F3D09"/>
    <w:rsid w:val="008F404A"/>
    <w:rsid w:val="008F4AF9"/>
    <w:rsid w:val="008F4BCF"/>
    <w:rsid w:val="008F4F9E"/>
    <w:rsid w:val="008F52F3"/>
    <w:rsid w:val="008F59CB"/>
    <w:rsid w:val="008F621A"/>
    <w:rsid w:val="008F65C7"/>
    <w:rsid w:val="008F6F59"/>
    <w:rsid w:val="00900762"/>
    <w:rsid w:val="00900887"/>
    <w:rsid w:val="00900D65"/>
    <w:rsid w:val="00900FAD"/>
    <w:rsid w:val="0090391B"/>
    <w:rsid w:val="009047E7"/>
    <w:rsid w:val="00904889"/>
    <w:rsid w:val="009062F2"/>
    <w:rsid w:val="00906C01"/>
    <w:rsid w:val="00907261"/>
    <w:rsid w:val="00907CDE"/>
    <w:rsid w:val="00915690"/>
    <w:rsid w:val="00915768"/>
    <w:rsid w:val="009158B4"/>
    <w:rsid w:val="00916F40"/>
    <w:rsid w:val="0092055B"/>
    <w:rsid w:val="00921530"/>
    <w:rsid w:val="009219BC"/>
    <w:rsid w:val="00921C57"/>
    <w:rsid w:val="00923139"/>
    <w:rsid w:val="00924303"/>
    <w:rsid w:val="00925051"/>
    <w:rsid w:val="0092506C"/>
    <w:rsid w:val="00925174"/>
    <w:rsid w:val="009270BF"/>
    <w:rsid w:val="00933441"/>
    <w:rsid w:val="00934ACD"/>
    <w:rsid w:val="0093551A"/>
    <w:rsid w:val="0093676D"/>
    <w:rsid w:val="00937DB4"/>
    <w:rsid w:val="009418FC"/>
    <w:rsid w:val="00943BE2"/>
    <w:rsid w:val="00943E6E"/>
    <w:rsid w:val="00944546"/>
    <w:rsid w:val="00944EA2"/>
    <w:rsid w:val="00947471"/>
    <w:rsid w:val="009475E3"/>
    <w:rsid w:val="009517A4"/>
    <w:rsid w:val="00953C0C"/>
    <w:rsid w:val="00960A6A"/>
    <w:rsid w:val="009640A1"/>
    <w:rsid w:val="009652AA"/>
    <w:rsid w:val="00965E89"/>
    <w:rsid w:val="00965ECE"/>
    <w:rsid w:val="00971CDE"/>
    <w:rsid w:val="009721FD"/>
    <w:rsid w:val="00973B4A"/>
    <w:rsid w:val="00974140"/>
    <w:rsid w:val="00974A19"/>
    <w:rsid w:val="00975E90"/>
    <w:rsid w:val="00977C9F"/>
    <w:rsid w:val="00981B5B"/>
    <w:rsid w:val="00981E8B"/>
    <w:rsid w:val="00983049"/>
    <w:rsid w:val="00987E13"/>
    <w:rsid w:val="00991536"/>
    <w:rsid w:val="009918EF"/>
    <w:rsid w:val="00991D2C"/>
    <w:rsid w:val="00991D6E"/>
    <w:rsid w:val="00992E51"/>
    <w:rsid w:val="00992E93"/>
    <w:rsid w:val="0099405B"/>
    <w:rsid w:val="009947C8"/>
    <w:rsid w:val="00995EFF"/>
    <w:rsid w:val="00996193"/>
    <w:rsid w:val="00996342"/>
    <w:rsid w:val="00996ADE"/>
    <w:rsid w:val="00996D95"/>
    <w:rsid w:val="0099711F"/>
    <w:rsid w:val="00997145"/>
    <w:rsid w:val="009973BD"/>
    <w:rsid w:val="00997B29"/>
    <w:rsid w:val="009A2497"/>
    <w:rsid w:val="009A26AF"/>
    <w:rsid w:val="009A4089"/>
    <w:rsid w:val="009A43C4"/>
    <w:rsid w:val="009A526E"/>
    <w:rsid w:val="009A63FB"/>
    <w:rsid w:val="009B0724"/>
    <w:rsid w:val="009B07E1"/>
    <w:rsid w:val="009B211D"/>
    <w:rsid w:val="009B39DF"/>
    <w:rsid w:val="009B5557"/>
    <w:rsid w:val="009B5CB0"/>
    <w:rsid w:val="009B6CF8"/>
    <w:rsid w:val="009B6FF6"/>
    <w:rsid w:val="009C06A1"/>
    <w:rsid w:val="009C26BF"/>
    <w:rsid w:val="009C466A"/>
    <w:rsid w:val="009C50AD"/>
    <w:rsid w:val="009C625B"/>
    <w:rsid w:val="009D3195"/>
    <w:rsid w:val="009D39D6"/>
    <w:rsid w:val="009D3A52"/>
    <w:rsid w:val="009D524F"/>
    <w:rsid w:val="009D690D"/>
    <w:rsid w:val="009D6C55"/>
    <w:rsid w:val="009D76ED"/>
    <w:rsid w:val="009E1009"/>
    <w:rsid w:val="009E2F9F"/>
    <w:rsid w:val="009E465B"/>
    <w:rsid w:val="009E604E"/>
    <w:rsid w:val="009E64BA"/>
    <w:rsid w:val="009E68D0"/>
    <w:rsid w:val="009E7292"/>
    <w:rsid w:val="009F07BB"/>
    <w:rsid w:val="009F086A"/>
    <w:rsid w:val="009F1802"/>
    <w:rsid w:val="009F1868"/>
    <w:rsid w:val="009F2179"/>
    <w:rsid w:val="009F2B80"/>
    <w:rsid w:val="009F3541"/>
    <w:rsid w:val="009F3F84"/>
    <w:rsid w:val="009F5E92"/>
    <w:rsid w:val="009F630C"/>
    <w:rsid w:val="009F732C"/>
    <w:rsid w:val="009F7E20"/>
    <w:rsid w:val="00A05448"/>
    <w:rsid w:val="00A06CDF"/>
    <w:rsid w:val="00A06D8C"/>
    <w:rsid w:val="00A0796A"/>
    <w:rsid w:val="00A11249"/>
    <w:rsid w:val="00A11F89"/>
    <w:rsid w:val="00A13597"/>
    <w:rsid w:val="00A13DB0"/>
    <w:rsid w:val="00A13ECC"/>
    <w:rsid w:val="00A151EB"/>
    <w:rsid w:val="00A17736"/>
    <w:rsid w:val="00A2035E"/>
    <w:rsid w:val="00A2193A"/>
    <w:rsid w:val="00A21AF4"/>
    <w:rsid w:val="00A221FC"/>
    <w:rsid w:val="00A2716B"/>
    <w:rsid w:val="00A275D9"/>
    <w:rsid w:val="00A3115A"/>
    <w:rsid w:val="00A35358"/>
    <w:rsid w:val="00A353F3"/>
    <w:rsid w:val="00A366EC"/>
    <w:rsid w:val="00A37E3F"/>
    <w:rsid w:val="00A41D44"/>
    <w:rsid w:val="00A4409C"/>
    <w:rsid w:val="00A44495"/>
    <w:rsid w:val="00A45283"/>
    <w:rsid w:val="00A5026D"/>
    <w:rsid w:val="00A5095F"/>
    <w:rsid w:val="00A50ADB"/>
    <w:rsid w:val="00A50D31"/>
    <w:rsid w:val="00A52C02"/>
    <w:rsid w:val="00A538D2"/>
    <w:rsid w:val="00A53D29"/>
    <w:rsid w:val="00A5416C"/>
    <w:rsid w:val="00A555E0"/>
    <w:rsid w:val="00A57647"/>
    <w:rsid w:val="00A60938"/>
    <w:rsid w:val="00A62F05"/>
    <w:rsid w:val="00A6320F"/>
    <w:rsid w:val="00A6459F"/>
    <w:rsid w:val="00A64602"/>
    <w:rsid w:val="00A664DE"/>
    <w:rsid w:val="00A679FE"/>
    <w:rsid w:val="00A67A55"/>
    <w:rsid w:val="00A70E29"/>
    <w:rsid w:val="00A711C8"/>
    <w:rsid w:val="00A7344E"/>
    <w:rsid w:val="00A73B69"/>
    <w:rsid w:val="00A75FE0"/>
    <w:rsid w:val="00A77924"/>
    <w:rsid w:val="00A8013C"/>
    <w:rsid w:val="00A814D4"/>
    <w:rsid w:val="00A81E0A"/>
    <w:rsid w:val="00A837D2"/>
    <w:rsid w:val="00A85766"/>
    <w:rsid w:val="00A86634"/>
    <w:rsid w:val="00A86857"/>
    <w:rsid w:val="00A91283"/>
    <w:rsid w:val="00A92C47"/>
    <w:rsid w:val="00A938B3"/>
    <w:rsid w:val="00A940A5"/>
    <w:rsid w:val="00A94670"/>
    <w:rsid w:val="00A94C6B"/>
    <w:rsid w:val="00A94F2C"/>
    <w:rsid w:val="00A959E1"/>
    <w:rsid w:val="00A97E29"/>
    <w:rsid w:val="00AA0674"/>
    <w:rsid w:val="00AA06F2"/>
    <w:rsid w:val="00AA0E86"/>
    <w:rsid w:val="00AA2795"/>
    <w:rsid w:val="00AA33B8"/>
    <w:rsid w:val="00AA4467"/>
    <w:rsid w:val="00AA6B07"/>
    <w:rsid w:val="00AB222B"/>
    <w:rsid w:val="00AB22B6"/>
    <w:rsid w:val="00AB34EE"/>
    <w:rsid w:val="00AB4424"/>
    <w:rsid w:val="00AB609E"/>
    <w:rsid w:val="00AB7A2C"/>
    <w:rsid w:val="00AB7A7C"/>
    <w:rsid w:val="00AB7A9F"/>
    <w:rsid w:val="00AC045F"/>
    <w:rsid w:val="00AC21A7"/>
    <w:rsid w:val="00AC2DD4"/>
    <w:rsid w:val="00AC3A82"/>
    <w:rsid w:val="00AC50ED"/>
    <w:rsid w:val="00AC51AD"/>
    <w:rsid w:val="00AC5EFC"/>
    <w:rsid w:val="00AC7CD6"/>
    <w:rsid w:val="00AD14BF"/>
    <w:rsid w:val="00AD1A25"/>
    <w:rsid w:val="00AD1F13"/>
    <w:rsid w:val="00AD32CD"/>
    <w:rsid w:val="00AD5800"/>
    <w:rsid w:val="00AD5BF5"/>
    <w:rsid w:val="00AD5C81"/>
    <w:rsid w:val="00AD5E49"/>
    <w:rsid w:val="00AD5E77"/>
    <w:rsid w:val="00AD60EB"/>
    <w:rsid w:val="00AE0384"/>
    <w:rsid w:val="00AE12D9"/>
    <w:rsid w:val="00AE36FF"/>
    <w:rsid w:val="00AE438D"/>
    <w:rsid w:val="00AE53DF"/>
    <w:rsid w:val="00AE6D34"/>
    <w:rsid w:val="00AE7093"/>
    <w:rsid w:val="00AF1C20"/>
    <w:rsid w:val="00AF1CAF"/>
    <w:rsid w:val="00AF230B"/>
    <w:rsid w:val="00AF5C5D"/>
    <w:rsid w:val="00AF6BAB"/>
    <w:rsid w:val="00AF7139"/>
    <w:rsid w:val="00B022E2"/>
    <w:rsid w:val="00B04FB7"/>
    <w:rsid w:val="00B0563E"/>
    <w:rsid w:val="00B059C1"/>
    <w:rsid w:val="00B05CE2"/>
    <w:rsid w:val="00B06D74"/>
    <w:rsid w:val="00B07356"/>
    <w:rsid w:val="00B07461"/>
    <w:rsid w:val="00B102F9"/>
    <w:rsid w:val="00B11087"/>
    <w:rsid w:val="00B11CB6"/>
    <w:rsid w:val="00B12251"/>
    <w:rsid w:val="00B1463C"/>
    <w:rsid w:val="00B148CB"/>
    <w:rsid w:val="00B16C4A"/>
    <w:rsid w:val="00B203A6"/>
    <w:rsid w:val="00B20A3C"/>
    <w:rsid w:val="00B25FD8"/>
    <w:rsid w:val="00B265AB"/>
    <w:rsid w:val="00B275FD"/>
    <w:rsid w:val="00B307A1"/>
    <w:rsid w:val="00B31402"/>
    <w:rsid w:val="00B3225B"/>
    <w:rsid w:val="00B336DB"/>
    <w:rsid w:val="00B33EAF"/>
    <w:rsid w:val="00B36E81"/>
    <w:rsid w:val="00B40107"/>
    <w:rsid w:val="00B41DC6"/>
    <w:rsid w:val="00B421BD"/>
    <w:rsid w:val="00B42681"/>
    <w:rsid w:val="00B4447A"/>
    <w:rsid w:val="00B47B01"/>
    <w:rsid w:val="00B5018C"/>
    <w:rsid w:val="00B518A4"/>
    <w:rsid w:val="00B5322F"/>
    <w:rsid w:val="00B534F8"/>
    <w:rsid w:val="00B538BA"/>
    <w:rsid w:val="00B538DD"/>
    <w:rsid w:val="00B54029"/>
    <w:rsid w:val="00B552CA"/>
    <w:rsid w:val="00B553D1"/>
    <w:rsid w:val="00B55C95"/>
    <w:rsid w:val="00B55D13"/>
    <w:rsid w:val="00B564F9"/>
    <w:rsid w:val="00B56560"/>
    <w:rsid w:val="00B60D22"/>
    <w:rsid w:val="00B611D2"/>
    <w:rsid w:val="00B66C03"/>
    <w:rsid w:val="00B67E2B"/>
    <w:rsid w:val="00B70037"/>
    <w:rsid w:val="00B70516"/>
    <w:rsid w:val="00B70BE3"/>
    <w:rsid w:val="00B711F9"/>
    <w:rsid w:val="00B7482B"/>
    <w:rsid w:val="00B75870"/>
    <w:rsid w:val="00B75F45"/>
    <w:rsid w:val="00B7647A"/>
    <w:rsid w:val="00B7698C"/>
    <w:rsid w:val="00B77671"/>
    <w:rsid w:val="00B83536"/>
    <w:rsid w:val="00B83D4A"/>
    <w:rsid w:val="00B84ED2"/>
    <w:rsid w:val="00B863AA"/>
    <w:rsid w:val="00B87D5F"/>
    <w:rsid w:val="00B9148C"/>
    <w:rsid w:val="00B9341E"/>
    <w:rsid w:val="00B9433C"/>
    <w:rsid w:val="00B96A8D"/>
    <w:rsid w:val="00B97847"/>
    <w:rsid w:val="00B97DC7"/>
    <w:rsid w:val="00BA04E1"/>
    <w:rsid w:val="00BA2CF0"/>
    <w:rsid w:val="00BA3882"/>
    <w:rsid w:val="00BA41F2"/>
    <w:rsid w:val="00BB4893"/>
    <w:rsid w:val="00BB4AF5"/>
    <w:rsid w:val="00BB54B8"/>
    <w:rsid w:val="00BB7030"/>
    <w:rsid w:val="00BB7CDC"/>
    <w:rsid w:val="00BC02E6"/>
    <w:rsid w:val="00BC23B7"/>
    <w:rsid w:val="00BC24E0"/>
    <w:rsid w:val="00BC25A0"/>
    <w:rsid w:val="00BC3D2E"/>
    <w:rsid w:val="00BC41C3"/>
    <w:rsid w:val="00BC505F"/>
    <w:rsid w:val="00BC59AE"/>
    <w:rsid w:val="00BC6AC3"/>
    <w:rsid w:val="00BC71CC"/>
    <w:rsid w:val="00BC7971"/>
    <w:rsid w:val="00BD03E1"/>
    <w:rsid w:val="00BD08C6"/>
    <w:rsid w:val="00BD1FA0"/>
    <w:rsid w:val="00BD43DB"/>
    <w:rsid w:val="00BD566A"/>
    <w:rsid w:val="00BD696C"/>
    <w:rsid w:val="00BE0E06"/>
    <w:rsid w:val="00BE21B4"/>
    <w:rsid w:val="00BE31BC"/>
    <w:rsid w:val="00BE3757"/>
    <w:rsid w:val="00BE40B1"/>
    <w:rsid w:val="00BE5CC6"/>
    <w:rsid w:val="00BE6326"/>
    <w:rsid w:val="00BE72B0"/>
    <w:rsid w:val="00BE77BB"/>
    <w:rsid w:val="00BF0575"/>
    <w:rsid w:val="00BF0874"/>
    <w:rsid w:val="00BF2EC5"/>
    <w:rsid w:val="00BF350A"/>
    <w:rsid w:val="00BF4111"/>
    <w:rsid w:val="00BF422F"/>
    <w:rsid w:val="00BF6197"/>
    <w:rsid w:val="00C0085E"/>
    <w:rsid w:val="00C00CB7"/>
    <w:rsid w:val="00C033ED"/>
    <w:rsid w:val="00C03938"/>
    <w:rsid w:val="00C039B8"/>
    <w:rsid w:val="00C0459D"/>
    <w:rsid w:val="00C05553"/>
    <w:rsid w:val="00C06BAD"/>
    <w:rsid w:val="00C07CC2"/>
    <w:rsid w:val="00C10249"/>
    <w:rsid w:val="00C10558"/>
    <w:rsid w:val="00C1141E"/>
    <w:rsid w:val="00C138F7"/>
    <w:rsid w:val="00C15DC3"/>
    <w:rsid w:val="00C161B0"/>
    <w:rsid w:val="00C16428"/>
    <w:rsid w:val="00C16FCE"/>
    <w:rsid w:val="00C17F18"/>
    <w:rsid w:val="00C244E2"/>
    <w:rsid w:val="00C247F9"/>
    <w:rsid w:val="00C249D3"/>
    <w:rsid w:val="00C2766F"/>
    <w:rsid w:val="00C3051C"/>
    <w:rsid w:val="00C317F8"/>
    <w:rsid w:val="00C31EBF"/>
    <w:rsid w:val="00C3304C"/>
    <w:rsid w:val="00C33B16"/>
    <w:rsid w:val="00C3489F"/>
    <w:rsid w:val="00C35845"/>
    <w:rsid w:val="00C358E8"/>
    <w:rsid w:val="00C35AE6"/>
    <w:rsid w:val="00C367BA"/>
    <w:rsid w:val="00C37319"/>
    <w:rsid w:val="00C375B8"/>
    <w:rsid w:val="00C40AFA"/>
    <w:rsid w:val="00C4258E"/>
    <w:rsid w:val="00C44DD9"/>
    <w:rsid w:val="00C45CA1"/>
    <w:rsid w:val="00C5057E"/>
    <w:rsid w:val="00C51102"/>
    <w:rsid w:val="00C52DFD"/>
    <w:rsid w:val="00C5408D"/>
    <w:rsid w:val="00C55233"/>
    <w:rsid w:val="00C55AB6"/>
    <w:rsid w:val="00C6090D"/>
    <w:rsid w:val="00C611E7"/>
    <w:rsid w:val="00C617AD"/>
    <w:rsid w:val="00C61A7A"/>
    <w:rsid w:val="00C61DCA"/>
    <w:rsid w:val="00C627B0"/>
    <w:rsid w:val="00C64C48"/>
    <w:rsid w:val="00C67F27"/>
    <w:rsid w:val="00C71069"/>
    <w:rsid w:val="00C73387"/>
    <w:rsid w:val="00C73EE9"/>
    <w:rsid w:val="00C73F4F"/>
    <w:rsid w:val="00C74005"/>
    <w:rsid w:val="00C75B77"/>
    <w:rsid w:val="00C76A56"/>
    <w:rsid w:val="00C84A9E"/>
    <w:rsid w:val="00C86485"/>
    <w:rsid w:val="00C87230"/>
    <w:rsid w:val="00C8789F"/>
    <w:rsid w:val="00C878DB"/>
    <w:rsid w:val="00C87F41"/>
    <w:rsid w:val="00C904F8"/>
    <w:rsid w:val="00C9116F"/>
    <w:rsid w:val="00C92F51"/>
    <w:rsid w:val="00C93227"/>
    <w:rsid w:val="00C94495"/>
    <w:rsid w:val="00C9479F"/>
    <w:rsid w:val="00C94BC7"/>
    <w:rsid w:val="00C962C0"/>
    <w:rsid w:val="00C97456"/>
    <w:rsid w:val="00CA0B15"/>
    <w:rsid w:val="00CA3AFB"/>
    <w:rsid w:val="00CA43B5"/>
    <w:rsid w:val="00CA4D3D"/>
    <w:rsid w:val="00CB1FA7"/>
    <w:rsid w:val="00CB28E1"/>
    <w:rsid w:val="00CB4134"/>
    <w:rsid w:val="00CB5DF2"/>
    <w:rsid w:val="00CC0147"/>
    <w:rsid w:val="00CC0F51"/>
    <w:rsid w:val="00CC0FAB"/>
    <w:rsid w:val="00CC123A"/>
    <w:rsid w:val="00CC1C5C"/>
    <w:rsid w:val="00CC1DAE"/>
    <w:rsid w:val="00CC4902"/>
    <w:rsid w:val="00CC50CE"/>
    <w:rsid w:val="00CD2B0A"/>
    <w:rsid w:val="00CD42C3"/>
    <w:rsid w:val="00CD52E9"/>
    <w:rsid w:val="00CD720B"/>
    <w:rsid w:val="00CE4878"/>
    <w:rsid w:val="00CE5074"/>
    <w:rsid w:val="00CE6E28"/>
    <w:rsid w:val="00CE77D0"/>
    <w:rsid w:val="00CF1C75"/>
    <w:rsid w:val="00CF1DAE"/>
    <w:rsid w:val="00CF3000"/>
    <w:rsid w:val="00CF305C"/>
    <w:rsid w:val="00CF3933"/>
    <w:rsid w:val="00CF4BD1"/>
    <w:rsid w:val="00CF5422"/>
    <w:rsid w:val="00CF660F"/>
    <w:rsid w:val="00CF6A7A"/>
    <w:rsid w:val="00D0175F"/>
    <w:rsid w:val="00D01A51"/>
    <w:rsid w:val="00D01DD0"/>
    <w:rsid w:val="00D02C67"/>
    <w:rsid w:val="00D02CAB"/>
    <w:rsid w:val="00D03900"/>
    <w:rsid w:val="00D03EA1"/>
    <w:rsid w:val="00D0519A"/>
    <w:rsid w:val="00D06183"/>
    <w:rsid w:val="00D071D8"/>
    <w:rsid w:val="00D073F8"/>
    <w:rsid w:val="00D07982"/>
    <w:rsid w:val="00D10121"/>
    <w:rsid w:val="00D14633"/>
    <w:rsid w:val="00D14D15"/>
    <w:rsid w:val="00D22A37"/>
    <w:rsid w:val="00D23258"/>
    <w:rsid w:val="00D23FBB"/>
    <w:rsid w:val="00D263FD"/>
    <w:rsid w:val="00D30931"/>
    <w:rsid w:val="00D3198F"/>
    <w:rsid w:val="00D341DE"/>
    <w:rsid w:val="00D34511"/>
    <w:rsid w:val="00D356C8"/>
    <w:rsid w:val="00D359FF"/>
    <w:rsid w:val="00D36022"/>
    <w:rsid w:val="00D374AC"/>
    <w:rsid w:val="00D3796C"/>
    <w:rsid w:val="00D437B6"/>
    <w:rsid w:val="00D460C4"/>
    <w:rsid w:val="00D46685"/>
    <w:rsid w:val="00D4683F"/>
    <w:rsid w:val="00D468EE"/>
    <w:rsid w:val="00D46A5E"/>
    <w:rsid w:val="00D475BD"/>
    <w:rsid w:val="00D50F63"/>
    <w:rsid w:val="00D510BD"/>
    <w:rsid w:val="00D51350"/>
    <w:rsid w:val="00D5205C"/>
    <w:rsid w:val="00D5285F"/>
    <w:rsid w:val="00D53A8B"/>
    <w:rsid w:val="00D554AB"/>
    <w:rsid w:val="00D60122"/>
    <w:rsid w:val="00D613F6"/>
    <w:rsid w:val="00D61C01"/>
    <w:rsid w:val="00D62CAB"/>
    <w:rsid w:val="00D64464"/>
    <w:rsid w:val="00D654BF"/>
    <w:rsid w:val="00D65B13"/>
    <w:rsid w:val="00D65C9E"/>
    <w:rsid w:val="00D66723"/>
    <w:rsid w:val="00D70B2B"/>
    <w:rsid w:val="00D71DB3"/>
    <w:rsid w:val="00D7441F"/>
    <w:rsid w:val="00D74E6F"/>
    <w:rsid w:val="00D76212"/>
    <w:rsid w:val="00D80393"/>
    <w:rsid w:val="00D80404"/>
    <w:rsid w:val="00D80BC1"/>
    <w:rsid w:val="00D84A96"/>
    <w:rsid w:val="00D85E35"/>
    <w:rsid w:val="00D86700"/>
    <w:rsid w:val="00D90F7B"/>
    <w:rsid w:val="00D92766"/>
    <w:rsid w:val="00D9348D"/>
    <w:rsid w:val="00D944BC"/>
    <w:rsid w:val="00D971C7"/>
    <w:rsid w:val="00D978DA"/>
    <w:rsid w:val="00DA1587"/>
    <w:rsid w:val="00DA2076"/>
    <w:rsid w:val="00DA4AE7"/>
    <w:rsid w:val="00DA5997"/>
    <w:rsid w:val="00DA6046"/>
    <w:rsid w:val="00DA636E"/>
    <w:rsid w:val="00DA712C"/>
    <w:rsid w:val="00DB0038"/>
    <w:rsid w:val="00DB1E60"/>
    <w:rsid w:val="00DB1F40"/>
    <w:rsid w:val="00DB304D"/>
    <w:rsid w:val="00DB5097"/>
    <w:rsid w:val="00DB6854"/>
    <w:rsid w:val="00DB689F"/>
    <w:rsid w:val="00DC0C6F"/>
    <w:rsid w:val="00DC15F4"/>
    <w:rsid w:val="00DC1EAE"/>
    <w:rsid w:val="00DC1ED4"/>
    <w:rsid w:val="00DC2B59"/>
    <w:rsid w:val="00DC30B2"/>
    <w:rsid w:val="00DC382E"/>
    <w:rsid w:val="00DC6319"/>
    <w:rsid w:val="00DD078A"/>
    <w:rsid w:val="00DD1171"/>
    <w:rsid w:val="00DD139E"/>
    <w:rsid w:val="00DD1551"/>
    <w:rsid w:val="00DD1FAF"/>
    <w:rsid w:val="00DD2182"/>
    <w:rsid w:val="00DD24CD"/>
    <w:rsid w:val="00DD369F"/>
    <w:rsid w:val="00DD5520"/>
    <w:rsid w:val="00DD76EF"/>
    <w:rsid w:val="00DD7D21"/>
    <w:rsid w:val="00DE0B52"/>
    <w:rsid w:val="00DE0B90"/>
    <w:rsid w:val="00DE138F"/>
    <w:rsid w:val="00DE24DE"/>
    <w:rsid w:val="00DE3483"/>
    <w:rsid w:val="00DE3CDE"/>
    <w:rsid w:val="00DE3E3B"/>
    <w:rsid w:val="00DE49E2"/>
    <w:rsid w:val="00DE5664"/>
    <w:rsid w:val="00DF0CA4"/>
    <w:rsid w:val="00DF0EA3"/>
    <w:rsid w:val="00DF1136"/>
    <w:rsid w:val="00DF11EF"/>
    <w:rsid w:val="00DF2457"/>
    <w:rsid w:val="00DF3748"/>
    <w:rsid w:val="00DF5F3E"/>
    <w:rsid w:val="00DF734A"/>
    <w:rsid w:val="00DF7B1D"/>
    <w:rsid w:val="00E007DD"/>
    <w:rsid w:val="00E0091E"/>
    <w:rsid w:val="00E01307"/>
    <w:rsid w:val="00E02348"/>
    <w:rsid w:val="00E03144"/>
    <w:rsid w:val="00E0365D"/>
    <w:rsid w:val="00E04811"/>
    <w:rsid w:val="00E07090"/>
    <w:rsid w:val="00E1111C"/>
    <w:rsid w:val="00E16B1D"/>
    <w:rsid w:val="00E17082"/>
    <w:rsid w:val="00E20B9A"/>
    <w:rsid w:val="00E226E8"/>
    <w:rsid w:val="00E22D5C"/>
    <w:rsid w:val="00E22DED"/>
    <w:rsid w:val="00E27DDF"/>
    <w:rsid w:val="00E3018C"/>
    <w:rsid w:val="00E3134E"/>
    <w:rsid w:val="00E315BE"/>
    <w:rsid w:val="00E3248F"/>
    <w:rsid w:val="00E342AB"/>
    <w:rsid w:val="00E346B9"/>
    <w:rsid w:val="00E3556F"/>
    <w:rsid w:val="00E367A2"/>
    <w:rsid w:val="00E37806"/>
    <w:rsid w:val="00E37D7D"/>
    <w:rsid w:val="00E40422"/>
    <w:rsid w:val="00E40AFC"/>
    <w:rsid w:val="00E4310E"/>
    <w:rsid w:val="00E4475E"/>
    <w:rsid w:val="00E448D2"/>
    <w:rsid w:val="00E45519"/>
    <w:rsid w:val="00E45A1E"/>
    <w:rsid w:val="00E473BD"/>
    <w:rsid w:val="00E55964"/>
    <w:rsid w:val="00E60624"/>
    <w:rsid w:val="00E60B0A"/>
    <w:rsid w:val="00E61050"/>
    <w:rsid w:val="00E63079"/>
    <w:rsid w:val="00E638DE"/>
    <w:rsid w:val="00E6747D"/>
    <w:rsid w:val="00E703B0"/>
    <w:rsid w:val="00E72080"/>
    <w:rsid w:val="00E737DD"/>
    <w:rsid w:val="00E75A4C"/>
    <w:rsid w:val="00E777A6"/>
    <w:rsid w:val="00E7785B"/>
    <w:rsid w:val="00E807CB"/>
    <w:rsid w:val="00E81459"/>
    <w:rsid w:val="00E81F0C"/>
    <w:rsid w:val="00E8207D"/>
    <w:rsid w:val="00E825C5"/>
    <w:rsid w:val="00E83343"/>
    <w:rsid w:val="00E8360D"/>
    <w:rsid w:val="00E8414C"/>
    <w:rsid w:val="00E841D1"/>
    <w:rsid w:val="00E84DCD"/>
    <w:rsid w:val="00E84F24"/>
    <w:rsid w:val="00E87752"/>
    <w:rsid w:val="00E87F6B"/>
    <w:rsid w:val="00E90120"/>
    <w:rsid w:val="00E92B09"/>
    <w:rsid w:val="00E943E0"/>
    <w:rsid w:val="00EA0749"/>
    <w:rsid w:val="00EA1E1E"/>
    <w:rsid w:val="00EA28E4"/>
    <w:rsid w:val="00EA3493"/>
    <w:rsid w:val="00EA3861"/>
    <w:rsid w:val="00EA45EC"/>
    <w:rsid w:val="00EA51C8"/>
    <w:rsid w:val="00EA5A89"/>
    <w:rsid w:val="00EA65E0"/>
    <w:rsid w:val="00EA69A7"/>
    <w:rsid w:val="00EA7019"/>
    <w:rsid w:val="00EA73DE"/>
    <w:rsid w:val="00EA7802"/>
    <w:rsid w:val="00EB0713"/>
    <w:rsid w:val="00EB0AF4"/>
    <w:rsid w:val="00EB0DB3"/>
    <w:rsid w:val="00EB1E75"/>
    <w:rsid w:val="00EB250F"/>
    <w:rsid w:val="00EB3521"/>
    <w:rsid w:val="00EB3D5E"/>
    <w:rsid w:val="00EB5163"/>
    <w:rsid w:val="00EB525F"/>
    <w:rsid w:val="00EB7837"/>
    <w:rsid w:val="00EC05E8"/>
    <w:rsid w:val="00EC0844"/>
    <w:rsid w:val="00EC33B8"/>
    <w:rsid w:val="00EC35CB"/>
    <w:rsid w:val="00EC41D1"/>
    <w:rsid w:val="00EC5756"/>
    <w:rsid w:val="00EC655B"/>
    <w:rsid w:val="00EC6E95"/>
    <w:rsid w:val="00EC7349"/>
    <w:rsid w:val="00EC7A21"/>
    <w:rsid w:val="00ED0086"/>
    <w:rsid w:val="00ED06EB"/>
    <w:rsid w:val="00ED218A"/>
    <w:rsid w:val="00ED403D"/>
    <w:rsid w:val="00ED6BAE"/>
    <w:rsid w:val="00ED75BE"/>
    <w:rsid w:val="00EE1763"/>
    <w:rsid w:val="00EE3A9E"/>
    <w:rsid w:val="00EE419E"/>
    <w:rsid w:val="00EE6F52"/>
    <w:rsid w:val="00EE7216"/>
    <w:rsid w:val="00EE7537"/>
    <w:rsid w:val="00EE7966"/>
    <w:rsid w:val="00EF1477"/>
    <w:rsid w:val="00EF1752"/>
    <w:rsid w:val="00EF1EEE"/>
    <w:rsid w:val="00EF20CF"/>
    <w:rsid w:val="00EF3A1E"/>
    <w:rsid w:val="00EF3A26"/>
    <w:rsid w:val="00EF464F"/>
    <w:rsid w:val="00EF48A6"/>
    <w:rsid w:val="00EF505C"/>
    <w:rsid w:val="00EF645B"/>
    <w:rsid w:val="00EF6C9B"/>
    <w:rsid w:val="00EF75ED"/>
    <w:rsid w:val="00EF7C8D"/>
    <w:rsid w:val="00EF7D18"/>
    <w:rsid w:val="00F01AFF"/>
    <w:rsid w:val="00F04A00"/>
    <w:rsid w:val="00F04B32"/>
    <w:rsid w:val="00F1402E"/>
    <w:rsid w:val="00F14D33"/>
    <w:rsid w:val="00F14DD0"/>
    <w:rsid w:val="00F1685B"/>
    <w:rsid w:val="00F1746C"/>
    <w:rsid w:val="00F20CE9"/>
    <w:rsid w:val="00F20FBD"/>
    <w:rsid w:val="00F21132"/>
    <w:rsid w:val="00F2132D"/>
    <w:rsid w:val="00F22706"/>
    <w:rsid w:val="00F22EAD"/>
    <w:rsid w:val="00F231D2"/>
    <w:rsid w:val="00F243F1"/>
    <w:rsid w:val="00F25A6D"/>
    <w:rsid w:val="00F263AD"/>
    <w:rsid w:val="00F2680F"/>
    <w:rsid w:val="00F325BB"/>
    <w:rsid w:val="00F33212"/>
    <w:rsid w:val="00F34DE2"/>
    <w:rsid w:val="00F35311"/>
    <w:rsid w:val="00F360C4"/>
    <w:rsid w:val="00F3796D"/>
    <w:rsid w:val="00F40F7F"/>
    <w:rsid w:val="00F43A08"/>
    <w:rsid w:val="00F44EB9"/>
    <w:rsid w:val="00F452D8"/>
    <w:rsid w:val="00F45B6C"/>
    <w:rsid w:val="00F46CBE"/>
    <w:rsid w:val="00F46CD5"/>
    <w:rsid w:val="00F47266"/>
    <w:rsid w:val="00F47646"/>
    <w:rsid w:val="00F50E4A"/>
    <w:rsid w:val="00F5379B"/>
    <w:rsid w:val="00F53FF5"/>
    <w:rsid w:val="00F541AA"/>
    <w:rsid w:val="00F55284"/>
    <w:rsid w:val="00F562A2"/>
    <w:rsid w:val="00F5773C"/>
    <w:rsid w:val="00F60A28"/>
    <w:rsid w:val="00F61F6A"/>
    <w:rsid w:val="00F634CD"/>
    <w:rsid w:val="00F6501B"/>
    <w:rsid w:val="00F652FF"/>
    <w:rsid w:val="00F6684C"/>
    <w:rsid w:val="00F71724"/>
    <w:rsid w:val="00F746E1"/>
    <w:rsid w:val="00F74CA9"/>
    <w:rsid w:val="00F76656"/>
    <w:rsid w:val="00F76C40"/>
    <w:rsid w:val="00F775ED"/>
    <w:rsid w:val="00F7775C"/>
    <w:rsid w:val="00F80DB6"/>
    <w:rsid w:val="00F8213A"/>
    <w:rsid w:val="00F82416"/>
    <w:rsid w:val="00F82491"/>
    <w:rsid w:val="00F8274C"/>
    <w:rsid w:val="00F827AD"/>
    <w:rsid w:val="00F82F26"/>
    <w:rsid w:val="00F82F45"/>
    <w:rsid w:val="00F83EE8"/>
    <w:rsid w:val="00F86BD0"/>
    <w:rsid w:val="00F8779D"/>
    <w:rsid w:val="00F90F81"/>
    <w:rsid w:val="00F91005"/>
    <w:rsid w:val="00F93319"/>
    <w:rsid w:val="00F933B2"/>
    <w:rsid w:val="00F9502C"/>
    <w:rsid w:val="00F969E2"/>
    <w:rsid w:val="00F971AB"/>
    <w:rsid w:val="00F97AB9"/>
    <w:rsid w:val="00FA0BF8"/>
    <w:rsid w:val="00FA1136"/>
    <w:rsid w:val="00FA68A6"/>
    <w:rsid w:val="00FA70E8"/>
    <w:rsid w:val="00FB34AC"/>
    <w:rsid w:val="00FB4015"/>
    <w:rsid w:val="00FB730A"/>
    <w:rsid w:val="00FB73CC"/>
    <w:rsid w:val="00FC0A43"/>
    <w:rsid w:val="00FC14A7"/>
    <w:rsid w:val="00FC175F"/>
    <w:rsid w:val="00FC1B2F"/>
    <w:rsid w:val="00FC441B"/>
    <w:rsid w:val="00FC729E"/>
    <w:rsid w:val="00FD1603"/>
    <w:rsid w:val="00FD1FFC"/>
    <w:rsid w:val="00FD4292"/>
    <w:rsid w:val="00FD477B"/>
    <w:rsid w:val="00FD59D8"/>
    <w:rsid w:val="00FD5B8E"/>
    <w:rsid w:val="00FD62C9"/>
    <w:rsid w:val="00FD78DE"/>
    <w:rsid w:val="00FE16D4"/>
    <w:rsid w:val="00FE3043"/>
    <w:rsid w:val="00FE30FC"/>
    <w:rsid w:val="00FE405A"/>
    <w:rsid w:val="00FE45AE"/>
    <w:rsid w:val="00FE523F"/>
    <w:rsid w:val="00FE66EC"/>
    <w:rsid w:val="00FE77FC"/>
    <w:rsid w:val="00FF189E"/>
    <w:rsid w:val="00FF1ACE"/>
    <w:rsid w:val="00FF247A"/>
    <w:rsid w:val="00FF3BAF"/>
    <w:rsid w:val="00FF5928"/>
    <w:rsid w:val="00FF602B"/>
    <w:rsid w:val="00FF61B7"/>
    <w:rsid w:val="00FF6331"/>
    <w:rsid w:val="00FF68C7"/>
    <w:rsid w:val="00FF7A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8EE555"/>
  <w14:defaultImageDpi w14:val="300"/>
  <w15:docId w15:val="{E4EB0446-5678-48A6-B8E2-AF11FBFE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75870"/>
    <w:pPr>
      <w:spacing w:before="120" w:line="276" w:lineRule="auto"/>
      <w:jc w:val="both"/>
    </w:pPr>
    <w:rPr>
      <w:rFonts w:ascii="Calibri" w:eastAsia="Times New Roman" w:hAnsi="Calibri" w:cs="Times New Roman"/>
      <w:sz w:val="22"/>
    </w:rPr>
  </w:style>
  <w:style w:type="paragraph" w:styleId="Heading1">
    <w:name w:val="heading 1"/>
    <w:basedOn w:val="Normal"/>
    <w:next w:val="Normal"/>
    <w:link w:val="Heading1Char"/>
    <w:uiPriority w:val="9"/>
    <w:qFormat/>
    <w:rsid w:val="00C86485"/>
    <w:pPr>
      <w:keepNext/>
      <w:keepLines/>
      <w:numPr>
        <w:numId w:val="4"/>
      </w:numPr>
      <w:spacing w:before="240"/>
      <w:outlineLvl w:val="0"/>
    </w:pPr>
    <w:rPr>
      <w:rFonts w:asciiTheme="majorHAnsi" w:eastAsiaTheme="majorEastAsia" w:hAnsiTheme="majorHAnsi" w:cstheme="majorBidi"/>
      <w:color w:val="0B5294" w:themeColor="accent1" w:themeShade="BF"/>
      <w:sz w:val="32"/>
      <w:szCs w:val="32"/>
    </w:rPr>
  </w:style>
  <w:style w:type="paragraph" w:styleId="Heading2">
    <w:name w:val="heading 2"/>
    <w:basedOn w:val="Normal"/>
    <w:next w:val="Normal"/>
    <w:link w:val="Heading2Char"/>
    <w:uiPriority w:val="9"/>
    <w:unhideWhenUsed/>
    <w:qFormat/>
    <w:rsid w:val="00C86485"/>
    <w:pPr>
      <w:keepNext/>
      <w:keepLines/>
      <w:numPr>
        <w:ilvl w:val="1"/>
        <w:numId w:val="4"/>
      </w:numPr>
      <w:spacing w:before="200"/>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nhideWhenUsed/>
    <w:qFormat/>
    <w:rsid w:val="00DA2076"/>
    <w:pPr>
      <w:keepNext/>
      <w:keepLines/>
      <w:numPr>
        <w:ilvl w:val="2"/>
        <w:numId w:val="4"/>
      </w:numPr>
      <w:spacing w:before="40"/>
      <w:outlineLvl w:val="2"/>
    </w:pPr>
    <w:rPr>
      <w:rFonts w:asciiTheme="majorHAnsi" w:eastAsiaTheme="majorEastAsia" w:hAnsiTheme="majorHAnsi" w:cstheme="majorBidi"/>
      <w:color w:val="073662" w:themeColor="accent1" w:themeShade="7F"/>
    </w:rPr>
  </w:style>
  <w:style w:type="paragraph" w:styleId="Heading4">
    <w:name w:val="heading 4"/>
    <w:basedOn w:val="Normal"/>
    <w:next w:val="Normal"/>
    <w:link w:val="Heading4Char"/>
    <w:unhideWhenUsed/>
    <w:qFormat/>
    <w:rsid w:val="00DA2076"/>
    <w:pPr>
      <w:keepNext/>
      <w:keepLines/>
      <w:numPr>
        <w:ilvl w:val="3"/>
        <w:numId w:val="4"/>
      </w:numPr>
      <w:spacing w:before="40"/>
      <w:outlineLvl w:val="3"/>
    </w:pPr>
    <w:rPr>
      <w:rFonts w:asciiTheme="majorHAnsi" w:eastAsiaTheme="majorEastAsia" w:hAnsiTheme="majorHAnsi" w:cstheme="majorBidi"/>
      <w:i/>
      <w:iCs/>
      <w:color w:val="0B5294" w:themeColor="accent1" w:themeShade="BF"/>
    </w:rPr>
  </w:style>
  <w:style w:type="paragraph" w:styleId="Heading5">
    <w:name w:val="heading 5"/>
    <w:basedOn w:val="Normal"/>
    <w:next w:val="Normal"/>
    <w:link w:val="Heading5Char"/>
    <w:uiPriority w:val="9"/>
    <w:semiHidden/>
    <w:unhideWhenUsed/>
    <w:qFormat/>
    <w:rsid w:val="00DA2076"/>
    <w:pPr>
      <w:keepNext/>
      <w:keepLines/>
      <w:numPr>
        <w:ilvl w:val="4"/>
        <w:numId w:val="4"/>
      </w:numPr>
      <w:spacing w:before="40"/>
      <w:outlineLvl w:val="4"/>
    </w:pPr>
    <w:rPr>
      <w:rFonts w:asciiTheme="majorHAnsi" w:eastAsiaTheme="majorEastAsia" w:hAnsiTheme="majorHAnsi" w:cstheme="majorBidi"/>
      <w:color w:val="0B5294" w:themeColor="accent1" w:themeShade="BF"/>
    </w:rPr>
  </w:style>
  <w:style w:type="paragraph" w:styleId="Heading6">
    <w:name w:val="heading 6"/>
    <w:basedOn w:val="Normal"/>
    <w:next w:val="Normal"/>
    <w:link w:val="Heading6Char"/>
    <w:uiPriority w:val="9"/>
    <w:semiHidden/>
    <w:unhideWhenUsed/>
    <w:qFormat/>
    <w:rsid w:val="00DA2076"/>
    <w:pPr>
      <w:keepNext/>
      <w:keepLines/>
      <w:numPr>
        <w:ilvl w:val="5"/>
        <w:numId w:val="4"/>
      </w:numPr>
      <w:spacing w:before="40"/>
      <w:outlineLvl w:val="5"/>
    </w:pPr>
    <w:rPr>
      <w:rFonts w:asciiTheme="majorHAnsi" w:eastAsiaTheme="majorEastAsia" w:hAnsiTheme="majorHAnsi" w:cstheme="majorBidi"/>
      <w:color w:val="073662" w:themeColor="accent1" w:themeShade="7F"/>
    </w:rPr>
  </w:style>
  <w:style w:type="paragraph" w:styleId="Heading7">
    <w:name w:val="heading 7"/>
    <w:basedOn w:val="Normal"/>
    <w:next w:val="Normal"/>
    <w:link w:val="Heading7Char"/>
    <w:uiPriority w:val="9"/>
    <w:semiHidden/>
    <w:unhideWhenUsed/>
    <w:qFormat/>
    <w:rsid w:val="00DA2076"/>
    <w:pPr>
      <w:keepNext/>
      <w:keepLines/>
      <w:numPr>
        <w:ilvl w:val="6"/>
        <w:numId w:val="4"/>
      </w:numPr>
      <w:spacing w:before="40"/>
      <w:outlineLvl w:val="6"/>
    </w:pPr>
    <w:rPr>
      <w:rFonts w:asciiTheme="majorHAnsi" w:eastAsiaTheme="majorEastAsia" w:hAnsiTheme="majorHAnsi" w:cstheme="majorBidi"/>
      <w:i/>
      <w:iCs/>
      <w:color w:val="073662" w:themeColor="accent1" w:themeShade="7F"/>
    </w:rPr>
  </w:style>
  <w:style w:type="paragraph" w:styleId="Heading8">
    <w:name w:val="heading 8"/>
    <w:basedOn w:val="Normal"/>
    <w:next w:val="Normal"/>
    <w:link w:val="Heading8Char"/>
    <w:uiPriority w:val="9"/>
    <w:semiHidden/>
    <w:unhideWhenUsed/>
    <w:qFormat/>
    <w:rsid w:val="00DA2076"/>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DA2076"/>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Normal 1,List Paragraph 1,Akapit z listą BS,Bullets,List Paragraph1,Bullet1,NumberedParas,Dot pt,F5 List Paragraph,List Paragraph Char Char Char,Indicator Text,Numbered Para 1,Bullet 1,Bullet Points"/>
    <w:basedOn w:val="Normal"/>
    <w:link w:val="ListParagraphChar"/>
    <w:uiPriority w:val="34"/>
    <w:qFormat/>
    <w:rsid w:val="00A94670"/>
    <w:pPr>
      <w:ind w:left="720"/>
      <w:contextualSpacing/>
    </w:pPr>
  </w:style>
  <w:style w:type="paragraph" w:styleId="NormalWeb">
    <w:name w:val="Normal (Web)"/>
    <w:basedOn w:val="Normal"/>
    <w:uiPriority w:val="99"/>
    <w:unhideWhenUsed/>
    <w:rsid w:val="00A94670"/>
    <w:pPr>
      <w:spacing w:before="100" w:beforeAutospacing="1" w:after="100" w:afterAutospacing="1"/>
    </w:pPr>
    <w:rPr>
      <w:rFonts w:ascii="Times" w:hAnsi="Times"/>
      <w:sz w:val="20"/>
      <w:szCs w:val="20"/>
    </w:rPr>
  </w:style>
  <w:style w:type="character" w:customStyle="1" w:styleId="Heading2Char">
    <w:name w:val="Heading 2 Char"/>
    <w:basedOn w:val="DefaultParagraphFont"/>
    <w:link w:val="Heading2"/>
    <w:uiPriority w:val="9"/>
    <w:rsid w:val="00C86485"/>
    <w:rPr>
      <w:rFonts w:asciiTheme="majorHAnsi" w:eastAsiaTheme="majorEastAsia" w:hAnsiTheme="majorHAnsi" w:cstheme="majorBidi"/>
      <w:b/>
      <w:bCs/>
      <w:sz w:val="22"/>
      <w:szCs w:val="26"/>
    </w:rPr>
  </w:style>
  <w:style w:type="character" w:customStyle="1" w:styleId="tlid-translation">
    <w:name w:val="tlid-translation"/>
    <w:basedOn w:val="DefaultParagraphFont"/>
    <w:rsid w:val="00C86485"/>
  </w:style>
  <w:style w:type="character" w:customStyle="1" w:styleId="Heading1Char">
    <w:name w:val="Heading 1 Char"/>
    <w:basedOn w:val="DefaultParagraphFont"/>
    <w:link w:val="Heading1"/>
    <w:uiPriority w:val="9"/>
    <w:rsid w:val="00C86485"/>
    <w:rPr>
      <w:rFonts w:asciiTheme="majorHAnsi" w:eastAsiaTheme="majorEastAsia" w:hAnsiTheme="majorHAnsi" w:cstheme="majorBidi"/>
      <w:color w:val="0B5294" w:themeColor="accent1" w:themeShade="BF"/>
      <w:sz w:val="32"/>
      <w:szCs w:val="32"/>
    </w:rPr>
  </w:style>
  <w:style w:type="character" w:customStyle="1" w:styleId="ListParagraphChar">
    <w:name w:val="List Paragraph Char"/>
    <w:aliases w:val="List Paragraph (numbered (a)) Char,Normal 1 Char,List Paragraph 1 Char,Akapit z listą BS Char,Bullets Char,List Paragraph1 Char,Bullet1 Char,NumberedParas Char,Dot pt Char,F5 List Paragraph Char,List Paragraph Char Char Char Char"/>
    <w:link w:val="ListParagraph"/>
    <w:uiPriority w:val="34"/>
    <w:qFormat/>
    <w:locked/>
    <w:rsid w:val="00C86485"/>
  </w:style>
  <w:style w:type="character" w:customStyle="1" w:styleId="MessageHeaderLabel">
    <w:name w:val="Message Header Label"/>
    <w:uiPriority w:val="99"/>
    <w:rsid w:val="00C86485"/>
    <w:rPr>
      <w:rFonts w:ascii="Arial Black" w:hAnsi="Arial Black" w:cs="Arial Black"/>
      <w:spacing w:val="-10"/>
      <w:sz w:val="18"/>
      <w:szCs w:val="18"/>
    </w:rPr>
  </w:style>
  <w:style w:type="paragraph" w:customStyle="1" w:styleId="Normal1">
    <w:name w:val="Normal1"/>
    <w:basedOn w:val="Normal"/>
    <w:rsid w:val="00C86485"/>
    <w:rPr>
      <w:rFonts w:ascii="Times New Roman" w:eastAsiaTheme="minorHAnsi" w:hAnsi="Times New Roman"/>
    </w:rPr>
  </w:style>
  <w:style w:type="paragraph" w:styleId="Quote">
    <w:name w:val="Quote"/>
    <w:basedOn w:val="Normal"/>
    <w:next w:val="Normal"/>
    <w:link w:val="QuoteChar"/>
    <w:uiPriority w:val="29"/>
    <w:qFormat/>
    <w:rsid w:val="00C86485"/>
    <w:rPr>
      <w:rFonts w:ascii="Times New Roman" w:hAnsi="Times New Roman"/>
      <w:i/>
      <w:iCs/>
      <w:color w:val="000000" w:themeColor="text1"/>
    </w:rPr>
  </w:style>
  <w:style w:type="character" w:customStyle="1" w:styleId="QuoteChar">
    <w:name w:val="Quote Char"/>
    <w:basedOn w:val="DefaultParagraphFont"/>
    <w:link w:val="Quote"/>
    <w:uiPriority w:val="29"/>
    <w:rsid w:val="00C86485"/>
    <w:rPr>
      <w:rFonts w:ascii="Times New Roman" w:eastAsia="Times New Roman" w:hAnsi="Times New Roman" w:cs="Times New Roman"/>
      <w:i/>
      <w:iCs/>
      <w:color w:val="000000" w:themeColor="text1"/>
    </w:rPr>
  </w:style>
  <w:style w:type="character" w:customStyle="1" w:styleId="Heading3Char">
    <w:name w:val="Heading 3 Char"/>
    <w:basedOn w:val="DefaultParagraphFont"/>
    <w:link w:val="Heading3"/>
    <w:rsid w:val="00DA2076"/>
    <w:rPr>
      <w:rFonts w:asciiTheme="majorHAnsi" w:eastAsiaTheme="majorEastAsia" w:hAnsiTheme="majorHAnsi" w:cstheme="majorBidi"/>
      <w:color w:val="073662" w:themeColor="accent1" w:themeShade="7F"/>
      <w:sz w:val="22"/>
    </w:rPr>
  </w:style>
  <w:style w:type="character" w:customStyle="1" w:styleId="Heading4Char">
    <w:name w:val="Heading 4 Char"/>
    <w:basedOn w:val="DefaultParagraphFont"/>
    <w:link w:val="Heading4"/>
    <w:rsid w:val="00DA2076"/>
    <w:rPr>
      <w:rFonts w:asciiTheme="majorHAnsi" w:eastAsiaTheme="majorEastAsia" w:hAnsiTheme="majorHAnsi" w:cstheme="majorBidi"/>
      <w:i/>
      <w:iCs/>
      <w:color w:val="0B5294" w:themeColor="accent1" w:themeShade="BF"/>
      <w:sz w:val="22"/>
    </w:rPr>
  </w:style>
  <w:style w:type="character" w:customStyle="1" w:styleId="Heading5Char">
    <w:name w:val="Heading 5 Char"/>
    <w:basedOn w:val="DefaultParagraphFont"/>
    <w:link w:val="Heading5"/>
    <w:uiPriority w:val="9"/>
    <w:semiHidden/>
    <w:rsid w:val="00DA2076"/>
    <w:rPr>
      <w:rFonts w:asciiTheme="majorHAnsi" w:eastAsiaTheme="majorEastAsia" w:hAnsiTheme="majorHAnsi" w:cstheme="majorBidi"/>
      <w:color w:val="0B5294" w:themeColor="accent1" w:themeShade="BF"/>
      <w:sz w:val="22"/>
    </w:rPr>
  </w:style>
  <w:style w:type="character" w:customStyle="1" w:styleId="Heading6Char">
    <w:name w:val="Heading 6 Char"/>
    <w:basedOn w:val="DefaultParagraphFont"/>
    <w:link w:val="Heading6"/>
    <w:uiPriority w:val="9"/>
    <w:semiHidden/>
    <w:rsid w:val="00DA2076"/>
    <w:rPr>
      <w:rFonts w:asciiTheme="majorHAnsi" w:eastAsiaTheme="majorEastAsia" w:hAnsiTheme="majorHAnsi" w:cstheme="majorBidi"/>
      <w:color w:val="073662" w:themeColor="accent1" w:themeShade="7F"/>
      <w:sz w:val="22"/>
    </w:rPr>
  </w:style>
  <w:style w:type="character" w:customStyle="1" w:styleId="Heading7Char">
    <w:name w:val="Heading 7 Char"/>
    <w:basedOn w:val="DefaultParagraphFont"/>
    <w:link w:val="Heading7"/>
    <w:uiPriority w:val="9"/>
    <w:semiHidden/>
    <w:rsid w:val="00DA2076"/>
    <w:rPr>
      <w:rFonts w:asciiTheme="majorHAnsi" w:eastAsiaTheme="majorEastAsia" w:hAnsiTheme="majorHAnsi" w:cstheme="majorBidi"/>
      <w:i/>
      <w:iCs/>
      <w:color w:val="073662" w:themeColor="accent1" w:themeShade="7F"/>
      <w:sz w:val="22"/>
    </w:rPr>
  </w:style>
  <w:style w:type="character" w:customStyle="1" w:styleId="Heading8Char">
    <w:name w:val="Heading 8 Char"/>
    <w:basedOn w:val="DefaultParagraphFont"/>
    <w:link w:val="Heading8"/>
    <w:uiPriority w:val="9"/>
    <w:semiHidden/>
    <w:rsid w:val="00DA20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DA2076"/>
    <w:rPr>
      <w:rFonts w:asciiTheme="majorHAnsi" w:eastAsiaTheme="majorEastAsia" w:hAnsiTheme="majorHAnsi" w:cstheme="majorBidi"/>
      <w:i/>
      <w:iCs/>
      <w:color w:val="272727" w:themeColor="text1" w:themeTint="D8"/>
      <w:sz w:val="21"/>
      <w:szCs w:val="21"/>
    </w:rPr>
  </w:style>
  <w:style w:type="paragraph" w:styleId="FootnoteText">
    <w:name w:val="footnote text"/>
    <w:aliases w:val="single space,fn,FOOTNOTES,Fußnotentext Char,ADB,Footnote text,ft,Footnote Text Char1,Footnote Text Char2 Char,Footnote Text Char1 Char Char,Footnote Text Char2 Char Char Char,Footnote Text Char1 Char,Footn,footnote text,Fußnote,Footnote,FA"/>
    <w:basedOn w:val="Normal"/>
    <w:link w:val="FootnoteTextChar"/>
    <w:uiPriority w:val="99"/>
    <w:unhideWhenUsed/>
    <w:qFormat/>
    <w:rsid w:val="00BC6AC3"/>
    <w:rPr>
      <w:sz w:val="20"/>
      <w:szCs w:val="20"/>
    </w:rPr>
  </w:style>
  <w:style w:type="character" w:customStyle="1" w:styleId="FootnoteTextChar">
    <w:name w:val="Footnote Text Char"/>
    <w:aliases w:val="single space Char,fn Char,FOOTNOTES Char,Fußnotentext Char Char,ADB Char,Footnote text Char,ft Char,Footnote Text Char1 Char1,Footnote Text Char2 Char Char,Footnote Text Char1 Char Char Char,Footnote Text Char2 Char Char Char Char"/>
    <w:basedOn w:val="DefaultParagraphFont"/>
    <w:link w:val="FootnoteText"/>
    <w:uiPriority w:val="99"/>
    <w:rsid w:val="00BC6AC3"/>
    <w:rPr>
      <w:sz w:val="20"/>
      <w:szCs w:val="20"/>
    </w:rPr>
  </w:style>
  <w:style w:type="character" w:styleId="FootnoteReference">
    <w:name w:val="footnote reference"/>
    <w:aliases w:val="ftref,BVI fnr,16 Point,Superscript 6 Point,fr,Footnote symbol,Footnote Reference Arial,nota pié di pagina,Footnote reference number,Times 10 Point,Exposant 3 Point,EN Footnote Reference,note TESI,Footnote Reference Char Char Char,R"/>
    <w:basedOn w:val="DefaultParagraphFont"/>
    <w:link w:val="BVIfnrCarCarCarCarChar"/>
    <w:uiPriority w:val="99"/>
    <w:unhideWhenUsed/>
    <w:qFormat/>
    <w:rsid w:val="00BC6AC3"/>
    <w:rPr>
      <w:vertAlign w:val="superscript"/>
    </w:rPr>
  </w:style>
  <w:style w:type="paragraph" w:styleId="Caption">
    <w:name w:val="caption"/>
    <w:basedOn w:val="Normal"/>
    <w:next w:val="Normal"/>
    <w:uiPriority w:val="35"/>
    <w:unhideWhenUsed/>
    <w:qFormat/>
    <w:rsid w:val="0033539C"/>
    <w:pPr>
      <w:spacing w:after="200"/>
    </w:pPr>
    <w:rPr>
      <w:i/>
      <w:iCs/>
      <w:color w:val="17406D" w:themeColor="text2"/>
      <w:sz w:val="18"/>
      <w:szCs w:val="18"/>
    </w:rPr>
  </w:style>
  <w:style w:type="paragraph" w:styleId="BalloonText">
    <w:name w:val="Balloon Text"/>
    <w:basedOn w:val="Normal"/>
    <w:link w:val="BalloonTextChar"/>
    <w:uiPriority w:val="99"/>
    <w:unhideWhenUsed/>
    <w:rsid w:val="00E87752"/>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E87752"/>
    <w:rPr>
      <w:rFonts w:ascii="Lucida Grande" w:hAnsi="Lucida Grande" w:cs="Lucida Grande"/>
      <w:sz w:val="18"/>
      <w:szCs w:val="18"/>
    </w:rPr>
  </w:style>
  <w:style w:type="table" w:styleId="TableGrid">
    <w:name w:val="Table Grid"/>
    <w:basedOn w:val="TableNormal"/>
    <w:uiPriority w:val="59"/>
    <w:rsid w:val="00865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87591"/>
    <w:rPr>
      <w:sz w:val="16"/>
      <w:szCs w:val="16"/>
    </w:rPr>
  </w:style>
  <w:style w:type="paragraph" w:styleId="CommentText">
    <w:name w:val="annotation text"/>
    <w:basedOn w:val="Normal"/>
    <w:link w:val="CommentTextChar"/>
    <w:uiPriority w:val="99"/>
    <w:unhideWhenUsed/>
    <w:rsid w:val="00787591"/>
    <w:rPr>
      <w:sz w:val="20"/>
      <w:szCs w:val="20"/>
    </w:rPr>
  </w:style>
  <w:style w:type="character" w:customStyle="1" w:styleId="CommentTextChar">
    <w:name w:val="Comment Text Char"/>
    <w:basedOn w:val="DefaultParagraphFont"/>
    <w:link w:val="CommentText"/>
    <w:uiPriority w:val="99"/>
    <w:rsid w:val="00787591"/>
    <w:rPr>
      <w:sz w:val="20"/>
      <w:szCs w:val="20"/>
    </w:rPr>
  </w:style>
  <w:style w:type="paragraph" w:styleId="CommentSubject">
    <w:name w:val="annotation subject"/>
    <w:basedOn w:val="CommentText"/>
    <w:next w:val="CommentText"/>
    <w:link w:val="CommentSubjectChar"/>
    <w:uiPriority w:val="99"/>
    <w:semiHidden/>
    <w:unhideWhenUsed/>
    <w:rsid w:val="00787591"/>
    <w:rPr>
      <w:b/>
      <w:bCs/>
    </w:rPr>
  </w:style>
  <w:style w:type="character" w:customStyle="1" w:styleId="CommentSubjectChar">
    <w:name w:val="Comment Subject Char"/>
    <w:basedOn w:val="CommentTextChar"/>
    <w:link w:val="CommentSubject"/>
    <w:uiPriority w:val="99"/>
    <w:semiHidden/>
    <w:rsid w:val="00787591"/>
    <w:rPr>
      <w:b/>
      <w:bCs/>
      <w:sz w:val="20"/>
      <w:szCs w:val="20"/>
    </w:rPr>
  </w:style>
  <w:style w:type="table" w:customStyle="1" w:styleId="GridTable4-Accent11">
    <w:name w:val="Grid Table 4 - Accent 11"/>
    <w:basedOn w:val="TableNormal"/>
    <w:uiPriority w:val="49"/>
    <w:rsid w:val="0035253D"/>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character" w:styleId="Hyperlink">
    <w:name w:val="Hyperlink"/>
    <w:basedOn w:val="DefaultParagraphFont"/>
    <w:uiPriority w:val="99"/>
    <w:unhideWhenUsed/>
    <w:rsid w:val="002350D2"/>
    <w:rPr>
      <w:color w:val="F49100" w:themeColor="hyperlink"/>
      <w:u w:val="single"/>
    </w:rPr>
  </w:style>
  <w:style w:type="table" w:customStyle="1" w:styleId="ListTable3-Accent51">
    <w:name w:val="List Table 3 - Accent 51"/>
    <w:basedOn w:val="TableNormal"/>
    <w:next w:val="ListTable3-Accent52"/>
    <w:uiPriority w:val="48"/>
    <w:rsid w:val="00DC2B59"/>
    <w:rPr>
      <w:rFonts w:ascii="Times New Roman" w:eastAsiaTheme="minorHAnsi" w:hAnsi="Times New Roman" w:cs="Times New Roman"/>
      <w:sz w:val="20"/>
      <w:szCs w:val="20"/>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ListTable3-Accent52">
    <w:name w:val="List Table 3 - Accent 52"/>
    <w:basedOn w:val="TableNormal"/>
    <w:uiPriority w:val="48"/>
    <w:rsid w:val="00DC2B59"/>
    <w:tblPr>
      <w:tblStyleRowBandSize w:val="1"/>
      <w:tblStyleColBandSize w:val="1"/>
      <w:tblBorders>
        <w:top w:val="single" w:sz="4" w:space="0" w:color="7CCA62" w:themeColor="accent5"/>
        <w:left w:val="single" w:sz="4" w:space="0" w:color="7CCA62" w:themeColor="accent5"/>
        <w:bottom w:val="single" w:sz="4" w:space="0" w:color="7CCA62" w:themeColor="accent5"/>
        <w:right w:val="single" w:sz="4" w:space="0" w:color="7CCA62" w:themeColor="accent5"/>
      </w:tblBorders>
    </w:tblPr>
    <w:tblStylePr w:type="firstRow">
      <w:rPr>
        <w:b/>
        <w:bCs/>
        <w:color w:val="FFFFFF" w:themeColor="background1"/>
      </w:rPr>
      <w:tblPr/>
      <w:tcPr>
        <w:shd w:val="clear" w:color="auto" w:fill="7CCA62" w:themeFill="accent5"/>
      </w:tcPr>
    </w:tblStylePr>
    <w:tblStylePr w:type="lastRow">
      <w:rPr>
        <w:b/>
        <w:bCs/>
      </w:rPr>
      <w:tblPr/>
      <w:tcPr>
        <w:tcBorders>
          <w:top w:val="double" w:sz="4" w:space="0" w:color="7CCA62"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CCA62" w:themeColor="accent5"/>
          <w:right w:val="single" w:sz="4" w:space="0" w:color="7CCA62" w:themeColor="accent5"/>
        </w:tcBorders>
      </w:tcPr>
    </w:tblStylePr>
    <w:tblStylePr w:type="band1Horz">
      <w:tblPr/>
      <w:tcPr>
        <w:tcBorders>
          <w:top w:val="single" w:sz="4" w:space="0" w:color="7CCA62" w:themeColor="accent5"/>
          <w:bottom w:val="single" w:sz="4" w:space="0" w:color="7CCA62"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CCA62" w:themeColor="accent5"/>
          <w:left w:val="nil"/>
        </w:tcBorders>
      </w:tcPr>
    </w:tblStylePr>
    <w:tblStylePr w:type="swCell">
      <w:tblPr/>
      <w:tcPr>
        <w:tcBorders>
          <w:top w:val="double" w:sz="4" w:space="0" w:color="7CCA62" w:themeColor="accent5"/>
          <w:right w:val="nil"/>
        </w:tcBorders>
      </w:tcPr>
    </w:tblStylePr>
  </w:style>
  <w:style w:type="paragraph" w:styleId="Footer">
    <w:name w:val="footer"/>
    <w:basedOn w:val="Normal"/>
    <w:link w:val="FooterChar"/>
    <w:uiPriority w:val="99"/>
    <w:rsid w:val="00DC2B59"/>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DC2B59"/>
    <w:rPr>
      <w:rFonts w:ascii="Times New Roman" w:eastAsia="Times New Roman" w:hAnsi="Times New Roman" w:cs="Times New Roman"/>
    </w:rPr>
  </w:style>
  <w:style w:type="paragraph" w:customStyle="1" w:styleId="Default">
    <w:name w:val="Default"/>
    <w:rsid w:val="003734A7"/>
    <w:pPr>
      <w:autoSpaceDE w:val="0"/>
      <w:autoSpaceDN w:val="0"/>
      <w:adjustRightInd w:val="0"/>
    </w:pPr>
    <w:rPr>
      <w:rFonts w:ascii="Times New Roman" w:eastAsia="Batang" w:hAnsi="Times New Roman" w:cs="Times New Roman"/>
      <w:color w:val="000000"/>
      <w:lang w:eastAsia="ko-KR"/>
    </w:rPr>
  </w:style>
  <w:style w:type="paragraph" w:styleId="Subtitle">
    <w:name w:val="Subtitle"/>
    <w:basedOn w:val="Normal"/>
    <w:next w:val="Normal"/>
    <w:link w:val="SubtitleChar"/>
    <w:uiPriority w:val="11"/>
    <w:qFormat/>
    <w:rsid w:val="003734A7"/>
    <w:pPr>
      <w:numPr>
        <w:ilvl w:val="1"/>
      </w:numPr>
    </w:pPr>
    <w:rPr>
      <w:rFonts w:ascii="Times New Roman" w:eastAsiaTheme="majorEastAsia" w:hAnsi="Times New Roman" w:cstheme="majorBidi"/>
      <w:i/>
      <w:iCs/>
      <w:spacing w:val="15"/>
    </w:rPr>
  </w:style>
  <w:style w:type="character" w:customStyle="1" w:styleId="SubtitleChar">
    <w:name w:val="Subtitle Char"/>
    <w:basedOn w:val="DefaultParagraphFont"/>
    <w:link w:val="Subtitle"/>
    <w:uiPriority w:val="11"/>
    <w:rsid w:val="003734A7"/>
    <w:rPr>
      <w:rFonts w:ascii="Times New Roman" w:eastAsiaTheme="majorEastAsia" w:hAnsi="Times New Roman" w:cstheme="majorBidi"/>
      <w:i/>
      <w:iCs/>
      <w:spacing w:val="15"/>
    </w:rPr>
  </w:style>
  <w:style w:type="paragraph" w:styleId="Header">
    <w:name w:val="header"/>
    <w:basedOn w:val="Normal"/>
    <w:link w:val="HeaderChar"/>
    <w:uiPriority w:val="99"/>
    <w:rsid w:val="003734A7"/>
    <w:pPr>
      <w:tabs>
        <w:tab w:val="center" w:pos="4680"/>
        <w:tab w:val="right" w:pos="9360"/>
      </w:tabs>
    </w:pPr>
    <w:rPr>
      <w:rFonts w:ascii="Times New Roman" w:hAnsi="Times New Roman"/>
    </w:rPr>
  </w:style>
  <w:style w:type="character" w:customStyle="1" w:styleId="HeaderChar">
    <w:name w:val="Header Char"/>
    <w:basedOn w:val="DefaultParagraphFont"/>
    <w:link w:val="Header"/>
    <w:uiPriority w:val="99"/>
    <w:rsid w:val="003734A7"/>
    <w:rPr>
      <w:rFonts w:ascii="Times New Roman" w:eastAsia="Times New Roman" w:hAnsi="Times New Roman" w:cs="Times New Roman"/>
    </w:rPr>
  </w:style>
  <w:style w:type="paragraph" w:styleId="EndnoteText">
    <w:name w:val="endnote text"/>
    <w:basedOn w:val="Normal"/>
    <w:link w:val="EndnoteTextChar"/>
    <w:rsid w:val="003734A7"/>
    <w:rPr>
      <w:rFonts w:ascii="Times New Roman" w:hAnsi="Times New Roman"/>
      <w:sz w:val="20"/>
      <w:szCs w:val="20"/>
    </w:rPr>
  </w:style>
  <w:style w:type="character" w:customStyle="1" w:styleId="EndnoteTextChar">
    <w:name w:val="Endnote Text Char"/>
    <w:basedOn w:val="DefaultParagraphFont"/>
    <w:link w:val="EndnoteText"/>
    <w:rsid w:val="003734A7"/>
    <w:rPr>
      <w:rFonts w:ascii="Times New Roman" w:eastAsia="Times New Roman" w:hAnsi="Times New Roman" w:cs="Times New Roman"/>
      <w:sz w:val="20"/>
      <w:szCs w:val="20"/>
    </w:rPr>
  </w:style>
  <w:style w:type="character" w:styleId="EndnoteReference">
    <w:name w:val="endnote reference"/>
    <w:basedOn w:val="DefaultParagraphFont"/>
    <w:rsid w:val="003734A7"/>
    <w:rPr>
      <w:vertAlign w:val="superscript"/>
    </w:rPr>
  </w:style>
  <w:style w:type="paragraph" w:styleId="TOCHeading">
    <w:name w:val="TOC Heading"/>
    <w:basedOn w:val="Heading1"/>
    <w:next w:val="Normal"/>
    <w:uiPriority w:val="39"/>
    <w:unhideWhenUsed/>
    <w:qFormat/>
    <w:rsid w:val="003734A7"/>
    <w:pPr>
      <w:numPr>
        <w:numId w:val="0"/>
      </w:numPr>
      <w:spacing w:before="480"/>
      <w:outlineLvl w:val="9"/>
    </w:pPr>
    <w:rPr>
      <w:b/>
      <w:bCs/>
      <w:sz w:val="28"/>
      <w:szCs w:val="28"/>
    </w:rPr>
  </w:style>
  <w:style w:type="paragraph" w:styleId="TOC1">
    <w:name w:val="toc 1"/>
    <w:basedOn w:val="Normal"/>
    <w:next w:val="Normal"/>
    <w:autoRedefine/>
    <w:uiPriority w:val="39"/>
    <w:qFormat/>
    <w:rsid w:val="00FC729E"/>
    <w:pPr>
      <w:tabs>
        <w:tab w:val="right" w:leader="dot" w:pos="480"/>
        <w:tab w:val="right" w:leader="dot" w:pos="9090"/>
        <w:tab w:val="right" w:leader="dot" w:pos="10518"/>
      </w:tabs>
      <w:spacing w:before="0" w:line="240" w:lineRule="auto"/>
    </w:pPr>
    <w:rPr>
      <w:rFonts w:asciiTheme="majorHAnsi" w:hAnsiTheme="majorHAnsi"/>
      <w:b/>
      <w:noProof/>
      <w:color w:val="0070C0"/>
      <w:sz w:val="28"/>
      <w:lang w:val="sq-AL"/>
    </w:rPr>
  </w:style>
  <w:style w:type="paragraph" w:styleId="TOC2">
    <w:name w:val="toc 2"/>
    <w:basedOn w:val="Normal"/>
    <w:next w:val="Normal"/>
    <w:autoRedefine/>
    <w:uiPriority w:val="39"/>
    <w:qFormat/>
    <w:rsid w:val="00C247F9"/>
    <w:pPr>
      <w:tabs>
        <w:tab w:val="left" w:pos="880"/>
        <w:tab w:val="right" w:leader="dot" w:pos="9270"/>
        <w:tab w:val="right" w:leader="dot" w:pos="10518"/>
      </w:tabs>
      <w:spacing w:after="100" w:line="240" w:lineRule="auto"/>
    </w:pPr>
    <w:rPr>
      <w:rFonts w:cs="Calibri"/>
      <w:b/>
      <w:noProof/>
      <w:szCs w:val="22"/>
      <w:lang w:val="sq-AL"/>
    </w:rPr>
  </w:style>
  <w:style w:type="paragraph" w:styleId="TOC3">
    <w:name w:val="toc 3"/>
    <w:basedOn w:val="Normal"/>
    <w:next w:val="Normal"/>
    <w:autoRedefine/>
    <w:uiPriority w:val="39"/>
    <w:qFormat/>
    <w:rsid w:val="001D56FA"/>
    <w:pPr>
      <w:tabs>
        <w:tab w:val="left" w:pos="1320"/>
        <w:tab w:val="left" w:pos="4706"/>
        <w:tab w:val="right" w:leader="dot" w:pos="10520"/>
      </w:tabs>
      <w:spacing w:after="100" w:line="240" w:lineRule="auto"/>
    </w:pPr>
    <w:rPr>
      <w:rFonts w:asciiTheme="majorHAnsi" w:hAnsiTheme="majorHAnsi" w:cs="Calibri"/>
      <w:b/>
      <w:i/>
      <w:noProof/>
      <w:color w:val="0070C0"/>
      <w:sz w:val="20"/>
    </w:rPr>
  </w:style>
  <w:style w:type="paragraph" w:styleId="TOC4">
    <w:name w:val="toc 4"/>
    <w:basedOn w:val="Normal"/>
    <w:next w:val="Normal"/>
    <w:autoRedefine/>
    <w:uiPriority w:val="39"/>
    <w:rsid w:val="003734A7"/>
    <w:pPr>
      <w:spacing w:after="100"/>
      <w:ind w:left="720"/>
    </w:pPr>
    <w:rPr>
      <w:rFonts w:ascii="Times New Roman" w:hAnsi="Times New Roman"/>
    </w:rPr>
  </w:style>
  <w:style w:type="paragraph" w:styleId="NoSpacing">
    <w:name w:val="No Spacing"/>
    <w:uiPriority w:val="1"/>
    <w:qFormat/>
    <w:rsid w:val="003734A7"/>
    <w:rPr>
      <w:rFonts w:eastAsiaTheme="minorHAnsi"/>
      <w:sz w:val="22"/>
      <w:szCs w:val="22"/>
    </w:rPr>
  </w:style>
  <w:style w:type="character" w:customStyle="1" w:styleId="hps">
    <w:name w:val="hps"/>
    <w:basedOn w:val="DefaultParagraphFont"/>
    <w:uiPriority w:val="99"/>
    <w:rsid w:val="003734A7"/>
  </w:style>
  <w:style w:type="table" w:customStyle="1" w:styleId="TableGridLight1">
    <w:name w:val="Table Grid Light1"/>
    <w:basedOn w:val="TableNormal"/>
    <w:uiPriority w:val="40"/>
    <w:rsid w:val="003734A7"/>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3734A7"/>
    <w:pPr>
      <w:pBdr>
        <w:top w:val="nil"/>
        <w:left w:val="nil"/>
        <w:bottom w:val="single" w:sz="8" w:space="4" w:color="0F6FC6" w:themeColor="accent1"/>
        <w:right w:val="nil"/>
        <w:between w:val="nil"/>
        <w:bar w:val="nil"/>
      </w:pBdr>
      <w:spacing w:after="300"/>
      <w:contextualSpacing/>
    </w:pPr>
    <w:rPr>
      <w:rFonts w:asciiTheme="majorHAnsi" w:eastAsiaTheme="majorEastAsia" w:hAnsiTheme="majorHAnsi" w:cstheme="majorBidi"/>
      <w:color w:val="112F51" w:themeColor="text2" w:themeShade="BF"/>
      <w:spacing w:val="5"/>
      <w:kern w:val="28"/>
      <w:sz w:val="52"/>
      <w:szCs w:val="52"/>
      <w:bdr w:val="nil"/>
      <w:lang w:val="hr-HR"/>
    </w:rPr>
  </w:style>
  <w:style w:type="character" w:customStyle="1" w:styleId="TitleChar">
    <w:name w:val="Title Char"/>
    <w:basedOn w:val="DefaultParagraphFont"/>
    <w:link w:val="Title"/>
    <w:uiPriority w:val="10"/>
    <w:rsid w:val="003734A7"/>
    <w:rPr>
      <w:rFonts w:asciiTheme="majorHAnsi" w:eastAsiaTheme="majorEastAsia" w:hAnsiTheme="majorHAnsi" w:cstheme="majorBidi"/>
      <w:color w:val="112F51" w:themeColor="text2" w:themeShade="BF"/>
      <w:spacing w:val="5"/>
      <w:kern w:val="28"/>
      <w:sz w:val="52"/>
      <w:szCs w:val="52"/>
      <w:bdr w:val="nil"/>
      <w:lang w:val="hr-HR"/>
    </w:rPr>
  </w:style>
  <w:style w:type="paragraph" w:styleId="TableofFigures">
    <w:name w:val="table of figures"/>
    <w:basedOn w:val="Normal"/>
    <w:next w:val="Normal"/>
    <w:uiPriority w:val="99"/>
    <w:unhideWhenUsed/>
    <w:rsid w:val="003734A7"/>
    <w:rPr>
      <w:rFonts w:ascii="Times New Roman" w:hAnsi="Times New Roman"/>
    </w:rPr>
  </w:style>
  <w:style w:type="table" w:customStyle="1" w:styleId="PlainTable11">
    <w:name w:val="Plain Table 11"/>
    <w:basedOn w:val="TableNormal"/>
    <w:uiPriority w:val="41"/>
    <w:rsid w:val="003734A7"/>
    <w:rPr>
      <w:rFonts w:ascii="Times New Roman" w:eastAsiaTheme="minorHAnsi" w:hAnsi="Times New Roman" w:cs="Times New Roman"/>
      <w:sz w:val="20"/>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734A7"/>
    <w:rPr>
      <w:rFonts w:ascii="Times New Roman" w:eastAsia="Times New Roman" w:hAnsi="Times New Roman" w:cs="Times New Roman"/>
    </w:rPr>
  </w:style>
  <w:style w:type="table" w:customStyle="1" w:styleId="ListTable3-Accent11">
    <w:name w:val="List Table 3 - Accent 11"/>
    <w:basedOn w:val="TableNormal"/>
    <w:uiPriority w:val="48"/>
    <w:rsid w:val="003734A7"/>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GridTable5Dark-Accent11">
    <w:name w:val="Grid Table 5 Dark - Accent 11"/>
    <w:basedOn w:val="TableNormal"/>
    <w:uiPriority w:val="50"/>
    <w:rsid w:val="003734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table" w:customStyle="1" w:styleId="GridTable1Light-Accent11">
    <w:name w:val="Grid Table 1 Light - Accent 11"/>
    <w:basedOn w:val="TableNormal"/>
    <w:uiPriority w:val="46"/>
    <w:rsid w:val="00386C45"/>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C2766F"/>
    <w:tblPr>
      <w:tblStyleRowBandSize w:val="1"/>
      <w:tblStyleColBandSize w:val="1"/>
      <w:tblBorders>
        <w:top w:val="single" w:sz="4" w:space="0" w:color="B0DFA0" w:themeColor="accent5" w:themeTint="99"/>
        <w:left w:val="single" w:sz="4" w:space="0" w:color="B0DFA0" w:themeColor="accent5" w:themeTint="99"/>
        <w:bottom w:val="single" w:sz="4" w:space="0" w:color="B0DFA0" w:themeColor="accent5" w:themeTint="99"/>
        <w:right w:val="single" w:sz="4" w:space="0" w:color="B0DFA0" w:themeColor="accent5" w:themeTint="99"/>
        <w:insideH w:val="single" w:sz="4" w:space="0" w:color="B0DFA0" w:themeColor="accent5" w:themeTint="99"/>
        <w:insideV w:val="single" w:sz="4" w:space="0" w:color="B0DFA0" w:themeColor="accent5" w:themeTint="99"/>
      </w:tblBorders>
    </w:tblPr>
    <w:tblStylePr w:type="firstRow">
      <w:rPr>
        <w:b/>
        <w:bCs/>
        <w:color w:val="FFFFFF" w:themeColor="background1"/>
      </w:rPr>
      <w:tblPr/>
      <w:tcPr>
        <w:tcBorders>
          <w:top w:val="single" w:sz="4" w:space="0" w:color="7CCA62" w:themeColor="accent5"/>
          <w:left w:val="single" w:sz="4" w:space="0" w:color="7CCA62" w:themeColor="accent5"/>
          <w:bottom w:val="single" w:sz="4" w:space="0" w:color="7CCA62" w:themeColor="accent5"/>
          <w:right w:val="single" w:sz="4" w:space="0" w:color="7CCA62" w:themeColor="accent5"/>
          <w:insideH w:val="nil"/>
          <w:insideV w:val="nil"/>
        </w:tcBorders>
        <w:shd w:val="clear" w:color="auto" w:fill="7CCA62" w:themeFill="accent5"/>
      </w:tcPr>
    </w:tblStylePr>
    <w:tblStylePr w:type="lastRow">
      <w:rPr>
        <w:b/>
        <w:bCs/>
      </w:rPr>
      <w:tblPr/>
      <w:tcPr>
        <w:tcBorders>
          <w:top w:val="double" w:sz="4" w:space="0" w:color="7CCA62" w:themeColor="accent5"/>
        </w:tcBorders>
      </w:tcPr>
    </w:tblStylePr>
    <w:tblStylePr w:type="firstCol">
      <w:rPr>
        <w:b/>
        <w:bCs/>
      </w:rPr>
    </w:tblStylePr>
    <w:tblStylePr w:type="lastCol">
      <w:rPr>
        <w:b/>
        <w:bCs/>
      </w:rPr>
    </w:tblStylePr>
    <w:tblStylePr w:type="band1Vert">
      <w:tblPr/>
      <w:tcPr>
        <w:shd w:val="clear" w:color="auto" w:fill="E4F4DF" w:themeFill="accent5" w:themeFillTint="33"/>
      </w:tcPr>
    </w:tblStylePr>
    <w:tblStylePr w:type="band1Horz">
      <w:tblPr/>
      <w:tcPr>
        <w:shd w:val="clear" w:color="auto" w:fill="E4F4DF" w:themeFill="accent5" w:themeFillTint="33"/>
      </w:tcPr>
    </w:tblStylePr>
  </w:style>
  <w:style w:type="character" w:customStyle="1" w:styleId="Heading4Char1">
    <w:name w:val="Heading 4 Char1"/>
    <w:basedOn w:val="DefaultParagraphFont"/>
    <w:uiPriority w:val="9"/>
    <w:semiHidden/>
    <w:rsid w:val="00D70B2B"/>
    <w:rPr>
      <w:rFonts w:asciiTheme="majorHAnsi" w:eastAsiaTheme="majorEastAsia" w:hAnsiTheme="majorHAnsi" w:cstheme="majorBidi"/>
      <w:i/>
      <w:iCs/>
      <w:color w:val="0B5294" w:themeColor="accent1" w:themeShade="BF"/>
    </w:rPr>
  </w:style>
  <w:style w:type="table" w:customStyle="1" w:styleId="TableGridLight11">
    <w:name w:val="Table Grid Light11"/>
    <w:basedOn w:val="TableNormal"/>
    <w:next w:val="TableNormal"/>
    <w:uiPriority w:val="40"/>
    <w:rsid w:val="00D70B2B"/>
    <w:rPr>
      <w:rFonts w:eastAsiaTheme="minorHAns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2">
    <w:name w:val="Table Grid Light12"/>
    <w:basedOn w:val="TableNormal"/>
    <w:next w:val="TableNormal"/>
    <w:uiPriority w:val="40"/>
    <w:rsid w:val="00D70B2B"/>
    <w:rPr>
      <w:rFonts w:eastAsiaTheme="minorHAns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3">
    <w:name w:val="Table Grid Light13"/>
    <w:basedOn w:val="TableNormal"/>
    <w:next w:val="TableNormal"/>
    <w:uiPriority w:val="40"/>
    <w:rsid w:val="00C611E7"/>
    <w:rPr>
      <w:rFonts w:eastAsiaTheme="minorHAns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4">
    <w:name w:val="Table Grid Light14"/>
    <w:basedOn w:val="TableNormal"/>
    <w:next w:val="TableNormal"/>
    <w:uiPriority w:val="40"/>
    <w:rsid w:val="00AD5C81"/>
    <w:rPr>
      <w:rFonts w:eastAsiaTheme="minorHAns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5">
    <w:name w:val="Table Grid Light15"/>
    <w:basedOn w:val="TableNormal"/>
    <w:next w:val="TableNormal"/>
    <w:uiPriority w:val="40"/>
    <w:rsid w:val="009D3195"/>
    <w:rPr>
      <w:rFonts w:eastAsiaTheme="minorHAnsi"/>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rsid w:val="007372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iskale2">
    <w:name w:val="Fiskale 2"/>
    <w:basedOn w:val="Heading2"/>
    <w:link w:val="Fiskale2Char"/>
    <w:qFormat/>
    <w:rsid w:val="005150A4"/>
    <w:pPr>
      <w:numPr>
        <w:numId w:val="3"/>
      </w:numPr>
      <w:spacing w:before="0"/>
    </w:pPr>
    <w:rPr>
      <w:rFonts w:ascii="Calibri Light" w:hAnsi="Calibri Light" w:cs="Times New Roman"/>
      <w:noProof/>
      <w:color w:val="0F6FC6" w:themeColor="accent1"/>
      <w:lang w:val="sq-AL"/>
    </w:rPr>
  </w:style>
  <w:style w:type="paragraph" w:customStyle="1" w:styleId="Fiskale1">
    <w:name w:val="Fiskale 1"/>
    <w:basedOn w:val="Heading1"/>
    <w:link w:val="Fiskale1Char"/>
    <w:qFormat/>
    <w:rsid w:val="00B77671"/>
    <w:pPr>
      <w:numPr>
        <w:numId w:val="3"/>
      </w:numPr>
      <w:spacing w:before="0"/>
      <w:ind w:left="720"/>
    </w:pPr>
    <w:rPr>
      <w:rFonts w:ascii="Calibri Light" w:hAnsi="Calibri Light" w:cs="Times New Roman"/>
      <w:b/>
      <w:lang w:val="sq-AL"/>
    </w:rPr>
  </w:style>
  <w:style w:type="character" w:customStyle="1" w:styleId="Fiskale2Char">
    <w:name w:val="Fiskale 2 Char"/>
    <w:basedOn w:val="Heading2Char"/>
    <w:link w:val="Fiskale2"/>
    <w:rsid w:val="005150A4"/>
    <w:rPr>
      <w:rFonts w:ascii="Calibri Light" w:eastAsiaTheme="majorEastAsia" w:hAnsi="Calibri Light" w:cs="Times New Roman"/>
      <w:b/>
      <w:bCs/>
      <w:noProof/>
      <w:color w:val="0F6FC6" w:themeColor="accent1"/>
      <w:sz w:val="22"/>
      <w:szCs w:val="26"/>
      <w:lang w:val="sq-AL"/>
    </w:rPr>
  </w:style>
  <w:style w:type="paragraph" w:customStyle="1" w:styleId="fiskale3">
    <w:name w:val="fiskale 3"/>
    <w:basedOn w:val="Heading3"/>
    <w:link w:val="fiskale3Char"/>
    <w:qFormat/>
    <w:rsid w:val="008A03FF"/>
    <w:pPr>
      <w:numPr>
        <w:numId w:val="3"/>
      </w:numPr>
      <w:tabs>
        <w:tab w:val="right" w:leader="dot" w:pos="10518"/>
      </w:tabs>
    </w:pPr>
    <w:rPr>
      <w:rFonts w:ascii="Calibri Light" w:hAnsi="Calibri Light" w:cs="Times New Roman"/>
      <w:noProof/>
      <w:lang w:val="sq-AL"/>
    </w:rPr>
  </w:style>
  <w:style w:type="character" w:customStyle="1" w:styleId="Fiskale1Char">
    <w:name w:val="Fiskale 1 Char"/>
    <w:basedOn w:val="Heading1Char"/>
    <w:link w:val="Fiskale1"/>
    <w:rsid w:val="00B77671"/>
    <w:rPr>
      <w:rFonts w:ascii="Calibri Light" w:eastAsiaTheme="majorEastAsia" w:hAnsi="Calibri Light" w:cs="Times New Roman"/>
      <w:b/>
      <w:color w:val="0B5294" w:themeColor="accent1" w:themeShade="BF"/>
      <w:sz w:val="32"/>
      <w:szCs w:val="32"/>
      <w:lang w:val="sq-AL"/>
    </w:rPr>
  </w:style>
  <w:style w:type="character" w:customStyle="1" w:styleId="fiskale3Char">
    <w:name w:val="fiskale 3 Char"/>
    <w:basedOn w:val="Heading3Char"/>
    <w:link w:val="fiskale3"/>
    <w:rsid w:val="008A03FF"/>
    <w:rPr>
      <w:rFonts w:ascii="Calibri Light" w:eastAsiaTheme="majorEastAsia" w:hAnsi="Calibri Light" w:cs="Times New Roman"/>
      <w:noProof/>
      <w:color w:val="073662" w:themeColor="accent1" w:themeShade="7F"/>
      <w:sz w:val="22"/>
      <w:lang w:val="sq-AL"/>
    </w:rPr>
  </w:style>
  <w:style w:type="table" w:customStyle="1" w:styleId="ListTable3-Accent12">
    <w:name w:val="List Table 3 - Accent 12"/>
    <w:basedOn w:val="TableNormal"/>
    <w:uiPriority w:val="48"/>
    <w:rsid w:val="00752031"/>
    <w:rPr>
      <w:rFonts w:eastAsiaTheme="minorHAnsi"/>
      <w:sz w:val="22"/>
      <w:szCs w:val="22"/>
    </w:rPr>
    <w:tblPr>
      <w:tblStyleRowBandSize w:val="1"/>
      <w:tblStyleColBandSize w:val="1"/>
      <w:tblBorders>
        <w:top w:val="single" w:sz="4" w:space="0" w:color="0F6FC6" w:themeColor="accent1"/>
        <w:left w:val="single" w:sz="4" w:space="0" w:color="0F6FC6" w:themeColor="accent1"/>
        <w:bottom w:val="single" w:sz="4" w:space="0" w:color="0F6FC6" w:themeColor="accent1"/>
        <w:right w:val="single" w:sz="4" w:space="0" w:color="0F6FC6" w:themeColor="accent1"/>
      </w:tblBorders>
    </w:tblPr>
    <w:tblStylePr w:type="firstRow">
      <w:rPr>
        <w:b/>
        <w:bCs/>
        <w:color w:val="FFFFFF" w:themeColor="background1"/>
      </w:rPr>
      <w:tblPr/>
      <w:tcPr>
        <w:shd w:val="clear" w:color="auto" w:fill="0F6FC6" w:themeFill="accent1"/>
      </w:tcPr>
    </w:tblStylePr>
    <w:tblStylePr w:type="lastRow">
      <w:rPr>
        <w:b/>
        <w:bCs/>
      </w:rPr>
      <w:tblPr/>
      <w:tcPr>
        <w:tcBorders>
          <w:top w:val="double" w:sz="4" w:space="0" w:color="0F6F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6FC6" w:themeColor="accent1"/>
          <w:right w:val="single" w:sz="4" w:space="0" w:color="0F6FC6" w:themeColor="accent1"/>
        </w:tcBorders>
      </w:tcPr>
    </w:tblStylePr>
    <w:tblStylePr w:type="band1Horz">
      <w:tblPr/>
      <w:tcPr>
        <w:tcBorders>
          <w:top w:val="single" w:sz="4" w:space="0" w:color="0F6FC6" w:themeColor="accent1"/>
          <w:bottom w:val="single" w:sz="4" w:space="0" w:color="0F6F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6FC6" w:themeColor="accent1"/>
          <w:left w:val="nil"/>
        </w:tcBorders>
      </w:tcPr>
    </w:tblStylePr>
    <w:tblStylePr w:type="swCell">
      <w:tblPr/>
      <w:tcPr>
        <w:tcBorders>
          <w:top w:val="double" w:sz="4" w:space="0" w:color="0F6FC6" w:themeColor="accent1"/>
          <w:right w:val="nil"/>
        </w:tcBorders>
      </w:tcPr>
    </w:tblStylePr>
  </w:style>
  <w:style w:type="table" w:customStyle="1" w:styleId="GridTable5Dark-Accent12">
    <w:name w:val="Grid Table 5 Dark - Accent 12"/>
    <w:basedOn w:val="TableNormal"/>
    <w:uiPriority w:val="50"/>
    <w:rsid w:val="006A2EC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7E2FA"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6F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6F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6F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6FC6" w:themeFill="accent1"/>
      </w:tcPr>
    </w:tblStylePr>
    <w:tblStylePr w:type="band1Vert">
      <w:tblPr/>
      <w:tcPr>
        <w:shd w:val="clear" w:color="auto" w:fill="90C5F6" w:themeFill="accent1" w:themeFillTint="66"/>
      </w:tcPr>
    </w:tblStylePr>
    <w:tblStylePr w:type="band1Horz">
      <w:tblPr/>
      <w:tcPr>
        <w:shd w:val="clear" w:color="auto" w:fill="90C5F6" w:themeFill="accent1" w:themeFillTint="66"/>
      </w:tcPr>
    </w:tblStylePr>
  </w:style>
  <w:style w:type="table" w:customStyle="1" w:styleId="GridTable4-Accent12">
    <w:name w:val="Grid Table 4 - Accent 12"/>
    <w:basedOn w:val="TableNormal"/>
    <w:uiPriority w:val="49"/>
    <w:rsid w:val="006A2EC9"/>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color w:val="FFFFFF" w:themeColor="background1"/>
      </w:rPr>
      <w:tblPr/>
      <w:tcPr>
        <w:tcBorders>
          <w:top w:val="single" w:sz="4" w:space="0" w:color="0F6FC6" w:themeColor="accent1"/>
          <w:left w:val="single" w:sz="4" w:space="0" w:color="0F6FC6" w:themeColor="accent1"/>
          <w:bottom w:val="single" w:sz="4" w:space="0" w:color="0F6FC6" w:themeColor="accent1"/>
          <w:right w:val="single" w:sz="4" w:space="0" w:color="0F6FC6" w:themeColor="accent1"/>
          <w:insideH w:val="nil"/>
          <w:insideV w:val="nil"/>
        </w:tcBorders>
        <w:shd w:val="clear" w:color="auto" w:fill="0F6FC6" w:themeFill="accent1"/>
      </w:tcPr>
    </w:tblStylePr>
    <w:tblStylePr w:type="lastRow">
      <w:rPr>
        <w:b/>
        <w:bCs/>
      </w:rPr>
      <w:tblPr/>
      <w:tcPr>
        <w:tcBorders>
          <w:top w:val="double" w:sz="4" w:space="0" w:color="0F6FC6" w:themeColor="accent1"/>
        </w:tcBorders>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GridTable21">
    <w:name w:val="Grid Table 21"/>
    <w:basedOn w:val="TableNormal"/>
    <w:uiPriority w:val="47"/>
    <w:rsid w:val="006A2EC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2">
    <w:name w:val="Grid Table 1 Light2"/>
    <w:basedOn w:val="TableNormal"/>
    <w:uiPriority w:val="46"/>
    <w:rsid w:val="006A2EC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41">
    <w:name w:val="Grid Table 41"/>
    <w:basedOn w:val="TableNormal"/>
    <w:uiPriority w:val="49"/>
    <w:rsid w:val="006A2EC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Accent11">
    <w:name w:val="Grid Table 3 - Accent 11"/>
    <w:basedOn w:val="TableNormal"/>
    <w:uiPriority w:val="48"/>
    <w:rsid w:val="006A2EC9"/>
    <w:tblPr>
      <w:tblStyleRowBandSize w:val="1"/>
      <w:tblStyleColBandSize w:val="1"/>
      <w:tblBorders>
        <w:top w:val="single" w:sz="4" w:space="0" w:color="59A9F2" w:themeColor="accent1" w:themeTint="99"/>
        <w:left w:val="single" w:sz="4" w:space="0" w:color="59A9F2" w:themeColor="accent1" w:themeTint="99"/>
        <w:bottom w:val="single" w:sz="4" w:space="0" w:color="59A9F2" w:themeColor="accent1" w:themeTint="99"/>
        <w:right w:val="single" w:sz="4" w:space="0" w:color="59A9F2" w:themeColor="accent1" w:themeTint="99"/>
        <w:insideH w:val="single" w:sz="4" w:space="0" w:color="59A9F2" w:themeColor="accent1" w:themeTint="99"/>
        <w:insideV w:val="single" w:sz="4" w:space="0" w:color="59A9F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7E2FA" w:themeFill="accent1" w:themeFillTint="33"/>
      </w:tcPr>
    </w:tblStylePr>
    <w:tblStylePr w:type="band1Horz">
      <w:tblPr/>
      <w:tcPr>
        <w:shd w:val="clear" w:color="auto" w:fill="C7E2FA" w:themeFill="accent1" w:themeFillTint="33"/>
      </w:tcPr>
    </w:tblStylePr>
    <w:tblStylePr w:type="neCell">
      <w:tblPr/>
      <w:tcPr>
        <w:tcBorders>
          <w:bottom w:val="single" w:sz="4" w:space="0" w:color="59A9F2" w:themeColor="accent1" w:themeTint="99"/>
        </w:tcBorders>
      </w:tcPr>
    </w:tblStylePr>
    <w:tblStylePr w:type="nwCell">
      <w:tblPr/>
      <w:tcPr>
        <w:tcBorders>
          <w:bottom w:val="single" w:sz="4" w:space="0" w:color="59A9F2" w:themeColor="accent1" w:themeTint="99"/>
        </w:tcBorders>
      </w:tcPr>
    </w:tblStylePr>
    <w:tblStylePr w:type="seCell">
      <w:tblPr/>
      <w:tcPr>
        <w:tcBorders>
          <w:top w:val="single" w:sz="4" w:space="0" w:color="59A9F2" w:themeColor="accent1" w:themeTint="99"/>
        </w:tcBorders>
      </w:tcPr>
    </w:tblStylePr>
    <w:tblStylePr w:type="swCell">
      <w:tblPr/>
      <w:tcPr>
        <w:tcBorders>
          <w:top w:val="single" w:sz="4" w:space="0" w:color="59A9F2" w:themeColor="accent1" w:themeTint="99"/>
        </w:tcBorders>
      </w:tcPr>
    </w:tblStylePr>
  </w:style>
  <w:style w:type="table" w:customStyle="1" w:styleId="GridTable2-Accent11">
    <w:name w:val="Grid Table 2 - Accent 11"/>
    <w:basedOn w:val="TableNormal"/>
    <w:uiPriority w:val="47"/>
    <w:rsid w:val="006A2EC9"/>
    <w:tblPr>
      <w:tblStyleRowBandSize w:val="1"/>
      <w:tblStyleColBandSize w:val="1"/>
      <w:tblBorders>
        <w:top w:val="single" w:sz="2" w:space="0" w:color="59A9F2" w:themeColor="accent1" w:themeTint="99"/>
        <w:bottom w:val="single" w:sz="2" w:space="0" w:color="59A9F2" w:themeColor="accent1" w:themeTint="99"/>
        <w:insideH w:val="single" w:sz="2" w:space="0" w:color="59A9F2" w:themeColor="accent1" w:themeTint="99"/>
        <w:insideV w:val="single" w:sz="2" w:space="0" w:color="59A9F2" w:themeColor="accent1" w:themeTint="99"/>
      </w:tblBorders>
    </w:tblPr>
    <w:tblStylePr w:type="firstRow">
      <w:rPr>
        <w:b/>
        <w:bCs/>
      </w:rPr>
      <w:tblPr/>
      <w:tcPr>
        <w:tcBorders>
          <w:top w:val="nil"/>
          <w:bottom w:val="single" w:sz="12" w:space="0" w:color="59A9F2" w:themeColor="accent1" w:themeTint="99"/>
          <w:insideH w:val="nil"/>
          <w:insideV w:val="nil"/>
        </w:tcBorders>
        <w:shd w:val="clear" w:color="auto" w:fill="FFFFFF" w:themeFill="background1"/>
      </w:tcPr>
    </w:tblStylePr>
    <w:tblStylePr w:type="lastRow">
      <w:rPr>
        <w:b/>
        <w:bCs/>
      </w:rPr>
      <w:tblPr/>
      <w:tcPr>
        <w:tcBorders>
          <w:top w:val="double" w:sz="2" w:space="0" w:color="59A9F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7E2FA" w:themeFill="accent1" w:themeFillTint="33"/>
      </w:tcPr>
    </w:tblStylePr>
    <w:tblStylePr w:type="band1Horz">
      <w:tblPr/>
      <w:tcPr>
        <w:shd w:val="clear" w:color="auto" w:fill="C7E2FA" w:themeFill="accent1" w:themeFillTint="33"/>
      </w:tcPr>
    </w:tblStylePr>
  </w:style>
  <w:style w:type="table" w:customStyle="1" w:styleId="GridTable3-Accent61">
    <w:name w:val="Grid Table 3 - Accent 61"/>
    <w:basedOn w:val="TableNormal"/>
    <w:uiPriority w:val="48"/>
    <w:rsid w:val="006A2EC9"/>
    <w:tblPr>
      <w:tblStyleRowBandSize w:val="1"/>
      <w:tblStyleColBandSize w:val="1"/>
      <w:tblBorders>
        <w:top w:val="single" w:sz="4" w:space="0" w:color="C8DA91" w:themeColor="accent6" w:themeTint="99"/>
        <w:left w:val="single" w:sz="4" w:space="0" w:color="C8DA91" w:themeColor="accent6" w:themeTint="99"/>
        <w:bottom w:val="single" w:sz="4" w:space="0" w:color="C8DA91" w:themeColor="accent6" w:themeTint="99"/>
        <w:right w:val="single" w:sz="4" w:space="0" w:color="C8DA91" w:themeColor="accent6" w:themeTint="99"/>
        <w:insideH w:val="single" w:sz="4" w:space="0" w:color="C8DA91" w:themeColor="accent6" w:themeTint="99"/>
        <w:insideV w:val="single" w:sz="4" w:space="0" w:color="C8DA9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F2DA" w:themeFill="accent6" w:themeFillTint="33"/>
      </w:tcPr>
    </w:tblStylePr>
    <w:tblStylePr w:type="band1Horz">
      <w:tblPr/>
      <w:tcPr>
        <w:shd w:val="clear" w:color="auto" w:fill="ECF2DA" w:themeFill="accent6" w:themeFillTint="33"/>
      </w:tcPr>
    </w:tblStylePr>
    <w:tblStylePr w:type="neCell">
      <w:tblPr/>
      <w:tcPr>
        <w:tcBorders>
          <w:bottom w:val="single" w:sz="4" w:space="0" w:color="C8DA91" w:themeColor="accent6" w:themeTint="99"/>
        </w:tcBorders>
      </w:tcPr>
    </w:tblStylePr>
    <w:tblStylePr w:type="nwCell">
      <w:tblPr/>
      <w:tcPr>
        <w:tcBorders>
          <w:bottom w:val="single" w:sz="4" w:space="0" w:color="C8DA91" w:themeColor="accent6" w:themeTint="99"/>
        </w:tcBorders>
      </w:tcPr>
    </w:tblStylePr>
    <w:tblStylePr w:type="seCell">
      <w:tblPr/>
      <w:tcPr>
        <w:tcBorders>
          <w:top w:val="single" w:sz="4" w:space="0" w:color="C8DA91" w:themeColor="accent6" w:themeTint="99"/>
        </w:tcBorders>
      </w:tcPr>
    </w:tblStylePr>
    <w:tblStylePr w:type="swCell">
      <w:tblPr/>
      <w:tcPr>
        <w:tcBorders>
          <w:top w:val="single" w:sz="4" w:space="0" w:color="C8DA91" w:themeColor="accent6" w:themeTint="99"/>
        </w:tcBorders>
      </w:tcPr>
    </w:tblStylePr>
  </w:style>
  <w:style w:type="table" w:customStyle="1" w:styleId="GridTable1Light-Accent12">
    <w:name w:val="Grid Table 1 Light - Accent 12"/>
    <w:basedOn w:val="TableNormal"/>
    <w:uiPriority w:val="46"/>
    <w:rsid w:val="00497022"/>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paragraph" w:customStyle="1" w:styleId="BVIfnrCarCarCarCarChar">
    <w:name w:val="BVI fnr Car Car Car Car Char"/>
    <w:basedOn w:val="Normal"/>
    <w:link w:val="FootnoteReference"/>
    <w:uiPriority w:val="99"/>
    <w:rsid w:val="00FF247A"/>
    <w:pPr>
      <w:spacing w:before="0" w:after="160" w:line="240" w:lineRule="exact"/>
    </w:pPr>
    <w:rPr>
      <w:rFonts w:asciiTheme="minorHAnsi" w:eastAsiaTheme="minorEastAsia" w:hAnsiTheme="minorHAnsi" w:cstheme="minorBidi"/>
      <w:sz w:val="24"/>
      <w:vertAlign w:val="superscript"/>
    </w:rPr>
  </w:style>
  <w:style w:type="character" w:customStyle="1" w:styleId="viiyi">
    <w:name w:val="viiyi"/>
    <w:basedOn w:val="DefaultParagraphFont"/>
    <w:rsid w:val="00A97E29"/>
  </w:style>
  <w:style w:type="character" w:customStyle="1" w:styleId="q4iawc">
    <w:name w:val="q4iawc"/>
    <w:basedOn w:val="DefaultParagraphFont"/>
    <w:rsid w:val="00A97E29"/>
  </w:style>
  <w:style w:type="table" w:customStyle="1" w:styleId="TableGridLight16">
    <w:name w:val="Table Grid Light16"/>
    <w:basedOn w:val="TableNormal"/>
    <w:uiPriority w:val="40"/>
    <w:rsid w:val="0034438D"/>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111">
    <w:name w:val="Grid Table 1 Light - Accent 111"/>
    <w:basedOn w:val="TableNormal"/>
    <w:uiPriority w:val="46"/>
    <w:rsid w:val="009C50AD"/>
    <w:tblPr>
      <w:tblStyleRowBandSize w:val="1"/>
      <w:tblStyleColBandSize w:val="1"/>
      <w:tblBorders>
        <w:top w:val="single" w:sz="4" w:space="0" w:color="90C5F6" w:themeColor="accent1" w:themeTint="66"/>
        <w:left w:val="single" w:sz="4" w:space="0" w:color="90C5F6" w:themeColor="accent1" w:themeTint="66"/>
        <w:bottom w:val="single" w:sz="4" w:space="0" w:color="90C5F6" w:themeColor="accent1" w:themeTint="66"/>
        <w:right w:val="single" w:sz="4" w:space="0" w:color="90C5F6" w:themeColor="accent1" w:themeTint="66"/>
        <w:insideH w:val="single" w:sz="4" w:space="0" w:color="90C5F6" w:themeColor="accent1" w:themeTint="66"/>
        <w:insideV w:val="single" w:sz="4" w:space="0" w:color="90C5F6" w:themeColor="accent1" w:themeTint="66"/>
      </w:tblBorders>
    </w:tblPr>
    <w:tblStylePr w:type="firstRow">
      <w:rPr>
        <w:b/>
        <w:bCs/>
      </w:rPr>
      <w:tblPr/>
      <w:tcPr>
        <w:tcBorders>
          <w:bottom w:val="single" w:sz="12" w:space="0" w:color="59A9F2" w:themeColor="accent1" w:themeTint="99"/>
        </w:tcBorders>
      </w:tcPr>
    </w:tblStylePr>
    <w:tblStylePr w:type="lastRow">
      <w:rPr>
        <w:b/>
        <w:bCs/>
      </w:rPr>
      <w:tblPr/>
      <w:tcPr>
        <w:tcBorders>
          <w:top w:val="double" w:sz="2" w:space="0" w:color="59A9F2" w:themeColor="accent1" w:themeTint="99"/>
        </w:tcBorders>
      </w:tcPr>
    </w:tblStylePr>
    <w:tblStylePr w:type="firstCol">
      <w:rPr>
        <w:b/>
        <w:bCs/>
      </w:rPr>
    </w:tblStylePr>
    <w:tblStylePr w:type="lastCol">
      <w:rPr>
        <w:b/>
        <w:bCs/>
      </w:rPr>
    </w:tblStylePr>
  </w:style>
  <w:style w:type="table" w:customStyle="1" w:styleId="GridTable4-Accent111">
    <w:name w:val="Grid Table 4 - Accent 111"/>
    <w:basedOn w:val="TableNormal"/>
    <w:uiPriority w:val="49"/>
    <w:rsid w:val="000B327D"/>
    <w:rPr>
      <w:rFonts w:eastAsia="Calibri"/>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UnresolvedMention1">
    <w:name w:val="Unresolved Mention1"/>
    <w:basedOn w:val="DefaultParagraphFont"/>
    <w:uiPriority w:val="99"/>
    <w:semiHidden/>
    <w:unhideWhenUsed/>
    <w:rsid w:val="00F1746C"/>
    <w:rPr>
      <w:color w:val="605E5C"/>
      <w:shd w:val="clear" w:color="auto" w:fill="E1DFDD"/>
    </w:rPr>
  </w:style>
  <w:style w:type="table" w:customStyle="1" w:styleId="GridTable4-Accent112">
    <w:name w:val="Grid Table 4 - Accent 112"/>
    <w:basedOn w:val="TableNormal"/>
    <w:uiPriority w:val="49"/>
    <w:rsid w:val="00A366EC"/>
    <w:rPr>
      <w:rFonts w:ascii="Cambria" w:eastAsia="MS Mincho" w:hAnsi="Cambria" w:cs="Times New Roman"/>
    </w:r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4292">
      <w:bodyDiv w:val="1"/>
      <w:marLeft w:val="0"/>
      <w:marRight w:val="0"/>
      <w:marTop w:val="0"/>
      <w:marBottom w:val="0"/>
      <w:divBdr>
        <w:top w:val="none" w:sz="0" w:space="0" w:color="auto"/>
        <w:left w:val="none" w:sz="0" w:space="0" w:color="auto"/>
        <w:bottom w:val="none" w:sz="0" w:space="0" w:color="auto"/>
        <w:right w:val="none" w:sz="0" w:space="0" w:color="auto"/>
      </w:divBdr>
    </w:div>
    <w:div w:id="34043638">
      <w:bodyDiv w:val="1"/>
      <w:marLeft w:val="0"/>
      <w:marRight w:val="0"/>
      <w:marTop w:val="0"/>
      <w:marBottom w:val="0"/>
      <w:divBdr>
        <w:top w:val="none" w:sz="0" w:space="0" w:color="auto"/>
        <w:left w:val="none" w:sz="0" w:space="0" w:color="auto"/>
        <w:bottom w:val="none" w:sz="0" w:space="0" w:color="auto"/>
        <w:right w:val="none" w:sz="0" w:space="0" w:color="auto"/>
      </w:divBdr>
    </w:div>
    <w:div w:id="44179278">
      <w:bodyDiv w:val="1"/>
      <w:marLeft w:val="0"/>
      <w:marRight w:val="0"/>
      <w:marTop w:val="0"/>
      <w:marBottom w:val="0"/>
      <w:divBdr>
        <w:top w:val="none" w:sz="0" w:space="0" w:color="auto"/>
        <w:left w:val="none" w:sz="0" w:space="0" w:color="auto"/>
        <w:bottom w:val="none" w:sz="0" w:space="0" w:color="auto"/>
        <w:right w:val="none" w:sz="0" w:space="0" w:color="auto"/>
      </w:divBdr>
    </w:div>
    <w:div w:id="65614817">
      <w:bodyDiv w:val="1"/>
      <w:marLeft w:val="0"/>
      <w:marRight w:val="0"/>
      <w:marTop w:val="0"/>
      <w:marBottom w:val="0"/>
      <w:divBdr>
        <w:top w:val="none" w:sz="0" w:space="0" w:color="auto"/>
        <w:left w:val="none" w:sz="0" w:space="0" w:color="auto"/>
        <w:bottom w:val="none" w:sz="0" w:space="0" w:color="auto"/>
        <w:right w:val="none" w:sz="0" w:space="0" w:color="auto"/>
      </w:divBdr>
      <w:divsChild>
        <w:div w:id="779449836">
          <w:marLeft w:val="0"/>
          <w:marRight w:val="0"/>
          <w:marTop w:val="0"/>
          <w:marBottom w:val="0"/>
          <w:divBdr>
            <w:top w:val="none" w:sz="0" w:space="0" w:color="auto"/>
            <w:left w:val="none" w:sz="0" w:space="0" w:color="auto"/>
            <w:bottom w:val="none" w:sz="0" w:space="0" w:color="auto"/>
            <w:right w:val="none" w:sz="0" w:space="0" w:color="auto"/>
          </w:divBdr>
          <w:divsChild>
            <w:div w:id="191966739">
              <w:marLeft w:val="0"/>
              <w:marRight w:val="0"/>
              <w:marTop w:val="0"/>
              <w:marBottom w:val="0"/>
              <w:divBdr>
                <w:top w:val="none" w:sz="0" w:space="0" w:color="auto"/>
                <w:left w:val="none" w:sz="0" w:space="0" w:color="auto"/>
                <w:bottom w:val="none" w:sz="0" w:space="0" w:color="auto"/>
                <w:right w:val="none" w:sz="0" w:space="0" w:color="auto"/>
              </w:divBdr>
              <w:divsChild>
                <w:div w:id="1778518440">
                  <w:marLeft w:val="0"/>
                  <w:marRight w:val="0"/>
                  <w:marTop w:val="0"/>
                  <w:marBottom w:val="0"/>
                  <w:divBdr>
                    <w:top w:val="none" w:sz="0" w:space="0" w:color="auto"/>
                    <w:left w:val="none" w:sz="0" w:space="0" w:color="auto"/>
                    <w:bottom w:val="none" w:sz="0" w:space="0" w:color="auto"/>
                    <w:right w:val="none" w:sz="0" w:space="0" w:color="auto"/>
                  </w:divBdr>
                  <w:divsChild>
                    <w:div w:id="581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20984">
      <w:bodyDiv w:val="1"/>
      <w:marLeft w:val="0"/>
      <w:marRight w:val="0"/>
      <w:marTop w:val="0"/>
      <w:marBottom w:val="0"/>
      <w:divBdr>
        <w:top w:val="none" w:sz="0" w:space="0" w:color="auto"/>
        <w:left w:val="none" w:sz="0" w:space="0" w:color="auto"/>
        <w:bottom w:val="none" w:sz="0" w:space="0" w:color="auto"/>
        <w:right w:val="none" w:sz="0" w:space="0" w:color="auto"/>
      </w:divBdr>
    </w:div>
    <w:div w:id="153837409">
      <w:bodyDiv w:val="1"/>
      <w:marLeft w:val="0"/>
      <w:marRight w:val="0"/>
      <w:marTop w:val="0"/>
      <w:marBottom w:val="0"/>
      <w:divBdr>
        <w:top w:val="none" w:sz="0" w:space="0" w:color="auto"/>
        <w:left w:val="none" w:sz="0" w:space="0" w:color="auto"/>
        <w:bottom w:val="none" w:sz="0" w:space="0" w:color="auto"/>
        <w:right w:val="none" w:sz="0" w:space="0" w:color="auto"/>
      </w:divBdr>
    </w:div>
    <w:div w:id="158233444">
      <w:bodyDiv w:val="1"/>
      <w:marLeft w:val="0"/>
      <w:marRight w:val="0"/>
      <w:marTop w:val="0"/>
      <w:marBottom w:val="0"/>
      <w:divBdr>
        <w:top w:val="none" w:sz="0" w:space="0" w:color="auto"/>
        <w:left w:val="none" w:sz="0" w:space="0" w:color="auto"/>
        <w:bottom w:val="none" w:sz="0" w:space="0" w:color="auto"/>
        <w:right w:val="none" w:sz="0" w:space="0" w:color="auto"/>
      </w:divBdr>
    </w:div>
    <w:div w:id="163131077">
      <w:bodyDiv w:val="1"/>
      <w:marLeft w:val="0"/>
      <w:marRight w:val="0"/>
      <w:marTop w:val="0"/>
      <w:marBottom w:val="0"/>
      <w:divBdr>
        <w:top w:val="none" w:sz="0" w:space="0" w:color="auto"/>
        <w:left w:val="none" w:sz="0" w:space="0" w:color="auto"/>
        <w:bottom w:val="none" w:sz="0" w:space="0" w:color="auto"/>
        <w:right w:val="none" w:sz="0" w:space="0" w:color="auto"/>
      </w:divBdr>
    </w:div>
    <w:div w:id="235213065">
      <w:bodyDiv w:val="1"/>
      <w:marLeft w:val="0"/>
      <w:marRight w:val="0"/>
      <w:marTop w:val="0"/>
      <w:marBottom w:val="0"/>
      <w:divBdr>
        <w:top w:val="none" w:sz="0" w:space="0" w:color="auto"/>
        <w:left w:val="none" w:sz="0" w:space="0" w:color="auto"/>
        <w:bottom w:val="none" w:sz="0" w:space="0" w:color="auto"/>
        <w:right w:val="none" w:sz="0" w:space="0" w:color="auto"/>
      </w:divBdr>
      <w:divsChild>
        <w:div w:id="924997869">
          <w:marLeft w:val="0"/>
          <w:marRight w:val="0"/>
          <w:marTop w:val="0"/>
          <w:marBottom w:val="0"/>
          <w:divBdr>
            <w:top w:val="none" w:sz="0" w:space="0" w:color="auto"/>
            <w:left w:val="none" w:sz="0" w:space="0" w:color="auto"/>
            <w:bottom w:val="none" w:sz="0" w:space="0" w:color="auto"/>
            <w:right w:val="none" w:sz="0" w:space="0" w:color="auto"/>
          </w:divBdr>
          <w:divsChild>
            <w:div w:id="1199930021">
              <w:marLeft w:val="0"/>
              <w:marRight w:val="0"/>
              <w:marTop w:val="0"/>
              <w:marBottom w:val="0"/>
              <w:divBdr>
                <w:top w:val="none" w:sz="0" w:space="0" w:color="auto"/>
                <w:left w:val="none" w:sz="0" w:space="0" w:color="auto"/>
                <w:bottom w:val="none" w:sz="0" w:space="0" w:color="auto"/>
                <w:right w:val="none" w:sz="0" w:space="0" w:color="auto"/>
              </w:divBdr>
              <w:divsChild>
                <w:div w:id="106884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053972">
      <w:bodyDiv w:val="1"/>
      <w:marLeft w:val="0"/>
      <w:marRight w:val="0"/>
      <w:marTop w:val="0"/>
      <w:marBottom w:val="0"/>
      <w:divBdr>
        <w:top w:val="none" w:sz="0" w:space="0" w:color="auto"/>
        <w:left w:val="none" w:sz="0" w:space="0" w:color="auto"/>
        <w:bottom w:val="none" w:sz="0" w:space="0" w:color="auto"/>
        <w:right w:val="none" w:sz="0" w:space="0" w:color="auto"/>
      </w:divBdr>
      <w:divsChild>
        <w:div w:id="1515148091">
          <w:marLeft w:val="0"/>
          <w:marRight w:val="0"/>
          <w:marTop w:val="0"/>
          <w:marBottom w:val="0"/>
          <w:divBdr>
            <w:top w:val="none" w:sz="0" w:space="0" w:color="auto"/>
            <w:left w:val="none" w:sz="0" w:space="0" w:color="auto"/>
            <w:bottom w:val="none" w:sz="0" w:space="0" w:color="auto"/>
            <w:right w:val="none" w:sz="0" w:space="0" w:color="auto"/>
          </w:divBdr>
          <w:divsChild>
            <w:div w:id="689457793">
              <w:marLeft w:val="0"/>
              <w:marRight w:val="0"/>
              <w:marTop w:val="0"/>
              <w:marBottom w:val="0"/>
              <w:divBdr>
                <w:top w:val="none" w:sz="0" w:space="0" w:color="auto"/>
                <w:left w:val="none" w:sz="0" w:space="0" w:color="auto"/>
                <w:bottom w:val="none" w:sz="0" w:space="0" w:color="auto"/>
                <w:right w:val="none" w:sz="0" w:space="0" w:color="auto"/>
              </w:divBdr>
              <w:divsChild>
                <w:div w:id="1040012098">
                  <w:marLeft w:val="0"/>
                  <w:marRight w:val="0"/>
                  <w:marTop w:val="0"/>
                  <w:marBottom w:val="0"/>
                  <w:divBdr>
                    <w:top w:val="none" w:sz="0" w:space="0" w:color="auto"/>
                    <w:left w:val="none" w:sz="0" w:space="0" w:color="auto"/>
                    <w:bottom w:val="none" w:sz="0" w:space="0" w:color="auto"/>
                    <w:right w:val="none" w:sz="0" w:space="0" w:color="auto"/>
                  </w:divBdr>
                  <w:divsChild>
                    <w:div w:id="163486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89847">
      <w:bodyDiv w:val="1"/>
      <w:marLeft w:val="0"/>
      <w:marRight w:val="0"/>
      <w:marTop w:val="0"/>
      <w:marBottom w:val="0"/>
      <w:divBdr>
        <w:top w:val="none" w:sz="0" w:space="0" w:color="auto"/>
        <w:left w:val="none" w:sz="0" w:space="0" w:color="auto"/>
        <w:bottom w:val="none" w:sz="0" w:space="0" w:color="auto"/>
        <w:right w:val="none" w:sz="0" w:space="0" w:color="auto"/>
      </w:divBdr>
    </w:div>
    <w:div w:id="341977720">
      <w:bodyDiv w:val="1"/>
      <w:marLeft w:val="0"/>
      <w:marRight w:val="0"/>
      <w:marTop w:val="0"/>
      <w:marBottom w:val="0"/>
      <w:divBdr>
        <w:top w:val="none" w:sz="0" w:space="0" w:color="auto"/>
        <w:left w:val="none" w:sz="0" w:space="0" w:color="auto"/>
        <w:bottom w:val="none" w:sz="0" w:space="0" w:color="auto"/>
        <w:right w:val="none" w:sz="0" w:space="0" w:color="auto"/>
      </w:divBdr>
    </w:div>
    <w:div w:id="445738174">
      <w:bodyDiv w:val="1"/>
      <w:marLeft w:val="0"/>
      <w:marRight w:val="0"/>
      <w:marTop w:val="0"/>
      <w:marBottom w:val="0"/>
      <w:divBdr>
        <w:top w:val="none" w:sz="0" w:space="0" w:color="auto"/>
        <w:left w:val="none" w:sz="0" w:space="0" w:color="auto"/>
        <w:bottom w:val="none" w:sz="0" w:space="0" w:color="auto"/>
        <w:right w:val="none" w:sz="0" w:space="0" w:color="auto"/>
      </w:divBdr>
    </w:div>
    <w:div w:id="473714546">
      <w:bodyDiv w:val="1"/>
      <w:marLeft w:val="0"/>
      <w:marRight w:val="0"/>
      <w:marTop w:val="0"/>
      <w:marBottom w:val="0"/>
      <w:divBdr>
        <w:top w:val="none" w:sz="0" w:space="0" w:color="auto"/>
        <w:left w:val="none" w:sz="0" w:space="0" w:color="auto"/>
        <w:bottom w:val="none" w:sz="0" w:space="0" w:color="auto"/>
        <w:right w:val="none" w:sz="0" w:space="0" w:color="auto"/>
      </w:divBdr>
    </w:div>
    <w:div w:id="480580863">
      <w:bodyDiv w:val="1"/>
      <w:marLeft w:val="0"/>
      <w:marRight w:val="0"/>
      <w:marTop w:val="0"/>
      <w:marBottom w:val="0"/>
      <w:divBdr>
        <w:top w:val="none" w:sz="0" w:space="0" w:color="auto"/>
        <w:left w:val="none" w:sz="0" w:space="0" w:color="auto"/>
        <w:bottom w:val="none" w:sz="0" w:space="0" w:color="auto"/>
        <w:right w:val="none" w:sz="0" w:space="0" w:color="auto"/>
      </w:divBdr>
    </w:div>
    <w:div w:id="483666337">
      <w:bodyDiv w:val="1"/>
      <w:marLeft w:val="0"/>
      <w:marRight w:val="0"/>
      <w:marTop w:val="0"/>
      <w:marBottom w:val="0"/>
      <w:divBdr>
        <w:top w:val="none" w:sz="0" w:space="0" w:color="auto"/>
        <w:left w:val="none" w:sz="0" w:space="0" w:color="auto"/>
        <w:bottom w:val="none" w:sz="0" w:space="0" w:color="auto"/>
        <w:right w:val="none" w:sz="0" w:space="0" w:color="auto"/>
      </w:divBdr>
    </w:div>
    <w:div w:id="535199585">
      <w:bodyDiv w:val="1"/>
      <w:marLeft w:val="0"/>
      <w:marRight w:val="0"/>
      <w:marTop w:val="0"/>
      <w:marBottom w:val="0"/>
      <w:divBdr>
        <w:top w:val="none" w:sz="0" w:space="0" w:color="auto"/>
        <w:left w:val="none" w:sz="0" w:space="0" w:color="auto"/>
        <w:bottom w:val="none" w:sz="0" w:space="0" w:color="auto"/>
        <w:right w:val="none" w:sz="0" w:space="0" w:color="auto"/>
      </w:divBdr>
    </w:div>
    <w:div w:id="542599532">
      <w:bodyDiv w:val="1"/>
      <w:marLeft w:val="0"/>
      <w:marRight w:val="0"/>
      <w:marTop w:val="0"/>
      <w:marBottom w:val="0"/>
      <w:divBdr>
        <w:top w:val="none" w:sz="0" w:space="0" w:color="auto"/>
        <w:left w:val="none" w:sz="0" w:space="0" w:color="auto"/>
        <w:bottom w:val="none" w:sz="0" w:space="0" w:color="auto"/>
        <w:right w:val="none" w:sz="0" w:space="0" w:color="auto"/>
      </w:divBdr>
    </w:div>
    <w:div w:id="559942677">
      <w:bodyDiv w:val="1"/>
      <w:marLeft w:val="0"/>
      <w:marRight w:val="0"/>
      <w:marTop w:val="0"/>
      <w:marBottom w:val="0"/>
      <w:divBdr>
        <w:top w:val="none" w:sz="0" w:space="0" w:color="auto"/>
        <w:left w:val="none" w:sz="0" w:space="0" w:color="auto"/>
        <w:bottom w:val="none" w:sz="0" w:space="0" w:color="auto"/>
        <w:right w:val="none" w:sz="0" w:space="0" w:color="auto"/>
      </w:divBdr>
    </w:div>
    <w:div w:id="603999868">
      <w:bodyDiv w:val="1"/>
      <w:marLeft w:val="0"/>
      <w:marRight w:val="0"/>
      <w:marTop w:val="0"/>
      <w:marBottom w:val="0"/>
      <w:divBdr>
        <w:top w:val="none" w:sz="0" w:space="0" w:color="auto"/>
        <w:left w:val="none" w:sz="0" w:space="0" w:color="auto"/>
        <w:bottom w:val="none" w:sz="0" w:space="0" w:color="auto"/>
        <w:right w:val="none" w:sz="0" w:space="0" w:color="auto"/>
      </w:divBdr>
      <w:divsChild>
        <w:div w:id="304315418">
          <w:marLeft w:val="0"/>
          <w:marRight w:val="0"/>
          <w:marTop w:val="0"/>
          <w:marBottom w:val="0"/>
          <w:divBdr>
            <w:top w:val="none" w:sz="0" w:space="0" w:color="auto"/>
            <w:left w:val="none" w:sz="0" w:space="0" w:color="auto"/>
            <w:bottom w:val="none" w:sz="0" w:space="0" w:color="auto"/>
            <w:right w:val="none" w:sz="0" w:space="0" w:color="auto"/>
          </w:divBdr>
          <w:divsChild>
            <w:div w:id="1834680901">
              <w:marLeft w:val="0"/>
              <w:marRight w:val="0"/>
              <w:marTop w:val="0"/>
              <w:marBottom w:val="0"/>
              <w:divBdr>
                <w:top w:val="none" w:sz="0" w:space="0" w:color="auto"/>
                <w:left w:val="none" w:sz="0" w:space="0" w:color="auto"/>
                <w:bottom w:val="none" w:sz="0" w:space="0" w:color="auto"/>
                <w:right w:val="none" w:sz="0" w:space="0" w:color="auto"/>
              </w:divBdr>
              <w:divsChild>
                <w:div w:id="155774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44721">
      <w:bodyDiv w:val="1"/>
      <w:marLeft w:val="0"/>
      <w:marRight w:val="0"/>
      <w:marTop w:val="0"/>
      <w:marBottom w:val="0"/>
      <w:divBdr>
        <w:top w:val="none" w:sz="0" w:space="0" w:color="auto"/>
        <w:left w:val="none" w:sz="0" w:space="0" w:color="auto"/>
        <w:bottom w:val="none" w:sz="0" w:space="0" w:color="auto"/>
        <w:right w:val="none" w:sz="0" w:space="0" w:color="auto"/>
      </w:divBdr>
      <w:divsChild>
        <w:div w:id="216747255">
          <w:marLeft w:val="0"/>
          <w:marRight w:val="0"/>
          <w:marTop w:val="0"/>
          <w:marBottom w:val="0"/>
          <w:divBdr>
            <w:top w:val="none" w:sz="0" w:space="0" w:color="auto"/>
            <w:left w:val="none" w:sz="0" w:space="0" w:color="auto"/>
            <w:bottom w:val="none" w:sz="0" w:space="0" w:color="auto"/>
            <w:right w:val="none" w:sz="0" w:space="0" w:color="auto"/>
          </w:divBdr>
          <w:divsChild>
            <w:div w:id="675618461">
              <w:marLeft w:val="0"/>
              <w:marRight w:val="0"/>
              <w:marTop w:val="0"/>
              <w:marBottom w:val="0"/>
              <w:divBdr>
                <w:top w:val="none" w:sz="0" w:space="0" w:color="auto"/>
                <w:left w:val="none" w:sz="0" w:space="0" w:color="auto"/>
                <w:bottom w:val="none" w:sz="0" w:space="0" w:color="auto"/>
                <w:right w:val="none" w:sz="0" w:space="0" w:color="auto"/>
              </w:divBdr>
              <w:divsChild>
                <w:div w:id="934745030">
                  <w:marLeft w:val="0"/>
                  <w:marRight w:val="0"/>
                  <w:marTop w:val="0"/>
                  <w:marBottom w:val="0"/>
                  <w:divBdr>
                    <w:top w:val="none" w:sz="0" w:space="0" w:color="auto"/>
                    <w:left w:val="none" w:sz="0" w:space="0" w:color="auto"/>
                    <w:bottom w:val="none" w:sz="0" w:space="0" w:color="auto"/>
                    <w:right w:val="none" w:sz="0" w:space="0" w:color="auto"/>
                  </w:divBdr>
                  <w:divsChild>
                    <w:div w:id="9124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305127">
      <w:bodyDiv w:val="1"/>
      <w:marLeft w:val="0"/>
      <w:marRight w:val="0"/>
      <w:marTop w:val="0"/>
      <w:marBottom w:val="0"/>
      <w:divBdr>
        <w:top w:val="none" w:sz="0" w:space="0" w:color="auto"/>
        <w:left w:val="none" w:sz="0" w:space="0" w:color="auto"/>
        <w:bottom w:val="none" w:sz="0" w:space="0" w:color="auto"/>
        <w:right w:val="none" w:sz="0" w:space="0" w:color="auto"/>
      </w:divBdr>
      <w:divsChild>
        <w:div w:id="1943952672">
          <w:marLeft w:val="0"/>
          <w:marRight w:val="0"/>
          <w:marTop w:val="0"/>
          <w:marBottom w:val="0"/>
          <w:divBdr>
            <w:top w:val="none" w:sz="0" w:space="0" w:color="auto"/>
            <w:left w:val="none" w:sz="0" w:space="0" w:color="auto"/>
            <w:bottom w:val="none" w:sz="0" w:space="0" w:color="auto"/>
            <w:right w:val="none" w:sz="0" w:space="0" w:color="auto"/>
          </w:divBdr>
          <w:divsChild>
            <w:div w:id="505747527">
              <w:marLeft w:val="0"/>
              <w:marRight w:val="0"/>
              <w:marTop w:val="0"/>
              <w:marBottom w:val="0"/>
              <w:divBdr>
                <w:top w:val="none" w:sz="0" w:space="0" w:color="auto"/>
                <w:left w:val="none" w:sz="0" w:space="0" w:color="auto"/>
                <w:bottom w:val="none" w:sz="0" w:space="0" w:color="auto"/>
                <w:right w:val="none" w:sz="0" w:space="0" w:color="auto"/>
              </w:divBdr>
              <w:divsChild>
                <w:div w:id="1116169317">
                  <w:marLeft w:val="0"/>
                  <w:marRight w:val="0"/>
                  <w:marTop w:val="0"/>
                  <w:marBottom w:val="0"/>
                  <w:divBdr>
                    <w:top w:val="none" w:sz="0" w:space="0" w:color="auto"/>
                    <w:left w:val="none" w:sz="0" w:space="0" w:color="auto"/>
                    <w:bottom w:val="none" w:sz="0" w:space="0" w:color="auto"/>
                    <w:right w:val="none" w:sz="0" w:space="0" w:color="auto"/>
                  </w:divBdr>
                  <w:divsChild>
                    <w:div w:id="54945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7618518">
      <w:bodyDiv w:val="1"/>
      <w:marLeft w:val="0"/>
      <w:marRight w:val="0"/>
      <w:marTop w:val="0"/>
      <w:marBottom w:val="0"/>
      <w:divBdr>
        <w:top w:val="none" w:sz="0" w:space="0" w:color="auto"/>
        <w:left w:val="none" w:sz="0" w:space="0" w:color="auto"/>
        <w:bottom w:val="none" w:sz="0" w:space="0" w:color="auto"/>
        <w:right w:val="none" w:sz="0" w:space="0" w:color="auto"/>
      </w:divBdr>
    </w:div>
    <w:div w:id="845365307">
      <w:bodyDiv w:val="1"/>
      <w:marLeft w:val="0"/>
      <w:marRight w:val="0"/>
      <w:marTop w:val="0"/>
      <w:marBottom w:val="0"/>
      <w:divBdr>
        <w:top w:val="none" w:sz="0" w:space="0" w:color="auto"/>
        <w:left w:val="none" w:sz="0" w:space="0" w:color="auto"/>
        <w:bottom w:val="none" w:sz="0" w:space="0" w:color="auto"/>
        <w:right w:val="none" w:sz="0" w:space="0" w:color="auto"/>
      </w:divBdr>
    </w:div>
    <w:div w:id="895045236">
      <w:bodyDiv w:val="1"/>
      <w:marLeft w:val="0"/>
      <w:marRight w:val="0"/>
      <w:marTop w:val="0"/>
      <w:marBottom w:val="0"/>
      <w:divBdr>
        <w:top w:val="none" w:sz="0" w:space="0" w:color="auto"/>
        <w:left w:val="none" w:sz="0" w:space="0" w:color="auto"/>
        <w:bottom w:val="none" w:sz="0" w:space="0" w:color="auto"/>
        <w:right w:val="none" w:sz="0" w:space="0" w:color="auto"/>
      </w:divBdr>
    </w:div>
    <w:div w:id="928735473">
      <w:bodyDiv w:val="1"/>
      <w:marLeft w:val="0"/>
      <w:marRight w:val="0"/>
      <w:marTop w:val="0"/>
      <w:marBottom w:val="0"/>
      <w:divBdr>
        <w:top w:val="none" w:sz="0" w:space="0" w:color="auto"/>
        <w:left w:val="none" w:sz="0" w:space="0" w:color="auto"/>
        <w:bottom w:val="none" w:sz="0" w:space="0" w:color="auto"/>
        <w:right w:val="none" w:sz="0" w:space="0" w:color="auto"/>
      </w:divBdr>
    </w:div>
    <w:div w:id="992560184">
      <w:bodyDiv w:val="1"/>
      <w:marLeft w:val="0"/>
      <w:marRight w:val="0"/>
      <w:marTop w:val="0"/>
      <w:marBottom w:val="0"/>
      <w:divBdr>
        <w:top w:val="none" w:sz="0" w:space="0" w:color="auto"/>
        <w:left w:val="none" w:sz="0" w:space="0" w:color="auto"/>
        <w:bottom w:val="none" w:sz="0" w:space="0" w:color="auto"/>
        <w:right w:val="none" w:sz="0" w:space="0" w:color="auto"/>
      </w:divBdr>
      <w:divsChild>
        <w:div w:id="1419593141">
          <w:marLeft w:val="0"/>
          <w:marRight w:val="0"/>
          <w:marTop w:val="0"/>
          <w:marBottom w:val="0"/>
          <w:divBdr>
            <w:top w:val="none" w:sz="0" w:space="0" w:color="auto"/>
            <w:left w:val="none" w:sz="0" w:space="0" w:color="auto"/>
            <w:bottom w:val="none" w:sz="0" w:space="0" w:color="auto"/>
            <w:right w:val="none" w:sz="0" w:space="0" w:color="auto"/>
          </w:divBdr>
          <w:divsChild>
            <w:div w:id="1922369525">
              <w:marLeft w:val="0"/>
              <w:marRight w:val="0"/>
              <w:marTop w:val="0"/>
              <w:marBottom w:val="0"/>
              <w:divBdr>
                <w:top w:val="none" w:sz="0" w:space="0" w:color="auto"/>
                <w:left w:val="none" w:sz="0" w:space="0" w:color="auto"/>
                <w:bottom w:val="none" w:sz="0" w:space="0" w:color="auto"/>
                <w:right w:val="none" w:sz="0" w:space="0" w:color="auto"/>
              </w:divBdr>
              <w:divsChild>
                <w:div w:id="734206480">
                  <w:marLeft w:val="0"/>
                  <w:marRight w:val="0"/>
                  <w:marTop w:val="0"/>
                  <w:marBottom w:val="0"/>
                  <w:divBdr>
                    <w:top w:val="none" w:sz="0" w:space="0" w:color="auto"/>
                    <w:left w:val="none" w:sz="0" w:space="0" w:color="auto"/>
                    <w:bottom w:val="none" w:sz="0" w:space="0" w:color="auto"/>
                    <w:right w:val="none" w:sz="0" w:space="0" w:color="auto"/>
                  </w:divBdr>
                  <w:divsChild>
                    <w:div w:id="44381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886910">
      <w:bodyDiv w:val="1"/>
      <w:marLeft w:val="0"/>
      <w:marRight w:val="0"/>
      <w:marTop w:val="0"/>
      <w:marBottom w:val="0"/>
      <w:divBdr>
        <w:top w:val="none" w:sz="0" w:space="0" w:color="auto"/>
        <w:left w:val="none" w:sz="0" w:space="0" w:color="auto"/>
        <w:bottom w:val="none" w:sz="0" w:space="0" w:color="auto"/>
        <w:right w:val="none" w:sz="0" w:space="0" w:color="auto"/>
      </w:divBdr>
    </w:div>
    <w:div w:id="1113668361">
      <w:bodyDiv w:val="1"/>
      <w:marLeft w:val="0"/>
      <w:marRight w:val="0"/>
      <w:marTop w:val="0"/>
      <w:marBottom w:val="0"/>
      <w:divBdr>
        <w:top w:val="none" w:sz="0" w:space="0" w:color="auto"/>
        <w:left w:val="none" w:sz="0" w:space="0" w:color="auto"/>
        <w:bottom w:val="none" w:sz="0" w:space="0" w:color="auto"/>
        <w:right w:val="none" w:sz="0" w:space="0" w:color="auto"/>
      </w:divBdr>
      <w:divsChild>
        <w:div w:id="1374891650">
          <w:marLeft w:val="0"/>
          <w:marRight w:val="0"/>
          <w:marTop w:val="0"/>
          <w:marBottom w:val="0"/>
          <w:divBdr>
            <w:top w:val="none" w:sz="0" w:space="0" w:color="auto"/>
            <w:left w:val="none" w:sz="0" w:space="0" w:color="auto"/>
            <w:bottom w:val="none" w:sz="0" w:space="0" w:color="auto"/>
            <w:right w:val="none" w:sz="0" w:space="0" w:color="auto"/>
          </w:divBdr>
          <w:divsChild>
            <w:div w:id="54547080">
              <w:marLeft w:val="0"/>
              <w:marRight w:val="0"/>
              <w:marTop w:val="0"/>
              <w:marBottom w:val="0"/>
              <w:divBdr>
                <w:top w:val="none" w:sz="0" w:space="0" w:color="auto"/>
                <w:left w:val="none" w:sz="0" w:space="0" w:color="auto"/>
                <w:bottom w:val="none" w:sz="0" w:space="0" w:color="auto"/>
                <w:right w:val="none" w:sz="0" w:space="0" w:color="auto"/>
              </w:divBdr>
              <w:divsChild>
                <w:div w:id="603610242">
                  <w:marLeft w:val="0"/>
                  <w:marRight w:val="0"/>
                  <w:marTop w:val="0"/>
                  <w:marBottom w:val="0"/>
                  <w:divBdr>
                    <w:top w:val="none" w:sz="0" w:space="0" w:color="auto"/>
                    <w:left w:val="none" w:sz="0" w:space="0" w:color="auto"/>
                    <w:bottom w:val="none" w:sz="0" w:space="0" w:color="auto"/>
                    <w:right w:val="none" w:sz="0" w:space="0" w:color="auto"/>
                  </w:divBdr>
                  <w:divsChild>
                    <w:div w:id="1539199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6527610">
      <w:bodyDiv w:val="1"/>
      <w:marLeft w:val="0"/>
      <w:marRight w:val="0"/>
      <w:marTop w:val="0"/>
      <w:marBottom w:val="0"/>
      <w:divBdr>
        <w:top w:val="none" w:sz="0" w:space="0" w:color="auto"/>
        <w:left w:val="none" w:sz="0" w:space="0" w:color="auto"/>
        <w:bottom w:val="none" w:sz="0" w:space="0" w:color="auto"/>
        <w:right w:val="none" w:sz="0" w:space="0" w:color="auto"/>
      </w:divBdr>
    </w:div>
    <w:div w:id="1253932084">
      <w:bodyDiv w:val="1"/>
      <w:marLeft w:val="0"/>
      <w:marRight w:val="0"/>
      <w:marTop w:val="0"/>
      <w:marBottom w:val="0"/>
      <w:divBdr>
        <w:top w:val="none" w:sz="0" w:space="0" w:color="auto"/>
        <w:left w:val="none" w:sz="0" w:space="0" w:color="auto"/>
        <w:bottom w:val="none" w:sz="0" w:space="0" w:color="auto"/>
        <w:right w:val="none" w:sz="0" w:space="0" w:color="auto"/>
      </w:divBdr>
    </w:div>
    <w:div w:id="1271817368">
      <w:bodyDiv w:val="1"/>
      <w:marLeft w:val="0"/>
      <w:marRight w:val="0"/>
      <w:marTop w:val="0"/>
      <w:marBottom w:val="0"/>
      <w:divBdr>
        <w:top w:val="none" w:sz="0" w:space="0" w:color="auto"/>
        <w:left w:val="none" w:sz="0" w:space="0" w:color="auto"/>
        <w:bottom w:val="none" w:sz="0" w:space="0" w:color="auto"/>
        <w:right w:val="none" w:sz="0" w:space="0" w:color="auto"/>
      </w:divBdr>
    </w:div>
    <w:div w:id="1320231834">
      <w:bodyDiv w:val="1"/>
      <w:marLeft w:val="0"/>
      <w:marRight w:val="0"/>
      <w:marTop w:val="0"/>
      <w:marBottom w:val="0"/>
      <w:divBdr>
        <w:top w:val="none" w:sz="0" w:space="0" w:color="auto"/>
        <w:left w:val="none" w:sz="0" w:space="0" w:color="auto"/>
        <w:bottom w:val="none" w:sz="0" w:space="0" w:color="auto"/>
        <w:right w:val="none" w:sz="0" w:space="0" w:color="auto"/>
      </w:divBdr>
    </w:div>
    <w:div w:id="1381441450">
      <w:bodyDiv w:val="1"/>
      <w:marLeft w:val="0"/>
      <w:marRight w:val="0"/>
      <w:marTop w:val="0"/>
      <w:marBottom w:val="0"/>
      <w:divBdr>
        <w:top w:val="none" w:sz="0" w:space="0" w:color="auto"/>
        <w:left w:val="none" w:sz="0" w:space="0" w:color="auto"/>
        <w:bottom w:val="none" w:sz="0" w:space="0" w:color="auto"/>
        <w:right w:val="none" w:sz="0" w:space="0" w:color="auto"/>
      </w:divBdr>
    </w:div>
    <w:div w:id="1439328997">
      <w:bodyDiv w:val="1"/>
      <w:marLeft w:val="0"/>
      <w:marRight w:val="0"/>
      <w:marTop w:val="0"/>
      <w:marBottom w:val="0"/>
      <w:divBdr>
        <w:top w:val="none" w:sz="0" w:space="0" w:color="auto"/>
        <w:left w:val="none" w:sz="0" w:space="0" w:color="auto"/>
        <w:bottom w:val="none" w:sz="0" w:space="0" w:color="auto"/>
        <w:right w:val="none" w:sz="0" w:space="0" w:color="auto"/>
      </w:divBdr>
    </w:div>
    <w:div w:id="1536774619">
      <w:bodyDiv w:val="1"/>
      <w:marLeft w:val="0"/>
      <w:marRight w:val="0"/>
      <w:marTop w:val="0"/>
      <w:marBottom w:val="0"/>
      <w:divBdr>
        <w:top w:val="none" w:sz="0" w:space="0" w:color="auto"/>
        <w:left w:val="none" w:sz="0" w:space="0" w:color="auto"/>
        <w:bottom w:val="none" w:sz="0" w:space="0" w:color="auto"/>
        <w:right w:val="none" w:sz="0" w:space="0" w:color="auto"/>
      </w:divBdr>
    </w:div>
    <w:div w:id="1588155935">
      <w:bodyDiv w:val="1"/>
      <w:marLeft w:val="0"/>
      <w:marRight w:val="0"/>
      <w:marTop w:val="0"/>
      <w:marBottom w:val="0"/>
      <w:divBdr>
        <w:top w:val="none" w:sz="0" w:space="0" w:color="auto"/>
        <w:left w:val="none" w:sz="0" w:space="0" w:color="auto"/>
        <w:bottom w:val="none" w:sz="0" w:space="0" w:color="auto"/>
        <w:right w:val="none" w:sz="0" w:space="0" w:color="auto"/>
      </w:divBdr>
      <w:divsChild>
        <w:div w:id="815993753">
          <w:marLeft w:val="0"/>
          <w:marRight w:val="0"/>
          <w:marTop w:val="0"/>
          <w:marBottom w:val="0"/>
          <w:divBdr>
            <w:top w:val="none" w:sz="0" w:space="0" w:color="auto"/>
            <w:left w:val="none" w:sz="0" w:space="0" w:color="auto"/>
            <w:bottom w:val="none" w:sz="0" w:space="0" w:color="auto"/>
            <w:right w:val="none" w:sz="0" w:space="0" w:color="auto"/>
          </w:divBdr>
          <w:divsChild>
            <w:div w:id="397939941">
              <w:marLeft w:val="0"/>
              <w:marRight w:val="0"/>
              <w:marTop w:val="0"/>
              <w:marBottom w:val="0"/>
              <w:divBdr>
                <w:top w:val="none" w:sz="0" w:space="0" w:color="auto"/>
                <w:left w:val="none" w:sz="0" w:space="0" w:color="auto"/>
                <w:bottom w:val="none" w:sz="0" w:space="0" w:color="auto"/>
                <w:right w:val="none" w:sz="0" w:space="0" w:color="auto"/>
              </w:divBdr>
              <w:divsChild>
                <w:div w:id="2040158081">
                  <w:marLeft w:val="0"/>
                  <w:marRight w:val="0"/>
                  <w:marTop w:val="0"/>
                  <w:marBottom w:val="0"/>
                  <w:divBdr>
                    <w:top w:val="none" w:sz="0" w:space="0" w:color="auto"/>
                    <w:left w:val="none" w:sz="0" w:space="0" w:color="auto"/>
                    <w:bottom w:val="none" w:sz="0" w:space="0" w:color="auto"/>
                    <w:right w:val="none" w:sz="0" w:space="0" w:color="auto"/>
                  </w:divBdr>
                  <w:divsChild>
                    <w:div w:id="143983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997483">
      <w:bodyDiv w:val="1"/>
      <w:marLeft w:val="0"/>
      <w:marRight w:val="0"/>
      <w:marTop w:val="0"/>
      <w:marBottom w:val="0"/>
      <w:divBdr>
        <w:top w:val="none" w:sz="0" w:space="0" w:color="auto"/>
        <w:left w:val="none" w:sz="0" w:space="0" w:color="auto"/>
        <w:bottom w:val="none" w:sz="0" w:space="0" w:color="auto"/>
        <w:right w:val="none" w:sz="0" w:space="0" w:color="auto"/>
      </w:divBdr>
      <w:divsChild>
        <w:div w:id="613252147">
          <w:marLeft w:val="547"/>
          <w:marRight w:val="0"/>
          <w:marTop w:val="0"/>
          <w:marBottom w:val="0"/>
          <w:divBdr>
            <w:top w:val="none" w:sz="0" w:space="0" w:color="auto"/>
            <w:left w:val="none" w:sz="0" w:space="0" w:color="auto"/>
            <w:bottom w:val="none" w:sz="0" w:space="0" w:color="auto"/>
            <w:right w:val="none" w:sz="0" w:space="0" w:color="auto"/>
          </w:divBdr>
        </w:div>
        <w:div w:id="1025131616">
          <w:marLeft w:val="547"/>
          <w:marRight w:val="0"/>
          <w:marTop w:val="0"/>
          <w:marBottom w:val="0"/>
          <w:divBdr>
            <w:top w:val="none" w:sz="0" w:space="0" w:color="auto"/>
            <w:left w:val="none" w:sz="0" w:space="0" w:color="auto"/>
            <w:bottom w:val="none" w:sz="0" w:space="0" w:color="auto"/>
            <w:right w:val="none" w:sz="0" w:space="0" w:color="auto"/>
          </w:divBdr>
        </w:div>
        <w:div w:id="1163817127">
          <w:marLeft w:val="547"/>
          <w:marRight w:val="0"/>
          <w:marTop w:val="0"/>
          <w:marBottom w:val="0"/>
          <w:divBdr>
            <w:top w:val="none" w:sz="0" w:space="0" w:color="auto"/>
            <w:left w:val="none" w:sz="0" w:space="0" w:color="auto"/>
            <w:bottom w:val="none" w:sz="0" w:space="0" w:color="auto"/>
            <w:right w:val="none" w:sz="0" w:space="0" w:color="auto"/>
          </w:divBdr>
        </w:div>
      </w:divsChild>
    </w:div>
    <w:div w:id="1740245640">
      <w:bodyDiv w:val="1"/>
      <w:marLeft w:val="0"/>
      <w:marRight w:val="0"/>
      <w:marTop w:val="0"/>
      <w:marBottom w:val="0"/>
      <w:divBdr>
        <w:top w:val="none" w:sz="0" w:space="0" w:color="auto"/>
        <w:left w:val="none" w:sz="0" w:space="0" w:color="auto"/>
        <w:bottom w:val="none" w:sz="0" w:space="0" w:color="auto"/>
        <w:right w:val="none" w:sz="0" w:space="0" w:color="auto"/>
      </w:divBdr>
      <w:divsChild>
        <w:div w:id="828521419">
          <w:marLeft w:val="0"/>
          <w:marRight w:val="0"/>
          <w:marTop w:val="0"/>
          <w:marBottom w:val="0"/>
          <w:divBdr>
            <w:top w:val="none" w:sz="0" w:space="0" w:color="auto"/>
            <w:left w:val="none" w:sz="0" w:space="0" w:color="auto"/>
            <w:bottom w:val="none" w:sz="0" w:space="0" w:color="auto"/>
            <w:right w:val="none" w:sz="0" w:space="0" w:color="auto"/>
          </w:divBdr>
          <w:divsChild>
            <w:div w:id="1935823472">
              <w:marLeft w:val="0"/>
              <w:marRight w:val="0"/>
              <w:marTop w:val="0"/>
              <w:marBottom w:val="0"/>
              <w:divBdr>
                <w:top w:val="none" w:sz="0" w:space="0" w:color="auto"/>
                <w:left w:val="none" w:sz="0" w:space="0" w:color="auto"/>
                <w:bottom w:val="none" w:sz="0" w:space="0" w:color="auto"/>
                <w:right w:val="none" w:sz="0" w:space="0" w:color="auto"/>
              </w:divBdr>
              <w:divsChild>
                <w:div w:id="1773012365">
                  <w:marLeft w:val="0"/>
                  <w:marRight w:val="0"/>
                  <w:marTop w:val="0"/>
                  <w:marBottom w:val="0"/>
                  <w:divBdr>
                    <w:top w:val="none" w:sz="0" w:space="0" w:color="auto"/>
                    <w:left w:val="none" w:sz="0" w:space="0" w:color="auto"/>
                    <w:bottom w:val="none" w:sz="0" w:space="0" w:color="auto"/>
                    <w:right w:val="none" w:sz="0" w:space="0" w:color="auto"/>
                  </w:divBdr>
                  <w:divsChild>
                    <w:div w:id="60708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717393">
      <w:bodyDiv w:val="1"/>
      <w:marLeft w:val="0"/>
      <w:marRight w:val="0"/>
      <w:marTop w:val="0"/>
      <w:marBottom w:val="0"/>
      <w:divBdr>
        <w:top w:val="none" w:sz="0" w:space="0" w:color="auto"/>
        <w:left w:val="none" w:sz="0" w:space="0" w:color="auto"/>
        <w:bottom w:val="none" w:sz="0" w:space="0" w:color="auto"/>
        <w:right w:val="none" w:sz="0" w:space="0" w:color="auto"/>
      </w:divBdr>
    </w:div>
    <w:div w:id="1783451315">
      <w:bodyDiv w:val="1"/>
      <w:marLeft w:val="0"/>
      <w:marRight w:val="0"/>
      <w:marTop w:val="0"/>
      <w:marBottom w:val="0"/>
      <w:divBdr>
        <w:top w:val="none" w:sz="0" w:space="0" w:color="auto"/>
        <w:left w:val="none" w:sz="0" w:space="0" w:color="auto"/>
        <w:bottom w:val="none" w:sz="0" w:space="0" w:color="auto"/>
        <w:right w:val="none" w:sz="0" w:space="0" w:color="auto"/>
      </w:divBdr>
    </w:div>
    <w:div w:id="1788351360">
      <w:bodyDiv w:val="1"/>
      <w:marLeft w:val="0"/>
      <w:marRight w:val="0"/>
      <w:marTop w:val="0"/>
      <w:marBottom w:val="0"/>
      <w:divBdr>
        <w:top w:val="none" w:sz="0" w:space="0" w:color="auto"/>
        <w:left w:val="none" w:sz="0" w:space="0" w:color="auto"/>
        <w:bottom w:val="none" w:sz="0" w:space="0" w:color="auto"/>
        <w:right w:val="none" w:sz="0" w:space="0" w:color="auto"/>
      </w:divBdr>
    </w:div>
    <w:div w:id="1924366314">
      <w:bodyDiv w:val="1"/>
      <w:marLeft w:val="0"/>
      <w:marRight w:val="0"/>
      <w:marTop w:val="0"/>
      <w:marBottom w:val="0"/>
      <w:divBdr>
        <w:top w:val="none" w:sz="0" w:space="0" w:color="auto"/>
        <w:left w:val="none" w:sz="0" w:space="0" w:color="auto"/>
        <w:bottom w:val="none" w:sz="0" w:space="0" w:color="auto"/>
        <w:right w:val="none" w:sz="0" w:space="0" w:color="auto"/>
      </w:divBdr>
      <w:divsChild>
        <w:div w:id="462041097">
          <w:marLeft w:val="0"/>
          <w:marRight w:val="0"/>
          <w:marTop w:val="0"/>
          <w:marBottom w:val="0"/>
          <w:divBdr>
            <w:top w:val="none" w:sz="0" w:space="0" w:color="auto"/>
            <w:left w:val="none" w:sz="0" w:space="0" w:color="auto"/>
            <w:bottom w:val="none" w:sz="0" w:space="0" w:color="auto"/>
            <w:right w:val="none" w:sz="0" w:space="0" w:color="auto"/>
          </w:divBdr>
          <w:divsChild>
            <w:div w:id="1609048487">
              <w:marLeft w:val="0"/>
              <w:marRight w:val="0"/>
              <w:marTop w:val="0"/>
              <w:marBottom w:val="0"/>
              <w:divBdr>
                <w:top w:val="none" w:sz="0" w:space="0" w:color="auto"/>
                <w:left w:val="none" w:sz="0" w:space="0" w:color="auto"/>
                <w:bottom w:val="none" w:sz="0" w:space="0" w:color="auto"/>
                <w:right w:val="none" w:sz="0" w:space="0" w:color="auto"/>
              </w:divBdr>
              <w:divsChild>
                <w:div w:id="5518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367961">
      <w:bodyDiv w:val="1"/>
      <w:marLeft w:val="0"/>
      <w:marRight w:val="0"/>
      <w:marTop w:val="0"/>
      <w:marBottom w:val="0"/>
      <w:divBdr>
        <w:top w:val="none" w:sz="0" w:space="0" w:color="auto"/>
        <w:left w:val="none" w:sz="0" w:space="0" w:color="auto"/>
        <w:bottom w:val="none" w:sz="0" w:space="0" w:color="auto"/>
        <w:right w:val="none" w:sz="0" w:space="0" w:color="auto"/>
      </w:divBdr>
    </w:div>
    <w:div w:id="1965690916">
      <w:bodyDiv w:val="1"/>
      <w:marLeft w:val="0"/>
      <w:marRight w:val="0"/>
      <w:marTop w:val="0"/>
      <w:marBottom w:val="0"/>
      <w:divBdr>
        <w:top w:val="none" w:sz="0" w:space="0" w:color="auto"/>
        <w:left w:val="none" w:sz="0" w:space="0" w:color="auto"/>
        <w:bottom w:val="none" w:sz="0" w:space="0" w:color="auto"/>
        <w:right w:val="none" w:sz="0" w:space="0" w:color="auto"/>
      </w:divBdr>
    </w:div>
    <w:div w:id="1966159210">
      <w:bodyDiv w:val="1"/>
      <w:marLeft w:val="0"/>
      <w:marRight w:val="0"/>
      <w:marTop w:val="0"/>
      <w:marBottom w:val="0"/>
      <w:divBdr>
        <w:top w:val="none" w:sz="0" w:space="0" w:color="auto"/>
        <w:left w:val="none" w:sz="0" w:space="0" w:color="auto"/>
        <w:bottom w:val="none" w:sz="0" w:space="0" w:color="auto"/>
        <w:right w:val="none" w:sz="0" w:space="0" w:color="auto"/>
      </w:divBdr>
    </w:div>
    <w:div w:id="1978997837">
      <w:bodyDiv w:val="1"/>
      <w:marLeft w:val="0"/>
      <w:marRight w:val="0"/>
      <w:marTop w:val="0"/>
      <w:marBottom w:val="0"/>
      <w:divBdr>
        <w:top w:val="none" w:sz="0" w:space="0" w:color="auto"/>
        <w:left w:val="none" w:sz="0" w:space="0" w:color="auto"/>
        <w:bottom w:val="none" w:sz="0" w:space="0" w:color="auto"/>
        <w:right w:val="none" w:sz="0" w:space="0" w:color="auto"/>
      </w:divBdr>
    </w:div>
    <w:div w:id="1988510583">
      <w:bodyDiv w:val="1"/>
      <w:marLeft w:val="0"/>
      <w:marRight w:val="0"/>
      <w:marTop w:val="0"/>
      <w:marBottom w:val="0"/>
      <w:divBdr>
        <w:top w:val="none" w:sz="0" w:space="0" w:color="auto"/>
        <w:left w:val="none" w:sz="0" w:space="0" w:color="auto"/>
        <w:bottom w:val="none" w:sz="0" w:space="0" w:color="auto"/>
        <w:right w:val="none" w:sz="0" w:space="0" w:color="auto"/>
      </w:divBdr>
    </w:div>
    <w:div w:id="2014870742">
      <w:bodyDiv w:val="1"/>
      <w:marLeft w:val="0"/>
      <w:marRight w:val="0"/>
      <w:marTop w:val="0"/>
      <w:marBottom w:val="0"/>
      <w:divBdr>
        <w:top w:val="none" w:sz="0" w:space="0" w:color="auto"/>
        <w:left w:val="none" w:sz="0" w:space="0" w:color="auto"/>
        <w:bottom w:val="none" w:sz="0" w:space="0" w:color="auto"/>
        <w:right w:val="none" w:sz="0" w:space="0" w:color="auto"/>
      </w:divBdr>
    </w:div>
    <w:div w:id="2068650881">
      <w:bodyDiv w:val="1"/>
      <w:marLeft w:val="0"/>
      <w:marRight w:val="0"/>
      <w:marTop w:val="0"/>
      <w:marBottom w:val="0"/>
      <w:divBdr>
        <w:top w:val="none" w:sz="0" w:space="0" w:color="auto"/>
        <w:left w:val="none" w:sz="0" w:space="0" w:color="auto"/>
        <w:bottom w:val="none" w:sz="0" w:space="0" w:color="auto"/>
        <w:right w:val="none" w:sz="0" w:space="0" w:color="auto"/>
      </w:divBdr>
    </w:div>
    <w:div w:id="2145806974">
      <w:bodyDiv w:val="1"/>
      <w:marLeft w:val="0"/>
      <w:marRight w:val="0"/>
      <w:marTop w:val="0"/>
      <w:marBottom w:val="0"/>
      <w:divBdr>
        <w:top w:val="none" w:sz="0" w:space="0" w:color="auto"/>
        <w:left w:val="none" w:sz="0" w:space="0" w:color="auto"/>
        <w:bottom w:val="none" w:sz="0" w:space="0" w:color="auto"/>
        <w:right w:val="none" w:sz="0" w:space="0" w:color="auto"/>
      </w:divBdr>
      <w:divsChild>
        <w:div w:id="1746760512">
          <w:marLeft w:val="547"/>
          <w:marRight w:val="0"/>
          <w:marTop w:val="0"/>
          <w:marBottom w:val="0"/>
          <w:divBdr>
            <w:top w:val="none" w:sz="0" w:space="0" w:color="auto"/>
            <w:left w:val="none" w:sz="0" w:space="0" w:color="auto"/>
            <w:bottom w:val="none" w:sz="0" w:space="0" w:color="auto"/>
            <w:right w:val="none" w:sz="0" w:space="0" w:color="auto"/>
          </w:divBdr>
        </w:div>
        <w:div w:id="2108114599">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4.xml"/><Relationship Id="rId21" Type="http://schemas.openxmlformats.org/officeDocument/2006/relationships/chart" Target="charts/chart9.xml"/><Relationship Id="rId42" Type="http://schemas.openxmlformats.org/officeDocument/2006/relationships/image" Target="media/image7.png"/><Relationship Id="rId47" Type="http://schemas.openxmlformats.org/officeDocument/2006/relationships/image" Target="media/image12.png"/><Relationship Id="rId63" Type="http://schemas.openxmlformats.org/officeDocument/2006/relationships/chart" Target="charts/chart37.xml"/><Relationship Id="rId68" Type="http://schemas.openxmlformats.org/officeDocument/2006/relationships/image" Target="media/image18.emf"/><Relationship Id="rId16" Type="http://schemas.openxmlformats.org/officeDocument/2006/relationships/chart" Target="charts/chart4.xml"/><Relationship Id="rId11" Type="http://schemas.openxmlformats.org/officeDocument/2006/relationships/footer" Target="footer1.xml"/><Relationship Id="rId24" Type="http://schemas.openxmlformats.org/officeDocument/2006/relationships/chart" Target="charts/chart12.xml"/><Relationship Id="rId32" Type="http://schemas.openxmlformats.org/officeDocument/2006/relationships/chart" Target="charts/chart20.xml"/><Relationship Id="rId37" Type="http://schemas.openxmlformats.org/officeDocument/2006/relationships/chart" Target="charts/chart24.xml"/><Relationship Id="rId40" Type="http://schemas.openxmlformats.org/officeDocument/2006/relationships/image" Target="media/image5.png"/><Relationship Id="rId45" Type="http://schemas.openxmlformats.org/officeDocument/2006/relationships/image" Target="media/image10.png"/><Relationship Id="rId53" Type="http://schemas.openxmlformats.org/officeDocument/2006/relationships/chart" Target="charts/chart27.xml"/><Relationship Id="rId58" Type="http://schemas.openxmlformats.org/officeDocument/2006/relationships/chart" Target="charts/chart32.xml"/><Relationship Id="rId66" Type="http://schemas.openxmlformats.org/officeDocument/2006/relationships/image" Target="media/image16.emf"/><Relationship Id="rId74" Type="http://schemas.openxmlformats.org/officeDocument/2006/relationships/header" Target="header4.xm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chart" Target="charts/chart35.xml"/><Relationship Id="rId19" Type="http://schemas.openxmlformats.org/officeDocument/2006/relationships/chart" Target="charts/chart7.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chart" Target="charts/chart18.xml"/><Relationship Id="rId35" Type="http://schemas.openxmlformats.org/officeDocument/2006/relationships/chart" Target="charts/chart22.xml"/><Relationship Id="rId43" Type="http://schemas.openxmlformats.org/officeDocument/2006/relationships/image" Target="media/image8.png"/><Relationship Id="rId48" Type="http://schemas.openxmlformats.org/officeDocument/2006/relationships/image" Target="media/image13.png"/><Relationship Id="rId56" Type="http://schemas.openxmlformats.org/officeDocument/2006/relationships/chart" Target="charts/chart30.xml"/><Relationship Id="rId64" Type="http://schemas.openxmlformats.org/officeDocument/2006/relationships/chart" Target="charts/chart38.xml"/><Relationship Id="rId69" Type="http://schemas.openxmlformats.org/officeDocument/2006/relationships/image" Target="media/image19.emf"/><Relationship Id="rId77" Type="http://schemas.openxmlformats.org/officeDocument/2006/relationships/header" Target="header5.xml"/><Relationship Id="rId8" Type="http://schemas.openxmlformats.org/officeDocument/2006/relationships/image" Target="media/image1.png"/><Relationship Id="rId51" Type="http://schemas.openxmlformats.org/officeDocument/2006/relationships/chart" Target="charts/chart25.xml"/><Relationship Id="rId72" Type="http://schemas.openxmlformats.org/officeDocument/2006/relationships/image" Target="media/image22.emf"/><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image" Target="media/image2.emf"/><Relationship Id="rId38" Type="http://schemas.openxmlformats.org/officeDocument/2006/relationships/image" Target="media/image3.png"/><Relationship Id="rId46" Type="http://schemas.openxmlformats.org/officeDocument/2006/relationships/image" Target="media/image11.png"/><Relationship Id="rId59" Type="http://schemas.openxmlformats.org/officeDocument/2006/relationships/chart" Target="charts/chart33.xml"/><Relationship Id="rId67" Type="http://schemas.openxmlformats.org/officeDocument/2006/relationships/image" Target="media/image17.emf"/><Relationship Id="rId20" Type="http://schemas.openxmlformats.org/officeDocument/2006/relationships/chart" Target="charts/chart8.xml"/><Relationship Id="rId41" Type="http://schemas.openxmlformats.org/officeDocument/2006/relationships/image" Target="media/image6.png"/><Relationship Id="rId54" Type="http://schemas.openxmlformats.org/officeDocument/2006/relationships/chart" Target="charts/chart28.xml"/><Relationship Id="rId62" Type="http://schemas.openxmlformats.org/officeDocument/2006/relationships/chart" Target="charts/chart36.xml"/><Relationship Id="rId70" Type="http://schemas.openxmlformats.org/officeDocument/2006/relationships/image" Target="media/image20.emf"/><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chart" Target="charts/chart23.xml"/><Relationship Id="rId49" Type="http://schemas.openxmlformats.org/officeDocument/2006/relationships/image" Target="media/image14.png"/><Relationship Id="rId57" Type="http://schemas.openxmlformats.org/officeDocument/2006/relationships/chart" Target="charts/chart31.xml"/><Relationship Id="rId10" Type="http://schemas.openxmlformats.org/officeDocument/2006/relationships/header" Target="header2.xml"/><Relationship Id="rId31" Type="http://schemas.openxmlformats.org/officeDocument/2006/relationships/chart" Target="charts/chart19.xml"/><Relationship Id="rId44" Type="http://schemas.openxmlformats.org/officeDocument/2006/relationships/image" Target="media/image9.png"/><Relationship Id="rId52" Type="http://schemas.openxmlformats.org/officeDocument/2006/relationships/chart" Target="charts/chart26.xml"/><Relationship Id="rId60" Type="http://schemas.openxmlformats.org/officeDocument/2006/relationships/chart" Target="charts/chart34.xml"/><Relationship Id="rId65" Type="http://schemas.openxmlformats.org/officeDocument/2006/relationships/chart" Target="charts/chart39.xml"/><Relationship Id="rId73" Type="http://schemas.openxmlformats.org/officeDocument/2006/relationships/header" Target="header3.xml"/><Relationship Id="rId78"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chart" Target="charts/chart6.xml"/><Relationship Id="rId39" Type="http://schemas.openxmlformats.org/officeDocument/2006/relationships/image" Target="media/image4.png"/><Relationship Id="rId34" Type="http://schemas.openxmlformats.org/officeDocument/2006/relationships/chart" Target="charts/chart21.xml"/><Relationship Id="rId50" Type="http://schemas.openxmlformats.org/officeDocument/2006/relationships/image" Target="media/image15.emf"/><Relationship Id="rId55" Type="http://schemas.openxmlformats.org/officeDocument/2006/relationships/chart" Target="charts/chart29.xml"/><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21.emf"/><Relationship Id="rId2" Type="http://schemas.openxmlformats.org/officeDocument/2006/relationships/numbering" Target="numbering.xml"/><Relationship Id="rId29" Type="http://schemas.openxmlformats.org/officeDocument/2006/relationships/chart" Target="charts/chart17.xml"/></Relationships>
</file>

<file path=word/_rels/footnotes.xml.rels><?xml version="1.0" encoding="UTF-8" standalone="yes"?>
<Relationships xmlns="http://schemas.openxmlformats.org/package/2006/relationships"><Relationship Id="rId1" Type="http://schemas.openxmlformats.org/officeDocument/2006/relationships/hyperlink" Target="https://www.imf.org//media/Files/Publications/&#203;EO/2022/October/English/text.ash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13.xml.rels><?xml version="1.0" encoding="UTF-8" standalone="yes"?>
<Relationships xmlns="http://schemas.openxmlformats.org/package/2006/relationships"><Relationship Id="rId1" Type="http://schemas.openxmlformats.org/officeDocument/2006/relationships/oleObject" Target="Chart%202%20in%20Microsoft%20Word" TargetMode="External"/></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16.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19.xml.rels><?xml version="1.0" encoding="UTF-8" standalone="yes"?>
<Relationships xmlns="http://schemas.openxmlformats.org/package/2006/relationships"><Relationship Id="rId1" Type="http://schemas.openxmlformats.org/officeDocument/2006/relationships/oleObject" Target="Chart%202%20in%20Microsoft%20Word"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0.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21.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23.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24.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25.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Analiza%2012%20m%202022\faktiku%202022\analiza%20faktikut%202022.xlsx" TargetMode="External"/><Relationship Id="rId1" Type="http://schemas.openxmlformats.org/officeDocument/2006/relationships/themeOverride" Target="../theme/themeOverride6.xml"/></Relationships>
</file>

<file path=word/charts/_rels/chart26.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Analiza%2012%20m%202022\faktiku%202022\analiza%20faktikut%202022.xlsx" TargetMode="External"/><Relationship Id="rId1" Type="http://schemas.openxmlformats.org/officeDocument/2006/relationships/themeOverride" Target="../theme/themeOverride7.xml"/></Relationships>
</file>

<file path=word/charts/_rels/chart27.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Analiza%2012%20m%202022\faktiku%202022\analiza%20faktikut%202022.xlsx" TargetMode="External"/><Relationship Id="rId1" Type="http://schemas.openxmlformats.org/officeDocument/2006/relationships/themeOverride" Target="../theme/themeOverride8.xml"/></Relationships>
</file>

<file path=word/charts/_rels/chart28.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Analiza%2012%20m%202022\faktiku%202022\analiza%20faktikut%202022.xlsx" TargetMode="External"/><Relationship Id="rId1" Type="http://schemas.openxmlformats.org/officeDocument/2006/relationships/themeOverride" Target="../theme/themeOverride9.xml"/></Relationships>
</file>

<file path=word/charts/_rels/chart29.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Analiza%2012%20m%202022\faktiku%202022\analiza%20faktikut%202022.xlsx" TargetMode="External"/><Relationship Id="rId1" Type="http://schemas.openxmlformats.org/officeDocument/2006/relationships/themeOverride" Target="../theme/themeOverride10.xml"/></Relationships>
</file>

<file path=word/charts/_rels/chart3.xml.rels><?xml version="1.0" encoding="UTF-8" standalone="yes"?>
<Relationships xmlns="http://schemas.openxmlformats.org/package/2006/relationships"><Relationship Id="rId1" Type="http://schemas.openxmlformats.org/officeDocument/2006/relationships/oleObject" Target="Chart%20in%20Microsoft%20Word" TargetMode="External"/></Relationships>
</file>

<file path=word/charts/_rels/chart30.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Analiza%2012%20m%202022\faktiku%202022\analiza%20faktikut%202022.xlsx" TargetMode="External"/><Relationship Id="rId1" Type="http://schemas.openxmlformats.org/officeDocument/2006/relationships/themeOverride" Target="../theme/themeOverride11.xml"/></Relationships>
</file>

<file path=word/charts/_rels/chart31.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Analiza%2012%20m%202022\faktiku%202022\analiza%20faktikut%202022.xlsx" TargetMode="External"/><Relationship Id="rId1" Type="http://schemas.openxmlformats.org/officeDocument/2006/relationships/themeOverride" Target="../theme/themeOverride12.xml"/></Relationships>
</file>

<file path=word/charts/_rels/chart32.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Analiza%2012%20m%202022\faktiku%202022\analiza%20faktikut%202022.xlsx" TargetMode="External"/><Relationship Id="rId1" Type="http://schemas.openxmlformats.org/officeDocument/2006/relationships/themeOverride" Target="../theme/themeOverride13.xml"/></Relationships>
</file>

<file path=word/charts/_rels/chart33.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4.xml"/></Relationships>
</file>

<file path=word/charts/_rels/chart34.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5.xml"/></Relationships>
</file>

<file path=word/charts/_rels/chart35.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6.xml"/></Relationships>
</file>

<file path=word/charts/_rels/chart36.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7.xml"/></Relationships>
</file>

<file path=word/charts/_rels/chart37.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8.xml"/></Relationships>
</file>

<file path=word/charts/_rels/chart38.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9.xml"/></Relationships>
</file>

<file path=word/charts/_rels/chart39.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20.xm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5.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Analiza%2012%20m%202022\faktiku%202022\analiza%20faktikut%202022.xlsx" TargetMode="External"/><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ardita.xhyheri\Desktop\Ardita%20Xhyheri\Desktop\djathtas\2023\Analiza%2012%20m%202022\faktiku%202022\analiza%20faktikut%202022.xlsx" TargetMode="External"/><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1" Type="http://schemas.openxmlformats.org/officeDocument/2006/relationships/oleObject" Target="Chart%202%20in%20Microsoft%20Word" TargetMode="Externa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82810103282544"/>
          <c:y val="5.2293796054195388E-2"/>
          <c:w val="0.53315011759893649"/>
          <c:h val="0.76324449828386831"/>
        </c:manualLayout>
      </c:layout>
      <c:barChart>
        <c:barDir val="col"/>
        <c:grouping val="clustered"/>
        <c:varyColors val="0"/>
        <c:ser>
          <c:idx val="0"/>
          <c:order val="0"/>
          <c:tx>
            <c:strRef>
              <c:f>Sheet1!$C$6</c:f>
              <c:strCache>
                <c:ptCount val="1"/>
                <c:pt idx="0">
                  <c:v>PBB</c:v>
                </c:pt>
              </c:strCache>
            </c:strRef>
          </c:tx>
          <c:spPr>
            <a:gradFill rotWithShape="1">
              <a:gsLst>
                <a:gs pos="0">
                  <a:schemeClr val="accent1">
                    <a:tint val="100000"/>
                    <a:shade val="100000"/>
                    <a:satMod val="130000"/>
                  </a:schemeClr>
                </a:gs>
                <a:gs pos="100000">
                  <a:schemeClr val="accent1">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Sheet1!$D$4:$M$5</c:f>
              <c:strCache>
                <c:ptCount val="10"/>
                <c:pt idx="0">
                  <c:v>2013 </c:v>
                </c:pt>
                <c:pt idx="1">
                  <c:v>2014 </c:v>
                </c:pt>
                <c:pt idx="2">
                  <c:v>2015 </c:v>
                </c:pt>
                <c:pt idx="3">
                  <c:v>2016 </c:v>
                </c:pt>
                <c:pt idx="4">
                  <c:v>2017 </c:v>
                </c:pt>
                <c:pt idx="5">
                  <c:v>2018 </c:v>
                </c:pt>
                <c:pt idx="6">
                  <c:v>2019 </c:v>
                </c:pt>
                <c:pt idx="7">
                  <c:v>2020 </c:v>
                </c:pt>
                <c:pt idx="8">
                  <c:v>2021 </c:v>
                </c:pt>
                <c:pt idx="9">
                  <c:v>2022 </c:v>
                </c:pt>
              </c:strCache>
            </c:strRef>
          </c:cat>
          <c:val>
            <c:numRef>
              <c:f>Sheet1!$D$6:$M$6</c:f>
              <c:numCache>
                <c:formatCode>_(* #,##0_);_(* \(#,##0\);_(* "-"??_);_(@_)</c:formatCode>
                <c:ptCount val="10"/>
                <c:pt idx="0">
                  <c:v>1350052.6359381662</c:v>
                </c:pt>
                <c:pt idx="1">
                  <c:v>1395304.6322167269</c:v>
                </c:pt>
                <c:pt idx="2">
                  <c:v>1434306.5106918109</c:v>
                </c:pt>
                <c:pt idx="3">
                  <c:v>1472479.1266212054</c:v>
                </c:pt>
                <c:pt idx="4">
                  <c:v>1550645.4859021064</c:v>
                </c:pt>
                <c:pt idx="5">
                  <c:v>1636729.6040564699</c:v>
                </c:pt>
                <c:pt idx="6">
                  <c:v>1691903.4297675418</c:v>
                </c:pt>
                <c:pt idx="7">
                  <c:v>1647431.0713627078</c:v>
                </c:pt>
                <c:pt idx="8">
                  <c:v>1856172.1010820128</c:v>
                </c:pt>
                <c:pt idx="9" formatCode="General">
                  <c:v>2134463.5474524791</c:v>
                </c:pt>
              </c:numCache>
            </c:numRef>
          </c:val>
          <c:extLst>
            <c:ext xmlns:c16="http://schemas.microsoft.com/office/drawing/2014/chart" uri="{C3380CC4-5D6E-409C-BE32-E72D297353CC}">
              <c16:uniqueId val="{00000000-8899-48E8-9C2B-A487D6B8AEFA}"/>
            </c:ext>
          </c:extLst>
        </c:ser>
        <c:ser>
          <c:idx val="1"/>
          <c:order val="1"/>
          <c:tx>
            <c:strRef>
              <c:f>Sheet1!$C$7</c:f>
              <c:strCache>
                <c:ptCount val="1"/>
                <c:pt idx="0">
                  <c:v>Shpenzimet e Përgjithshme</c:v>
                </c:pt>
              </c:strCache>
            </c:strRef>
          </c:tx>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Sheet1!$D$4:$M$5</c:f>
              <c:strCache>
                <c:ptCount val="10"/>
                <c:pt idx="0">
                  <c:v>2013 </c:v>
                </c:pt>
                <c:pt idx="1">
                  <c:v>2014 </c:v>
                </c:pt>
                <c:pt idx="2">
                  <c:v>2015 </c:v>
                </c:pt>
                <c:pt idx="3">
                  <c:v>2016 </c:v>
                </c:pt>
                <c:pt idx="4">
                  <c:v>2017 </c:v>
                </c:pt>
                <c:pt idx="5">
                  <c:v>2018 </c:v>
                </c:pt>
                <c:pt idx="6">
                  <c:v>2019 </c:v>
                </c:pt>
                <c:pt idx="7">
                  <c:v>2020 </c:v>
                </c:pt>
                <c:pt idx="8">
                  <c:v>2021 </c:v>
                </c:pt>
                <c:pt idx="9">
                  <c:v>2022 </c:v>
                </c:pt>
              </c:strCache>
            </c:strRef>
          </c:cat>
          <c:val>
            <c:numRef>
              <c:f>Sheet1!$D$7:$M$7</c:f>
              <c:numCache>
                <c:formatCode>_(* #,##0_);_(* \(#,##0\);_(* "-"??_);_(@_)</c:formatCode>
                <c:ptCount val="10"/>
                <c:pt idx="0">
                  <c:v>394118</c:v>
                </c:pt>
                <c:pt idx="1">
                  <c:v>438849</c:v>
                </c:pt>
                <c:pt idx="2">
                  <c:v>437408</c:v>
                </c:pt>
                <c:pt idx="3">
                  <c:v>433697</c:v>
                </c:pt>
                <c:pt idx="4">
                  <c:v>461409.56000000006</c:v>
                </c:pt>
                <c:pt idx="5">
                  <c:v>476147.14000000007</c:v>
                </c:pt>
                <c:pt idx="6">
                  <c:v>491897.24000000005</c:v>
                </c:pt>
                <c:pt idx="7">
                  <c:v>536278.6</c:v>
                </c:pt>
                <c:pt idx="8">
                  <c:v>596279.39000000013</c:v>
                </c:pt>
                <c:pt idx="9">
                  <c:v>651015.23</c:v>
                </c:pt>
              </c:numCache>
            </c:numRef>
          </c:val>
          <c:extLst>
            <c:ext xmlns:c16="http://schemas.microsoft.com/office/drawing/2014/chart" uri="{C3380CC4-5D6E-409C-BE32-E72D297353CC}">
              <c16:uniqueId val="{00000001-8899-48E8-9C2B-A487D6B8AEFA}"/>
            </c:ext>
          </c:extLst>
        </c:ser>
        <c:dLbls>
          <c:showLegendKey val="0"/>
          <c:showVal val="0"/>
          <c:showCatName val="0"/>
          <c:showSerName val="0"/>
          <c:showPercent val="0"/>
          <c:showBubbleSize val="0"/>
        </c:dLbls>
        <c:gapWidth val="87"/>
        <c:axId val="334004608"/>
        <c:axId val="334006144"/>
      </c:barChart>
      <c:lineChart>
        <c:grouping val="standard"/>
        <c:varyColors val="0"/>
        <c:ser>
          <c:idx val="2"/>
          <c:order val="2"/>
          <c:tx>
            <c:strRef>
              <c:f>Sheet1!$C$8</c:f>
              <c:strCache>
                <c:ptCount val="1"/>
                <c:pt idx="0">
                  <c:v>Shpenzimet e Përgjithshme (% PBB) </c:v>
                </c:pt>
              </c:strCache>
            </c:strRef>
          </c:tx>
          <c:spPr>
            <a:ln w="34925" cap="rnd">
              <a:solidFill>
                <a:schemeClr val="accent3"/>
              </a:solidFill>
              <a:round/>
            </a:ln>
            <a:effectLst>
              <a:outerShdw blurRad="40000" dist="23000" dir="5400000" rotWithShape="0">
                <a:srgbClr val="000000">
                  <a:alpha val="35000"/>
                </a:srgbClr>
              </a:outerShdw>
            </a:effectLst>
          </c:spPr>
          <c:marker>
            <c:symbol val="none"/>
          </c:marker>
          <c:dPt>
            <c:idx val="6"/>
            <c:bubble3D val="0"/>
            <c:extLst>
              <c:ext xmlns:c16="http://schemas.microsoft.com/office/drawing/2014/chart" uri="{C3380CC4-5D6E-409C-BE32-E72D297353CC}">
                <c16:uniqueId val="{00000002-8899-48E8-9C2B-A487D6B8AEFA}"/>
              </c:ext>
            </c:extLst>
          </c:dPt>
          <c:dLbls>
            <c:dLbl>
              <c:idx val="0"/>
              <c:layout>
                <c:manualLayout>
                  <c:x val="-5.8333333333333334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899-48E8-9C2B-A487D6B8AEFA}"/>
                </c:ext>
              </c:extLst>
            </c:dLbl>
            <c:dLbl>
              <c:idx val="1"/>
              <c:layout>
                <c:manualLayout>
                  <c:x val="-6.3888888888888884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899-48E8-9C2B-A487D6B8AEFA}"/>
                </c:ext>
              </c:extLst>
            </c:dLbl>
            <c:dLbl>
              <c:idx val="2"/>
              <c:layout>
                <c:manualLayout>
                  <c:x val="-6.1111111111111109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899-48E8-9C2B-A487D6B8AEFA}"/>
                </c:ext>
              </c:extLst>
            </c:dLbl>
            <c:dLbl>
              <c:idx val="3"/>
              <c:layout>
                <c:manualLayout>
                  <c:x val="-5.8333333333333334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899-48E8-9C2B-A487D6B8AEFA}"/>
                </c:ext>
              </c:extLst>
            </c:dLbl>
            <c:dLbl>
              <c:idx val="4"/>
              <c:layout>
                <c:manualLayout>
                  <c:x val="-0.05"/>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899-48E8-9C2B-A487D6B8AEFA}"/>
                </c:ext>
              </c:extLst>
            </c:dLbl>
            <c:dLbl>
              <c:idx val="5"/>
              <c:layout>
                <c:manualLayout>
                  <c:x val="-5.2777777777777882E-2"/>
                  <c:y val="-4.1666666666666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8899-48E8-9C2B-A487D6B8AEFA}"/>
                </c:ext>
              </c:extLst>
            </c:dLbl>
            <c:dLbl>
              <c:idx val="6"/>
              <c:layout>
                <c:manualLayout>
                  <c:x val="-5.5555555555555657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899-48E8-9C2B-A487D6B8AEFA}"/>
                </c:ext>
              </c:extLst>
            </c:dLbl>
            <c:dLbl>
              <c:idx val="7"/>
              <c:layout>
                <c:manualLayout>
                  <c:x val="-5.5555555555555552E-2"/>
                  <c:y val="-3.703703703703703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899-48E8-9C2B-A487D6B8AEFA}"/>
                </c:ext>
              </c:extLst>
            </c:dLbl>
            <c:dLbl>
              <c:idx val="8"/>
              <c:layout>
                <c:manualLayout>
                  <c:x val="-4.4444444444444446E-2"/>
                  <c:y val="-5.5555555555555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899-48E8-9C2B-A487D6B8AEFA}"/>
                </c:ext>
              </c:extLst>
            </c:dLbl>
            <c:dLbl>
              <c:idx val="9"/>
              <c:layout>
                <c:manualLayout>
                  <c:x val="-2.9655990510083038E-2"/>
                  <c:y val="-1.78253119429590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899-48E8-9C2B-A487D6B8AEFA}"/>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Sheet1!$D$4:$M$5</c:f>
              <c:strCache>
                <c:ptCount val="10"/>
                <c:pt idx="0">
                  <c:v>2013 </c:v>
                </c:pt>
                <c:pt idx="1">
                  <c:v>2014 </c:v>
                </c:pt>
                <c:pt idx="2">
                  <c:v>2015 </c:v>
                </c:pt>
                <c:pt idx="3">
                  <c:v>2016 </c:v>
                </c:pt>
                <c:pt idx="4">
                  <c:v>2017 </c:v>
                </c:pt>
                <c:pt idx="5">
                  <c:v>2018 </c:v>
                </c:pt>
                <c:pt idx="6">
                  <c:v>2019 </c:v>
                </c:pt>
                <c:pt idx="7">
                  <c:v>2020 </c:v>
                </c:pt>
                <c:pt idx="8">
                  <c:v>2021 </c:v>
                </c:pt>
                <c:pt idx="9">
                  <c:v>2022 </c:v>
                </c:pt>
              </c:strCache>
            </c:strRef>
          </c:cat>
          <c:val>
            <c:numRef>
              <c:f>Sheet1!$D$8:$M$8</c:f>
              <c:numCache>
                <c:formatCode>#,##0.0</c:formatCode>
                <c:ptCount val="10"/>
                <c:pt idx="0">
                  <c:v>29.192790158575111</c:v>
                </c:pt>
                <c:pt idx="1">
                  <c:v>31.451843096166147</c:v>
                </c:pt>
                <c:pt idx="2">
                  <c:v>30.496122376112432</c:v>
                </c:pt>
                <c:pt idx="3">
                  <c:v>29.453524478487793</c:v>
                </c:pt>
                <c:pt idx="4">
                  <c:v>29.755967059844728</c:v>
                </c:pt>
                <c:pt idx="5">
                  <c:v>29.091374581355232</c:v>
                </c:pt>
                <c:pt idx="6">
                  <c:v>29.073600262609787</c:v>
                </c:pt>
                <c:pt idx="7">
                  <c:v>32.552415049232117</c:v>
                </c:pt>
                <c:pt idx="8">
                  <c:v>32.124143534557639</c:v>
                </c:pt>
                <c:pt idx="9">
                  <c:v>30.50018028075478</c:v>
                </c:pt>
              </c:numCache>
            </c:numRef>
          </c:val>
          <c:smooth val="0"/>
          <c:extLst>
            <c:ext xmlns:c16="http://schemas.microsoft.com/office/drawing/2014/chart" uri="{C3380CC4-5D6E-409C-BE32-E72D297353CC}">
              <c16:uniqueId val="{0000000C-8899-48E8-9C2B-A487D6B8AEFA}"/>
            </c:ext>
          </c:extLst>
        </c:ser>
        <c:ser>
          <c:idx val="3"/>
          <c:order val="3"/>
          <c:tx>
            <c:strRef>
              <c:f>Sheet1!$C$9</c:f>
              <c:strCache>
                <c:ptCount val="1"/>
                <c:pt idx="0">
                  <c:v>Deficiti Buxhetor (% PBB)</c:v>
                </c:pt>
              </c:strCache>
            </c:strRef>
          </c:tx>
          <c:spPr>
            <a:ln w="34925" cap="rnd">
              <a:solidFill>
                <a:schemeClr val="accent4"/>
              </a:solidFill>
              <a:round/>
            </a:ln>
            <a:effectLst>
              <a:outerShdw blurRad="40000" dist="23000" dir="5400000" rotWithShape="0">
                <a:srgbClr val="000000">
                  <a:alpha val="35000"/>
                </a:srgbClr>
              </a:outerShdw>
            </a:effectLst>
          </c:spPr>
          <c:marker>
            <c:symbol val="none"/>
          </c:marker>
          <c:dLbls>
            <c:dLbl>
              <c:idx val="0"/>
              <c:layout>
                <c:manualLayout>
                  <c:x val="-4.7222222222222221E-2"/>
                  <c:y val="-4.629629629629629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899-48E8-9C2B-A487D6B8AEFA}"/>
                </c:ext>
              </c:extLst>
            </c:dLbl>
            <c:dLbl>
              <c:idx val="1"/>
              <c:layout>
                <c:manualLayout>
                  <c:x val="-5.833333333333333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899-48E8-9C2B-A487D6B8AEFA}"/>
                </c:ext>
              </c:extLst>
            </c:dLbl>
            <c:dLbl>
              <c:idx val="2"/>
              <c:layout>
                <c:manualLayout>
                  <c:x val="-5.5555555555555552E-2"/>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8899-48E8-9C2B-A487D6B8AEFA}"/>
                </c:ext>
              </c:extLst>
            </c:dLbl>
            <c:dLbl>
              <c:idx val="3"/>
              <c:layout>
                <c:manualLayout>
                  <c:x val="-6.9444444444444489E-2"/>
                  <c:y val="-3.24074074074074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8899-48E8-9C2B-A487D6B8AEFA}"/>
                </c:ext>
              </c:extLst>
            </c:dLbl>
            <c:dLbl>
              <c:idx val="4"/>
              <c:layout>
                <c:manualLayout>
                  <c:x val="-6.1111111111111213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8899-48E8-9C2B-A487D6B8AEFA}"/>
                </c:ext>
              </c:extLst>
            </c:dLbl>
            <c:dLbl>
              <c:idx val="5"/>
              <c:layout>
                <c:manualLayout>
                  <c:x val="-5.8333333333333334E-2"/>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8899-48E8-9C2B-A487D6B8AEFA}"/>
                </c:ext>
              </c:extLst>
            </c:dLbl>
            <c:dLbl>
              <c:idx val="6"/>
              <c:layout>
                <c:manualLayout>
                  <c:x val="-6.3888888888888884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8899-48E8-9C2B-A487D6B8AEFA}"/>
                </c:ext>
              </c:extLst>
            </c:dLbl>
            <c:dLbl>
              <c:idx val="7"/>
              <c:layout>
                <c:manualLayout>
                  <c:x val="-3.8888888888888994E-2"/>
                  <c:y val="-5.09259259259259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8899-48E8-9C2B-A487D6B8AEFA}"/>
                </c:ext>
              </c:extLst>
            </c:dLbl>
            <c:dLbl>
              <c:idx val="8"/>
              <c:layout>
                <c:manualLayout>
                  <c:x val="-3.6111111111111108E-2"/>
                  <c:y val="-4.16666666666667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8899-48E8-9C2B-A487D6B8AEFA}"/>
                </c:ext>
              </c:extLst>
            </c:dLbl>
            <c:dLbl>
              <c:idx val="9"/>
              <c:layout>
                <c:manualLayout>
                  <c:x val="-2.3724792408066429E-2"/>
                  <c:y val="-4.4563279857397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8899-48E8-9C2B-A487D6B8AEFA}"/>
                </c:ext>
              </c:extLst>
            </c:dLbl>
            <c:spPr>
              <a:noFill/>
              <a:ln>
                <a:noFill/>
              </a:ln>
              <a:effectLst/>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Sheet1!$D$4:$M$5</c:f>
              <c:strCache>
                <c:ptCount val="10"/>
                <c:pt idx="0">
                  <c:v>2013 </c:v>
                </c:pt>
                <c:pt idx="1">
                  <c:v>2014 </c:v>
                </c:pt>
                <c:pt idx="2">
                  <c:v>2015 </c:v>
                </c:pt>
                <c:pt idx="3">
                  <c:v>2016 </c:v>
                </c:pt>
                <c:pt idx="4">
                  <c:v>2017 </c:v>
                </c:pt>
                <c:pt idx="5">
                  <c:v>2018 </c:v>
                </c:pt>
                <c:pt idx="6">
                  <c:v>2019 </c:v>
                </c:pt>
                <c:pt idx="7">
                  <c:v>2020 </c:v>
                </c:pt>
                <c:pt idx="8">
                  <c:v>2021 </c:v>
                </c:pt>
                <c:pt idx="9">
                  <c:v>2022 </c:v>
                </c:pt>
              </c:strCache>
            </c:strRef>
          </c:cat>
          <c:val>
            <c:numRef>
              <c:f>Sheet1!$D$9:$M$9</c:f>
              <c:numCache>
                <c:formatCode>0.0</c:formatCode>
                <c:ptCount val="10"/>
                <c:pt idx="0">
                  <c:v>-4.9582959826725848</c:v>
                </c:pt>
                <c:pt idx="1">
                  <c:v>-5.1693373776407645</c:v>
                </c:pt>
                <c:pt idx="2">
                  <c:v>-4.0578483121810667</c:v>
                </c:pt>
                <c:pt idx="3">
                  <c:v>-1.8116385840532454</c:v>
                </c:pt>
                <c:pt idx="4">
                  <c:v>-1.999964549083131</c:v>
                </c:pt>
                <c:pt idx="5">
                  <c:v>-1.6030570923243856</c:v>
                </c:pt>
                <c:pt idx="6">
                  <c:v>-1.8646779387600498</c:v>
                </c:pt>
                <c:pt idx="7">
                  <c:v>-6.6997534475722835</c:v>
                </c:pt>
                <c:pt idx="8">
                  <c:v>-4.5970090785364128</c:v>
                </c:pt>
                <c:pt idx="9" formatCode="#,##0.0">
                  <c:v>-3.6648819837360866</c:v>
                </c:pt>
              </c:numCache>
            </c:numRef>
          </c:val>
          <c:smooth val="0"/>
          <c:extLst>
            <c:ext xmlns:c16="http://schemas.microsoft.com/office/drawing/2014/chart" uri="{C3380CC4-5D6E-409C-BE32-E72D297353CC}">
              <c16:uniqueId val="{00000017-8899-48E8-9C2B-A487D6B8AEFA}"/>
            </c:ext>
          </c:extLst>
        </c:ser>
        <c:dLbls>
          <c:showLegendKey val="0"/>
          <c:showVal val="0"/>
          <c:showCatName val="0"/>
          <c:showSerName val="0"/>
          <c:showPercent val="0"/>
          <c:showBubbleSize val="0"/>
        </c:dLbls>
        <c:marker val="1"/>
        <c:smooth val="0"/>
        <c:axId val="334013568"/>
        <c:axId val="334007680"/>
      </c:lineChart>
      <c:catAx>
        <c:axId val="3340046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a:pPr>
            <a:endParaRPr lang="en-US"/>
          </a:p>
        </c:txPr>
        <c:crossAx val="334006144"/>
        <c:crosses val="autoZero"/>
        <c:auto val="1"/>
        <c:lblAlgn val="ctr"/>
        <c:lblOffset val="100"/>
        <c:noMultiLvlLbl val="0"/>
      </c:catAx>
      <c:valAx>
        <c:axId val="334006144"/>
        <c:scaling>
          <c:orientation val="minMax"/>
        </c:scaling>
        <c:delete val="0"/>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vert="horz"/>
          <a:lstStyle/>
          <a:p>
            <a:pPr>
              <a:defRPr/>
            </a:pPr>
            <a:endParaRPr lang="en-US"/>
          </a:p>
        </c:txPr>
        <c:crossAx val="334004608"/>
        <c:crosses val="autoZero"/>
        <c:crossBetween val="between"/>
      </c:valAx>
      <c:valAx>
        <c:axId val="334007680"/>
        <c:scaling>
          <c:orientation val="minMax"/>
        </c:scaling>
        <c:delete val="0"/>
        <c:axPos val="r"/>
        <c:numFmt formatCode="#,##0.0" sourceLinked="1"/>
        <c:majorTickMark val="none"/>
        <c:minorTickMark val="none"/>
        <c:tickLblPos val="nextTo"/>
        <c:spPr>
          <a:noFill/>
          <a:ln>
            <a:noFill/>
          </a:ln>
          <a:effectLst/>
        </c:spPr>
        <c:txPr>
          <a:bodyPr rot="-60000000" vert="horz"/>
          <a:lstStyle/>
          <a:p>
            <a:pPr>
              <a:defRPr/>
            </a:pPr>
            <a:endParaRPr lang="en-US"/>
          </a:p>
        </c:txPr>
        <c:crossAx val="334013568"/>
        <c:crosses val="max"/>
        <c:crossBetween val="between"/>
      </c:valAx>
      <c:catAx>
        <c:axId val="334013568"/>
        <c:scaling>
          <c:orientation val="minMax"/>
        </c:scaling>
        <c:delete val="1"/>
        <c:axPos val="b"/>
        <c:numFmt formatCode="General" sourceLinked="1"/>
        <c:majorTickMark val="none"/>
        <c:minorTickMark val="none"/>
        <c:tickLblPos val="nextTo"/>
        <c:crossAx val="334007680"/>
        <c:crosses val="autoZero"/>
        <c:auto val="1"/>
        <c:lblAlgn val="ctr"/>
        <c:lblOffset val="100"/>
        <c:noMultiLvlLbl val="0"/>
      </c:catAx>
      <c:spPr>
        <a:noFill/>
        <a:ln>
          <a:noFill/>
        </a:ln>
        <a:effectLst/>
      </c:spPr>
    </c:plotArea>
    <c:legend>
      <c:legendPos val="b"/>
      <c:layout>
        <c:manualLayout>
          <c:xMode val="edge"/>
          <c:yMode val="edge"/>
          <c:x val="0.73177369874220266"/>
          <c:y val="0.17022832810234384"/>
          <c:w val="0.25290281896581113"/>
          <c:h val="0.5966714387974229"/>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sz="800">
          <a:latin typeface="+mj-lt"/>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4161920627201482E-2"/>
          <c:y val="5.0925925925925923E-2"/>
          <c:w val="0.88120716185115489"/>
          <c:h val="0.63309580902819118"/>
        </c:manualLayout>
      </c:layout>
      <c:barChart>
        <c:barDir val="col"/>
        <c:grouping val="clustered"/>
        <c:varyColors val="0"/>
        <c:ser>
          <c:idx val="0"/>
          <c:order val="0"/>
          <c:tx>
            <c:strRef>
              <c:f>'[Chart in Microsoft Word]Sheet1'!$C$175</c:f>
              <c:strCache>
                <c:ptCount val="1"/>
                <c:pt idx="0">
                  <c:v>Nga tatimet dhe doganat</c:v>
                </c:pt>
              </c:strCache>
            </c:strRef>
          </c:tx>
          <c:spPr>
            <a:solidFill>
              <a:schemeClr val="accent1"/>
            </a:solidFill>
            <a:ln>
              <a:noFill/>
            </a:ln>
            <a:effectLst/>
          </c:spPr>
          <c:invertIfNegative val="0"/>
          <c:cat>
            <c:numRef>
              <c:f>'[Chart in Microsoft Word]Sheet1'!$D$174:$N$174</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'[Chart in Microsoft Word]Sheet1'!$D$175:$N$175</c:f>
              <c:numCache>
                <c:formatCode>#,##0.0</c:formatCode>
                <c:ptCount val="11"/>
                <c:pt idx="0">
                  <c:v>232.6</c:v>
                </c:pt>
                <c:pt idx="1">
                  <c:v>229</c:v>
                </c:pt>
                <c:pt idx="2">
                  <c:v>253.4</c:v>
                </c:pt>
                <c:pt idx="3">
                  <c:v>258.89999999999998</c:v>
                </c:pt>
                <c:pt idx="4">
                  <c:v>275.8</c:v>
                </c:pt>
                <c:pt idx="5">
                  <c:v>293.39999999999998</c:v>
                </c:pt>
                <c:pt idx="6">
                  <c:v>304.3</c:v>
                </c:pt>
                <c:pt idx="7">
                  <c:v>304.8</c:v>
                </c:pt>
                <c:pt idx="8">
                  <c:v>279</c:v>
                </c:pt>
                <c:pt idx="9">
                  <c:v>338.1</c:v>
                </c:pt>
                <c:pt idx="10">
                  <c:v>390.9</c:v>
                </c:pt>
              </c:numCache>
            </c:numRef>
          </c:val>
          <c:extLst>
            <c:ext xmlns:c16="http://schemas.microsoft.com/office/drawing/2014/chart" uri="{C3380CC4-5D6E-409C-BE32-E72D297353CC}">
              <c16:uniqueId val="{00000000-63ED-4ECB-AAA9-93564F7E9618}"/>
            </c:ext>
          </c:extLst>
        </c:ser>
        <c:dLbls>
          <c:showLegendKey val="0"/>
          <c:showVal val="0"/>
          <c:showCatName val="0"/>
          <c:showSerName val="0"/>
          <c:showPercent val="0"/>
          <c:showBubbleSize val="0"/>
        </c:dLbls>
        <c:gapWidth val="219"/>
        <c:overlap val="-27"/>
        <c:axId val="333721600"/>
        <c:axId val="333723136"/>
      </c:barChart>
      <c:lineChart>
        <c:grouping val="standard"/>
        <c:varyColors val="0"/>
        <c:ser>
          <c:idx val="1"/>
          <c:order val="1"/>
          <c:tx>
            <c:strRef>
              <c:f>'[Chart in Microsoft Word]Sheet1'!$C$176</c:f>
              <c:strCache>
                <c:ptCount val="1"/>
                <c:pt idx="0">
                  <c:v>% ndaj PBB</c:v>
                </c:pt>
              </c:strCache>
            </c:strRef>
          </c:tx>
          <c:spPr>
            <a:ln w="28575" cap="rnd">
              <a:solidFill>
                <a:srgbClr val="FF0000"/>
              </a:solidFill>
              <a:round/>
            </a:ln>
            <a:effectLst/>
          </c:spPr>
          <c:marker>
            <c:symbol val="none"/>
          </c:marker>
          <c:dLbls>
            <c:dLbl>
              <c:idx val="0"/>
              <c:layout>
                <c:manualLayout>
                  <c:x val="-3.3811378098584859E-2"/>
                  <c:y val="-3.70370370370369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3ED-4ECB-AAA9-93564F7E9618}"/>
                </c:ext>
              </c:extLst>
            </c:dLbl>
            <c:dLbl>
              <c:idx val="1"/>
              <c:layout>
                <c:manualLayout>
                  <c:x val="-3.1911862475068893E-2"/>
                  <c:y val="-0.1296296296296297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3ED-4ECB-AAA9-93564F7E9618}"/>
                </c:ext>
              </c:extLst>
            </c:dLbl>
            <c:dLbl>
              <c:idx val="2"/>
              <c:layout>
                <c:manualLayout>
                  <c:x val="-2.8112831228036886E-2"/>
                  <c:y val="4.1666666666666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3ED-4ECB-AAA9-93564F7E9618}"/>
                </c:ext>
              </c:extLst>
            </c:dLbl>
            <c:dLbl>
              <c:idx val="3"/>
              <c:layout>
                <c:manualLayout>
                  <c:x val="-3.3811378098584859E-2"/>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3ED-4ECB-AAA9-93564F7E9618}"/>
                </c:ext>
              </c:extLst>
            </c:dLbl>
            <c:dLbl>
              <c:idx val="4"/>
              <c:layout>
                <c:manualLayout>
                  <c:x val="-3.1911862475068928E-2"/>
                  <c:y val="4.16666666666666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3ED-4ECB-AAA9-93564F7E9618}"/>
                </c:ext>
              </c:extLst>
            </c:dLbl>
            <c:dLbl>
              <c:idx val="5"/>
              <c:layout>
                <c:manualLayout>
                  <c:x val="-3.3811378098584928E-2"/>
                  <c:y val="4.62962962962962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3ED-4ECB-AAA9-93564F7E9618}"/>
                </c:ext>
              </c:extLst>
            </c:dLbl>
            <c:dLbl>
              <c:idx val="6"/>
              <c:layout>
                <c:manualLayout>
                  <c:x val="-3.3811378098584928E-2"/>
                  <c:y val="4.16666666666666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3ED-4ECB-AAA9-93564F7E9618}"/>
                </c:ext>
              </c:extLst>
            </c:dLbl>
            <c:dLbl>
              <c:idx val="7"/>
              <c:layout>
                <c:manualLayout>
                  <c:x val="-3.0012346851552855E-2"/>
                  <c:y val="-6.48148148148148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3ED-4ECB-AAA9-93564F7E9618}"/>
                </c:ext>
              </c:extLst>
            </c:dLbl>
            <c:dLbl>
              <c:idx val="8"/>
              <c:layout>
                <c:manualLayout>
                  <c:x val="-1.5196124988128027E-3"/>
                  <c:y val="-4.629629629629629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3ED-4ECB-AAA9-93564F7E9618}"/>
                </c:ext>
              </c:extLst>
            </c:dLbl>
            <c:dLbl>
              <c:idx val="9"/>
              <c:layout>
                <c:manualLayout>
                  <c:x val="-1.5196124988128027E-3"/>
                  <c:y val="3.70370370370370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3ED-4ECB-AAA9-93564F7E9618}"/>
                </c:ext>
              </c:extLst>
            </c:dLbl>
            <c:dLbl>
              <c:idx val="10"/>
              <c:layout>
                <c:manualLayout>
                  <c:x val="-3.419128122328806E-3"/>
                  <c:y val="-1.85185185185185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3ED-4ECB-AAA9-93564F7E9618}"/>
                </c:ext>
              </c:extLst>
            </c:dLbl>
            <c:spPr>
              <a:noFill/>
              <a:ln>
                <a:noFill/>
              </a:ln>
              <a:effectLst/>
            </c:spPr>
            <c:txPr>
              <a:bodyPr rot="0" spcFirstLastPara="1" vertOverflow="ellipsis" vert="horz" wrap="square" anchor="ctr" anchorCtr="1"/>
              <a:lstStyle/>
              <a:p>
                <a:pPr>
                  <a:defRPr sz="900" b="1" i="0" u="none" strike="noStrike" kern="1200" baseline="0">
                    <a:solidFill>
                      <a:schemeClr val="tx1">
                        <a:lumMod val="75000"/>
                        <a:lumOff val="25000"/>
                      </a:schemeClr>
                    </a:solidFill>
                    <a:latin typeface="+mj-lt"/>
                    <a:ea typeface="+mn-ea"/>
                    <a:cs typeface="+mn-cs"/>
                  </a:defRPr>
                </a:pPr>
                <a:endParaRPr lang="en-US"/>
              </a:p>
            </c:txPr>
            <c:dLblPos val="l"/>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in Microsoft Word]Sheet1'!$D$174:$N$174</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'[Chart in Microsoft Word]Sheet1'!$D$176:$N$176</c:f>
              <c:numCache>
                <c:formatCode>#,##0.0</c:formatCode>
                <c:ptCount val="11"/>
                <c:pt idx="0">
                  <c:v>17.5</c:v>
                </c:pt>
                <c:pt idx="1">
                  <c:v>17</c:v>
                </c:pt>
                <c:pt idx="2">
                  <c:v>18.2</c:v>
                </c:pt>
                <c:pt idx="3">
                  <c:v>18</c:v>
                </c:pt>
                <c:pt idx="4">
                  <c:v>18.7</c:v>
                </c:pt>
                <c:pt idx="5">
                  <c:v>18.899999999999999</c:v>
                </c:pt>
                <c:pt idx="6">
                  <c:v>18.600000000000001</c:v>
                </c:pt>
                <c:pt idx="7">
                  <c:v>18</c:v>
                </c:pt>
                <c:pt idx="8">
                  <c:v>16.899999999999999</c:v>
                </c:pt>
                <c:pt idx="9">
                  <c:v>18.2</c:v>
                </c:pt>
                <c:pt idx="10">
                  <c:v>18.3</c:v>
                </c:pt>
              </c:numCache>
            </c:numRef>
          </c:val>
          <c:smooth val="0"/>
          <c:extLst>
            <c:ext xmlns:c16="http://schemas.microsoft.com/office/drawing/2014/chart" uri="{C3380CC4-5D6E-409C-BE32-E72D297353CC}">
              <c16:uniqueId val="{0000000C-63ED-4ECB-AAA9-93564F7E9618}"/>
            </c:ext>
          </c:extLst>
        </c:ser>
        <c:dLbls>
          <c:showLegendKey val="0"/>
          <c:showVal val="0"/>
          <c:showCatName val="0"/>
          <c:showSerName val="0"/>
          <c:showPercent val="0"/>
          <c:showBubbleSize val="0"/>
        </c:dLbls>
        <c:marker val="1"/>
        <c:smooth val="0"/>
        <c:axId val="333734656"/>
        <c:axId val="333724672"/>
      </c:lineChart>
      <c:catAx>
        <c:axId val="333721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j-lt"/>
                <a:ea typeface="+mn-ea"/>
                <a:cs typeface="+mn-cs"/>
              </a:defRPr>
            </a:pPr>
            <a:endParaRPr lang="en-US"/>
          </a:p>
        </c:txPr>
        <c:crossAx val="333723136"/>
        <c:crosses val="autoZero"/>
        <c:auto val="1"/>
        <c:lblAlgn val="ctr"/>
        <c:lblOffset val="100"/>
        <c:noMultiLvlLbl val="0"/>
      </c:catAx>
      <c:valAx>
        <c:axId val="333723136"/>
        <c:scaling>
          <c:orientation val="minMax"/>
        </c:scaling>
        <c:delete val="0"/>
        <c:axPos val="l"/>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333721600"/>
        <c:crosses val="autoZero"/>
        <c:crossBetween val="between"/>
      </c:valAx>
      <c:valAx>
        <c:axId val="33372467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j-lt"/>
                <a:ea typeface="+mn-ea"/>
                <a:cs typeface="+mn-cs"/>
              </a:defRPr>
            </a:pPr>
            <a:endParaRPr lang="en-US"/>
          </a:p>
        </c:txPr>
        <c:crossAx val="333734656"/>
        <c:crosses val="max"/>
        <c:crossBetween val="between"/>
      </c:valAx>
      <c:catAx>
        <c:axId val="333734656"/>
        <c:scaling>
          <c:orientation val="minMax"/>
        </c:scaling>
        <c:delete val="1"/>
        <c:axPos val="b"/>
        <c:numFmt formatCode="General" sourceLinked="1"/>
        <c:majorTickMark val="out"/>
        <c:minorTickMark val="none"/>
        <c:tickLblPos val="nextTo"/>
        <c:crossAx val="3337246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j-lt"/>
              <a:ea typeface="+mn-ea"/>
              <a:cs typeface="+mn-cs"/>
            </a:defRPr>
          </a:pPr>
          <a:endParaRPr lang="en-US"/>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sz="900">
          <a:latin typeface="+mj-lt"/>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Pt>
            <c:idx val="0"/>
            <c:bubble3D val="0"/>
            <c:spPr>
              <a:solidFill>
                <a:schemeClr val="accent1">
                  <a:shade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258B-4D24-9307-DFCBE0E9C9BC}"/>
              </c:ext>
            </c:extLst>
          </c:dPt>
          <c:dPt>
            <c:idx val="1"/>
            <c:bubble3D val="0"/>
            <c:spPr>
              <a:solidFill>
                <a:schemeClr val="accent1">
                  <a:shade val="7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258B-4D24-9307-DFCBE0E9C9BC}"/>
              </c:ext>
            </c:extLst>
          </c:dPt>
          <c:dPt>
            <c:idx val="2"/>
            <c:bubble3D val="0"/>
            <c:spPr>
              <a:solidFill>
                <a:schemeClr val="accent1">
                  <a:shade val="9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258B-4D24-9307-DFCBE0E9C9BC}"/>
              </c:ext>
            </c:extLst>
          </c:dPt>
          <c:dPt>
            <c:idx val="3"/>
            <c:bubble3D val="0"/>
            <c:spPr>
              <a:solidFill>
                <a:schemeClr val="accent1">
                  <a:tint val="9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258B-4D24-9307-DFCBE0E9C9BC}"/>
              </c:ext>
            </c:extLst>
          </c:dPt>
          <c:dPt>
            <c:idx val="4"/>
            <c:bubble3D val="0"/>
            <c:spPr>
              <a:solidFill>
                <a:schemeClr val="accent1">
                  <a:tint val="7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258B-4D24-9307-DFCBE0E9C9BC}"/>
              </c:ext>
            </c:extLst>
          </c:dPt>
          <c:dPt>
            <c:idx val="5"/>
            <c:bubble3D val="0"/>
            <c:spPr>
              <a:solidFill>
                <a:schemeClr val="accent1">
                  <a:tint val="5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258B-4D24-9307-DFCBE0E9C9BC}"/>
              </c:ext>
            </c:extLst>
          </c:dPt>
          <c:dLbls>
            <c:dLbl>
              <c:idx val="0"/>
              <c:layout>
                <c:manualLayout>
                  <c:x val="-3.8135189245876631E-3"/>
                  <c:y val="1.08313024641213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8B-4D24-9307-DFCBE0E9C9BC}"/>
                </c:ext>
              </c:extLst>
            </c:dLbl>
            <c:dLbl>
              <c:idx val="1"/>
              <c:layout>
                <c:manualLayout>
                  <c:x val="6.8643340642577932E-2"/>
                  <c:y val="1.39996716494921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8B-4D24-9307-DFCBE0E9C9BC}"/>
                </c:ext>
              </c:extLst>
            </c:dLbl>
            <c:dLbl>
              <c:idx val="2"/>
              <c:layout>
                <c:manualLayout>
                  <c:x val="-2.2881113547525981E-2"/>
                  <c:y val="2.7078256160303179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58B-4D24-9307-DFCBE0E9C9BC}"/>
                </c:ext>
              </c:extLst>
            </c:dLbl>
            <c:dLbl>
              <c:idx val="3"/>
              <c:layout>
                <c:manualLayout>
                  <c:x val="-7.6270378491753261E-3"/>
                  <c:y val="2.9325538206993011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58B-4D24-9307-DFCBE0E9C9BC}"/>
                </c:ext>
              </c:extLst>
            </c:dLbl>
            <c:dLbl>
              <c:idx val="4"/>
              <c:layout>
                <c:manualLayout>
                  <c:x val="-2.2881113547526016E-2"/>
                  <c:y val="5.4954361411566038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58B-4D24-9307-DFCBE0E9C9BC}"/>
                </c:ext>
              </c:extLst>
            </c:dLbl>
            <c:dLbl>
              <c:idx val="5"/>
              <c:layout>
                <c:manualLayout>
                  <c:x val="9.7632240149598037E-2"/>
                  <c:y val="0"/>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58B-4D24-9307-DFCBE0E9C9BC}"/>
                </c:ext>
              </c:extLst>
            </c:dLbl>
            <c:numFmt formatCode="0%" sourceLinked="0"/>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lumMod val="75000"/>
                      </a:schemeClr>
                    </a:solidFill>
                    <a:latin typeface="Calibri" panose="020F0502020204030204" pitchFamily="34" charset="0"/>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Sheet1!$C$187:$C$192</c:f>
              <c:strCache>
                <c:ptCount val="6"/>
                <c:pt idx="0">
                  <c:v>Tatimi mbi vlerën e shtuar</c:v>
                </c:pt>
                <c:pt idx="1">
                  <c:v>Tatimi mbi fitimin</c:v>
                </c:pt>
                <c:pt idx="2">
                  <c:v>Akcizat</c:v>
                </c:pt>
                <c:pt idx="3">
                  <c:v>Tatimi mbi të ardhurat personale</c:v>
                </c:pt>
                <c:pt idx="4">
                  <c:v>Taksa nacionale dhe të tjera</c:v>
                </c:pt>
                <c:pt idx="5">
                  <c:v>Taksa doganore</c:v>
                </c:pt>
              </c:strCache>
            </c:strRef>
          </c:cat>
          <c:val>
            <c:numRef>
              <c:f>Sheet1!$D$187:$D$192</c:f>
              <c:numCache>
                <c:formatCode>0.0%</c:formatCode>
                <c:ptCount val="6"/>
                <c:pt idx="0">
                  <c:v>0.48967876119551895</c:v>
                </c:pt>
                <c:pt idx="1">
                  <c:v>0.12198478867618505</c:v>
                </c:pt>
                <c:pt idx="2">
                  <c:v>0.13698633641431288</c:v>
                </c:pt>
                <c:pt idx="3">
                  <c:v>0.11507752760985743</c:v>
                </c:pt>
                <c:pt idx="4">
                  <c:v>0.11466309194587777</c:v>
                </c:pt>
                <c:pt idx="5">
                  <c:v>2.1609494158247908E-2</c:v>
                </c:pt>
              </c:numCache>
            </c:numRef>
          </c:val>
          <c:extLst>
            <c:ext xmlns:c16="http://schemas.microsoft.com/office/drawing/2014/chart" uri="{C3380CC4-5D6E-409C-BE32-E72D297353CC}">
              <c16:uniqueId val="{0000000C-258B-4D24-9307-DFCBE0E9C9BC}"/>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8484400871978744E-2"/>
          <c:y val="8.2432715578890495E-2"/>
          <c:w val="0.88932699600144538"/>
          <c:h val="0.56077264348898159"/>
        </c:manualLayout>
      </c:layout>
      <c:barChart>
        <c:barDir val="col"/>
        <c:grouping val="stacked"/>
        <c:varyColors val="0"/>
        <c:ser>
          <c:idx val="0"/>
          <c:order val="0"/>
          <c:tx>
            <c:strRef>
              <c:f>Sheet1!$C$217</c:f>
              <c:strCache>
                <c:ptCount val="1"/>
                <c:pt idx="0">
                  <c:v>Realizimi Total</c:v>
                </c:pt>
              </c:strCache>
            </c:strRef>
          </c:tx>
          <c:spPr>
            <a:solidFill>
              <a:schemeClr val="accent1"/>
            </a:solidFill>
            <a:ln>
              <a:noFill/>
            </a:ln>
            <a:effectLst/>
          </c:spPr>
          <c:invertIfNegative val="0"/>
          <c:dPt>
            <c:idx val="0"/>
            <c:invertIfNegative val="0"/>
            <c:bubble3D val="0"/>
            <c:extLst>
              <c:ext xmlns:c16="http://schemas.microsoft.com/office/drawing/2014/chart" uri="{C3380CC4-5D6E-409C-BE32-E72D297353CC}">
                <c16:uniqueId val="{00000001-E231-4EC5-BAB1-D71C2463B75E}"/>
              </c:ext>
            </c:extLst>
          </c:dPt>
          <c:dPt>
            <c:idx val="1"/>
            <c:invertIfNegative val="0"/>
            <c:bubble3D val="0"/>
            <c:extLst>
              <c:ext xmlns:c16="http://schemas.microsoft.com/office/drawing/2014/chart" uri="{C3380CC4-5D6E-409C-BE32-E72D297353CC}">
                <c16:uniqueId val="{00000003-E231-4EC5-BAB1-D71C2463B75E}"/>
              </c:ext>
            </c:extLst>
          </c:dPt>
          <c:dPt>
            <c:idx val="2"/>
            <c:invertIfNegative val="0"/>
            <c:bubble3D val="0"/>
            <c:extLst>
              <c:ext xmlns:c16="http://schemas.microsoft.com/office/drawing/2014/chart" uri="{C3380CC4-5D6E-409C-BE32-E72D297353CC}">
                <c16:uniqueId val="{00000005-E231-4EC5-BAB1-D71C2463B75E}"/>
              </c:ext>
            </c:extLst>
          </c:dPt>
          <c:dPt>
            <c:idx val="3"/>
            <c:invertIfNegative val="0"/>
            <c:bubble3D val="0"/>
            <c:extLst>
              <c:ext xmlns:c16="http://schemas.microsoft.com/office/drawing/2014/chart" uri="{C3380CC4-5D6E-409C-BE32-E72D297353CC}">
                <c16:uniqueId val="{00000007-E231-4EC5-BAB1-D71C2463B75E}"/>
              </c:ext>
            </c:extLst>
          </c:dPt>
          <c:dPt>
            <c:idx val="4"/>
            <c:invertIfNegative val="0"/>
            <c:bubble3D val="0"/>
            <c:extLst>
              <c:ext xmlns:c16="http://schemas.microsoft.com/office/drawing/2014/chart" uri="{C3380CC4-5D6E-409C-BE32-E72D297353CC}">
                <c16:uniqueId val="{00000009-E231-4EC5-BAB1-D71C2463B75E}"/>
              </c:ext>
            </c:extLst>
          </c:dPt>
          <c:dPt>
            <c:idx val="5"/>
            <c:invertIfNegative val="0"/>
            <c:bubble3D val="0"/>
            <c:extLst>
              <c:ext xmlns:c16="http://schemas.microsoft.com/office/drawing/2014/chart" uri="{C3380CC4-5D6E-409C-BE32-E72D297353CC}">
                <c16:uniqueId val="{0000000B-E231-4EC5-BAB1-D71C2463B75E}"/>
              </c:ext>
            </c:extLst>
          </c:dPt>
          <c:dPt>
            <c:idx val="6"/>
            <c:invertIfNegative val="0"/>
            <c:bubble3D val="0"/>
            <c:extLst>
              <c:ext xmlns:c16="http://schemas.microsoft.com/office/drawing/2014/chart" uri="{C3380CC4-5D6E-409C-BE32-E72D297353CC}">
                <c16:uniqueId val="{0000000D-E231-4EC5-BAB1-D71C2463B75E}"/>
              </c:ext>
            </c:extLst>
          </c:dPt>
          <c:dLbls>
            <c:dLbl>
              <c:idx val="0"/>
              <c:layout>
                <c:manualLayout>
                  <c:x val="2.1346995410395989E-3"/>
                  <c:y val="-0.21046245038884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31-4EC5-BAB1-D71C2463B75E}"/>
                </c:ext>
              </c:extLst>
            </c:dLbl>
            <c:dLbl>
              <c:idx val="5"/>
              <c:layout>
                <c:manualLayout>
                  <c:x val="0"/>
                  <c:y val="-0.2699575780948708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231-4EC5-BAB1-D71C2463B75E}"/>
                </c:ext>
              </c:extLst>
            </c:dLbl>
            <c:dLbl>
              <c:idx val="6"/>
              <c:layout>
                <c:manualLayout>
                  <c:x val="2.1346995410395989E-3"/>
                  <c:y val="-0.2699575780948708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231-4EC5-BAB1-D71C2463B75E}"/>
                </c:ext>
              </c:extLst>
            </c:dLbl>
            <c:spPr>
              <a:noFill/>
              <a:ln>
                <a:noFill/>
              </a:ln>
              <a:effectLst/>
            </c:spPr>
            <c:txPr>
              <a:bodyPr rot="0" spcFirstLastPara="1" vertOverflow="ellipsis" vert="horz" wrap="square" lIns="38100" tIns="19050" rIns="38100" bIns="19050" anchor="ctr" anchorCtr="1">
                <a:spAutoFit/>
              </a:bodyPr>
              <a:lstStyle/>
              <a:p>
                <a:pPr>
                  <a:defRPr sz="780" b="1" i="0" u="none" strike="noStrike" kern="1200" baseline="0">
                    <a:solidFill>
                      <a:sysClr val="windowText" lastClr="000000"/>
                    </a:solidFill>
                    <a:latin typeface="Calibri" panose="020F0502020204030204" pitchFamily="34" charset="0"/>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Sheet1!$B$218:$B$224</c:f>
              <c:strCache>
                <c:ptCount val="7"/>
                <c:pt idx="0">
                  <c:v>Fakt 2021</c:v>
                </c:pt>
                <c:pt idx="1">
                  <c:v>TVSH Import</c:v>
                </c:pt>
                <c:pt idx="2">
                  <c:v>Akciza </c:v>
                </c:pt>
                <c:pt idx="3">
                  <c:v>Renta</c:v>
                </c:pt>
                <c:pt idx="4">
                  <c:v>Taksa Doganore</c:v>
                </c:pt>
                <c:pt idx="5">
                  <c:v>Fakt 2022</c:v>
                </c:pt>
                <c:pt idx="6">
                  <c:v>Plan I rishikuar 2022</c:v>
                </c:pt>
              </c:strCache>
            </c:strRef>
          </c:cat>
          <c:val>
            <c:numRef>
              <c:f>Sheet1!$C$218:$C$224</c:f>
              <c:numCache>
                <c:formatCode>_(* #,##0_);_(* \(#,##0\);_(* "-"??_);_(@_)</c:formatCode>
                <c:ptCount val="7"/>
                <c:pt idx="0">
                  <c:v>192840</c:v>
                </c:pt>
                <c:pt idx="1">
                  <c:v>218437</c:v>
                </c:pt>
                <c:pt idx="2">
                  <c:v>220347</c:v>
                </c:pt>
                <c:pt idx="3">
                  <c:v>222100</c:v>
                </c:pt>
                <c:pt idx="4">
                  <c:v>223090</c:v>
                </c:pt>
                <c:pt idx="5">
                  <c:v>223089</c:v>
                </c:pt>
                <c:pt idx="6">
                  <c:v>223500</c:v>
                </c:pt>
              </c:numCache>
            </c:numRef>
          </c:val>
          <c:extLst>
            <c:ext xmlns:c16="http://schemas.microsoft.com/office/drawing/2014/chart" uri="{C3380CC4-5D6E-409C-BE32-E72D297353CC}">
              <c16:uniqueId val="{0000000E-E231-4EC5-BAB1-D71C2463B75E}"/>
            </c:ext>
          </c:extLst>
        </c:ser>
        <c:ser>
          <c:idx val="1"/>
          <c:order val="1"/>
          <c:tx>
            <c:strRef>
              <c:f>Sheet1!$D$217</c:f>
              <c:strCache>
                <c:ptCount val="1"/>
                <c:pt idx="0">
                  <c:v>Rënie</c:v>
                </c:pt>
              </c:strCache>
            </c:strRef>
          </c:tx>
          <c:spPr>
            <a:solidFill>
              <a:schemeClr val="accent2"/>
            </a:solidFill>
            <a:ln>
              <a:noFill/>
            </a:ln>
            <a:effectLst/>
          </c:spPr>
          <c:invertIfNegative val="0"/>
          <c:dLbls>
            <c:dLbl>
              <c:idx val="1"/>
              <c:layout>
                <c:manualLayout>
                  <c:x val="-3.6053336376693784E-17"/>
                  <c:y val="-0.1783333955293502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231-4EC5-BAB1-D71C2463B75E}"/>
                </c:ext>
              </c:extLst>
            </c:dLbl>
            <c:dLbl>
              <c:idx val="2"/>
              <c:layout>
                <c:manualLayout>
                  <c:x val="-1.1553201867465681E-3"/>
                  <c:y val="-0.106494508091701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231-4EC5-BAB1-D71C2463B75E}"/>
                </c:ext>
              </c:extLst>
            </c:dLbl>
            <c:dLbl>
              <c:idx val="3"/>
              <c:layout>
                <c:manualLayout>
                  <c:x val="-1.1553201867465681E-3"/>
                  <c:y val="-7.62289310992523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E231-4EC5-BAB1-D71C2463B75E}"/>
                </c:ext>
              </c:extLst>
            </c:dLbl>
            <c:dLbl>
              <c:idx val="4"/>
              <c:layout>
                <c:manualLayout>
                  <c:x val="-2.7777777777777779E-3"/>
                  <c:y val="-5.26819923371647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231-4EC5-BAB1-D71C2463B75E}"/>
                </c:ext>
              </c:extLst>
            </c:dLbl>
            <c:dLbl>
              <c:idx val="5"/>
              <c:delete val="1"/>
              <c:extLst>
                <c:ext xmlns:c15="http://schemas.microsoft.com/office/drawing/2012/chart" uri="{CE6537A1-D6FC-4f65-9D91-7224C49458BB}"/>
                <c:ext xmlns:c16="http://schemas.microsoft.com/office/drawing/2014/chart" uri="{C3380CC4-5D6E-409C-BE32-E72D297353CC}">
                  <c16:uniqueId val="{00000013-E231-4EC5-BAB1-D71C2463B75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Sheet1!$B$218:$B$224</c:f>
              <c:strCache>
                <c:ptCount val="7"/>
                <c:pt idx="0">
                  <c:v>Fakt 2021</c:v>
                </c:pt>
                <c:pt idx="1">
                  <c:v>TVSH Import</c:v>
                </c:pt>
                <c:pt idx="2">
                  <c:v>Akciza </c:v>
                </c:pt>
                <c:pt idx="3">
                  <c:v>Renta</c:v>
                </c:pt>
                <c:pt idx="4">
                  <c:v>Taksa Doganore</c:v>
                </c:pt>
                <c:pt idx="5">
                  <c:v>Fakt 2022</c:v>
                </c:pt>
                <c:pt idx="6">
                  <c:v>Plan I rishikuar 2022</c:v>
                </c:pt>
              </c:strCache>
            </c:strRef>
          </c:cat>
          <c:val>
            <c:numRef>
              <c:f>Sheet1!$D$218:$D$224</c:f>
              <c:numCache>
                <c:formatCode>General</c:formatCode>
                <c:ptCount val="7"/>
                <c:pt idx="0" formatCode="_(* #,##0_);_(* \(#,##0\);_(* &quot;-&quot;??_);_(@_)">
                  <c:v>0</c:v>
                </c:pt>
                <c:pt idx="5" formatCode="_(* #,##0_);_(* \(#,##0\);_(* &quot;-&quot;??_);_(@_)">
                  <c:v>0</c:v>
                </c:pt>
              </c:numCache>
            </c:numRef>
          </c:val>
          <c:extLst>
            <c:ext xmlns:c16="http://schemas.microsoft.com/office/drawing/2014/chart" uri="{C3380CC4-5D6E-409C-BE32-E72D297353CC}">
              <c16:uniqueId val="{00000014-E231-4EC5-BAB1-D71C2463B75E}"/>
            </c:ext>
          </c:extLst>
        </c:ser>
        <c:ser>
          <c:idx val="2"/>
          <c:order val="2"/>
          <c:tx>
            <c:strRef>
              <c:f>Sheet1!$E$217</c:f>
              <c:strCache>
                <c:ptCount val="1"/>
                <c:pt idx="0">
                  <c:v>Rritje</c:v>
                </c:pt>
              </c:strCache>
            </c:strRef>
          </c:tx>
          <c:spPr>
            <a:solidFill>
              <a:schemeClr val="accent3"/>
            </a:solidFill>
            <a:ln>
              <a:noFill/>
            </a:ln>
            <a:effectLst/>
          </c:spPr>
          <c:invertIfNegative val="0"/>
          <c:dLbls>
            <c:dLbl>
              <c:idx val="1"/>
              <c:layout>
                <c:manualLayout>
                  <c:x val="0"/>
                  <c:y val="-0.113278579470802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231-4EC5-BAB1-D71C2463B75E}"/>
                </c:ext>
              </c:extLst>
            </c:dLbl>
            <c:dLbl>
              <c:idx val="2"/>
              <c:layout>
                <c:manualLayout>
                  <c:x val="-1.9665459759381646E-3"/>
                  <c:y val="-4.0335672995240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231-4EC5-BAB1-D71C2463B75E}"/>
                </c:ext>
              </c:extLst>
            </c:dLbl>
            <c:dLbl>
              <c:idx val="3"/>
              <c:layout>
                <c:manualLayout>
                  <c:x val="0"/>
                  <c:y val="-3.50768697792953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231-4EC5-BAB1-D71C2463B75E}"/>
                </c:ext>
              </c:extLst>
            </c:dLbl>
            <c:dLbl>
              <c:idx val="4"/>
              <c:layout>
                <c:manualLayout>
                  <c:x val="-1.4026871880297467E-16"/>
                  <c:y val="-2.98180665633505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231-4EC5-BAB1-D71C2463B75E}"/>
                </c:ext>
              </c:extLst>
            </c:dLbl>
            <c:dLbl>
              <c:idx val="5"/>
              <c:delete val="1"/>
              <c:extLst>
                <c:ext xmlns:c15="http://schemas.microsoft.com/office/drawing/2012/chart" uri="{CE6537A1-D6FC-4f65-9D91-7224C49458BB}"/>
                <c:ext xmlns:c16="http://schemas.microsoft.com/office/drawing/2014/chart" uri="{C3380CC4-5D6E-409C-BE32-E72D297353CC}">
                  <c16:uniqueId val="{00000019-E231-4EC5-BAB1-D71C2463B75E}"/>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Sheet1!$B$218:$B$224</c:f>
              <c:strCache>
                <c:ptCount val="7"/>
                <c:pt idx="0">
                  <c:v>Fakt 2021</c:v>
                </c:pt>
                <c:pt idx="1">
                  <c:v>TVSH Import</c:v>
                </c:pt>
                <c:pt idx="2">
                  <c:v>Akciza </c:v>
                </c:pt>
                <c:pt idx="3">
                  <c:v>Renta</c:v>
                </c:pt>
                <c:pt idx="4">
                  <c:v>Taksa Doganore</c:v>
                </c:pt>
                <c:pt idx="5">
                  <c:v>Fakt 2022</c:v>
                </c:pt>
                <c:pt idx="6">
                  <c:v>Plan I rishikuar 2022</c:v>
                </c:pt>
              </c:strCache>
            </c:strRef>
          </c:cat>
          <c:val>
            <c:numRef>
              <c:f>Sheet1!$E$218:$E$224</c:f>
              <c:numCache>
                <c:formatCode>_(* #,##0_);_(* \(#,##0\);_(* "-"??_);_(@_)</c:formatCode>
                <c:ptCount val="7"/>
                <c:pt idx="1">
                  <c:v>25597</c:v>
                </c:pt>
                <c:pt idx="2">
                  <c:v>1910</c:v>
                </c:pt>
                <c:pt idx="3">
                  <c:v>1753</c:v>
                </c:pt>
                <c:pt idx="4">
                  <c:v>990</c:v>
                </c:pt>
                <c:pt idx="5">
                  <c:v>0</c:v>
                </c:pt>
              </c:numCache>
            </c:numRef>
          </c:val>
          <c:extLst>
            <c:ext xmlns:c16="http://schemas.microsoft.com/office/drawing/2014/chart" uri="{C3380CC4-5D6E-409C-BE32-E72D297353CC}">
              <c16:uniqueId val="{0000001A-E231-4EC5-BAB1-D71C2463B75E}"/>
            </c:ext>
          </c:extLst>
        </c:ser>
        <c:dLbls>
          <c:showLegendKey val="0"/>
          <c:showVal val="0"/>
          <c:showCatName val="0"/>
          <c:showSerName val="0"/>
          <c:showPercent val="0"/>
          <c:showBubbleSize val="0"/>
        </c:dLbls>
        <c:gapWidth val="150"/>
        <c:overlap val="100"/>
        <c:axId val="335038336"/>
        <c:axId val="335039872"/>
      </c:barChart>
      <c:catAx>
        <c:axId val="33503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5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35039872"/>
        <c:crosses val="autoZero"/>
        <c:auto val="1"/>
        <c:lblAlgn val="ctr"/>
        <c:lblOffset val="100"/>
        <c:noMultiLvlLbl val="0"/>
      </c:catAx>
      <c:valAx>
        <c:axId val="335039872"/>
        <c:scaling>
          <c:orientation val="minMax"/>
          <c:max val="250000"/>
          <c:min val="140000"/>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35038336"/>
        <c:crosses val="autoZero"/>
        <c:crossBetween val="between"/>
        <c:majorUnit val="10000"/>
        <c:minorUnit val="1000"/>
      </c:valAx>
      <c:spPr>
        <a:noFill/>
        <a:ln>
          <a:noFill/>
        </a:ln>
        <a:effectLst/>
      </c:spPr>
    </c:plotArea>
    <c:legend>
      <c:legendPos val="b"/>
      <c:legendEntry>
        <c:idx val="0"/>
        <c:delete val="1"/>
      </c:legendEntry>
      <c:legendEntry>
        <c:idx val="1"/>
        <c:delete val="1"/>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700901081312634E-2"/>
          <c:y val="4.9107142857142856E-2"/>
          <c:w val="0.91329909891868732"/>
          <c:h val="0.6341436033367116"/>
        </c:manualLayout>
      </c:layout>
      <c:barChart>
        <c:barDir val="col"/>
        <c:grouping val="stacked"/>
        <c:varyColors val="0"/>
        <c:ser>
          <c:idx val="0"/>
          <c:order val="0"/>
          <c:tx>
            <c:strRef>
              <c:f>'[Chart 2 in Microsoft Word]Sheet1'!$C$230</c:f>
              <c:strCache>
                <c:ptCount val="1"/>
                <c:pt idx="0">
                  <c:v>Realizimi Total</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1-CE4F-4948-8739-2D8611E771CB}"/>
              </c:ext>
            </c:extLst>
          </c:dPt>
          <c:dPt>
            <c:idx val="2"/>
            <c:invertIfNegative val="0"/>
            <c:bubble3D val="0"/>
            <c:extLst>
              <c:ext xmlns:c16="http://schemas.microsoft.com/office/drawing/2014/chart" uri="{C3380CC4-5D6E-409C-BE32-E72D297353CC}">
                <c16:uniqueId val="{00000003-CE4F-4948-8739-2D8611E771CB}"/>
              </c:ext>
            </c:extLst>
          </c:dPt>
          <c:dPt>
            <c:idx val="3"/>
            <c:invertIfNegative val="0"/>
            <c:bubble3D val="0"/>
            <c:extLst>
              <c:ext xmlns:c16="http://schemas.microsoft.com/office/drawing/2014/chart" uri="{C3380CC4-5D6E-409C-BE32-E72D297353CC}">
                <c16:uniqueId val="{00000005-CE4F-4948-8739-2D8611E771CB}"/>
              </c:ext>
            </c:extLst>
          </c:dPt>
          <c:dPt>
            <c:idx val="4"/>
            <c:invertIfNegative val="0"/>
            <c:bubble3D val="0"/>
            <c:extLst>
              <c:ext xmlns:c16="http://schemas.microsoft.com/office/drawing/2014/chart" uri="{C3380CC4-5D6E-409C-BE32-E72D297353CC}">
                <c16:uniqueId val="{00000007-CE4F-4948-8739-2D8611E771CB}"/>
              </c:ext>
            </c:extLst>
          </c:dPt>
          <c:dPt>
            <c:idx val="5"/>
            <c:invertIfNegative val="0"/>
            <c:bubble3D val="0"/>
            <c:extLst>
              <c:ext xmlns:c16="http://schemas.microsoft.com/office/drawing/2014/chart" uri="{C3380CC4-5D6E-409C-BE32-E72D297353CC}">
                <c16:uniqueId val="{00000009-CE4F-4948-8739-2D8611E771CB}"/>
              </c:ext>
            </c:extLst>
          </c:dPt>
          <c:dPt>
            <c:idx val="6"/>
            <c:invertIfNegative val="0"/>
            <c:bubble3D val="0"/>
            <c:extLst>
              <c:ext xmlns:c16="http://schemas.microsoft.com/office/drawing/2014/chart" uri="{C3380CC4-5D6E-409C-BE32-E72D297353CC}">
                <c16:uniqueId val="{0000000B-CE4F-4948-8739-2D8611E771CB}"/>
              </c:ext>
            </c:extLst>
          </c:dPt>
          <c:dPt>
            <c:idx val="7"/>
            <c:invertIfNegative val="0"/>
            <c:bubble3D val="0"/>
            <c:extLst>
              <c:ext xmlns:c16="http://schemas.microsoft.com/office/drawing/2014/chart" uri="{C3380CC4-5D6E-409C-BE32-E72D297353CC}">
                <c16:uniqueId val="{0000000D-CE4F-4948-8739-2D8611E771CB}"/>
              </c:ext>
            </c:extLst>
          </c:dPt>
          <c:dLbls>
            <c:dLbl>
              <c:idx val="0"/>
              <c:layout>
                <c:manualLayout>
                  <c:x val="-1.9165952090389872E-3"/>
                  <c:y val="-0.2450035082248383"/>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Calibri" panose="020F0502020204030204" pitchFamily="34" charset="0"/>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E4F-4948-8739-2D8611E771CB}"/>
                </c:ext>
              </c:extLst>
            </c:dLbl>
            <c:dLbl>
              <c:idx val="1"/>
              <c:delete val="1"/>
              <c:extLst>
                <c:ext xmlns:c15="http://schemas.microsoft.com/office/drawing/2012/chart" uri="{CE6537A1-D6FC-4f65-9D91-7224C49458BB}"/>
                <c:ext xmlns:c16="http://schemas.microsoft.com/office/drawing/2014/chart" uri="{C3380CC4-5D6E-409C-BE32-E72D297353CC}">
                  <c16:uniqueId val="{00000001-CE4F-4948-8739-2D8611E771CB}"/>
                </c:ext>
              </c:extLst>
            </c:dLbl>
            <c:dLbl>
              <c:idx val="2"/>
              <c:delete val="1"/>
              <c:extLst>
                <c:ext xmlns:c15="http://schemas.microsoft.com/office/drawing/2012/chart" uri="{CE6537A1-D6FC-4f65-9D91-7224C49458BB}"/>
                <c:ext xmlns:c16="http://schemas.microsoft.com/office/drawing/2014/chart" uri="{C3380CC4-5D6E-409C-BE32-E72D297353CC}">
                  <c16:uniqueId val="{00000003-CE4F-4948-8739-2D8611E771CB}"/>
                </c:ext>
              </c:extLst>
            </c:dLbl>
            <c:dLbl>
              <c:idx val="3"/>
              <c:delete val="1"/>
              <c:extLst>
                <c:ext xmlns:c15="http://schemas.microsoft.com/office/drawing/2012/chart" uri="{CE6537A1-D6FC-4f65-9D91-7224C49458BB}"/>
                <c:ext xmlns:c16="http://schemas.microsoft.com/office/drawing/2014/chart" uri="{C3380CC4-5D6E-409C-BE32-E72D297353CC}">
                  <c16:uniqueId val="{00000005-CE4F-4948-8739-2D8611E771CB}"/>
                </c:ext>
              </c:extLst>
            </c:dLbl>
            <c:dLbl>
              <c:idx val="4"/>
              <c:delete val="1"/>
              <c:extLst>
                <c:ext xmlns:c15="http://schemas.microsoft.com/office/drawing/2012/chart" uri="{CE6537A1-D6FC-4f65-9D91-7224C49458BB}"/>
                <c:ext xmlns:c16="http://schemas.microsoft.com/office/drawing/2014/chart" uri="{C3380CC4-5D6E-409C-BE32-E72D297353CC}">
                  <c16:uniqueId val="{00000007-CE4F-4948-8739-2D8611E771CB}"/>
                </c:ext>
              </c:extLst>
            </c:dLbl>
            <c:dLbl>
              <c:idx val="5"/>
              <c:delete val="1"/>
              <c:extLst>
                <c:ext xmlns:c15="http://schemas.microsoft.com/office/drawing/2012/chart" uri="{CE6537A1-D6FC-4f65-9D91-7224C49458BB}"/>
                <c:ext xmlns:c16="http://schemas.microsoft.com/office/drawing/2014/chart" uri="{C3380CC4-5D6E-409C-BE32-E72D297353CC}">
                  <c16:uniqueId val="{00000009-CE4F-4948-8739-2D8611E771CB}"/>
                </c:ext>
              </c:extLst>
            </c:dLbl>
            <c:dLbl>
              <c:idx val="6"/>
              <c:layout>
                <c:manualLayout>
                  <c:x val="0"/>
                  <c:y val="-0.39090564174527687"/>
                </c:manualLayout>
              </c:layout>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Calibri" panose="020F0502020204030204" pitchFamily="34" charset="0"/>
                      <a:ea typeface="+mn-ea"/>
                      <a:cs typeface="+mn-cs"/>
                    </a:defRPr>
                  </a:pPr>
                  <a:endParaRPr lang="en-US"/>
                </a:p>
              </c:txPr>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E4F-4948-8739-2D8611E771CB}"/>
                </c:ext>
              </c:extLst>
            </c:dLbl>
            <c:dLbl>
              <c:idx val="7"/>
              <c:layout>
                <c:manualLayout>
                  <c:x val="1.9122287025526851E-3"/>
                  <c:y val="-0.42058938177282296"/>
                </c:manualLayout>
              </c:layout>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Calibri" panose="020F0502020204030204" pitchFamily="34" charset="0"/>
                        <a:ea typeface="+mn-ea"/>
                        <a:cs typeface="+mn-cs"/>
                      </a:defRPr>
                    </a:pPr>
                    <a:fld id="{47B811DB-AEC0-465D-9CAE-FA18B3419AFA}" type="VALUE">
                      <a:rPr lang="en-US" sz="800" baseline="0">
                        <a:solidFill>
                          <a:sysClr val="windowText" lastClr="000000"/>
                        </a:solidFill>
                      </a:rPr>
                      <a:pPr>
                        <a:defRPr sz="800" b="1" i="0" u="none" strike="noStrike" kern="1200" baseline="0">
                          <a:solidFill>
                            <a:sysClr val="windowText" lastClr="000000"/>
                          </a:solidFill>
                          <a:latin typeface="Calibri" panose="020F0502020204030204" pitchFamily="34" charset="0"/>
                          <a:ea typeface="+mn-ea"/>
                          <a:cs typeface="+mn-cs"/>
                        </a:defRPr>
                      </a:pPr>
                      <a:t>[VALUE]</a:t>
                    </a:fld>
                    <a:endParaRPr lang="en-US"/>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CE4F-4948-8739-2D8611E771CB}"/>
                </c:ext>
              </c:extLst>
            </c:dLbl>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bg1"/>
                    </a:solidFill>
                    <a:latin typeface="Calibri" panose="020F0502020204030204" pitchFamily="34"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Word]Sheet1'!$B$231:$B$238</c:f>
              <c:strCache>
                <c:ptCount val="8"/>
                <c:pt idx="0">
                  <c:v>Fakt 2021</c:v>
                </c:pt>
                <c:pt idx="1">
                  <c:v>Tatim Fitim </c:v>
                </c:pt>
                <c:pt idx="2">
                  <c:v>TVSH Neto</c:v>
                </c:pt>
                <c:pt idx="3">
                  <c:v>TAP</c:v>
                </c:pt>
                <c:pt idx="4">
                  <c:v>Taksa Nacionale</c:v>
                </c:pt>
                <c:pt idx="5">
                  <c:v>Kontribute DPT</c:v>
                </c:pt>
                <c:pt idx="6">
                  <c:v>Fakt 2022</c:v>
                </c:pt>
                <c:pt idx="7">
                  <c:v>Plan 2022</c:v>
                </c:pt>
              </c:strCache>
            </c:strRef>
          </c:cat>
          <c:val>
            <c:numRef>
              <c:f>'[Chart 2 in Microsoft Word]Sheet1'!$C$231:$C$238</c:f>
              <c:numCache>
                <c:formatCode>_(* #,##0_);_(* \(#,##0\);_(* "-"??_);_(@_)</c:formatCode>
                <c:ptCount val="8"/>
                <c:pt idx="0">
                  <c:v>251499</c:v>
                </c:pt>
                <c:pt idx="1">
                  <c:v>263572</c:v>
                </c:pt>
                <c:pt idx="2">
                  <c:v>267851</c:v>
                </c:pt>
                <c:pt idx="3">
                  <c:v>273523</c:v>
                </c:pt>
                <c:pt idx="4">
                  <c:v>274070</c:v>
                </c:pt>
                <c:pt idx="5">
                  <c:v>286271</c:v>
                </c:pt>
                <c:pt idx="6">
                  <c:v>286271</c:v>
                </c:pt>
                <c:pt idx="7">
                  <c:v>291635</c:v>
                </c:pt>
              </c:numCache>
            </c:numRef>
          </c:val>
          <c:extLst>
            <c:ext xmlns:c16="http://schemas.microsoft.com/office/drawing/2014/chart" uri="{C3380CC4-5D6E-409C-BE32-E72D297353CC}">
              <c16:uniqueId val="{0000000F-CE4F-4948-8739-2D8611E771CB}"/>
            </c:ext>
          </c:extLst>
        </c:ser>
        <c:ser>
          <c:idx val="1"/>
          <c:order val="1"/>
          <c:tx>
            <c:strRef>
              <c:f>'[Chart 2 in Microsoft Word]Sheet1'!$D$230</c:f>
              <c:strCache>
                <c:ptCount val="1"/>
                <c:pt idx="0">
                  <c:v>Rënie</c:v>
                </c:pt>
              </c:strCache>
            </c:strRef>
          </c:tx>
          <c:spPr>
            <a:solidFill>
              <a:schemeClr val="accent2"/>
            </a:solidFill>
            <a:ln>
              <a:noFill/>
            </a:ln>
            <a:effectLst/>
          </c:spPr>
          <c:invertIfNegative val="0"/>
          <c:dLbls>
            <c:delete val="1"/>
          </c:dLbls>
          <c:cat>
            <c:strRef>
              <c:f>'[Chart 2 in Microsoft Word]Sheet1'!$B$231:$B$238</c:f>
              <c:strCache>
                <c:ptCount val="8"/>
                <c:pt idx="0">
                  <c:v>Fakt 2021</c:v>
                </c:pt>
                <c:pt idx="1">
                  <c:v>Tatim Fitim </c:v>
                </c:pt>
                <c:pt idx="2">
                  <c:v>TVSH Neto</c:v>
                </c:pt>
                <c:pt idx="3">
                  <c:v>TAP</c:v>
                </c:pt>
                <c:pt idx="4">
                  <c:v>Taksa Nacionale</c:v>
                </c:pt>
                <c:pt idx="5">
                  <c:v>Kontribute DPT</c:v>
                </c:pt>
                <c:pt idx="6">
                  <c:v>Fakt 2022</c:v>
                </c:pt>
                <c:pt idx="7">
                  <c:v>Plan 2022</c:v>
                </c:pt>
              </c:strCache>
            </c:strRef>
          </c:cat>
          <c:val>
            <c:numRef>
              <c:f>'[Chart 2 in Microsoft Word]Sheet1'!$D$231:$D$238</c:f>
              <c:numCache>
                <c:formatCode>_(* #,##0_);_(* \(#,##0\);_(* "-"??_);_(@_)</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10-CE4F-4948-8739-2D8611E771CB}"/>
            </c:ext>
          </c:extLst>
        </c:ser>
        <c:ser>
          <c:idx val="2"/>
          <c:order val="2"/>
          <c:tx>
            <c:strRef>
              <c:f>'[Chart 2 in Microsoft Word]Sheet1'!$E$230</c:f>
              <c:strCache>
                <c:ptCount val="1"/>
                <c:pt idx="0">
                  <c:v>Rritje</c:v>
                </c:pt>
              </c:strCache>
            </c:strRef>
          </c:tx>
          <c:spPr>
            <a:solidFill>
              <a:schemeClr val="accent3"/>
            </a:solidFill>
            <a:ln>
              <a:noFill/>
            </a:ln>
            <a:effectLst/>
          </c:spPr>
          <c:invertIfNegative val="0"/>
          <c:dLbls>
            <c:dLbl>
              <c:idx val="1"/>
              <c:layout>
                <c:manualLayout>
                  <c:x val="1.9122287025527902E-3"/>
                  <c:y val="-7.589285714285716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E4F-4948-8739-2D8611E771CB}"/>
                </c:ext>
              </c:extLst>
            </c:dLbl>
            <c:dLbl>
              <c:idx val="2"/>
              <c:layout>
                <c:manualLayout>
                  <c:x val="-1.9122287025528254E-3"/>
                  <c:y val="-4.0178571428571432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E4F-4948-8739-2D8611E771CB}"/>
                </c:ext>
              </c:extLst>
            </c:dLbl>
            <c:dLbl>
              <c:idx val="3"/>
              <c:layout>
                <c:manualLayout>
                  <c:x val="-7.011424246122493E-17"/>
                  <c:y val="-4.464285714285714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E4F-4948-8739-2D8611E771CB}"/>
                </c:ext>
              </c:extLst>
            </c:dLbl>
            <c:dLbl>
              <c:idx val="4"/>
              <c:layout>
                <c:manualLayout>
                  <c:x val="0"/>
                  <c:y val="-3.703703703703703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CE4F-4948-8739-2D8611E771CB}"/>
                </c:ext>
              </c:extLst>
            </c:dLbl>
            <c:dLbl>
              <c:idx val="5"/>
              <c:layout>
                <c:manualLayout>
                  <c:x val="3.8157016121339311E-3"/>
                  <c:y val="-7.272727272727272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CE4F-4948-8739-2D8611E771CB}"/>
                </c:ext>
              </c:extLst>
            </c:dLbl>
            <c:dLbl>
              <c:idx val="6"/>
              <c:delete val="1"/>
              <c:extLst>
                <c:ext xmlns:c15="http://schemas.microsoft.com/office/drawing/2012/chart" uri="{CE6537A1-D6FC-4f65-9D91-7224C49458BB}"/>
                <c:ext xmlns:c16="http://schemas.microsoft.com/office/drawing/2014/chart" uri="{C3380CC4-5D6E-409C-BE32-E72D297353CC}">
                  <c16:uniqueId val="{00000016-CE4F-4948-8739-2D8611E771CB}"/>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2 in Microsoft Word]Sheet1'!$B$231:$B$238</c:f>
              <c:strCache>
                <c:ptCount val="8"/>
                <c:pt idx="0">
                  <c:v>Fakt 2021</c:v>
                </c:pt>
                <c:pt idx="1">
                  <c:v>Tatim Fitim </c:v>
                </c:pt>
                <c:pt idx="2">
                  <c:v>TVSH Neto</c:v>
                </c:pt>
                <c:pt idx="3">
                  <c:v>TAP</c:v>
                </c:pt>
                <c:pt idx="4">
                  <c:v>Taksa Nacionale</c:v>
                </c:pt>
                <c:pt idx="5">
                  <c:v>Kontribute DPT</c:v>
                </c:pt>
                <c:pt idx="6">
                  <c:v>Fakt 2022</c:v>
                </c:pt>
                <c:pt idx="7">
                  <c:v>Plan 2022</c:v>
                </c:pt>
              </c:strCache>
            </c:strRef>
          </c:cat>
          <c:val>
            <c:numRef>
              <c:f>'[Chart 2 in Microsoft Word]Sheet1'!$E$231:$E$238</c:f>
              <c:numCache>
                <c:formatCode>_(* #,##0_);_(* \(#,##0\);_(* "-"??_);_(@_)</c:formatCode>
                <c:ptCount val="8"/>
                <c:pt idx="1">
                  <c:v>12073</c:v>
                </c:pt>
                <c:pt idx="2">
                  <c:v>4279</c:v>
                </c:pt>
                <c:pt idx="3">
                  <c:v>5672</c:v>
                </c:pt>
                <c:pt idx="4">
                  <c:v>547</c:v>
                </c:pt>
                <c:pt idx="5">
                  <c:v>12201</c:v>
                </c:pt>
                <c:pt idx="6">
                  <c:v>0</c:v>
                </c:pt>
              </c:numCache>
            </c:numRef>
          </c:val>
          <c:extLst>
            <c:ext xmlns:c16="http://schemas.microsoft.com/office/drawing/2014/chart" uri="{C3380CC4-5D6E-409C-BE32-E72D297353CC}">
              <c16:uniqueId val="{00000017-CE4F-4948-8739-2D8611E771CB}"/>
            </c:ext>
          </c:extLst>
        </c:ser>
        <c:dLbls>
          <c:dLblPos val="ctr"/>
          <c:showLegendKey val="0"/>
          <c:showVal val="1"/>
          <c:showCatName val="0"/>
          <c:showSerName val="0"/>
          <c:showPercent val="0"/>
          <c:showBubbleSize val="0"/>
        </c:dLbls>
        <c:gapWidth val="150"/>
        <c:overlap val="100"/>
        <c:axId val="335361920"/>
        <c:axId val="335363456"/>
      </c:barChart>
      <c:catAx>
        <c:axId val="33536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35363456"/>
        <c:crosses val="autoZero"/>
        <c:auto val="1"/>
        <c:lblAlgn val="ctr"/>
        <c:lblOffset val="100"/>
        <c:noMultiLvlLbl val="0"/>
      </c:catAx>
      <c:valAx>
        <c:axId val="335363456"/>
        <c:scaling>
          <c:orientation val="minMax"/>
          <c:max val="300000"/>
          <c:min val="200000"/>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35361920"/>
        <c:crosses val="autoZero"/>
        <c:crossBetween val="between"/>
        <c:majorUnit val="20000"/>
        <c:minorUnit val="10000"/>
      </c:valAx>
      <c:spPr>
        <a:noFill/>
        <a:ln>
          <a:noFill/>
        </a:ln>
        <a:effectLst/>
      </c:spPr>
    </c:plotArea>
    <c:legend>
      <c:legendPos val="b"/>
      <c:legendEntry>
        <c:idx val="0"/>
        <c:delete val="1"/>
      </c:legendEntry>
      <c:legendEntry>
        <c:idx val="1"/>
        <c:delete val="1"/>
      </c:legendEntry>
      <c:legendEntry>
        <c:idx val="2"/>
        <c:txPr>
          <a:bodyPr rot="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dPt>
            <c:idx val="0"/>
            <c:bubble3D val="0"/>
            <c:spPr>
              <a:solidFill>
                <a:schemeClr val="accent2">
                  <a:shade val="53000"/>
                </a:schemeClr>
              </a:solidFill>
              <a:ln w="19050">
                <a:solidFill>
                  <a:schemeClr val="lt1"/>
                </a:solidFill>
              </a:ln>
              <a:effectLst/>
            </c:spPr>
            <c:extLst>
              <c:ext xmlns:c16="http://schemas.microsoft.com/office/drawing/2014/chart" uri="{C3380CC4-5D6E-409C-BE32-E72D297353CC}">
                <c16:uniqueId val="{00000001-3018-4C72-BD54-25CD0171F372}"/>
              </c:ext>
            </c:extLst>
          </c:dPt>
          <c:dPt>
            <c:idx val="1"/>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3-3018-4C72-BD54-25CD0171F372}"/>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5-3018-4C72-BD54-25CD0171F372}"/>
              </c:ext>
            </c:extLst>
          </c:dPt>
          <c:dPt>
            <c:idx val="3"/>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07-3018-4C72-BD54-25CD0171F372}"/>
              </c:ext>
            </c:extLst>
          </c:dPt>
          <c:dPt>
            <c:idx val="4"/>
            <c:bubble3D val="0"/>
            <c:spPr>
              <a:solidFill>
                <a:schemeClr val="accent2">
                  <a:tint val="54000"/>
                </a:schemeClr>
              </a:solidFill>
              <a:ln w="19050">
                <a:solidFill>
                  <a:schemeClr val="lt1"/>
                </a:solidFill>
              </a:ln>
              <a:effectLst/>
            </c:spPr>
            <c:extLst>
              <c:ext xmlns:c16="http://schemas.microsoft.com/office/drawing/2014/chart" uri="{C3380CC4-5D6E-409C-BE32-E72D297353CC}">
                <c16:uniqueId val="{00000009-3018-4C72-BD54-25CD0171F372}"/>
              </c:ext>
            </c:extLst>
          </c:dPt>
          <c:dLbls>
            <c:dLbl>
              <c:idx val="0"/>
              <c:layout>
                <c:manualLayout>
                  <c:x val="1.5051231938905701E-2"/>
                  <c:y val="-1.4385118695862825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018-4C72-BD54-25CD0171F372}"/>
                </c:ext>
              </c:extLst>
            </c:dLbl>
            <c:dLbl>
              <c:idx val="1"/>
              <c:layout>
                <c:manualLayout>
                  <c:x val="2.3387521323105634E-2"/>
                  <c:y val="-2.24891259789280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018-4C72-BD54-25CD0171F372}"/>
                </c:ext>
              </c:extLst>
            </c:dLbl>
            <c:dLbl>
              <c:idx val="2"/>
              <c:layout>
                <c:manualLayout>
                  <c:x val="0.21279740319404106"/>
                  <c:y val="-2.195851279239198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018-4C72-BD54-25CD0171F372}"/>
                </c:ext>
              </c:extLst>
            </c:dLbl>
            <c:dLbl>
              <c:idx val="3"/>
              <c:layout>
                <c:manualLayout>
                  <c:x val="-1.5209691328038802E-2"/>
                  <c:y val="1.561103036562620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018-4C72-BD54-25CD0171F372}"/>
                </c:ext>
              </c:extLst>
            </c:dLbl>
            <c:dLbl>
              <c:idx val="4"/>
              <c:layout>
                <c:manualLayout>
                  <c:x val="-4.0066337278739449E-2"/>
                  <c:y val="4.099602695810054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018-4C72-BD54-25CD0171F37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Sheet1!$C$222:$C$226</c:f>
              <c:strCache>
                <c:ptCount val="5"/>
                <c:pt idx="0">
                  <c:v>Sektori i Ndërtimit</c:v>
                </c:pt>
                <c:pt idx="1">
                  <c:v>Sektori i Prodhimit</c:v>
                </c:pt>
                <c:pt idx="2">
                  <c:v>Sektori i Shërbimit</c:v>
                </c:pt>
                <c:pt idx="3">
                  <c:v>Sektori i Transportit</c:v>
                </c:pt>
                <c:pt idx="4">
                  <c:v>Sektori i Tregtisë</c:v>
                </c:pt>
              </c:strCache>
            </c:strRef>
          </c:cat>
          <c:val>
            <c:numRef>
              <c:f>Sheet1!$D$222:$D$226</c:f>
              <c:numCache>
                <c:formatCode>0%</c:formatCode>
                <c:ptCount val="5"/>
                <c:pt idx="0">
                  <c:v>0.14072652348744874</c:v>
                </c:pt>
                <c:pt idx="1">
                  <c:v>0.21191166165609931</c:v>
                </c:pt>
                <c:pt idx="2">
                  <c:v>0.32306239836584527</c:v>
                </c:pt>
                <c:pt idx="3">
                  <c:v>2.8260995444158367E-2</c:v>
                </c:pt>
                <c:pt idx="4">
                  <c:v>0.29603842104644834</c:v>
                </c:pt>
              </c:numCache>
            </c:numRef>
          </c:val>
          <c:extLst>
            <c:ext xmlns:c16="http://schemas.microsoft.com/office/drawing/2014/chart" uri="{C3380CC4-5D6E-409C-BE32-E72D297353CC}">
              <c16:uniqueId val="{0000000A-3018-4C72-BD54-25CD0171F372}"/>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lumMod val="85000"/>
      </a:schemeClr>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dPt>
            <c:idx val="0"/>
            <c:bubble3D val="0"/>
            <c:spPr>
              <a:solidFill>
                <a:schemeClr val="accent2">
                  <a:shade val="53000"/>
                </a:schemeClr>
              </a:solidFill>
              <a:ln w="19050">
                <a:solidFill>
                  <a:schemeClr val="lt1"/>
                </a:solidFill>
              </a:ln>
              <a:effectLst/>
            </c:spPr>
            <c:extLst>
              <c:ext xmlns:c16="http://schemas.microsoft.com/office/drawing/2014/chart" uri="{C3380CC4-5D6E-409C-BE32-E72D297353CC}">
                <c16:uniqueId val="{00000001-59ED-45B2-80CA-25A9CE5FE3F1}"/>
              </c:ext>
            </c:extLst>
          </c:dPt>
          <c:dPt>
            <c:idx val="1"/>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3-59ED-45B2-80CA-25A9CE5FE3F1}"/>
              </c:ext>
            </c:extLst>
          </c:dPt>
          <c:dPt>
            <c:idx val="2"/>
            <c:bubble3D val="0"/>
            <c:spPr>
              <a:solidFill>
                <a:schemeClr val="accent2"/>
              </a:solidFill>
              <a:ln w="19050">
                <a:solidFill>
                  <a:schemeClr val="lt1"/>
                </a:solidFill>
              </a:ln>
              <a:effectLst/>
            </c:spPr>
            <c:extLst>
              <c:ext xmlns:c16="http://schemas.microsoft.com/office/drawing/2014/chart" uri="{C3380CC4-5D6E-409C-BE32-E72D297353CC}">
                <c16:uniqueId val="{00000005-59ED-45B2-80CA-25A9CE5FE3F1}"/>
              </c:ext>
            </c:extLst>
          </c:dPt>
          <c:dPt>
            <c:idx val="3"/>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07-59ED-45B2-80CA-25A9CE5FE3F1}"/>
              </c:ext>
            </c:extLst>
          </c:dPt>
          <c:dPt>
            <c:idx val="4"/>
            <c:bubble3D val="0"/>
            <c:spPr>
              <a:solidFill>
                <a:schemeClr val="accent2">
                  <a:tint val="54000"/>
                </a:schemeClr>
              </a:solidFill>
              <a:ln w="19050">
                <a:solidFill>
                  <a:schemeClr val="lt1"/>
                </a:solidFill>
              </a:ln>
              <a:effectLst/>
            </c:spPr>
            <c:extLst>
              <c:ext xmlns:c16="http://schemas.microsoft.com/office/drawing/2014/chart" uri="{C3380CC4-5D6E-409C-BE32-E72D297353CC}">
                <c16:uniqueId val="{00000009-59ED-45B2-80CA-25A9CE5FE3F1}"/>
              </c:ext>
            </c:extLst>
          </c:dPt>
          <c:dLbls>
            <c:dLbl>
              <c:idx val="0"/>
              <c:layout>
                <c:manualLayout>
                  <c:x val="-6.9381378957805315E-2"/>
                  <c:y val="0.1507744036339506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ED-45B2-80CA-25A9CE5FE3F1}"/>
                </c:ext>
              </c:extLst>
            </c:dLbl>
            <c:dLbl>
              <c:idx val="1"/>
              <c:layout>
                <c:manualLayout>
                  <c:x val="-0.1255936754917778"/>
                  <c:y val="7.5829302831498802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ED-45B2-80CA-25A9CE5FE3F1}"/>
                </c:ext>
              </c:extLst>
            </c:dLbl>
            <c:dLbl>
              <c:idx val="2"/>
              <c:layout>
                <c:manualLayout>
                  <c:x val="1.5548979027970486E-2"/>
                  <c:y val="-0.1676525718820334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ED-45B2-80CA-25A9CE5FE3F1}"/>
                </c:ext>
              </c:extLst>
            </c:dLbl>
            <c:dLbl>
              <c:idx val="3"/>
              <c:layout>
                <c:manualLayout>
                  <c:x val="1.218434746641606E-2"/>
                  <c:y val="-1.5877106644564168E-2"/>
                </c:manualLayout>
              </c:layout>
              <c:tx>
                <c:rich>
                  <a:bodyPr/>
                  <a:lstStyle/>
                  <a:p>
                    <a:fld id="{8BDBDC9A-80A9-451E-8DD9-F0093EE0417E}" type="CATEGORYNAME">
                      <a:rPr lang="en-US">
                        <a:solidFill>
                          <a:sysClr val="windowText" lastClr="000000"/>
                        </a:solidFill>
                      </a:rPr>
                      <a:pPr/>
                      <a:t>[CATEGORY NAME]</a:t>
                    </a:fld>
                    <a:r>
                      <a:rPr lang="en-US" baseline="0">
                        <a:solidFill>
                          <a:sysClr val="windowText" lastClr="000000"/>
                        </a:solidFill>
                      </a:rPr>
                      <a:t>, </a:t>
                    </a:r>
                    <a:fld id="{38BF5A46-E1C8-46A9-85F2-FF493E803A1F}" type="VALUE">
                      <a:rPr lang="en-US" baseline="0">
                        <a:solidFill>
                          <a:sysClr val="windowText" lastClr="000000"/>
                        </a:solidFill>
                      </a:rPr>
                      <a:pPr/>
                      <a:t>[VALUE]</a:t>
                    </a:fld>
                    <a:endParaRPr lang="en-US" baseline="0">
                      <a:solidFill>
                        <a:sysClr val="windowText" lastClr="000000"/>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9ED-45B2-80CA-25A9CE5FE3F1}"/>
                </c:ext>
              </c:extLst>
            </c:dLbl>
            <c:dLbl>
              <c:idx val="4"/>
              <c:layout>
                <c:manualLayout>
                  <c:x val="0.10329287288271481"/>
                  <c:y val="0.1305123241002346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9ED-45B2-80CA-25A9CE5FE3F1}"/>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Calibri" panose="020F0502020204030204" pitchFamily="34" charset="0"/>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Sheet1!$C$288:$C$292</c:f>
              <c:strCache>
                <c:ptCount val="5"/>
                <c:pt idx="0">
                  <c:v>Ndërtimi</c:v>
                </c:pt>
                <c:pt idx="1">
                  <c:v>Prodhimi</c:v>
                </c:pt>
                <c:pt idx="2">
                  <c:v>Shërbimi</c:v>
                </c:pt>
                <c:pt idx="3">
                  <c:v>Transporti</c:v>
                </c:pt>
                <c:pt idx="4">
                  <c:v>Tregtia</c:v>
                </c:pt>
              </c:strCache>
            </c:strRef>
          </c:cat>
          <c:val>
            <c:numRef>
              <c:f>Sheet1!$D$288:$D$292</c:f>
              <c:numCache>
                <c:formatCode>0%</c:formatCode>
                <c:ptCount val="5"/>
                <c:pt idx="0">
                  <c:v>0.14795074512673478</c:v>
                </c:pt>
                <c:pt idx="1">
                  <c:v>0.19082408599765449</c:v>
                </c:pt>
                <c:pt idx="2">
                  <c:v>0.33650991252731632</c:v>
                </c:pt>
                <c:pt idx="3">
                  <c:v>2.1367570242592896E-2</c:v>
                </c:pt>
                <c:pt idx="4">
                  <c:v>0.30334768610570151</c:v>
                </c:pt>
              </c:numCache>
            </c:numRef>
          </c:val>
          <c:extLst>
            <c:ext xmlns:c16="http://schemas.microsoft.com/office/drawing/2014/chart" uri="{C3380CC4-5D6E-409C-BE32-E72D297353CC}">
              <c16:uniqueId val="{0000000A-59ED-45B2-80CA-25A9CE5FE3F1}"/>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0240105186092731E-2"/>
          <c:y val="4.1666666666666664E-2"/>
          <c:w val="0.84085941818942467"/>
          <c:h val="0.67796360634601838"/>
        </c:manualLayout>
      </c:layout>
      <c:barChart>
        <c:barDir val="col"/>
        <c:grouping val="clustered"/>
        <c:varyColors val="0"/>
        <c:ser>
          <c:idx val="0"/>
          <c:order val="0"/>
          <c:tx>
            <c:strRef>
              <c:f>'[Chart in Microsoft Word]Sheet1'!$E$321</c:f>
              <c:strCache>
                <c:ptCount val="1"/>
                <c:pt idx="0">
                  <c:v>Rimbursimi</c:v>
                </c:pt>
              </c:strCache>
            </c:strRef>
          </c:tx>
          <c:spPr>
            <a:solidFill>
              <a:schemeClr val="accent1"/>
            </a:solidFill>
            <a:ln>
              <a:noFill/>
            </a:ln>
            <a:effectLst/>
          </c:spPr>
          <c:invertIfNegative val="0"/>
          <c:cat>
            <c:numRef>
              <c:f>'[Chart in Microsoft Word]Sheet1'!$D$322:$D$331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'[Chart in Microsoft Word]Sheet1'!$E$322:$E$331</c:f>
              <c:numCache>
                <c:formatCode>_(* #,##0_);_(* \(#,##0\);_(* "-"??_);_(@_)</c:formatCode>
                <c:ptCount val="10"/>
                <c:pt idx="0">
                  <c:v>7397</c:v>
                </c:pt>
                <c:pt idx="1">
                  <c:v>9600</c:v>
                </c:pt>
                <c:pt idx="2">
                  <c:v>7692</c:v>
                </c:pt>
                <c:pt idx="3">
                  <c:v>8886</c:v>
                </c:pt>
                <c:pt idx="4">
                  <c:v>13891</c:v>
                </c:pt>
                <c:pt idx="5">
                  <c:v>14394.3</c:v>
                </c:pt>
                <c:pt idx="6">
                  <c:v>23509</c:v>
                </c:pt>
                <c:pt idx="7">
                  <c:v>16508</c:v>
                </c:pt>
                <c:pt idx="8">
                  <c:v>24102</c:v>
                </c:pt>
                <c:pt idx="9">
                  <c:v>22482</c:v>
                </c:pt>
              </c:numCache>
            </c:numRef>
          </c:val>
          <c:extLst>
            <c:ext xmlns:c16="http://schemas.microsoft.com/office/drawing/2014/chart" uri="{C3380CC4-5D6E-409C-BE32-E72D297353CC}">
              <c16:uniqueId val="{00000000-5324-49DA-B6FB-F338275D503C}"/>
            </c:ext>
          </c:extLst>
        </c:ser>
        <c:dLbls>
          <c:showLegendKey val="0"/>
          <c:showVal val="0"/>
          <c:showCatName val="0"/>
          <c:showSerName val="0"/>
          <c:showPercent val="0"/>
          <c:showBubbleSize val="0"/>
        </c:dLbls>
        <c:gapWidth val="219"/>
        <c:overlap val="-27"/>
        <c:axId val="336108160"/>
        <c:axId val="336130432"/>
      </c:barChart>
      <c:lineChart>
        <c:grouping val="standard"/>
        <c:varyColors val="0"/>
        <c:ser>
          <c:idx val="1"/>
          <c:order val="1"/>
          <c:tx>
            <c:strRef>
              <c:f>'[Chart in Microsoft Word]Sheet1'!$F$321</c:f>
              <c:strCache>
                <c:ptCount val="1"/>
                <c:pt idx="0">
                  <c:v>% ndaj TVSH Totale</c:v>
                </c:pt>
              </c:strCache>
            </c:strRef>
          </c:tx>
          <c:spPr>
            <a:ln w="28575" cap="rnd">
              <a:solidFill>
                <a:srgbClr val="FF0000"/>
              </a:solidFill>
              <a:round/>
            </a:ln>
            <a:effectLst/>
          </c:spPr>
          <c:marker>
            <c:symbol val="none"/>
          </c:marker>
          <c:dLbls>
            <c:dLbl>
              <c:idx val="1"/>
              <c:layout>
                <c:manualLayout>
                  <c:x val="-2.7405160692674325E-2"/>
                  <c:y val="-2.72338874307378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324-49DA-B6FB-F338275D503C}"/>
                </c:ext>
              </c:extLst>
            </c:dLbl>
            <c:dLbl>
              <c:idx val="5"/>
              <c:layout>
                <c:manualLayout>
                  <c:x val="-3.3149905123339658E-2"/>
                  <c:y val="-4.57524059492563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324-49DA-B6FB-F338275D503C}"/>
                </c:ext>
              </c:extLst>
            </c:dLbl>
            <c:dLbl>
              <c:idx val="6"/>
              <c:layout>
                <c:manualLayout>
                  <c:x val="-3.1252371916508606E-2"/>
                  <c:y val="-1.7974628171478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324-49DA-B6FB-F338275D503C}"/>
                </c:ext>
              </c:extLst>
            </c:dLbl>
            <c:dLbl>
              <c:idx val="9"/>
              <c:layout>
                <c:manualLayout>
                  <c:x val="-2.7457305502846439E-2"/>
                  <c:y val="-0.1429746281714785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324-49DA-B6FB-F338275D503C}"/>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in Microsoft Word]Sheet1'!$D$322:$D$331</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'[Chart in Microsoft Word]Sheet1'!$F$322:$F$331</c:f>
              <c:numCache>
                <c:formatCode>0%</c:formatCode>
                <c:ptCount val="10"/>
                <c:pt idx="0">
                  <c:v>6.6075910922132788E-2</c:v>
                </c:pt>
                <c:pt idx="1">
                  <c:v>7.758829709852097E-2</c:v>
                </c:pt>
                <c:pt idx="2">
                  <c:v>6.1260572466192001E-2</c:v>
                </c:pt>
                <c:pt idx="3">
                  <c:v>6.7630717710632463E-2</c:v>
                </c:pt>
                <c:pt idx="4">
                  <c:v>9.9548516554393007E-2</c:v>
                </c:pt>
                <c:pt idx="5">
                  <c:v>0.10029053969315664</c:v>
                </c:pt>
                <c:pt idx="6">
                  <c:v>0.17754433132948674</c:v>
                </c:pt>
                <c:pt idx="7">
                  <c:v>0.12663976556147108</c:v>
                </c:pt>
                <c:pt idx="8">
                  <c:v>0.14920513074484945</c:v>
                </c:pt>
                <c:pt idx="9">
                  <c:v>0.11745357391759548</c:v>
                </c:pt>
              </c:numCache>
            </c:numRef>
          </c:val>
          <c:smooth val="0"/>
          <c:extLst>
            <c:ext xmlns:c16="http://schemas.microsoft.com/office/drawing/2014/chart" uri="{C3380CC4-5D6E-409C-BE32-E72D297353CC}">
              <c16:uniqueId val="{00000005-5324-49DA-B6FB-F338275D503C}"/>
            </c:ext>
          </c:extLst>
        </c:ser>
        <c:dLbls>
          <c:showLegendKey val="0"/>
          <c:showVal val="0"/>
          <c:showCatName val="0"/>
          <c:showSerName val="0"/>
          <c:showPercent val="0"/>
          <c:showBubbleSize val="0"/>
        </c:dLbls>
        <c:marker val="1"/>
        <c:smooth val="0"/>
        <c:axId val="336133504"/>
        <c:axId val="336131968"/>
      </c:lineChart>
      <c:catAx>
        <c:axId val="33610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36130432"/>
        <c:crosses val="autoZero"/>
        <c:auto val="1"/>
        <c:lblAlgn val="ctr"/>
        <c:lblOffset val="100"/>
        <c:noMultiLvlLbl val="0"/>
      </c:catAx>
      <c:valAx>
        <c:axId val="336130432"/>
        <c:scaling>
          <c:orientation val="minMax"/>
        </c:scaling>
        <c:delete val="0"/>
        <c:axPos val="l"/>
        <c:majorGridlines>
          <c:spPr>
            <a:ln w="9525" cap="flat" cmpd="sng" algn="ctr">
              <a:no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36108160"/>
        <c:crosses val="autoZero"/>
        <c:crossBetween val="between"/>
      </c:valAx>
      <c:valAx>
        <c:axId val="336131968"/>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36133504"/>
        <c:crosses val="max"/>
        <c:crossBetween val="between"/>
      </c:valAx>
      <c:catAx>
        <c:axId val="336133504"/>
        <c:scaling>
          <c:orientation val="minMax"/>
        </c:scaling>
        <c:delete val="1"/>
        <c:axPos val="b"/>
        <c:numFmt formatCode="General" sourceLinked="1"/>
        <c:majorTickMark val="none"/>
        <c:minorTickMark val="none"/>
        <c:tickLblPos val="nextTo"/>
        <c:crossAx val="3361319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Word]Sheet1'!$D$350</c:f>
              <c:strCache>
                <c:ptCount val="1"/>
                <c:pt idx="0">
                  <c:v>Akciza</c:v>
                </c:pt>
              </c:strCache>
            </c:strRef>
          </c:tx>
          <c:spPr>
            <a:solidFill>
              <a:schemeClr val="accent1"/>
            </a:solidFill>
            <a:ln>
              <a:noFill/>
            </a:ln>
            <a:effectLst/>
          </c:spPr>
          <c:invertIfNegative val="0"/>
          <c:cat>
            <c:numRef>
              <c:f>'[Chart in Microsoft Word]Sheet1'!$C$351:$C$360</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'[Chart in Microsoft Word]Sheet1'!$D$351:$D$360</c:f>
              <c:numCache>
                <c:formatCode>_(* #,##0_);_(* \(#,##0\);_(* "-"??_);_(@_)</c:formatCode>
                <c:ptCount val="10"/>
                <c:pt idx="0">
                  <c:v>37833</c:v>
                </c:pt>
                <c:pt idx="1">
                  <c:v>40887</c:v>
                </c:pt>
                <c:pt idx="2">
                  <c:v>39027</c:v>
                </c:pt>
                <c:pt idx="3">
                  <c:v>41897</c:v>
                </c:pt>
                <c:pt idx="4">
                  <c:v>45104</c:v>
                </c:pt>
                <c:pt idx="5">
                  <c:v>44986</c:v>
                </c:pt>
                <c:pt idx="6">
                  <c:v>46742</c:v>
                </c:pt>
                <c:pt idx="7">
                  <c:v>44521</c:v>
                </c:pt>
                <c:pt idx="8">
                  <c:v>51637</c:v>
                </c:pt>
                <c:pt idx="9">
                  <c:v>53547</c:v>
                </c:pt>
              </c:numCache>
            </c:numRef>
          </c:val>
          <c:extLst>
            <c:ext xmlns:c16="http://schemas.microsoft.com/office/drawing/2014/chart" uri="{C3380CC4-5D6E-409C-BE32-E72D297353CC}">
              <c16:uniqueId val="{00000000-03E1-4163-8B07-C16989AD8392}"/>
            </c:ext>
          </c:extLst>
        </c:ser>
        <c:dLbls>
          <c:showLegendKey val="0"/>
          <c:showVal val="0"/>
          <c:showCatName val="0"/>
          <c:showSerName val="0"/>
          <c:showPercent val="0"/>
          <c:showBubbleSize val="0"/>
        </c:dLbls>
        <c:gapWidth val="219"/>
        <c:overlap val="-27"/>
        <c:axId val="336162176"/>
        <c:axId val="336163968"/>
      </c:barChart>
      <c:lineChart>
        <c:grouping val="standard"/>
        <c:varyColors val="0"/>
        <c:ser>
          <c:idx val="1"/>
          <c:order val="1"/>
          <c:tx>
            <c:strRef>
              <c:f>'[Chart in Microsoft Word]Sheet1'!$E$350</c:f>
              <c:strCache>
                <c:ptCount val="1"/>
                <c:pt idx="0">
                  <c:v>% ndaj te ardhurave totale</c:v>
                </c:pt>
              </c:strCache>
            </c:strRef>
          </c:tx>
          <c:spPr>
            <a:ln w="28575" cap="rnd">
              <a:solidFill>
                <a:srgbClr val="FF0000"/>
              </a:solidFill>
              <a:round/>
            </a:ln>
            <a:effectLst/>
          </c:spPr>
          <c:marker>
            <c:symbol val="none"/>
          </c:marker>
          <c:dLbls>
            <c:dLbl>
              <c:idx val="7"/>
              <c:layout>
                <c:manualLayout>
                  <c:x val="-3.5248366160533798E-2"/>
                  <c:y val="-3.6493146689997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E1-4163-8B07-C16989AD8392}"/>
                </c:ext>
              </c:extLst>
            </c:dLbl>
            <c:dLbl>
              <c:idx val="8"/>
              <c:layout>
                <c:manualLayout>
                  <c:x val="-4.0979025186321627E-2"/>
                  <c:y val="-0.1383449985418489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3E1-4163-8B07-C16989AD8392}"/>
                </c:ext>
              </c:extLst>
            </c:dLbl>
            <c:dLbl>
              <c:idx val="9"/>
              <c:layout>
                <c:manualLayout>
                  <c:x val="-2.3734554670637516E-2"/>
                  <c:y val="-0.1985301837270341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E1-4163-8B07-C16989AD8392}"/>
                </c:ext>
              </c:extLst>
            </c:dLbl>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j-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'[Chart in Microsoft Word]Sheet1'!$C$351:$C$360</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'[Chart in Microsoft Word]Sheet1'!$E$351:$E$360</c:f>
              <c:numCache>
                <c:formatCode>0.0%</c:formatCode>
                <c:ptCount val="10"/>
                <c:pt idx="0">
                  <c:v>0.11563416166837419</c:v>
                </c:pt>
                <c:pt idx="1">
                  <c:v>0.11149347869361176</c:v>
                </c:pt>
                <c:pt idx="2">
                  <c:v>0.10291767535323808</c:v>
                </c:pt>
                <c:pt idx="3">
                  <c:v>0.10293572076133664</c:v>
                </c:pt>
                <c:pt idx="4">
                  <c:v>0.104796269490726</c:v>
                </c:pt>
                <c:pt idx="5">
                  <c:v>9.9989108908690422E-2</c:v>
                </c:pt>
                <c:pt idx="6">
                  <c:v>0.10153600855003486</c:v>
                </c:pt>
                <c:pt idx="7">
                  <c:v>0.1045327009544382</c:v>
                </c:pt>
                <c:pt idx="8">
                  <c:v>0.10086336556304326</c:v>
                </c:pt>
                <c:pt idx="9">
                  <c:v>9.3484686333012684E-2</c:v>
                </c:pt>
              </c:numCache>
            </c:numRef>
          </c:val>
          <c:smooth val="0"/>
          <c:extLst>
            <c:ext xmlns:c16="http://schemas.microsoft.com/office/drawing/2014/chart" uri="{C3380CC4-5D6E-409C-BE32-E72D297353CC}">
              <c16:uniqueId val="{00000004-03E1-4163-8B07-C16989AD8392}"/>
            </c:ext>
          </c:extLst>
        </c:ser>
        <c:dLbls>
          <c:showLegendKey val="0"/>
          <c:showVal val="0"/>
          <c:showCatName val="0"/>
          <c:showSerName val="0"/>
          <c:showPercent val="0"/>
          <c:showBubbleSize val="0"/>
        </c:dLbls>
        <c:marker val="1"/>
        <c:smooth val="0"/>
        <c:axId val="336171392"/>
        <c:axId val="336165504"/>
      </c:lineChart>
      <c:catAx>
        <c:axId val="33616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j-lt"/>
                <a:ea typeface="+mn-ea"/>
                <a:cs typeface="+mn-cs"/>
              </a:defRPr>
            </a:pPr>
            <a:endParaRPr lang="en-US"/>
          </a:p>
        </c:txPr>
        <c:crossAx val="336163968"/>
        <c:crosses val="autoZero"/>
        <c:auto val="1"/>
        <c:lblAlgn val="ctr"/>
        <c:lblOffset val="100"/>
        <c:noMultiLvlLbl val="0"/>
      </c:catAx>
      <c:valAx>
        <c:axId val="336163968"/>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336162176"/>
        <c:crosses val="autoZero"/>
        <c:crossBetween val="between"/>
      </c:valAx>
      <c:valAx>
        <c:axId val="336165504"/>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336171392"/>
        <c:crosses val="max"/>
        <c:crossBetween val="between"/>
      </c:valAx>
      <c:catAx>
        <c:axId val="336171392"/>
        <c:scaling>
          <c:orientation val="minMax"/>
        </c:scaling>
        <c:delete val="1"/>
        <c:axPos val="b"/>
        <c:numFmt formatCode="General" sourceLinked="1"/>
        <c:majorTickMark val="none"/>
        <c:minorTickMark val="none"/>
        <c:tickLblPos val="nextTo"/>
        <c:crossAx val="3361655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j-lt"/>
              <a:ea typeface="+mn-ea"/>
              <a:cs typeface="+mn-cs"/>
            </a:defRPr>
          </a:pPr>
          <a:endParaRPr lang="en-US"/>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sz="900">
          <a:latin typeface="+mj-lt"/>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dPt>
            <c:idx val="0"/>
            <c:bubble3D val="0"/>
            <c:spPr>
              <a:gradFill rotWithShape="1">
                <a:gsLst>
                  <a:gs pos="0">
                    <a:schemeClr val="accent2">
                      <a:shade val="53000"/>
                      <a:tint val="100000"/>
                      <a:shade val="100000"/>
                      <a:satMod val="130000"/>
                    </a:schemeClr>
                  </a:gs>
                  <a:gs pos="100000">
                    <a:schemeClr val="accent2">
                      <a:shade val="53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2959-4E72-BF1D-7EFE21336F2F}"/>
              </c:ext>
            </c:extLst>
          </c:dPt>
          <c:dPt>
            <c:idx val="1"/>
            <c:bubble3D val="0"/>
            <c:spPr>
              <a:gradFill rotWithShape="1">
                <a:gsLst>
                  <a:gs pos="0">
                    <a:schemeClr val="accent2">
                      <a:shade val="76000"/>
                      <a:tint val="100000"/>
                      <a:shade val="100000"/>
                      <a:satMod val="130000"/>
                    </a:schemeClr>
                  </a:gs>
                  <a:gs pos="100000">
                    <a:schemeClr val="accent2">
                      <a:shade val="76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2959-4E72-BF1D-7EFE21336F2F}"/>
              </c:ext>
            </c:extLst>
          </c:dPt>
          <c:dPt>
            <c:idx val="2"/>
            <c:bubble3D val="0"/>
            <c:spPr>
              <a:gradFill rotWithShape="1">
                <a:gsLst>
                  <a:gs pos="0">
                    <a:schemeClr val="accent2">
                      <a:tint val="100000"/>
                      <a:shade val="100000"/>
                      <a:satMod val="130000"/>
                    </a:schemeClr>
                  </a:gs>
                  <a:gs pos="100000">
                    <a:schemeClr val="accent2">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2959-4E72-BF1D-7EFE21336F2F}"/>
              </c:ext>
            </c:extLst>
          </c:dPt>
          <c:dPt>
            <c:idx val="3"/>
            <c:bubble3D val="0"/>
            <c:spPr>
              <a:gradFill rotWithShape="1">
                <a:gsLst>
                  <a:gs pos="0">
                    <a:schemeClr val="accent2">
                      <a:tint val="77000"/>
                      <a:tint val="100000"/>
                      <a:shade val="100000"/>
                      <a:satMod val="130000"/>
                    </a:schemeClr>
                  </a:gs>
                  <a:gs pos="100000">
                    <a:schemeClr val="accent2">
                      <a:tint val="77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2959-4E72-BF1D-7EFE21336F2F}"/>
              </c:ext>
            </c:extLst>
          </c:dPt>
          <c:dPt>
            <c:idx val="4"/>
            <c:bubble3D val="0"/>
            <c:spPr>
              <a:gradFill rotWithShape="1">
                <a:gsLst>
                  <a:gs pos="0">
                    <a:schemeClr val="accent2">
                      <a:tint val="54000"/>
                      <a:tint val="100000"/>
                      <a:shade val="100000"/>
                      <a:satMod val="130000"/>
                    </a:schemeClr>
                  </a:gs>
                  <a:gs pos="100000">
                    <a:schemeClr val="accent2">
                      <a:tint val="54000"/>
                      <a:tint val="50000"/>
                      <a:shade val="100000"/>
                      <a:satMod val="350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9-2959-4E72-BF1D-7EFE21336F2F}"/>
              </c:ext>
            </c:extLst>
          </c:dPt>
          <c:dLbls>
            <c:dLbl>
              <c:idx val="0"/>
              <c:layout>
                <c:manualLayout>
                  <c:x val="-0.15984405458089668"/>
                  <c:y val="2.2834084175418173E-3"/>
                </c:manualLayout>
              </c:layout>
              <c:showLegendKey val="0"/>
              <c:showVal val="1"/>
              <c:showCatName val="1"/>
              <c:showSerName val="0"/>
              <c:showPercent val="0"/>
              <c:showBubbleSize val="0"/>
              <c:extLst>
                <c:ext xmlns:c15="http://schemas.microsoft.com/office/drawing/2012/chart" uri="{CE6537A1-D6FC-4f65-9D91-7224C49458BB}">
                  <c15:layout>
                    <c:manualLayout>
                      <c:w val="0.28606237816764135"/>
                      <c:h val="0.1140955550273354"/>
                    </c:manualLayout>
                  </c15:layout>
                </c:ext>
                <c:ext xmlns:c16="http://schemas.microsoft.com/office/drawing/2014/chart" uri="{C3380CC4-5D6E-409C-BE32-E72D297353CC}">
                  <c16:uniqueId val="{00000001-2959-4E72-BF1D-7EFE21336F2F}"/>
                </c:ext>
              </c:extLst>
            </c:dLbl>
            <c:dLbl>
              <c:idx val="2"/>
              <c:layout>
                <c:manualLayout>
                  <c:x val="-8.8766139748904186E-3"/>
                  <c:y val="8.9550931097201525E-2"/>
                </c:manualLayout>
              </c:layout>
              <c:tx>
                <c:rich>
                  <a:bodyPr/>
                  <a:lstStyle/>
                  <a:p>
                    <a:fld id="{745ADB83-3744-4D0C-9388-F505AB3521B3}" type="CATEGORYNAME">
                      <a:rPr lang="en-US"/>
                      <a:pPr/>
                      <a:t>[CATEGORY NAME]</a:t>
                    </a:fld>
                    <a:r>
                      <a:rPr lang="en-US"/>
                      <a:t>, </a:t>
                    </a:r>
                    <a:fld id="{449783BD-A571-43FB-A112-F629167007F8}" type="VALUE">
                      <a:rPr lang="en-US"/>
                      <a:pPr/>
                      <a:t>[VALUE]</a:t>
                    </a:fld>
                    <a:endParaRPr lang="en-US"/>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959-4E72-BF1D-7EFE21336F2F}"/>
                </c:ext>
              </c:extLst>
            </c:dLbl>
            <c:dLbl>
              <c:idx val="3"/>
              <c:layout>
                <c:manualLayout>
                  <c:x val="1.434974910252049E-3"/>
                  <c:y val="3.15460640242573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59-4E72-BF1D-7EFE21336F2F}"/>
                </c:ext>
              </c:extLst>
            </c:dLbl>
            <c:dLbl>
              <c:idx val="4"/>
              <c:layout>
                <c:manualLayout>
                  <c:x val="6.0525978861114764E-2"/>
                  <c:y val="-2.0801747607636059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959-4E72-BF1D-7EFE21336F2F}"/>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Sheet1!$C$378:$C$382</c:f>
              <c:strCache>
                <c:ptCount val="5"/>
                <c:pt idx="0">
                  <c:v>Karburante Import </c:v>
                </c:pt>
                <c:pt idx="1">
                  <c:v>Cigare </c:v>
                </c:pt>
                <c:pt idx="2">
                  <c:v>Birrë Importi </c:v>
                </c:pt>
                <c:pt idx="3">
                  <c:v>Gaz i Lëngët </c:v>
                </c:pt>
                <c:pt idx="4">
                  <c:v>Te tjera </c:v>
                </c:pt>
              </c:strCache>
            </c:strRef>
          </c:cat>
          <c:val>
            <c:numRef>
              <c:f>Sheet1!$D$378:$D$382</c:f>
              <c:numCache>
                <c:formatCode>0%</c:formatCode>
                <c:ptCount val="5"/>
                <c:pt idx="0">
                  <c:v>0.47646434043707142</c:v>
                </c:pt>
                <c:pt idx="1">
                  <c:v>0.39510987723087032</c:v>
                </c:pt>
                <c:pt idx="2">
                  <c:v>3.5209150859217372E-2</c:v>
                </c:pt>
                <c:pt idx="3">
                  <c:v>1.5524859471557649E-2</c:v>
                </c:pt>
                <c:pt idx="4">
                  <c:v>0.08</c:v>
                </c:pt>
              </c:numCache>
            </c:numRef>
          </c:val>
          <c:extLst>
            <c:ext xmlns:c16="http://schemas.microsoft.com/office/drawing/2014/chart" uri="{C3380CC4-5D6E-409C-BE32-E72D297353CC}">
              <c16:uniqueId val="{0000000A-2959-4E72-BF1D-7EFE21336F2F}"/>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2 in Microsoft Word]Sheet1'!$D$404</c:f>
              <c:strCache>
                <c:ptCount val="1"/>
                <c:pt idx="0">
                  <c:v>TAP</c:v>
                </c:pt>
              </c:strCache>
            </c:strRef>
          </c:tx>
          <c:spPr>
            <a:solidFill>
              <a:schemeClr val="accent1"/>
            </a:solidFill>
            <a:ln>
              <a:noFill/>
            </a:ln>
            <a:effectLst/>
          </c:spPr>
          <c:invertIfNegative val="0"/>
          <c:cat>
            <c:numRef>
              <c:f>'[Chart 2 in Microsoft Word]Sheet1'!$C$405:$C$414</c:f>
              <c:numCache>
                <c:formatCode>General</c:formatCode>
                <c:ptCount val="10"/>
                <c:pt idx="0">
                  <c:v>2013</c:v>
                </c:pt>
                <c:pt idx="1">
                  <c:v>2014</c:v>
                </c:pt>
                <c:pt idx="2">
                  <c:v>2015</c:v>
                </c:pt>
                <c:pt idx="3">
                  <c:v>2016</c:v>
                </c:pt>
                <c:pt idx="4">
                  <c:v>2017</c:v>
                </c:pt>
                <c:pt idx="5">
                  <c:v>2018</c:v>
                </c:pt>
                <c:pt idx="6">
                  <c:v>2019</c:v>
                </c:pt>
                <c:pt idx="7">
                  <c:v>2020</c:v>
                </c:pt>
                <c:pt idx="8">
                  <c:v>2021</c:v>
                </c:pt>
                <c:pt idx="9" formatCode="0">
                  <c:v>2022</c:v>
                </c:pt>
              </c:numCache>
            </c:numRef>
          </c:cat>
          <c:val>
            <c:numRef>
              <c:f>'[Chart 2 in Microsoft Word]Sheet1'!$D$405:$D$414</c:f>
              <c:numCache>
                <c:formatCode>_(* #,##0_);_(* \(#,##0\);_(* "-"??_);_(@_)</c:formatCode>
                <c:ptCount val="10"/>
                <c:pt idx="0">
                  <c:v>29555</c:v>
                </c:pt>
                <c:pt idx="1">
                  <c:v>28852</c:v>
                </c:pt>
                <c:pt idx="2">
                  <c:v>29270</c:v>
                </c:pt>
                <c:pt idx="3">
                  <c:v>31410</c:v>
                </c:pt>
                <c:pt idx="4">
                  <c:v>32102</c:v>
                </c:pt>
                <c:pt idx="5">
                  <c:v>36404</c:v>
                </c:pt>
                <c:pt idx="6">
                  <c:v>46089</c:v>
                </c:pt>
                <c:pt idx="7">
                  <c:v>33658</c:v>
                </c:pt>
                <c:pt idx="8">
                  <c:v>39312</c:v>
                </c:pt>
                <c:pt idx="9">
                  <c:v>44983</c:v>
                </c:pt>
              </c:numCache>
            </c:numRef>
          </c:val>
          <c:extLst>
            <c:ext xmlns:c16="http://schemas.microsoft.com/office/drawing/2014/chart" uri="{C3380CC4-5D6E-409C-BE32-E72D297353CC}">
              <c16:uniqueId val="{00000000-3EF1-4349-8C70-424B5C2972CB}"/>
            </c:ext>
          </c:extLst>
        </c:ser>
        <c:dLbls>
          <c:showLegendKey val="0"/>
          <c:showVal val="0"/>
          <c:showCatName val="0"/>
          <c:showSerName val="0"/>
          <c:showPercent val="0"/>
          <c:showBubbleSize val="0"/>
        </c:dLbls>
        <c:gapWidth val="219"/>
        <c:overlap val="-27"/>
        <c:axId val="336452608"/>
        <c:axId val="336462592"/>
      </c:barChart>
      <c:lineChart>
        <c:grouping val="standard"/>
        <c:varyColors val="0"/>
        <c:ser>
          <c:idx val="1"/>
          <c:order val="1"/>
          <c:tx>
            <c:strRef>
              <c:f>'[Chart 2 in Microsoft Word]Sheet1'!$E$404</c:f>
              <c:strCache>
                <c:ptCount val="1"/>
                <c:pt idx="0">
                  <c:v>% ndaj te ardhurave totale</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anchor="ctr" anchorCtr="1"/>
              <a:lstStyle/>
              <a:p>
                <a:pPr>
                  <a:defRPr sz="800" b="1" i="0" u="none" strike="noStrike" kern="1200" baseline="0">
                    <a:solidFill>
                      <a:schemeClr val="tx1">
                        <a:lumMod val="75000"/>
                        <a:lumOff val="25000"/>
                      </a:schemeClr>
                    </a:solidFill>
                    <a:latin typeface="+mj-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2 in Microsoft Word]Sheet1'!$C$405:$C$414</c:f>
              <c:numCache>
                <c:formatCode>General</c:formatCode>
                <c:ptCount val="10"/>
                <c:pt idx="0">
                  <c:v>2013</c:v>
                </c:pt>
                <c:pt idx="1">
                  <c:v>2014</c:v>
                </c:pt>
                <c:pt idx="2">
                  <c:v>2015</c:v>
                </c:pt>
                <c:pt idx="3">
                  <c:v>2016</c:v>
                </c:pt>
                <c:pt idx="4">
                  <c:v>2017</c:v>
                </c:pt>
                <c:pt idx="5">
                  <c:v>2018</c:v>
                </c:pt>
                <c:pt idx="6">
                  <c:v>2019</c:v>
                </c:pt>
                <c:pt idx="7">
                  <c:v>2020</c:v>
                </c:pt>
                <c:pt idx="8">
                  <c:v>2021</c:v>
                </c:pt>
                <c:pt idx="9" formatCode="0">
                  <c:v>2022</c:v>
                </c:pt>
              </c:numCache>
            </c:numRef>
          </c:cat>
          <c:val>
            <c:numRef>
              <c:f>'[Chart 2 in Microsoft Word]Sheet1'!$E$405:$E$414</c:f>
              <c:numCache>
                <c:formatCode>0.0%</c:formatCode>
                <c:ptCount val="10"/>
                <c:pt idx="0">
                  <c:v>9.0333090855742135E-2</c:v>
                </c:pt>
                <c:pt idx="1">
                  <c:v>7.8675614431679669E-2</c:v>
                </c:pt>
                <c:pt idx="2">
                  <c:v>7.7187597242659667E-2</c:v>
                </c:pt>
                <c:pt idx="3">
                  <c:v>7.7170465405961855E-2</c:v>
                </c:pt>
                <c:pt idx="4">
                  <c:v>7.4586951117224326E-2</c:v>
                </c:pt>
                <c:pt idx="5">
                  <c:v>8.0914140415061717E-2</c:v>
                </c:pt>
                <c:pt idx="6">
                  <c:v>0.10011773701634416</c:v>
                </c:pt>
                <c:pt idx="7">
                  <c:v>7.9027198617528827E-2</c:v>
                </c:pt>
                <c:pt idx="8">
                  <c:v>7.6939035130639002E-2</c:v>
                </c:pt>
                <c:pt idx="9">
                  <c:v>7.8533281889142423E-2</c:v>
                </c:pt>
              </c:numCache>
            </c:numRef>
          </c:val>
          <c:smooth val="0"/>
          <c:extLst>
            <c:ext xmlns:c16="http://schemas.microsoft.com/office/drawing/2014/chart" uri="{C3380CC4-5D6E-409C-BE32-E72D297353CC}">
              <c16:uniqueId val="{00000001-3EF1-4349-8C70-424B5C2972CB}"/>
            </c:ext>
          </c:extLst>
        </c:ser>
        <c:dLbls>
          <c:showLegendKey val="0"/>
          <c:showVal val="0"/>
          <c:showCatName val="0"/>
          <c:showSerName val="0"/>
          <c:showPercent val="0"/>
          <c:showBubbleSize val="0"/>
        </c:dLbls>
        <c:marker val="1"/>
        <c:smooth val="0"/>
        <c:axId val="336465920"/>
        <c:axId val="336464128"/>
      </c:lineChart>
      <c:catAx>
        <c:axId val="336452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mj-lt"/>
                <a:ea typeface="+mn-ea"/>
                <a:cs typeface="+mn-cs"/>
              </a:defRPr>
            </a:pPr>
            <a:endParaRPr lang="en-US"/>
          </a:p>
        </c:txPr>
        <c:crossAx val="336462592"/>
        <c:crosses val="autoZero"/>
        <c:auto val="1"/>
        <c:lblAlgn val="ctr"/>
        <c:lblOffset val="100"/>
        <c:noMultiLvlLbl val="0"/>
      </c:catAx>
      <c:valAx>
        <c:axId val="336462592"/>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336452608"/>
        <c:crosses val="autoZero"/>
        <c:crossBetween val="between"/>
      </c:valAx>
      <c:valAx>
        <c:axId val="336464128"/>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j-lt"/>
                <a:ea typeface="+mn-ea"/>
                <a:cs typeface="+mn-cs"/>
              </a:defRPr>
            </a:pPr>
            <a:endParaRPr lang="en-US"/>
          </a:p>
        </c:txPr>
        <c:crossAx val="336465920"/>
        <c:crosses val="max"/>
        <c:crossBetween val="between"/>
      </c:valAx>
      <c:catAx>
        <c:axId val="336465920"/>
        <c:scaling>
          <c:orientation val="minMax"/>
        </c:scaling>
        <c:delete val="1"/>
        <c:axPos val="b"/>
        <c:numFmt formatCode="General" sourceLinked="1"/>
        <c:majorTickMark val="none"/>
        <c:minorTickMark val="none"/>
        <c:tickLblPos val="nextTo"/>
        <c:crossAx val="33646412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j-lt"/>
              <a:ea typeface="+mn-ea"/>
              <a:cs typeface="+mn-cs"/>
            </a:defRPr>
          </a:pPr>
          <a:endParaRPr lang="en-US"/>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sz="800">
          <a:latin typeface="+mj-lt"/>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4016693989521565E-2"/>
          <c:y val="9.3101988997037657E-2"/>
          <c:w val="0.84809146459470042"/>
          <c:h val="0.59804532474067051"/>
        </c:manualLayout>
      </c:layout>
      <c:barChart>
        <c:barDir val="col"/>
        <c:grouping val="clustered"/>
        <c:varyColors val="0"/>
        <c:ser>
          <c:idx val="0"/>
          <c:order val="0"/>
          <c:tx>
            <c:strRef>
              <c:f>'[Chart in Microsoft Word]Sheet1'!$C$6</c:f>
              <c:strCache>
                <c:ptCount val="1"/>
                <c:pt idx="0">
                  <c:v>Te ardhurat totale</c:v>
                </c:pt>
              </c:strCache>
            </c:strRef>
          </c:tx>
          <c:spPr>
            <a:solidFill>
              <a:schemeClr val="accent5">
                <a:shade val="76000"/>
              </a:schemeClr>
            </a:solidFill>
            <a:ln>
              <a:noFill/>
            </a:ln>
            <a:effectLst/>
          </c:spPr>
          <c:invertIfNegative val="0"/>
          <c:cat>
            <c:numRef>
              <c:f>'[Chart in Microsoft Word]Sheet1'!$D$5:$M$5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'[Chart in Microsoft Word]Sheet1'!$D$6:$M$6</c:f>
              <c:numCache>
                <c:formatCode>#,##0.0</c:formatCode>
                <c:ptCount val="10"/>
                <c:pt idx="0">
                  <c:v>327.17840000000001</c:v>
                </c:pt>
                <c:pt idx="1">
                  <c:v>366.721</c:v>
                </c:pt>
                <c:pt idx="2">
                  <c:v>379.20600000000002</c:v>
                </c:pt>
                <c:pt idx="3">
                  <c:v>407.02100000000002</c:v>
                </c:pt>
                <c:pt idx="4">
                  <c:v>430.3974</c:v>
                </c:pt>
                <c:pt idx="5">
                  <c:v>449.90942999999999</c:v>
                </c:pt>
                <c:pt idx="6">
                  <c:v>460.34869000000003</c:v>
                </c:pt>
                <c:pt idx="7">
                  <c:v>425.90477999999996</c:v>
                </c:pt>
                <c:pt idx="8">
                  <c:v>510.572</c:v>
                </c:pt>
                <c:pt idx="9">
                  <c:v>572.78966000000003</c:v>
                </c:pt>
              </c:numCache>
            </c:numRef>
          </c:val>
          <c:extLst>
            <c:ext xmlns:c16="http://schemas.microsoft.com/office/drawing/2014/chart" uri="{C3380CC4-5D6E-409C-BE32-E72D297353CC}">
              <c16:uniqueId val="{00000000-F382-4874-83DD-10A99FE7D8AD}"/>
            </c:ext>
          </c:extLst>
        </c:ser>
        <c:dLbls>
          <c:showLegendKey val="0"/>
          <c:showVal val="0"/>
          <c:showCatName val="0"/>
          <c:showSerName val="0"/>
          <c:showPercent val="0"/>
          <c:showBubbleSize val="0"/>
        </c:dLbls>
        <c:gapWidth val="219"/>
        <c:overlap val="-27"/>
        <c:axId val="361840640"/>
        <c:axId val="361842176"/>
      </c:barChart>
      <c:lineChart>
        <c:grouping val="standard"/>
        <c:varyColors val="0"/>
        <c:ser>
          <c:idx val="1"/>
          <c:order val="1"/>
          <c:tx>
            <c:strRef>
              <c:f>'[Chart in Microsoft Word]Sheet1'!$C$7</c:f>
              <c:strCache>
                <c:ptCount val="1"/>
                <c:pt idx="0">
                  <c:v>ne % ndaj PBB</c:v>
                </c:pt>
              </c:strCache>
            </c:strRef>
          </c:tx>
          <c:spPr>
            <a:ln w="28575" cap="rnd">
              <a:solidFill>
                <a:schemeClr val="accent5">
                  <a:tint val="77000"/>
                </a:schemeClr>
              </a:solidFill>
              <a:round/>
            </a:ln>
            <a:effectLst/>
          </c:spPr>
          <c:marker>
            <c:symbol val="none"/>
          </c:marker>
          <c:dLbls>
            <c:dLbl>
              <c:idx val="0"/>
              <c:layout>
                <c:manualLayout>
                  <c:x val="-4.699171909129795E-2"/>
                  <c:y val="-0.1414851268591426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382-4874-83DD-10A99FE7D8AD}"/>
                </c:ext>
              </c:extLst>
            </c:dLbl>
            <c:dLbl>
              <c:idx val="1"/>
              <c:layout>
                <c:manualLayout>
                  <c:x val="-3.1962963635258732E-2"/>
                  <c:y val="-3.65705510159709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382-4874-83DD-10A99FE7D8AD}"/>
                </c:ext>
              </c:extLst>
            </c:dLbl>
            <c:dLbl>
              <c:idx val="2"/>
              <c:layout>
                <c:manualLayout>
                  <c:x val="-4.2982481755281243E-2"/>
                  <c:y val="-5.6436409272678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382-4874-83DD-10A99FE7D8AD}"/>
                </c:ext>
              </c:extLst>
            </c:dLbl>
            <c:dLbl>
              <c:idx val="3"/>
              <c:layout>
                <c:manualLayout>
                  <c:x val="-3.1437976637605072E-2"/>
                  <c:y val="7.12013584810112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382-4874-83DD-10A99FE7D8AD}"/>
                </c:ext>
              </c:extLst>
            </c:dLbl>
            <c:dLbl>
              <c:idx val="4"/>
              <c:layout>
                <c:manualLayout>
                  <c:x val="-3.9456419055165538E-2"/>
                  <c:y val="6.66635475179373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382-4874-83DD-10A99FE7D8AD}"/>
                </c:ext>
              </c:extLst>
            </c:dLbl>
            <c:dLbl>
              <c:idx val="5"/>
              <c:layout>
                <c:manualLayout>
                  <c:x val="-3.3600904126735588E-2"/>
                  <c:y val="-2.57907730076208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382-4874-83DD-10A99FE7D8AD}"/>
                </c:ext>
              </c:extLst>
            </c:dLbl>
            <c:dLbl>
              <c:idx val="6"/>
              <c:layout>
                <c:manualLayout>
                  <c:x val="-4.6991719091298068E-2"/>
                  <c:y val="-3.50036453776611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382-4874-83DD-10A99FE7D8AD}"/>
                </c:ext>
              </c:extLst>
            </c:dLbl>
            <c:dLbl>
              <c:idx val="7"/>
              <c:layout>
                <c:manualLayout>
                  <c:x val="-4.6991719091298068E-2"/>
                  <c:y val="-8.59295713035870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382-4874-83DD-10A99FE7D8AD}"/>
                </c:ext>
              </c:extLst>
            </c:dLbl>
            <c:dLbl>
              <c:idx val="9"/>
              <c:layout>
                <c:manualLayout>
                  <c:x val="-4.6991719091298068E-2"/>
                  <c:y val="-0.13685549722951301"/>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382-4874-83DD-10A99FE7D8AD}"/>
                </c:ext>
              </c:extLst>
            </c:dLbl>
            <c:spPr>
              <a:noFill/>
              <a:ln>
                <a:noFill/>
              </a:ln>
              <a:effectLst/>
            </c:spPr>
            <c:txPr>
              <a:bodyPr rot="0" spcFirstLastPara="1" vertOverflow="ellipsis" vert="horz" wrap="square" lIns="38100" tIns="19050" rIns="38100" bIns="457200" anchor="b" anchorCtr="1">
                <a:spAutoFit/>
              </a:bodyPr>
              <a:lstStyle/>
              <a:p>
                <a:pPr>
                  <a:defRPr sz="90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0"/>
              </c:ext>
            </c:extLst>
          </c:dLbls>
          <c:cat>
            <c:numRef>
              <c:f>'[Chart in Microsoft Word]Sheet1'!$D$5:$M$5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'[Chart in Microsoft Word]Sheet1'!$D$7:$M$7</c:f>
              <c:numCache>
                <c:formatCode>#,##0.0</c:formatCode>
                <c:ptCount val="10"/>
                <c:pt idx="0">
                  <c:v>24.234492144274082</c:v>
                </c:pt>
                <c:pt idx="1">
                  <c:v>26.282504302833757</c:v>
                </c:pt>
                <c:pt idx="2">
                  <c:v>26.438281997137214</c:v>
                </c:pt>
                <c:pt idx="3">
                  <c:v>27.641885894434548</c:v>
                </c:pt>
                <c:pt idx="4">
                  <c:v>27.756015408616186</c:v>
                </c:pt>
                <c:pt idx="5">
                  <c:v>27.488317489030852</c:v>
                </c:pt>
                <c:pt idx="6">
                  <c:v>27.208922323849738</c:v>
                </c:pt>
                <c:pt idx="7">
                  <c:v>25.852661601659833</c:v>
                </c:pt>
                <c:pt idx="8">
                  <c:v>27.52713445602123</c:v>
                </c:pt>
                <c:pt idx="9">
                  <c:v>26.835298297018689</c:v>
                </c:pt>
              </c:numCache>
            </c:numRef>
          </c:val>
          <c:smooth val="0"/>
          <c:extLst>
            <c:ext xmlns:c16="http://schemas.microsoft.com/office/drawing/2014/chart" uri="{C3380CC4-5D6E-409C-BE32-E72D297353CC}">
              <c16:uniqueId val="{0000000A-F382-4874-83DD-10A99FE7D8AD}"/>
            </c:ext>
          </c:extLst>
        </c:ser>
        <c:dLbls>
          <c:showLegendKey val="0"/>
          <c:showVal val="0"/>
          <c:showCatName val="0"/>
          <c:showSerName val="0"/>
          <c:showPercent val="0"/>
          <c:showBubbleSize val="0"/>
        </c:dLbls>
        <c:marker val="1"/>
        <c:smooth val="0"/>
        <c:axId val="361853696"/>
        <c:axId val="361843712"/>
      </c:lineChart>
      <c:catAx>
        <c:axId val="361840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61842176"/>
        <c:crosses val="autoZero"/>
        <c:auto val="1"/>
        <c:lblAlgn val="ctr"/>
        <c:lblOffset val="100"/>
        <c:noMultiLvlLbl val="0"/>
      </c:catAx>
      <c:valAx>
        <c:axId val="361842176"/>
        <c:scaling>
          <c:orientation val="minMax"/>
          <c:max val="70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61840640"/>
        <c:crosses val="autoZero"/>
        <c:crossBetween val="between"/>
      </c:valAx>
      <c:valAx>
        <c:axId val="361843712"/>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61853696"/>
        <c:crosses val="max"/>
        <c:crossBetween val="between"/>
      </c:valAx>
      <c:catAx>
        <c:axId val="361853696"/>
        <c:scaling>
          <c:orientation val="minMax"/>
        </c:scaling>
        <c:delete val="1"/>
        <c:axPos val="b"/>
        <c:numFmt formatCode="General" sourceLinked="1"/>
        <c:majorTickMark val="out"/>
        <c:minorTickMark val="none"/>
        <c:tickLblPos val="nextTo"/>
        <c:crossAx val="3618437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DBEFF9"/>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Pt>
            <c:idx val="0"/>
            <c:bubble3D val="0"/>
            <c:spPr>
              <a:solidFill>
                <a:schemeClr val="accent1">
                  <a:shade val="44000"/>
                </a:schemeClr>
              </a:solidFill>
              <a:ln w="19050">
                <a:solidFill>
                  <a:schemeClr val="lt1"/>
                </a:solidFill>
              </a:ln>
              <a:effectLst/>
            </c:spPr>
            <c:extLst>
              <c:ext xmlns:c16="http://schemas.microsoft.com/office/drawing/2014/chart" uri="{C3380CC4-5D6E-409C-BE32-E72D297353CC}">
                <c16:uniqueId val="{00000001-ABD1-4ED1-B5AB-4D1D7225680E}"/>
              </c:ext>
            </c:extLst>
          </c:dPt>
          <c:dPt>
            <c:idx val="1"/>
            <c:bubble3D val="0"/>
            <c:spPr>
              <a:solidFill>
                <a:schemeClr val="accent1">
                  <a:shade val="58000"/>
                </a:schemeClr>
              </a:solidFill>
              <a:ln w="19050">
                <a:solidFill>
                  <a:schemeClr val="lt1"/>
                </a:solidFill>
              </a:ln>
              <a:effectLst/>
            </c:spPr>
            <c:extLst>
              <c:ext xmlns:c16="http://schemas.microsoft.com/office/drawing/2014/chart" uri="{C3380CC4-5D6E-409C-BE32-E72D297353CC}">
                <c16:uniqueId val="{00000003-ABD1-4ED1-B5AB-4D1D7225680E}"/>
              </c:ext>
            </c:extLst>
          </c:dPt>
          <c:dPt>
            <c:idx val="2"/>
            <c:bubble3D val="0"/>
            <c:spPr>
              <a:solidFill>
                <a:schemeClr val="accent1">
                  <a:shade val="72000"/>
                </a:schemeClr>
              </a:solidFill>
              <a:ln w="19050">
                <a:solidFill>
                  <a:schemeClr val="lt1"/>
                </a:solidFill>
              </a:ln>
              <a:effectLst/>
            </c:spPr>
            <c:extLst>
              <c:ext xmlns:c16="http://schemas.microsoft.com/office/drawing/2014/chart" uri="{C3380CC4-5D6E-409C-BE32-E72D297353CC}">
                <c16:uniqueId val="{00000005-ABD1-4ED1-B5AB-4D1D7225680E}"/>
              </c:ext>
            </c:extLst>
          </c:dPt>
          <c:dPt>
            <c:idx val="3"/>
            <c:bubble3D val="0"/>
            <c:spPr>
              <a:solidFill>
                <a:schemeClr val="accent1">
                  <a:shade val="86000"/>
                </a:schemeClr>
              </a:solidFill>
              <a:ln w="19050">
                <a:solidFill>
                  <a:schemeClr val="lt1"/>
                </a:solidFill>
              </a:ln>
              <a:effectLst/>
            </c:spPr>
            <c:extLst>
              <c:ext xmlns:c16="http://schemas.microsoft.com/office/drawing/2014/chart" uri="{C3380CC4-5D6E-409C-BE32-E72D297353CC}">
                <c16:uniqueId val="{00000007-ABD1-4ED1-B5AB-4D1D7225680E}"/>
              </c:ext>
            </c:extLst>
          </c:dPt>
          <c:dPt>
            <c:idx val="4"/>
            <c:bubble3D val="0"/>
            <c:spPr>
              <a:solidFill>
                <a:schemeClr val="accent1"/>
              </a:solidFill>
              <a:ln w="19050">
                <a:solidFill>
                  <a:schemeClr val="lt1"/>
                </a:solidFill>
              </a:ln>
              <a:effectLst/>
            </c:spPr>
            <c:extLst>
              <c:ext xmlns:c16="http://schemas.microsoft.com/office/drawing/2014/chart" uri="{C3380CC4-5D6E-409C-BE32-E72D297353CC}">
                <c16:uniqueId val="{00000009-ABD1-4ED1-B5AB-4D1D7225680E}"/>
              </c:ext>
            </c:extLst>
          </c:dPt>
          <c:dPt>
            <c:idx val="5"/>
            <c:bubble3D val="0"/>
            <c:spPr>
              <a:solidFill>
                <a:schemeClr val="accent1">
                  <a:tint val="86000"/>
                </a:schemeClr>
              </a:solidFill>
              <a:ln w="19050">
                <a:solidFill>
                  <a:schemeClr val="lt1"/>
                </a:solidFill>
              </a:ln>
              <a:effectLst/>
            </c:spPr>
            <c:extLst>
              <c:ext xmlns:c16="http://schemas.microsoft.com/office/drawing/2014/chart" uri="{C3380CC4-5D6E-409C-BE32-E72D297353CC}">
                <c16:uniqueId val="{0000000B-ABD1-4ED1-B5AB-4D1D7225680E}"/>
              </c:ext>
            </c:extLst>
          </c:dPt>
          <c:dPt>
            <c:idx val="6"/>
            <c:bubble3D val="0"/>
            <c:spPr>
              <a:solidFill>
                <a:schemeClr val="accent1">
                  <a:tint val="72000"/>
                </a:schemeClr>
              </a:solidFill>
              <a:ln w="19050">
                <a:solidFill>
                  <a:schemeClr val="lt1"/>
                </a:solidFill>
              </a:ln>
              <a:effectLst/>
            </c:spPr>
            <c:extLst>
              <c:ext xmlns:c16="http://schemas.microsoft.com/office/drawing/2014/chart" uri="{C3380CC4-5D6E-409C-BE32-E72D297353CC}">
                <c16:uniqueId val="{0000000D-ABD1-4ED1-B5AB-4D1D7225680E}"/>
              </c:ext>
            </c:extLst>
          </c:dPt>
          <c:dPt>
            <c:idx val="7"/>
            <c:bubble3D val="0"/>
            <c:spPr>
              <a:solidFill>
                <a:schemeClr val="accent1">
                  <a:tint val="58000"/>
                </a:schemeClr>
              </a:solidFill>
              <a:ln w="19050">
                <a:solidFill>
                  <a:schemeClr val="lt1"/>
                </a:solidFill>
              </a:ln>
              <a:effectLst/>
            </c:spPr>
            <c:extLst>
              <c:ext xmlns:c16="http://schemas.microsoft.com/office/drawing/2014/chart" uri="{C3380CC4-5D6E-409C-BE32-E72D297353CC}">
                <c16:uniqueId val="{0000000F-ABD1-4ED1-B5AB-4D1D7225680E}"/>
              </c:ext>
            </c:extLst>
          </c:dPt>
          <c:dPt>
            <c:idx val="8"/>
            <c:bubble3D val="0"/>
            <c:spPr>
              <a:solidFill>
                <a:schemeClr val="accent1">
                  <a:tint val="44000"/>
                </a:schemeClr>
              </a:solidFill>
              <a:ln w="19050">
                <a:solidFill>
                  <a:schemeClr val="lt1"/>
                </a:solidFill>
              </a:ln>
              <a:effectLst/>
            </c:spPr>
            <c:extLst>
              <c:ext xmlns:c16="http://schemas.microsoft.com/office/drawing/2014/chart" uri="{C3380CC4-5D6E-409C-BE32-E72D297353CC}">
                <c16:uniqueId val="{00000011-ABD1-4ED1-B5AB-4D1D7225680E}"/>
              </c:ext>
            </c:extLst>
          </c:dPt>
          <c:dLbls>
            <c:dLbl>
              <c:idx val="0"/>
              <c:layout>
                <c:manualLayout>
                  <c:x val="-9.1470484352938232E-3"/>
                  <c:y val="5.017324270854652E-2"/>
                </c:manualLayout>
              </c:layout>
              <c:tx>
                <c:rich>
                  <a:bodyPr/>
                  <a:lstStyle/>
                  <a:p>
                    <a:fld id="{0D48436A-CFD2-4921-9658-B8A9363AE1DA}" type="CATEGORYNAME">
                      <a:rPr lang="en-US"/>
                      <a:pPr/>
                      <a:t>[CATEGORY NAME]</a:t>
                    </a:fld>
                    <a:r>
                      <a:rPr lang="en-US" baseline="0"/>
                      <a:t>,19.8% </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ABD1-4ED1-B5AB-4D1D7225680E}"/>
                </c:ext>
              </c:extLst>
            </c:dLbl>
            <c:dLbl>
              <c:idx val="1"/>
              <c:layout>
                <c:manualLayout>
                  <c:x val="3.2198378910253164E-2"/>
                  <c:y val="-0.15738049843632748"/>
                </c:manualLayout>
              </c:layout>
              <c:tx>
                <c:rich>
                  <a:bodyPr/>
                  <a:lstStyle/>
                  <a:p>
                    <a:fld id="{4EE68C8F-69BA-4233-BC7E-832837205230}" type="CATEGORYNAME">
                      <a:rPr lang="en-US"/>
                      <a:pPr/>
                      <a:t>[CATEGORY NAME]</a:t>
                    </a:fld>
                    <a:r>
                      <a:rPr lang="en-US" baseline="0"/>
                      <a:t>, 35.9%</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ABD1-4ED1-B5AB-4D1D7225680E}"/>
                </c:ext>
              </c:extLst>
            </c:dLbl>
            <c:dLbl>
              <c:idx val="2"/>
              <c:layout>
                <c:manualLayout>
                  <c:x val="1.9677098042122247E-2"/>
                  <c:y val="-2.2851162072593183E-2"/>
                </c:manualLayout>
              </c:layout>
              <c:tx>
                <c:rich>
                  <a:bodyPr/>
                  <a:lstStyle/>
                  <a:p>
                    <a:r>
                      <a:rPr lang="en-US"/>
                      <a:t> </a:t>
                    </a:r>
                    <a:fld id="{8340C755-1E4B-43CE-BDE4-A6DE23A97220}" type="CATEGORYNAME">
                      <a:rPr lang="en-US"/>
                      <a:pPr/>
                      <a:t>[CATEGORY NAME]</a:t>
                    </a:fld>
                    <a:r>
                      <a:rPr lang="en-US" baseline="0"/>
                      <a:t>, 4.3%</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ABD1-4ED1-B5AB-4D1D7225680E}"/>
                </c:ext>
              </c:extLst>
            </c:dLbl>
            <c:dLbl>
              <c:idx val="3"/>
              <c:layout>
                <c:manualLayout>
                  <c:x val="1.0235237260408245E-2"/>
                  <c:y val="-5.4863183141778959E-3"/>
                </c:manualLayout>
              </c:layout>
              <c:tx>
                <c:rich>
                  <a:bodyPr/>
                  <a:lstStyle/>
                  <a:p>
                    <a:fld id="{9BF3729E-7031-4292-AFA0-D78B353B8465}" type="CATEGORYNAME">
                      <a:rPr lang="en-US"/>
                      <a:pPr/>
                      <a:t>[CATEGORY NAME]</a:t>
                    </a:fld>
                    <a:r>
                      <a:rPr lang="en-US" baseline="0"/>
                      <a:t>, 9.1%</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ABD1-4ED1-B5AB-4D1D7225680E}"/>
                </c:ext>
              </c:extLst>
            </c:dLbl>
            <c:dLbl>
              <c:idx val="4"/>
              <c:layout>
                <c:manualLayout>
                  <c:x val="1.2172921281775675E-2"/>
                  <c:y val="-1.3094994452642804E-2"/>
                </c:manualLayout>
              </c:layout>
              <c:tx>
                <c:rich>
                  <a:bodyPr/>
                  <a:lstStyle/>
                  <a:p>
                    <a:fld id="{4F7B5683-C081-45C4-8AA2-0A03A732DC88}" type="CATEGORYNAME">
                      <a:rPr lang="en-US"/>
                      <a:pPr/>
                      <a:t>[CATEGORY NAME]</a:t>
                    </a:fld>
                    <a:r>
                      <a:rPr lang="en-US" baseline="0"/>
                      <a:t>, 0.2%</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ABD1-4ED1-B5AB-4D1D7225680E}"/>
                </c:ext>
              </c:extLst>
            </c:dLbl>
            <c:dLbl>
              <c:idx val="5"/>
              <c:layout>
                <c:manualLayout>
                  <c:x val="1.9579986945969474E-2"/>
                  <c:y val="-1.2011733827389265E-2"/>
                </c:manualLayout>
              </c:layout>
              <c:tx>
                <c:rich>
                  <a:bodyPr/>
                  <a:lstStyle/>
                  <a:p>
                    <a:fld id="{4E1ECE3F-6A08-4796-9B4F-EB7046DD1C61}" type="CATEGORYNAME">
                      <a:rPr lang="en-US"/>
                      <a:pPr/>
                      <a:t>[CATEGORY NAME]</a:t>
                    </a:fld>
                    <a:r>
                      <a:rPr lang="en-US" baseline="0"/>
                      <a:t>, 5.5%</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ABD1-4ED1-B5AB-4D1D7225680E}"/>
                </c:ext>
              </c:extLst>
            </c:dLbl>
            <c:dLbl>
              <c:idx val="6"/>
              <c:layout>
                <c:manualLayout>
                  <c:x val="3.0589692761366121E-2"/>
                  <c:y val="4.180804348840779E-3"/>
                </c:manualLayout>
              </c:layout>
              <c:tx>
                <c:rich>
                  <a:bodyPr/>
                  <a:lstStyle/>
                  <a:p>
                    <a:fld id="{7DF83ACB-F042-4C67-AEA9-BC17F129FA1D}" type="CATEGORYNAME">
                      <a:rPr lang="en-US"/>
                      <a:pPr/>
                      <a:t>[CATEGORY NAME]</a:t>
                    </a:fld>
                    <a:r>
                      <a:rPr lang="en-US" baseline="0"/>
                      <a:t>, 8.4%</a:t>
                    </a:r>
                  </a:p>
                </c:rich>
              </c:tx>
              <c:dLblPos val="bestFit"/>
              <c:showLegendKey val="0"/>
              <c:showVal val="1"/>
              <c:showCatName val="1"/>
              <c:showSerName val="0"/>
              <c:showPercent val="0"/>
              <c:showBubbleSize val="0"/>
              <c:extLst>
                <c:ext xmlns:c15="http://schemas.microsoft.com/office/drawing/2012/chart" uri="{CE6537A1-D6FC-4f65-9D91-7224C49458BB}">
                  <c15:layout>
                    <c:manualLayout>
                      <c:w val="0.23794063970800114"/>
                      <c:h val="0.11386228910168719"/>
                    </c:manualLayout>
                  </c15:layout>
                  <c15:dlblFieldTable/>
                  <c15:showDataLabelsRange val="0"/>
                </c:ext>
                <c:ext xmlns:c16="http://schemas.microsoft.com/office/drawing/2014/chart" uri="{C3380CC4-5D6E-409C-BE32-E72D297353CC}">
                  <c16:uniqueId val="{0000000D-ABD1-4ED1-B5AB-4D1D7225680E}"/>
                </c:ext>
              </c:extLst>
            </c:dLbl>
            <c:dLbl>
              <c:idx val="7"/>
              <c:layout>
                <c:manualLayout>
                  <c:x val="1.1276534434732494E-2"/>
                  <c:y val="3.0328066036889027E-2"/>
                </c:manualLayout>
              </c:layout>
              <c:tx>
                <c:rich>
                  <a:bodyPr/>
                  <a:lstStyle/>
                  <a:p>
                    <a:fld id="{ECA7170A-F1FF-4F35-904E-901848324807}" type="CATEGORYNAME">
                      <a:rPr lang="en-US"/>
                      <a:pPr/>
                      <a:t>[CATEGORY NAME]</a:t>
                    </a:fld>
                    <a:r>
                      <a:rPr lang="en-US" baseline="0"/>
                      <a:t>,2.9%</a:t>
                    </a:r>
                  </a:p>
                </c:rich>
              </c:tx>
              <c:dLblPos val="bestFit"/>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ABD1-4ED1-B5AB-4D1D7225680E}"/>
                </c:ext>
              </c:extLst>
            </c:dLbl>
            <c:dLbl>
              <c:idx val="8"/>
              <c:layout>
                <c:manualLayout>
                  <c:x val="4.9431968156031174E-2"/>
                  <c:y val="3.4652132231761043E-3"/>
                </c:manualLayout>
              </c:layout>
              <c:tx>
                <c:rich>
                  <a:bodyPr/>
                  <a:lstStyle/>
                  <a:p>
                    <a:fld id="{3A293BC1-254C-4C33-8B7F-EC82EC5AEAF3}" type="CATEGORYNAME">
                      <a:rPr lang="en-US"/>
                      <a:pPr/>
                      <a:t>[CATEGORY NAME]</a:t>
                    </a:fld>
                    <a:r>
                      <a:rPr lang="en-US" baseline="0"/>
                      <a:t>, 13.9%</a:t>
                    </a:r>
                  </a:p>
                </c:rich>
              </c:tx>
              <c:dLblPos val="bestFit"/>
              <c:showLegendKey val="0"/>
              <c:showVal val="1"/>
              <c:showCatName val="1"/>
              <c:showSerName val="0"/>
              <c:showPercent val="0"/>
              <c:showBubbleSize val="0"/>
              <c:extLst>
                <c:ext xmlns:c15="http://schemas.microsoft.com/office/drawing/2012/chart" uri="{CE6537A1-D6FC-4f65-9D91-7224C49458BB}">
                  <c15:layout>
                    <c:manualLayout>
                      <c:w val="0.24851606833172363"/>
                      <c:h val="0.11386228910168719"/>
                    </c:manualLayout>
                  </c15:layout>
                  <c15:dlblFieldTable/>
                  <c15:showDataLabelsRange val="0"/>
                </c:ext>
                <c:ext xmlns:c16="http://schemas.microsoft.com/office/drawing/2014/chart" uri="{C3380CC4-5D6E-409C-BE32-E72D297353CC}">
                  <c16:uniqueId val="{00000011-ABD1-4ED1-B5AB-4D1D7225680E}"/>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inEnd"/>
            <c:showLegendKey val="0"/>
            <c:showVal val="1"/>
            <c:showCatName val="1"/>
            <c:showSerName val="0"/>
            <c:showPercent val="0"/>
            <c:showBubbleSize val="0"/>
            <c:showLeaderLines val="0"/>
            <c:extLst>
              <c:ext xmlns:c15="http://schemas.microsoft.com/office/drawing/2012/chart" uri="{CE6537A1-D6FC-4f65-9D91-7224C49458BB}"/>
            </c:extLst>
          </c:dLbls>
          <c:cat>
            <c:strRef>
              <c:f>'[Chart in Microsoft Word]Sheet1'!$C$434:$C$442</c:f>
              <c:strCache>
                <c:ptCount val="9"/>
                <c:pt idx="0">
                  <c:v>Sektori Publik </c:v>
                </c:pt>
                <c:pt idx="1">
                  <c:v>Sektori Privat</c:v>
                </c:pt>
                <c:pt idx="2">
                  <c:v>Interesat</c:v>
                </c:pt>
                <c:pt idx="3">
                  <c:v>Qerate</c:v>
                </c:pt>
                <c:pt idx="4">
                  <c:v>Lojrat e fatit</c:v>
                </c:pt>
                <c:pt idx="5">
                  <c:v>Tatim ne burim</c:v>
                </c:pt>
                <c:pt idx="6">
                  <c:v>Dividenti dhe Aksionet</c:v>
                </c:pt>
                <c:pt idx="7">
                  <c:v>Te tjera</c:v>
                </c:pt>
                <c:pt idx="8">
                  <c:v>Pasuri e Paluajtshme</c:v>
                </c:pt>
              </c:strCache>
            </c:strRef>
          </c:cat>
          <c:val>
            <c:numRef>
              <c:f>'[Chart in Microsoft Word]Sheet1'!$D$434:$D$442</c:f>
              <c:numCache>
                <c:formatCode>0%</c:formatCode>
                <c:ptCount val="9"/>
                <c:pt idx="0">
                  <c:v>0.22419579461656128</c:v>
                </c:pt>
                <c:pt idx="1">
                  <c:v>0.35448962352457708</c:v>
                </c:pt>
                <c:pt idx="2">
                  <c:v>4.5044633684162463E-2</c:v>
                </c:pt>
                <c:pt idx="3">
                  <c:v>9.7623341932832577E-2</c:v>
                </c:pt>
                <c:pt idx="4" formatCode="0.0%">
                  <c:v>1.2556790940846099E-3</c:v>
                </c:pt>
                <c:pt idx="5">
                  <c:v>5.9907308052327572E-2</c:v>
                </c:pt>
                <c:pt idx="6">
                  <c:v>8.3057464441451109E-2</c:v>
                </c:pt>
                <c:pt idx="7">
                  <c:v>2.9108924453779595E-2</c:v>
                </c:pt>
                <c:pt idx="8">
                  <c:v>0.10531723020022374</c:v>
                </c:pt>
              </c:numCache>
            </c:numRef>
          </c:val>
          <c:extLst>
            <c:ext xmlns:c16="http://schemas.microsoft.com/office/drawing/2014/chart" uri="{C3380CC4-5D6E-409C-BE32-E72D297353CC}">
              <c16:uniqueId val="{00000012-ABD1-4ED1-B5AB-4D1D7225680E}"/>
            </c:ext>
          </c:extLst>
        </c:ser>
        <c:dLbls>
          <c:dLblPos val="inEnd"/>
          <c:showLegendKey val="0"/>
          <c:showVal val="0"/>
          <c:showCatName val="1"/>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in Microsoft Word]Sheet1'!$D$465</c:f>
              <c:strCache>
                <c:ptCount val="1"/>
                <c:pt idx="0">
                  <c:v>Tatimi mbi Fitimin</c:v>
                </c:pt>
              </c:strCache>
            </c:strRef>
          </c:tx>
          <c:spPr>
            <a:solidFill>
              <a:schemeClr val="accent1"/>
            </a:solidFill>
            <a:ln>
              <a:solidFill>
                <a:schemeClr val="accent1">
                  <a:lumMod val="50000"/>
                </a:schemeClr>
              </a:solidFill>
            </a:ln>
            <a:effectLst/>
          </c:spPr>
          <c:invertIfNegative val="0"/>
          <c:cat>
            <c:numRef>
              <c:f>'[Chart in Microsoft Word]Sheet1'!$C$466:$C$475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'[Chart in Microsoft Word]Sheet1'!$D$466:$D$475</c:f>
              <c:numCache>
                <c:formatCode>_(* #,##0_);_(* \(#,##0\);_(* "-"??_);_(@_)</c:formatCode>
                <c:ptCount val="10"/>
                <c:pt idx="0">
                  <c:v>15121</c:v>
                </c:pt>
                <c:pt idx="1">
                  <c:v>21483</c:v>
                </c:pt>
                <c:pt idx="2">
                  <c:v>24528</c:v>
                </c:pt>
                <c:pt idx="3">
                  <c:v>29148</c:v>
                </c:pt>
                <c:pt idx="4">
                  <c:v>31645</c:v>
                </c:pt>
                <c:pt idx="5">
                  <c:v>34448</c:v>
                </c:pt>
                <c:pt idx="6">
                  <c:v>36575</c:v>
                </c:pt>
                <c:pt idx="7">
                  <c:v>28381</c:v>
                </c:pt>
                <c:pt idx="8">
                  <c:v>35610</c:v>
                </c:pt>
                <c:pt idx="9">
                  <c:v>47683</c:v>
                </c:pt>
              </c:numCache>
            </c:numRef>
          </c:val>
          <c:extLst>
            <c:ext xmlns:c16="http://schemas.microsoft.com/office/drawing/2014/chart" uri="{C3380CC4-5D6E-409C-BE32-E72D297353CC}">
              <c16:uniqueId val="{00000000-DB41-4C1D-A810-63132CB23CDF}"/>
            </c:ext>
          </c:extLst>
        </c:ser>
        <c:dLbls>
          <c:showLegendKey val="0"/>
          <c:showVal val="0"/>
          <c:showCatName val="0"/>
          <c:showSerName val="0"/>
          <c:showPercent val="0"/>
          <c:showBubbleSize val="0"/>
        </c:dLbls>
        <c:gapWidth val="219"/>
        <c:overlap val="-27"/>
        <c:axId val="336644352"/>
        <c:axId val="336658432"/>
      </c:barChart>
      <c:lineChart>
        <c:grouping val="standard"/>
        <c:varyColors val="0"/>
        <c:ser>
          <c:idx val="1"/>
          <c:order val="1"/>
          <c:tx>
            <c:strRef>
              <c:f>'[Chart in Microsoft Word]Sheet1'!$E$465</c:f>
              <c:strCache>
                <c:ptCount val="1"/>
                <c:pt idx="0">
                  <c:v>% ndaj te ardhurave totale</c:v>
                </c:pt>
              </c:strCache>
            </c:strRef>
          </c:tx>
          <c:spPr>
            <a:ln w="28575" cap="rnd">
              <a:solidFill>
                <a:srgbClr val="FF0000"/>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'[Chart in Microsoft Word]Sheet1'!$C$466:$C$475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'[Chart in Microsoft Word]Sheet1'!$E$466:$E$475</c:f>
              <c:numCache>
                <c:formatCode>0.0%</c:formatCode>
                <c:ptCount val="10"/>
                <c:pt idx="0">
                  <c:v>4.6216432645226756E-2</c:v>
                </c:pt>
                <c:pt idx="1">
                  <c:v>5.8581319313592624E-2</c:v>
                </c:pt>
                <c:pt idx="2">
                  <c:v>6.468252084618914E-2</c:v>
                </c:pt>
                <c:pt idx="3">
                  <c:v>7.1613012596401654E-2</c:v>
                </c:pt>
                <c:pt idx="4">
                  <c:v>7.3525140742152009E-2</c:v>
                </c:pt>
                <c:pt idx="5">
                  <c:v>7.6566594578014666E-2</c:v>
                </c:pt>
                <c:pt idx="6">
                  <c:v>7.9450763335563529E-2</c:v>
                </c:pt>
                <c:pt idx="7">
                  <c:v>6.6637082535031367E-2</c:v>
                </c:pt>
                <c:pt idx="8">
                  <c:v>6.9693707799197577E-2</c:v>
                </c:pt>
                <c:pt idx="9">
                  <c:v>8.3247059562945522E-2</c:v>
                </c:pt>
              </c:numCache>
            </c:numRef>
          </c:val>
          <c:smooth val="0"/>
          <c:extLst>
            <c:ext xmlns:c16="http://schemas.microsoft.com/office/drawing/2014/chart" uri="{C3380CC4-5D6E-409C-BE32-E72D297353CC}">
              <c16:uniqueId val="{00000001-DB41-4C1D-A810-63132CB23CDF}"/>
            </c:ext>
          </c:extLst>
        </c:ser>
        <c:dLbls>
          <c:showLegendKey val="0"/>
          <c:showVal val="0"/>
          <c:showCatName val="0"/>
          <c:showSerName val="0"/>
          <c:showPercent val="0"/>
          <c:showBubbleSize val="0"/>
        </c:dLbls>
        <c:marker val="1"/>
        <c:smooth val="0"/>
        <c:axId val="336661504"/>
        <c:axId val="336659968"/>
      </c:lineChart>
      <c:catAx>
        <c:axId val="336644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36658432"/>
        <c:crosses val="autoZero"/>
        <c:auto val="1"/>
        <c:lblAlgn val="ctr"/>
        <c:lblOffset val="100"/>
        <c:noMultiLvlLbl val="0"/>
      </c:catAx>
      <c:valAx>
        <c:axId val="336658432"/>
        <c:scaling>
          <c:orientation val="minMax"/>
        </c:scaling>
        <c:delete val="0"/>
        <c:axPos val="l"/>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36644352"/>
        <c:crosses val="autoZero"/>
        <c:crossBetween val="between"/>
      </c:valAx>
      <c:valAx>
        <c:axId val="336659968"/>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36661504"/>
        <c:crosses val="max"/>
        <c:crossBetween val="between"/>
      </c:valAx>
      <c:catAx>
        <c:axId val="336661504"/>
        <c:scaling>
          <c:orientation val="minMax"/>
        </c:scaling>
        <c:delete val="1"/>
        <c:axPos val="b"/>
        <c:numFmt formatCode="General" sourceLinked="1"/>
        <c:majorTickMark val="none"/>
        <c:minorTickMark val="none"/>
        <c:tickLblPos val="nextTo"/>
        <c:crossAx val="336659968"/>
        <c:crosses val="autoZero"/>
        <c:auto val="1"/>
        <c:lblAlgn val="ctr"/>
        <c:lblOffset val="100"/>
        <c:noMultiLvlLbl val="0"/>
      </c:catAx>
      <c:spPr>
        <a:noFill/>
        <a:ln>
          <a:noFill/>
        </a:ln>
        <a:effectLst/>
      </c:spPr>
    </c:plotArea>
    <c:legend>
      <c:legendPos val="b"/>
      <c:legendEntry>
        <c:idx val="1"/>
        <c:txPr>
          <a:bodyPr rot="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Entry>
      <c:overlay val="0"/>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dPt>
            <c:idx val="0"/>
            <c:bubble3D val="0"/>
            <c:spPr>
              <a:solidFill>
                <a:schemeClr val="accent1">
                  <a:shade val="53000"/>
                </a:schemeClr>
              </a:solidFill>
              <a:ln w="19050">
                <a:solidFill>
                  <a:schemeClr val="lt1"/>
                </a:solidFill>
              </a:ln>
              <a:effectLst/>
            </c:spPr>
            <c:extLst>
              <c:ext xmlns:c16="http://schemas.microsoft.com/office/drawing/2014/chart" uri="{C3380CC4-5D6E-409C-BE32-E72D297353CC}">
                <c16:uniqueId val="{00000001-4377-4233-AF55-3F48C6EB255A}"/>
              </c:ext>
            </c:extLst>
          </c:dPt>
          <c:dPt>
            <c:idx val="1"/>
            <c:bubble3D val="0"/>
            <c:spPr>
              <a:solidFill>
                <a:schemeClr val="accent1">
                  <a:shade val="76000"/>
                </a:schemeClr>
              </a:solidFill>
              <a:ln w="19050">
                <a:solidFill>
                  <a:schemeClr val="lt1"/>
                </a:solidFill>
              </a:ln>
              <a:effectLst/>
            </c:spPr>
            <c:extLst>
              <c:ext xmlns:c16="http://schemas.microsoft.com/office/drawing/2014/chart" uri="{C3380CC4-5D6E-409C-BE32-E72D297353CC}">
                <c16:uniqueId val="{00000003-4377-4233-AF55-3F48C6EB255A}"/>
              </c:ext>
            </c:extLst>
          </c:dPt>
          <c:dPt>
            <c:idx val="2"/>
            <c:bubble3D val="0"/>
            <c:spPr>
              <a:solidFill>
                <a:schemeClr val="accent1"/>
              </a:solidFill>
              <a:ln w="19050">
                <a:solidFill>
                  <a:schemeClr val="lt1"/>
                </a:solidFill>
              </a:ln>
              <a:effectLst/>
            </c:spPr>
            <c:extLst>
              <c:ext xmlns:c16="http://schemas.microsoft.com/office/drawing/2014/chart" uri="{C3380CC4-5D6E-409C-BE32-E72D297353CC}">
                <c16:uniqueId val="{00000005-4377-4233-AF55-3F48C6EB255A}"/>
              </c:ext>
            </c:extLst>
          </c:dPt>
          <c:dPt>
            <c:idx val="3"/>
            <c:bubble3D val="0"/>
            <c:spPr>
              <a:solidFill>
                <a:schemeClr val="accent1">
                  <a:tint val="77000"/>
                </a:schemeClr>
              </a:solidFill>
              <a:ln w="19050">
                <a:solidFill>
                  <a:schemeClr val="lt1"/>
                </a:solidFill>
              </a:ln>
              <a:effectLst/>
            </c:spPr>
            <c:extLst>
              <c:ext xmlns:c16="http://schemas.microsoft.com/office/drawing/2014/chart" uri="{C3380CC4-5D6E-409C-BE32-E72D297353CC}">
                <c16:uniqueId val="{00000007-4377-4233-AF55-3F48C6EB255A}"/>
              </c:ext>
            </c:extLst>
          </c:dPt>
          <c:dPt>
            <c:idx val="4"/>
            <c:bubble3D val="0"/>
            <c:spPr>
              <a:solidFill>
                <a:schemeClr val="accent1">
                  <a:tint val="54000"/>
                </a:schemeClr>
              </a:solidFill>
              <a:ln w="19050">
                <a:solidFill>
                  <a:schemeClr val="lt1"/>
                </a:solidFill>
              </a:ln>
              <a:effectLst/>
            </c:spPr>
            <c:extLst>
              <c:ext xmlns:c16="http://schemas.microsoft.com/office/drawing/2014/chart" uri="{C3380CC4-5D6E-409C-BE32-E72D297353CC}">
                <c16:uniqueId val="{00000009-4377-4233-AF55-3F48C6EB255A}"/>
              </c:ext>
            </c:extLst>
          </c:dPt>
          <c:dLbls>
            <c:dLbl>
              <c:idx val="0"/>
              <c:layout>
                <c:manualLayout>
                  <c:x val="-4.22961523748926E-2"/>
                  <c:y val="3.8953025608641015E-2"/>
                </c:manualLayout>
              </c:layout>
              <c:tx>
                <c:rich>
                  <a:bodyPr/>
                  <a:lstStyle/>
                  <a:p>
                    <a:fld id="{47E87453-2DB2-434D-ADE1-AB1EBB98776A}" type="CATEGORYNAME">
                      <a:rPr lang="en-US"/>
                      <a:pPr/>
                      <a:t>[CATEGORY NAME]</a:t>
                    </a:fld>
                    <a:r>
                      <a:rPr lang="en-US" baseline="0"/>
                      <a:t>, 13.2%</a:t>
                    </a:r>
                  </a:p>
                </c:rich>
              </c:tx>
              <c:showLegendKey val="0"/>
              <c:showVal val="1"/>
              <c:showCatName val="1"/>
              <c:showSerName val="0"/>
              <c:showPercent val="0"/>
              <c:showBubbleSize val="0"/>
              <c:extLst>
                <c:ext xmlns:c15="http://schemas.microsoft.com/office/drawing/2012/chart" uri="{CE6537A1-D6FC-4f65-9D91-7224C49458BB}">
                  <c15:layout>
                    <c:manualLayout>
                      <c:w val="0.23997121571924718"/>
                      <c:h val="0.10066833751044277"/>
                    </c:manualLayout>
                  </c15:layout>
                  <c15:dlblFieldTable/>
                  <c15:showDataLabelsRange val="0"/>
                </c:ext>
                <c:ext xmlns:c16="http://schemas.microsoft.com/office/drawing/2014/chart" uri="{C3380CC4-5D6E-409C-BE32-E72D297353CC}">
                  <c16:uniqueId val="{00000001-4377-4233-AF55-3F48C6EB255A}"/>
                </c:ext>
              </c:extLst>
            </c:dLbl>
            <c:dLbl>
              <c:idx val="1"/>
              <c:layout>
                <c:manualLayout>
                  <c:x val="-1.7487056542174792E-2"/>
                  <c:y val="-2.7180812924700202E-3"/>
                </c:manualLayout>
              </c:layout>
              <c:tx>
                <c:rich>
                  <a:bodyPr/>
                  <a:lstStyle/>
                  <a:p>
                    <a:fld id="{31AF33C2-CEF8-4D80-8FC5-0A1908E2767F}" type="CATEGORYNAME">
                      <a:rPr lang="en-US"/>
                      <a:pPr/>
                      <a:t>[CATEGORY NAME]</a:t>
                    </a:fld>
                    <a:r>
                      <a:rPr lang="en-US" baseline="0"/>
                      <a:t>, 23.7%</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377-4233-AF55-3F48C6EB255A}"/>
                </c:ext>
              </c:extLst>
            </c:dLbl>
            <c:dLbl>
              <c:idx val="2"/>
              <c:layout>
                <c:manualLayout>
                  <c:x val="5.556260012952919E-2"/>
                  <c:y val="-4.85587327899802E-2"/>
                </c:manualLayout>
              </c:layout>
              <c:tx>
                <c:rich>
                  <a:bodyPr/>
                  <a:lstStyle/>
                  <a:p>
                    <a:fld id="{03FF365C-E1D7-413D-8CA8-8972BE1392B4}" type="CATEGORYNAME">
                      <a:rPr lang="en-US"/>
                      <a:pPr/>
                      <a:t>[CATEGORY NAME]</a:t>
                    </a:fld>
                    <a:r>
                      <a:rPr lang="en-US" baseline="0"/>
                      <a:t>, 30.7%</a:t>
                    </a:r>
                  </a:p>
                </c:rich>
              </c:tx>
              <c:showLegendKey val="0"/>
              <c:showVal val="1"/>
              <c:showCatName val="1"/>
              <c:showSerName val="0"/>
              <c:showPercent val="0"/>
              <c:showBubbleSize val="0"/>
              <c:extLst>
                <c:ext xmlns:c15="http://schemas.microsoft.com/office/drawing/2012/chart" uri="{CE6537A1-D6FC-4f65-9D91-7224C49458BB}">
                  <c15:layout>
                    <c:manualLayout>
                      <c:w val="0.27305435305435311"/>
                      <c:h val="0.10066833751044277"/>
                    </c:manualLayout>
                  </c15:layout>
                  <c15:dlblFieldTable/>
                  <c15:showDataLabelsRange val="0"/>
                </c:ext>
                <c:ext xmlns:c16="http://schemas.microsoft.com/office/drawing/2014/chart" uri="{C3380CC4-5D6E-409C-BE32-E72D297353CC}">
                  <c16:uniqueId val="{00000005-4377-4233-AF55-3F48C6EB255A}"/>
                </c:ext>
              </c:extLst>
            </c:dLbl>
            <c:dLbl>
              <c:idx val="3"/>
              <c:layout>
                <c:manualLayout>
                  <c:x val="-4.7566681546032359E-3"/>
                  <c:y val="-1.4664707956281584E-2"/>
                </c:manualLayout>
              </c:layout>
              <c:tx>
                <c:rich>
                  <a:bodyPr/>
                  <a:lstStyle/>
                  <a:p>
                    <a:fld id="{5E48DFFF-A603-429B-828F-A26374344F59}" type="CATEGORYNAME">
                      <a:rPr lang="en-US" sz="800"/>
                      <a:pPr/>
                      <a:t>[CATEGORY NAME]</a:t>
                    </a:fld>
                    <a:r>
                      <a:rPr lang="en-US" baseline="0"/>
                      <a:t>, 3.6%</a:t>
                    </a:r>
                  </a:p>
                </c:rich>
              </c:tx>
              <c:showLegendKey val="0"/>
              <c:showVal val="1"/>
              <c:showCatName val="1"/>
              <c:showSerName val="0"/>
              <c:showPercent val="0"/>
              <c:showBubbleSize val="0"/>
              <c:extLst>
                <c:ext xmlns:c15="http://schemas.microsoft.com/office/drawing/2012/chart" uri="{CE6537A1-D6FC-4f65-9D91-7224C49458BB}">
                  <c15:layout>
                    <c:manualLayout>
                      <c:w val="0.22385762385762387"/>
                      <c:h val="0.10066833751044277"/>
                    </c:manualLayout>
                  </c15:layout>
                  <c15:dlblFieldTable/>
                  <c15:showDataLabelsRange val="0"/>
                </c:ext>
                <c:ext xmlns:c16="http://schemas.microsoft.com/office/drawing/2014/chart" uri="{C3380CC4-5D6E-409C-BE32-E72D297353CC}">
                  <c16:uniqueId val="{00000007-4377-4233-AF55-3F48C6EB255A}"/>
                </c:ext>
              </c:extLst>
            </c:dLbl>
            <c:dLbl>
              <c:idx val="4"/>
              <c:layout>
                <c:manualLayout>
                  <c:x val="1.8249839982123445E-2"/>
                  <c:y val="2.6348680099197745E-3"/>
                </c:manualLayout>
              </c:layout>
              <c:tx>
                <c:rich>
                  <a:bodyPr/>
                  <a:lstStyle/>
                  <a:p>
                    <a:fld id="{ABD8EB0A-BD3E-42C4-92D6-ABD01A3F8B3F}" type="CATEGORYNAME">
                      <a:rPr lang="en-US"/>
                      <a:pPr/>
                      <a:t>[CATEGORY NAME]</a:t>
                    </a:fld>
                    <a:r>
                      <a:rPr lang="en-US" baseline="0"/>
                      <a:t>,28.7%</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4377-4233-AF55-3F48C6EB255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Word]Sheet1'!$C$254:$C$258</c:f>
              <c:strCache>
                <c:ptCount val="5"/>
                <c:pt idx="0">
                  <c:v>Sektori i Ndërtimit</c:v>
                </c:pt>
                <c:pt idx="1">
                  <c:v>Sektori i Prodhimit</c:v>
                </c:pt>
                <c:pt idx="2">
                  <c:v>Sektori i Shërbimit</c:v>
                </c:pt>
                <c:pt idx="3">
                  <c:v>Sektori i Transportit</c:v>
                </c:pt>
                <c:pt idx="4">
                  <c:v>Sektori i Tregtisë</c:v>
                </c:pt>
              </c:strCache>
            </c:strRef>
          </c:cat>
          <c:val>
            <c:numRef>
              <c:f>'[Chart in Microsoft Word]Sheet1'!$D$254:$D$258</c:f>
              <c:numCache>
                <c:formatCode>0%</c:formatCode>
                <c:ptCount val="5"/>
                <c:pt idx="0">
                  <c:v>0.14782006561880653</c:v>
                </c:pt>
                <c:pt idx="1">
                  <c:v>0.19974108544783106</c:v>
                </c:pt>
                <c:pt idx="2">
                  <c:v>0.33689193976974335</c:v>
                </c:pt>
                <c:pt idx="3">
                  <c:v>2.678053673734616E-2</c:v>
                </c:pt>
                <c:pt idx="4">
                  <c:v>0.2887663724262729</c:v>
                </c:pt>
              </c:numCache>
            </c:numRef>
          </c:val>
          <c:extLst>
            <c:ext xmlns:c16="http://schemas.microsoft.com/office/drawing/2014/chart" uri="{C3380CC4-5D6E-409C-BE32-E72D297353CC}">
              <c16:uniqueId val="{0000000A-4377-4233-AF55-3F48C6EB255A}"/>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pieChart>
        <c:varyColors val="1"/>
        <c:ser>
          <c:idx val="0"/>
          <c:order val="0"/>
          <c:dPt>
            <c:idx val="0"/>
            <c:bubble3D val="0"/>
            <c:spPr>
              <a:solidFill>
                <a:schemeClr val="accent2">
                  <a:shade val="45000"/>
                </a:schemeClr>
              </a:solidFill>
              <a:ln w="19050">
                <a:solidFill>
                  <a:schemeClr val="lt1"/>
                </a:solidFill>
              </a:ln>
              <a:effectLst/>
            </c:spPr>
            <c:extLst>
              <c:ext xmlns:c16="http://schemas.microsoft.com/office/drawing/2014/chart" uri="{C3380CC4-5D6E-409C-BE32-E72D297353CC}">
                <c16:uniqueId val="{00000001-50CE-4690-8EA2-25B81C9D1B07}"/>
              </c:ext>
            </c:extLst>
          </c:dPt>
          <c:dPt>
            <c:idx val="1"/>
            <c:bubble3D val="0"/>
            <c:spPr>
              <a:solidFill>
                <a:schemeClr val="accent2">
                  <a:shade val="61000"/>
                </a:schemeClr>
              </a:solidFill>
              <a:ln w="19050">
                <a:solidFill>
                  <a:schemeClr val="lt1"/>
                </a:solidFill>
              </a:ln>
              <a:effectLst/>
            </c:spPr>
            <c:extLst>
              <c:ext xmlns:c16="http://schemas.microsoft.com/office/drawing/2014/chart" uri="{C3380CC4-5D6E-409C-BE32-E72D297353CC}">
                <c16:uniqueId val="{00000003-50CE-4690-8EA2-25B81C9D1B07}"/>
              </c:ext>
            </c:extLst>
          </c:dPt>
          <c:dPt>
            <c:idx val="2"/>
            <c:bubble3D val="0"/>
            <c:spPr>
              <a:solidFill>
                <a:schemeClr val="accent2">
                  <a:shade val="76000"/>
                </a:schemeClr>
              </a:solidFill>
              <a:ln w="19050">
                <a:solidFill>
                  <a:schemeClr val="lt1"/>
                </a:solidFill>
              </a:ln>
              <a:effectLst/>
            </c:spPr>
            <c:extLst>
              <c:ext xmlns:c16="http://schemas.microsoft.com/office/drawing/2014/chart" uri="{C3380CC4-5D6E-409C-BE32-E72D297353CC}">
                <c16:uniqueId val="{00000005-50CE-4690-8EA2-25B81C9D1B07}"/>
              </c:ext>
            </c:extLst>
          </c:dPt>
          <c:dPt>
            <c:idx val="3"/>
            <c:bubble3D val="0"/>
            <c:spPr>
              <a:solidFill>
                <a:schemeClr val="accent2">
                  <a:shade val="92000"/>
                </a:schemeClr>
              </a:solidFill>
              <a:ln w="19050">
                <a:solidFill>
                  <a:schemeClr val="lt1"/>
                </a:solidFill>
              </a:ln>
              <a:effectLst/>
            </c:spPr>
            <c:extLst>
              <c:ext xmlns:c16="http://schemas.microsoft.com/office/drawing/2014/chart" uri="{C3380CC4-5D6E-409C-BE32-E72D297353CC}">
                <c16:uniqueId val="{00000007-50CE-4690-8EA2-25B81C9D1B07}"/>
              </c:ext>
            </c:extLst>
          </c:dPt>
          <c:dPt>
            <c:idx val="4"/>
            <c:bubble3D val="0"/>
            <c:spPr>
              <a:solidFill>
                <a:schemeClr val="accent2">
                  <a:tint val="93000"/>
                </a:schemeClr>
              </a:solidFill>
              <a:ln w="19050">
                <a:solidFill>
                  <a:schemeClr val="lt1"/>
                </a:solidFill>
              </a:ln>
              <a:effectLst/>
            </c:spPr>
            <c:extLst>
              <c:ext xmlns:c16="http://schemas.microsoft.com/office/drawing/2014/chart" uri="{C3380CC4-5D6E-409C-BE32-E72D297353CC}">
                <c16:uniqueId val="{00000009-50CE-4690-8EA2-25B81C9D1B07}"/>
              </c:ext>
            </c:extLst>
          </c:dPt>
          <c:dPt>
            <c:idx val="5"/>
            <c:bubble3D val="0"/>
            <c:spPr>
              <a:solidFill>
                <a:schemeClr val="accent2">
                  <a:tint val="77000"/>
                </a:schemeClr>
              </a:solidFill>
              <a:ln w="19050">
                <a:solidFill>
                  <a:schemeClr val="lt1"/>
                </a:solidFill>
              </a:ln>
              <a:effectLst/>
            </c:spPr>
            <c:extLst>
              <c:ext xmlns:c16="http://schemas.microsoft.com/office/drawing/2014/chart" uri="{C3380CC4-5D6E-409C-BE32-E72D297353CC}">
                <c16:uniqueId val="{0000000B-50CE-4690-8EA2-25B81C9D1B07}"/>
              </c:ext>
            </c:extLst>
          </c:dPt>
          <c:dPt>
            <c:idx val="6"/>
            <c:bubble3D val="0"/>
            <c:spPr>
              <a:solidFill>
                <a:schemeClr val="accent2">
                  <a:tint val="62000"/>
                </a:schemeClr>
              </a:solidFill>
              <a:ln w="19050">
                <a:solidFill>
                  <a:schemeClr val="lt1"/>
                </a:solidFill>
              </a:ln>
              <a:effectLst/>
            </c:spPr>
            <c:extLst>
              <c:ext xmlns:c16="http://schemas.microsoft.com/office/drawing/2014/chart" uri="{C3380CC4-5D6E-409C-BE32-E72D297353CC}">
                <c16:uniqueId val="{0000000D-50CE-4690-8EA2-25B81C9D1B07}"/>
              </c:ext>
            </c:extLst>
          </c:dPt>
          <c:dPt>
            <c:idx val="7"/>
            <c:bubble3D val="0"/>
            <c:spPr>
              <a:solidFill>
                <a:schemeClr val="accent2">
                  <a:tint val="46000"/>
                </a:schemeClr>
              </a:solidFill>
              <a:ln w="19050">
                <a:solidFill>
                  <a:schemeClr val="lt1"/>
                </a:solidFill>
              </a:ln>
              <a:effectLst/>
            </c:spPr>
            <c:extLst>
              <c:ext xmlns:c16="http://schemas.microsoft.com/office/drawing/2014/chart" uri="{C3380CC4-5D6E-409C-BE32-E72D297353CC}">
                <c16:uniqueId val="{0000000F-50CE-4690-8EA2-25B81C9D1B07}"/>
              </c:ext>
            </c:extLst>
          </c:dPt>
          <c:dLbls>
            <c:dLbl>
              <c:idx val="0"/>
              <c:layout>
                <c:manualLayout>
                  <c:x val="0.11424273175742564"/>
                  <c:y val="1.4263727648977991E-2"/>
                </c:manualLayout>
              </c:layout>
              <c:tx>
                <c:rich>
                  <a:bodyPr/>
                  <a:lstStyle/>
                  <a:p>
                    <a:fld id="{A3125E2C-0BEC-4D51-82BC-AA2499386598}" type="CATEGORYNAME">
                      <a:rPr lang="en-US"/>
                      <a:pPr/>
                      <a:t>[CATEGORY NAME]</a:t>
                    </a:fld>
                    <a:r>
                      <a:rPr lang="en-US" baseline="0"/>
                      <a:t>, 1.5%</a:t>
                    </a:r>
                  </a:p>
                </c:rich>
              </c:tx>
              <c:showLegendKey val="0"/>
              <c:showVal val="1"/>
              <c:showCatName val="1"/>
              <c:showSerName val="0"/>
              <c:showPercent val="0"/>
              <c:showBubbleSize val="0"/>
              <c:extLst>
                <c:ext xmlns:c15="http://schemas.microsoft.com/office/drawing/2012/chart" uri="{CE6537A1-D6FC-4f65-9D91-7224C49458BB}">
                  <c15:layout>
                    <c:manualLayout>
                      <c:w val="0.35415177379106577"/>
                      <c:h val="0.10767567244776957"/>
                    </c:manualLayout>
                  </c15:layout>
                  <c15:dlblFieldTable/>
                  <c15:showDataLabelsRange val="0"/>
                </c:ext>
                <c:ext xmlns:c16="http://schemas.microsoft.com/office/drawing/2014/chart" uri="{C3380CC4-5D6E-409C-BE32-E72D297353CC}">
                  <c16:uniqueId val="{00000001-50CE-4690-8EA2-25B81C9D1B07}"/>
                </c:ext>
              </c:extLst>
            </c:dLbl>
            <c:dLbl>
              <c:idx val="1"/>
              <c:layout>
                <c:manualLayout>
                  <c:x val="-7.5743955534970583E-3"/>
                  <c:y val="0.10322057090858464"/>
                </c:manualLayout>
              </c:layout>
              <c:tx>
                <c:rich>
                  <a:bodyPr/>
                  <a:lstStyle/>
                  <a:p>
                    <a:fld id="{03FDA5C0-84DA-4976-8E49-0BF25E3C5C42}" type="CATEGORYNAME">
                      <a:rPr lang="en-US"/>
                      <a:pPr/>
                      <a:t>[CATEGORY NAME]</a:t>
                    </a:fld>
                    <a:r>
                      <a:rPr lang="en-US" baseline="0"/>
                      <a:t>, 20.4%</a:t>
                    </a:r>
                  </a:p>
                </c:rich>
              </c:tx>
              <c:showLegendKey val="0"/>
              <c:showVal val="1"/>
              <c:showCatName val="1"/>
              <c:showSerName val="0"/>
              <c:showPercent val="0"/>
              <c:showBubbleSize val="0"/>
              <c:extLst>
                <c:ext xmlns:c15="http://schemas.microsoft.com/office/drawing/2012/chart" uri="{CE6537A1-D6FC-4f65-9D91-7224C49458BB}">
                  <c15:layout>
                    <c:manualLayout>
                      <c:w val="0.24810360352014818"/>
                      <c:h val="0.10767572229409228"/>
                    </c:manualLayout>
                  </c15:layout>
                  <c15:dlblFieldTable/>
                  <c15:showDataLabelsRange val="0"/>
                </c:ext>
                <c:ext xmlns:c16="http://schemas.microsoft.com/office/drawing/2014/chart" uri="{C3380CC4-5D6E-409C-BE32-E72D297353CC}">
                  <c16:uniqueId val="{00000003-50CE-4690-8EA2-25B81C9D1B07}"/>
                </c:ext>
              </c:extLst>
            </c:dLbl>
            <c:dLbl>
              <c:idx val="2"/>
              <c:layout>
                <c:manualLayout>
                  <c:x val="3.0337452524316813E-2"/>
                  <c:y val="-0.13534512907749402"/>
                </c:manualLayout>
              </c:layout>
              <c:tx>
                <c:rich>
                  <a:bodyPr/>
                  <a:lstStyle/>
                  <a:p>
                    <a:r>
                      <a:rPr lang="en-US" baseline="0"/>
                      <a:t>Biznes i madh, 37.1%</a:t>
                    </a:r>
                    <a:endParaRPr lang="en-US"/>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0CE-4690-8EA2-25B81C9D1B07}"/>
                </c:ext>
              </c:extLst>
            </c:dLbl>
            <c:dLbl>
              <c:idx val="3"/>
              <c:layout>
                <c:manualLayout>
                  <c:x val="1.4180787401574768E-2"/>
                  <c:y val="-2.5969312050741395E-2"/>
                </c:manualLayout>
              </c:layout>
              <c:tx>
                <c:rich>
                  <a:bodyPr/>
                  <a:lstStyle/>
                  <a:p>
                    <a:fld id="{633A85D6-AC30-4191-9FA0-2A3889068770}" type="CATEGORYNAME">
                      <a:rPr lang="en-US"/>
                      <a:pPr/>
                      <a:t>[CATEGORY NAME]</a:t>
                    </a:fld>
                    <a:r>
                      <a:rPr lang="en-US" baseline="0"/>
                      <a:t>,2.6%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0CE-4690-8EA2-25B81C9D1B07}"/>
                </c:ext>
              </c:extLst>
            </c:dLbl>
            <c:dLbl>
              <c:idx val="4"/>
              <c:layout>
                <c:manualLayout>
                  <c:x val="4.9018249189439556E-3"/>
                  <c:y val="-6.8550794022674721E-2"/>
                </c:manualLayout>
              </c:layout>
              <c:tx>
                <c:rich>
                  <a:bodyPr/>
                  <a:lstStyle/>
                  <a:p>
                    <a:fld id="{08A7A748-BC8D-427B-B8F3-D7B9EFF37358}" type="CATEGORYNAME">
                      <a:rPr lang="en-US"/>
                      <a:pPr/>
                      <a:t>[CATEGORY NAME]</a:t>
                    </a:fld>
                    <a:r>
                      <a:rPr lang="en-US" baseline="0"/>
                      <a:t>, 17.4%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0CE-4690-8EA2-25B81C9D1B07}"/>
                </c:ext>
              </c:extLst>
            </c:dLbl>
            <c:dLbl>
              <c:idx val="5"/>
              <c:layout>
                <c:manualLayout>
                  <c:x val="9.8696062992125987E-3"/>
                  <c:y val="2.3605070064818871E-2"/>
                </c:manualLayout>
              </c:layout>
              <c:tx>
                <c:rich>
                  <a:bodyPr/>
                  <a:lstStyle/>
                  <a:p>
                    <a:fld id="{E6EBDD51-08DE-4838-BE33-CC2B3BCEAEE4}" type="CATEGORYNAME">
                      <a:rPr lang="en-US"/>
                      <a:pPr/>
                      <a:t>[CATEGORY NAME]</a:t>
                    </a:fld>
                    <a:r>
                      <a:rPr lang="en-US" baseline="0"/>
                      <a:t>, 0.7%</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50CE-4690-8EA2-25B81C9D1B07}"/>
                </c:ext>
              </c:extLst>
            </c:dLbl>
            <c:dLbl>
              <c:idx val="6"/>
              <c:layout>
                <c:manualLayout>
                  <c:x val="1.1874830940250115E-2"/>
                  <c:y val="2.0467687334684717E-3"/>
                </c:manualLayout>
              </c:layout>
              <c:tx>
                <c:rich>
                  <a:bodyPr/>
                  <a:lstStyle/>
                  <a:p>
                    <a:fld id="{64D74C81-8695-4CDC-ADBD-AF7F97B678AE}" type="CATEGORYNAME">
                      <a:rPr lang="en-US"/>
                      <a:pPr/>
                      <a:t>[CATEGORY NAME]</a:t>
                    </a:fld>
                    <a:r>
                      <a:rPr lang="en-US" baseline="0"/>
                      <a:t>, 1.7%</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50CE-4690-8EA2-25B81C9D1B07}"/>
                </c:ext>
              </c:extLst>
            </c:dLbl>
            <c:dLbl>
              <c:idx val="7"/>
              <c:layout>
                <c:manualLayout>
                  <c:x val="1.8429050486336265E-2"/>
                  <c:y val="7.5886293644083627E-2"/>
                </c:manualLayout>
              </c:layout>
              <c:tx>
                <c:rich>
                  <a:bodyPr/>
                  <a:lstStyle/>
                  <a:p>
                    <a:fld id="{73FBDE66-C9CF-4C50-B0E0-183B843BF820}" type="CATEGORYNAME">
                      <a:rPr lang="en-US"/>
                      <a:pPr/>
                      <a:t>[CATEGORY NAME]</a:t>
                    </a:fld>
                    <a:r>
                      <a:rPr lang="en-US" baseline="0"/>
                      <a:t>, 18.6%</a:t>
                    </a:r>
                  </a:p>
                </c:rich>
              </c:tx>
              <c:showLegendKey val="0"/>
              <c:showVal val="1"/>
              <c:showCatName val="1"/>
              <c:showSerName val="0"/>
              <c:showPercent val="0"/>
              <c:showBubbleSize val="0"/>
              <c:extLst>
                <c:ext xmlns:c15="http://schemas.microsoft.com/office/drawing/2012/chart" uri="{CE6537A1-D6FC-4f65-9D91-7224C49458BB}">
                  <c15:layout>
                    <c:manualLayout>
                      <c:w val="0.27169882352941171"/>
                      <c:h val="0.10767572229409228"/>
                    </c:manualLayout>
                  </c15:layout>
                  <c15:dlblFieldTable/>
                  <c15:showDataLabelsRange val="0"/>
                </c:ext>
                <c:ext xmlns:c16="http://schemas.microsoft.com/office/drawing/2014/chart" uri="{C3380CC4-5D6E-409C-BE32-E72D297353CC}">
                  <c16:uniqueId val="{0000000F-50CE-4690-8EA2-25B81C9D1B07}"/>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extLst>
          </c:dLbls>
          <c:cat>
            <c:strRef>
              <c:f>'[Chart in Microsoft Word]Sheet1'!$C$541:$C$548</c:f>
              <c:strCache>
                <c:ptCount val="8"/>
                <c:pt idx="0">
                  <c:v>Ndërmarrje shtetërore jobuxhetore</c:v>
                </c:pt>
                <c:pt idx="1">
                  <c:v>Ndërmarrje buxhetore</c:v>
                </c:pt>
                <c:pt idx="2">
                  <c:v>BM</c:v>
                </c:pt>
                <c:pt idx="3">
                  <c:v>BV me TVSH</c:v>
                </c:pt>
                <c:pt idx="4">
                  <c:v>BV pa TVSH</c:v>
                </c:pt>
                <c:pt idx="5">
                  <c:v>OJF</c:v>
                </c:pt>
                <c:pt idx="6">
                  <c:v>Tjeter</c:v>
                </c:pt>
                <c:pt idx="7">
                  <c:v>Tatimpaguesit e mëdhenj</c:v>
                </c:pt>
              </c:strCache>
            </c:strRef>
          </c:cat>
          <c:val>
            <c:numRef>
              <c:f>'[Chart in Microsoft Word]Sheet1'!$D$541:$D$548</c:f>
              <c:numCache>
                <c:formatCode>0%</c:formatCode>
                <c:ptCount val="8"/>
                <c:pt idx="0">
                  <c:v>1.6500324926855985E-2</c:v>
                </c:pt>
                <c:pt idx="1">
                  <c:v>0.20607457142289584</c:v>
                </c:pt>
                <c:pt idx="2">
                  <c:v>0.3623714836245378</c:v>
                </c:pt>
                <c:pt idx="3">
                  <c:v>3.0108942724901885E-2</c:v>
                </c:pt>
                <c:pt idx="4">
                  <c:v>0.18373833313941773</c:v>
                </c:pt>
                <c:pt idx="5">
                  <c:v>6.3552287683711376E-3</c:v>
                </c:pt>
                <c:pt idx="6">
                  <c:v>1.6586877495480819E-2</c:v>
                </c:pt>
                <c:pt idx="7">
                  <c:v>0.17826423789753879</c:v>
                </c:pt>
              </c:numCache>
            </c:numRef>
          </c:val>
          <c:extLst>
            <c:ext xmlns:c16="http://schemas.microsoft.com/office/drawing/2014/chart" uri="{C3380CC4-5D6E-409C-BE32-E72D297353CC}">
              <c16:uniqueId val="{00000010-50CE-4690-8EA2-25B81C9D1B07}"/>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6153631800329119E-2"/>
          <c:y val="6.25E-2"/>
          <c:w val="0.94960569670541539"/>
          <c:h val="0.87962962962962965"/>
        </c:manualLayout>
      </c:layout>
      <c:pie3DChart>
        <c:varyColors val="1"/>
        <c:ser>
          <c:idx val="0"/>
          <c:order val="0"/>
          <c:dPt>
            <c:idx val="0"/>
            <c:bubble3D val="0"/>
            <c:spPr>
              <a:solidFill>
                <a:schemeClr val="accent1">
                  <a:tint val="54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6436-4280-8C34-74B864F62B22}"/>
              </c:ext>
            </c:extLst>
          </c:dPt>
          <c:dPt>
            <c:idx val="1"/>
            <c:bubble3D val="0"/>
            <c:spPr>
              <a:solidFill>
                <a:schemeClr val="accent1">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6436-4280-8C34-74B864F62B22}"/>
              </c:ext>
            </c:extLst>
          </c:dPt>
          <c:dPt>
            <c:idx val="2"/>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5-6436-4280-8C34-74B864F62B22}"/>
              </c:ext>
            </c:extLst>
          </c:dPt>
          <c:dPt>
            <c:idx val="3"/>
            <c:bubble3D val="0"/>
            <c:spPr>
              <a:solidFill>
                <a:schemeClr val="accent1">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6436-4280-8C34-74B864F62B22}"/>
              </c:ext>
            </c:extLst>
          </c:dPt>
          <c:dPt>
            <c:idx val="4"/>
            <c:bubble3D val="0"/>
            <c:spPr>
              <a:solidFill>
                <a:schemeClr val="accent1">
                  <a:shade val="53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9-6436-4280-8C34-74B864F62B22}"/>
              </c:ext>
            </c:extLst>
          </c:dPt>
          <c:dLbls>
            <c:dLbl>
              <c:idx val="0"/>
              <c:layout>
                <c:manualLayout>
                  <c:x val="-2.0374898125509373E-2"/>
                  <c:y val="0"/>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36-4280-8C34-74B864F62B22}"/>
                </c:ext>
              </c:extLst>
            </c:dLbl>
            <c:dLbl>
              <c:idx val="1"/>
              <c:layout>
                <c:manualLayout>
                  <c:x val="2.2412387938060309E-2"/>
                  <c:y val="3.549695740365109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36-4280-8C34-74B864F62B22}"/>
                </c:ext>
              </c:extLst>
            </c:dLbl>
            <c:dLbl>
              <c:idx val="2"/>
              <c:layout>
                <c:manualLayout>
                  <c:x val="0.41732524112969971"/>
                  <c:y val="-0.34133978054974368"/>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436-4280-8C34-74B864F62B22}"/>
                </c:ext>
              </c:extLst>
            </c:dLbl>
            <c:dLbl>
              <c:idx val="4"/>
              <c:layout>
                <c:manualLayout>
                  <c:x val="2.4449877750611249E-2"/>
                  <c:y val="0"/>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436-4280-8C34-74B864F62B2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'[Chart in Microsoft Word]Sheet1'!$C$512:$C$516</c:f>
              <c:strCache>
                <c:ptCount val="5"/>
                <c:pt idx="0">
                  <c:v>Ndertimi</c:v>
                </c:pt>
                <c:pt idx="1">
                  <c:v>Prodhimi</c:v>
                </c:pt>
                <c:pt idx="2">
                  <c:v>Sherbimi</c:v>
                </c:pt>
                <c:pt idx="3">
                  <c:v>Transporti</c:v>
                </c:pt>
                <c:pt idx="4">
                  <c:v>Tregtia</c:v>
                </c:pt>
              </c:strCache>
            </c:strRef>
          </c:cat>
          <c:val>
            <c:numRef>
              <c:f>'[Chart in Microsoft Word]Sheet1'!$D$512:$D$516</c:f>
              <c:numCache>
                <c:formatCode>0%</c:formatCode>
                <c:ptCount val="5"/>
                <c:pt idx="0">
                  <c:v>0.06</c:v>
                </c:pt>
                <c:pt idx="1">
                  <c:v>0.16</c:v>
                </c:pt>
                <c:pt idx="2">
                  <c:v>0.59</c:v>
                </c:pt>
                <c:pt idx="3">
                  <c:v>0.03</c:v>
                </c:pt>
                <c:pt idx="4">
                  <c:v>0.16</c:v>
                </c:pt>
              </c:numCache>
            </c:numRef>
          </c:val>
          <c:extLst>
            <c:ext xmlns:c16="http://schemas.microsoft.com/office/drawing/2014/chart" uri="{C3380CC4-5D6E-409C-BE32-E72D297353CC}">
              <c16:uniqueId val="{0000000A-6436-4280-8C34-74B864F62B22}"/>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6042117542324747E-2"/>
          <c:y val="3.6817731116943718E-2"/>
          <c:w val="0.8672993332806207"/>
          <c:h val="0.69723009623797028"/>
        </c:manualLayout>
      </c:layout>
      <c:barChart>
        <c:barDir val="col"/>
        <c:grouping val="clustered"/>
        <c:varyColors val="0"/>
        <c:ser>
          <c:idx val="1"/>
          <c:order val="0"/>
          <c:tx>
            <c:strRef>
              <c:f>'transf pakushtezuar'!$B$3:$B$4</c:f>
              <c:strCache>
                <c:ptCount val="1"/>
                <c:pt idx="0">
                  <c:v>Transferta e pakushtëzuar</c:v>
                </c:pt>
              </c:strCache>
            </c:strRef>
          </c:tx>
          <c:spPr>
            <a:solidFill>
              <a:srgbClr val="5B9BD5"/>
            </a:solidFill>
            <a:ln>
              <a:noFill/>
            </a:ln>
          </c:spPr>
          <c:invertIfNegative val="0"/>
          <c:dLbls>
            <c:numFmt formatCode="#,##0.0" sourceLinked="0"/>
            <c:spPr>
              <a:noFill/>
              <a:ln>
                <a:noFill/>
              </a:ln>
              <a:effectLst/>
            </c:spPr>
            <c:txPr>
              <a:bodyPr wrap="square" lIns="38100" tIns="19050" rIns="38100" bIns="19050" anchor="ctr">
                <a:spAutoFit/>
              </a:bodyPr>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'transf pakushtezuar'!$G$3:$P$3</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'transf pakushtezuar'!$G$4:$P$4</c:f>
              <c:numCache>
                <c:formatCode>#,##0</c:formatCode>
                <c:ptCount val="10"/>
                <c:pt idx="0">
                  <c:v>11651</c:v>
                </c:pt>
                <c:pt idx="1">
                  <c:v>12306</c:v>
                </c:pt>
                <c:pt idx="2">
                  <c:v>13535</c:v>
                </c:pt>
                <c:pt idx="3">
                  <c:v>14300</c:v>
                </c:pt>
                <c:pt idx="4">
                  <c:v>15635</c:v>
                </c:pt>
                <c:pt idx="5">
                  <c:v>16580</c:v>
                </c:pt>
                <c:pt idx="6">
                  <c:v>17632</c:v>
                </c:pt>
                <c:pt idx="7">
                  <c:v>18270</c:v>
                </c:pt>
                <c:pt idx="8">
                  <c:v>18480</c:v>
                </c:pt>
                <c:pt idx="9">
                  <c:v>18733</c:v>
                </c:pt>
              </c:numCache>
            </c:numRef>
          </c:val>
          <c:extLst>
            <c:ext xmlns:c16="http://schemas.microsoft.com/office/drawing/2014/chart" uri="{C3380CC4-5D6E-409C-BE32-E72D297353CC}">
              <c16:uniqueId val="{00000000-280B-49C8-A8D3-24CEF246FEC5}"/>
            </c:ext>
          </c:extLst>
        </c:ser>
        <c:dLbls>
          <c:showLegendKey val="0"/>
          <c:showVal val="0"/>
          <c:showCatName val="0"/>
          <c:showSerName val="0"/>
          <c:showPercent val="0"/>
          <c:showBubbleSize val="0"/>
        </c:dLbls>
        <c:gapWidth val="70"/>
        <c:axId val="358206080"/>
        <c:axId val="358224256"/>
      </c:barChart>
      <c:lineChart>
        <c:grouping val="standard"/>
        <c:varyColors val="0"/>
        <c:ser>
          <c:idx val="0"/>
          <c:order val="1"/>
          <c:tx>
            <c:strRef>
              <c:f>'transf pakushtezuar'!$B$5</c:f>
              <c:strCache>
                <c:ptCount val="1"/>
                <c:pt idx="0">
                  <c:v>Ritmi i ndryshimit</c:v>
                </c:pt>
              </c:strCache>
            </c:strRef>
          </c:tx>
          <c:spPr>
            <a:ln w="31750">
              <a:solidFill>
                <a:srgbClr val="C00000"/>
              </a:solidFill>
            </a:ln>
          </c:spPr>
          <c:marker>
            <c:symbol val="square"/>
            <c:size val="5"/>
            <c:spPr>
              <a:solidFill>
                <a:srgbClr val="0070C0"/>
              </a:solidFill>
              <a:ln>
                <a:solidFill>
                  <a:srgbClr val="C00000"/>
                </a:solidFill>
              </a:ln>
            </c:spPr>
          </c:marker>
          <c:dLbls>
            <c:dLbl>
              <c:idx val="5"/>
              <c:layout>
                <c:manualLayout>
                  <c:x val="-9.74651194916425E-3"/>
                  <c:y val="6.6666958296879561E-2"/>
                </c:manualLayout>
              </c:layout>
              <c:spPr>
                <a:noFill/>
                <a:ln>
                  <a:noFill/>
                </a:ln>
                <a:effectLst/>
              </c:spPr>
              <c:txPr>
                <a:bodyPr wrap="square" lIns="38100" tIns="19050" rIns="38100" bIns="19050" anchor="ctr">
                  <a:noAutofit/>
                </a:bodyPr>
                <a:lstStyle/>
                <a:p>
                  <a:pPr>
                    <a:defRPr b="1">
                      <a:solidFill>
                        <a:srgbClr val="C00000"/>
                      </a:solidFill>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6.5984405458089659E-2"/>
                      <c:h val="0.2797410323709536"/>
                    </c:manualLayout>
                  </c15:layout>
                </c:ext>
                <c:ext xmlns:c16="http://schemas.microsoft.com/office/drawing/2014/chart" uri="{C3380CC4-5D6E-409C-BE32-E72D297353CC}">
                  <c16:uniqueId val="{00000001-280B-49C8-A8D3-24CEF246FEC5}"/>
                </c:ext>
              </c:extLst>
            </c:dLbl>
            <c:dLbl>
              <c:idx val="8"/>
              <c:layout>
                <c:manualLayout>
                  <c:x val="-1.1695906432748537E-2"/>
                  <c:y val="-6.6666666666666666E-2"/>
                </c:manualLayout>
              </c:layout>
              <c:spPr>
                <a:noFill/>
                <a:ln>
                  <a:noFill/>
                </a:ln>
                <a:effectLst/>
              </c:spPr>
              <c:txPr>
                <a:bodyPr wrap="square" lIns="38100" tIns="19050" rIns="38100" bIns="19050" anchor="ctr">
                  <a:noAutofit/>
                </a:bodyPr>
                <a:lstStyle/>
                <a:p>
                  <a:pPr>
                    <a:defRPr b="1">
                      <a:solidFill>
                        <a:srgbClr val="C00000"/>
                      </a:solidFill>
                    </a:defRPr>
                  </a:pPr>
                  <a:endParaRPr lang="en-US"/>
                </a:p>
              </c:txPr>
              <c:dLblPos val="r"/>
              <c:showLegendKey val="0"/>
              <c:showVal val="1"/>
              <c:showCatName val="0"/>
              <c:showSerName val="0"/>
              <c:showPercent val="0"/>
              <c:showBubbleSize val="0"/>
              <c:extLst>
                <c:ext xmlns:c15="http://schemas.microsoft.com/office/drawing/2012/chart" uri="{CE6537A1-D6FC-4f65-9D91-7224C49458BB}">
                  <c15:layout>
                    <c:manualLayout>
                      <c:w val="5.8187134502923975E-2"/>
                      <c:h val="0.18344473607465733"/>
                    </c:manualLayout>
                  </c15:layout>
                </c:ext>
                <c:ext xmlns:c16="http://schemas.microsoft.com/office/drawing/2014/chart" uri="{C3380CC4-5D6E-409C-BE32-E72D297353CC}">
                  <c16:uniqueId val="{00000002-280B-49C8-A8D3-24CEF246FEC5}"/>
                </c:ext>
              </c:extLst>
            </c:dLbl>
            <c:spPr>
              <a:noFill/>
              <a:ln>
                <a:noFill/>
              </a:ln>
              <a:effectLst/>
            </c:spPr>
            <c:txPr>
              <a:bodyPr wrap="square" lIns="38100" tIns="19050" rIns="38100" bIns="19050" anchor="ctr">
                <a:spAutoFit/>
              </a:bodyPr>
              <a:lstStyle/>
              <a:p>
                <a:pPr>
                  <a:defRPr b="1">
                    <a:solidFill>
                      <a:srgbClr val="C00000"/>
                    </a:solidFill>
                  </a:defRPr>
                </a:pPr>
                <a:endParaRPr lang="en-US"/>
              </a:p>
            </c:txPr>
            <c:dLblPos val="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'transf pakushtezuar'!$G$3:$P$3</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'transf pakushtezuar'!$G$5:$P$5</c:f>
              <c:numCache>
                <c:formatCode>0.0%</c:formatCode>
                <c:ptCount val="10"/>
                <c:pt idx="0">
                  <c:v>6.4789219073946094E-3</c:v>
                </c:pt>
                <c:pt idx="1">
                  <c:v>5.6218350356192603E-2</c:v>
                </c:pt>
                <c:pt idx="2">
                  <c:v>9.9869982122541848E-2</c:v>
                </c:pt>
                <c:pt idx="3">
                  <c:v>5.6520132988548209E-2</c:v>
                </c:pt>
                <c:pt idx="4">
                  <c:v>9.3356643356643357E-2</c:v>
                </c:pt>
                <c:pt idx="5">
                  <c:v>6.0441317556763671E-2</c:v>
                </c:pt>
                <c:pt idx="6">
                  <c:v>6.3449939686369125E-2</c:v>
                </c:pt>
                <c:pt idx="7">
                  <c:v>3.6184210526315791E-2</c:v>
                </c:pt>
                <c:pt idx="8">
                  <c:v>1.1494252873563218E-2</c:v>
                </c:pt>
                <c:pt idx="9">
                  <c:v>1.369047619047619E-2</c:v>
                </c:pt>
              </c:numCache>
            </c:numRef>
          </c:val>
          <c:smooth val="1"/>
          <c:extLst>
            <c:ext xmlns:c16="http://schemas.microsoft.com/office/drawing/2014/chart" uri="{C3380CC4-5D6E-409C-BE32-E72D297353CC}">
              <c16:uniqueId val="{00000003-280B-49C8-A8D3-24CEF246FEC5}"/>
            </c:ext>
          </c:extLst>
        </c:ser>
        <c:dLbls>
          <c:showLegendKey val="0"/>
          <c:showVal val="0"/>
          <c:showCatName val="0"/>
          <c:showSerName val="0"/>
          <c:showPercent val="0"/>
          <c:showBubbleSize val="0"/>
        </c:dLbls>
        <c:marker val="1"/>
        <c:smooth val="0"/>
        <c:axId val="358226560"/>
        <c:axId val="358232448"/>
      </c:lineChart>
      <c:catAx>
        <c:axId val="358206080"/>
        <c:scaling>
          <c:orientation val="minMax"/>
        </c:scaling>
        <c:delete val="0"/>
        <c:axPos val="b"/>
        <c:numFmt formatCode="General" sourceLinked="1"/>
        <c:majorTickMark val="cross"/>
        <c:minorTickMark val="none"/>
        <c:tickLblPos val="nextTo"/>
        <c:txPr>
          <a:bodyPr rot="0" vert="horz"/>
          <a:lstStyle/>
          <a:p>
            <a:pPr>
              <a:defRPr sz="800" b="1">
                <a:solidFill>
                  <a:schemeClr val="tx1">
                    <a:lumMod val="75000"/>
                    <a:lumOff val="25000"/>
                  </a:schemeClr>
                </a:solidFill>
              </a:defRPr>
            </a:pPr>
            <a:endParaRPr lang="en-US"/>
          </a:p>
        </c:txPr>
        <c:crossAx val="358224256"/>
        <c:crosses val="autoZero"/>
        <c:auto val="0"/>
        <c:lblAlgn val="ctr"/>
        <c:lblOffset val="100"/>
        <c:tickLblSkip val="1"/>
        <c:tickMarkSkip val="1"/>
        <c:noMultiLvlLbl val="0"/>
      </c:catAx>
      <c:valAx>
        <c:axId val="358224256"/>
        <c:scaling>
          <c:orientation val="minMax"/>
        </c:scaling>
        <c:delete val="0"/>
        <c:axPos val="l"/>
        <c:title>
          <c:tx>
            <c:rich>
              <a:bodyPr/>
              <a:lstStyle/>
              <a:p>
                <a:pPr>
                  <a:defRPr/>
                </a:pPr>
                <a:r>
                  <a:rPr lang="en-US"/>
                  <a:t>Në miliardë</a:t>
                </a:r>
                <a:endParaRPr lang="sq-AL"/>
              </a:p>
            </c:rich>
          </c:tx>
          <c:layout>
            <c:manualLayout>
              <c:xMode val="edge"/>
              <c:yMode val="edge"/>
              <c:x val="4.1687771484704766E-3"/>
              <c:y val="3.3210265383493719E-2"/>
            </c:manualLayout>
          </c:layout>
          <c:overlay val="0"/>
        </c:title>
        <c:numFmt formatCode="#,##0.0" sourceLinked="0"/>
        <c:majorTickMark val="cross"/>
        <c:minorTickMark val="none"/>
        <c:tickLblPos val="nextTo"/>
        <c:txPr>
          <a:bodyPr rot="0" vert="horz"/>
          <a:lstStyle/>
          <a:p>
            <a:pPr>
              <a:defRPr/>
            </a:pPr>
            <a:endParaRPr lang="en-US"/>
          </a:p>
        </c:txPr>
        <c:crossAx val="358206080"/>
        <c:crosses val="autoZero"/>
        <c:crossBetween val="between"/>
        <c:dispUnits>
          <c:builtInUnit val="thousands"/>
        </c:dispUnits>
      </c:valAx>
      <c:catAx>
        <c:axId val="358226560"/>
        <c:scaling>
          <c:orientation val="minMax"/>
        </c:scaling>
        <c:delete val="1"/>
        <c:axPos val="b"/>
        <c:numFmt formatCode="General" sourceLinked="1"/>
        <c:majorTickMark val="out"/>
        <c:minorTickMark val="none"/>
        <c:tickLblPos val="nextTo"/>
        <c:crossAx val="358232448"/>
        <c:crosses val="autoZero"/>
        <c:auto val="0"/>
        <c:lblAlgn val="ctr"/>
        <c:lblOffset val="100"/>
        <c:noMultiLvlLbl val="0"/>
      </c:catAx>
      <c:valAx>
        <c:axId val="358232448"/>
        <c:scaling>
          <c:orientation val="minMax"/>
        </c:scaling>
        <c:delete val="0"/>
        <c:axPos val="r"/>
        <c:numFmt formatCode="0%" sourceLinked="0"/>
        <c:majorTickMark val="cross"/>
        <c:minorTickMark val="none"/>
        <c:tickLblPos val="nextTo"/>
        <c:txPr>
          <a:bodyPr rot="0" vert="horz"/>
          <a:lstStyle/>
          <a:p>
            <a:pPr>
              <a:defRPr/>
            </a:pPr>
            <a:endParaRPr lang="en-US"/>
          </a:p>
        </c:txPr>
        <c:crossAx val="358226560"/>
        <c:crosses val="max"/>
        <c:crossBetween val="between"/>
      </c:valAx>
      <c:spPr>
        <a:noFill/>
      </c:spPr>
    </c:plotArea>
    <c:legend>
      <c:legendPos val="b"/>
      <c:layout>
        <c:manualLayout>
          <c:xMode val="edge"/>
          <c:yMode val="edge"/>
          <c:x val="0.19126225011347267"/>
          <c:y val="0.88663750364537763"/>
          <c:w val="0.61611846940185111"/>
          <c:h val="7.5708675429970992E-2"/>
        </c:manualLayout>
      </c:layout>
      <c:overlay val="0"/>
      <c:txPr>
        <a:bodyPr/>
        <a:lstStyle/>
        <a:p>
          <a:pPr>
            <a:defRPr sz="900" b="1" baseline="0">
              <a:solidFill>
                <a:schemeClr val="tx1">
                  <a:lumMod val="75000"/>
                  <a:lumOff val="25000"/>
                </a:schemeClr>
              </a:solidFill>
            </a:defRPr>
          </a:pPr>
          <a:endParaRPr lang="en-US"/>
        </a:p>
      </c:txPr>
    </c:legend>
    <c:plotVisOnly val="1"/>
    <c:dispBlanksAs val="gap"/>
    <c:showDLblsOverMax val="0"/>
  </c:chart>
  <c:spPr>
    <a:solidFill>
      <a:srgbClr val="DBEFF9"/>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580638616491958"/>
          <c:y val="5.0925925925925923E-2"/>
          <c:w val="0.88419361383508044"/>
          <c:h val="0.67045346741295886"/>
        </c:manualLayout>
      </c:layout>
      <c:barChart>
        <c:barDir val="col"/>
        <c:grouping val="clustered"/>
        <c:varyColors val="0"/>
        <c:ser>
          <c:idx val="0"/>
          <c:order val="0"/>
          <c:tx>
            <c:strRef>
              <c:f>'Te dhenat vjetore te PV 1'!$J$126</c:f>
              <c:strCache>
                <c:ptCount val="1"/>
                <c:pt idx="0">
                  <c:v>Të ardhura tatimore</c:v>
                </c:pt>
              </c:strCache>
            </c:strRef>
          </c:tx>
          <c:spPr>
            <a:solidFill>
              <a:schemeClr val="tx2">
                <a:lumMod val="40000"/>
                <a:lumOff val="60000"/>
              </a:schemeClr>
            </a:solidFill>
            <a:ln>
              <a:solidFill>
                <a:schemeClr val="tx2">
                  <a:lumMod val="60000"/>
                  <a:lumOff val="40000"/>
                </a:schemeClr>
              </a:solidFill>
            </a:ln>
          </c:spPr>
          <c:invertIfNegative val="0"/>
          <c:dLbls>
            <c:spPr>
              <a:noFill/>
              <a:ln>
                <a:noFill/>
              </a:ln>
              <a:effectLst/>
            </c:spPr>
            <c:txPr>
              <a:bodyPr rot="0" vert="horz"/>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ardhurat 2022'!$O$3:$O$6</c:f>
              <c:strCache>
                <c:ptCount val="4"/>
                <c:pt idx="0">
                  <c:v>Viti 2019</c:v>
                </c:pt>
                <c:pt idx="1">
                  <c:v>Viti 2020</c:v>
                </c:pt>
                <c:pt idx="2">
                  <c:v>Viti 2021</c:v>
                </c:pt>
                <c:pt idx="3">
                  <c:v>Viti 2022</c:v>
                </c:pt>
              </c:strCache>
            </c:strRef>
          </c:cat>
          <c:val>
            <c:numRef>
              <c:f>'te ardhurat 2022'!$P$3:$P$6</c:f>
              <c:numCache>
                <c:formatCode>#,##0</c:formatCode>
                <c:ptCount val="4"/>
                <c:pt idx="0">
                  <c:v>23102</c:v>
                </c:pt>
                <c:pt idx="1">
                  <c:v>21976</c:v>
                </c:pt>
                <c:pt idx="2">
                  <c:v>26666.449999999997</c:v>
                </c:pt>
                <c:pt idx="3">
                  <c:v>27638</c:v>
                </c:pt>
              </c:numCache>
            </c:numRef>
          </c:val>
          <c:extLst>
            <c:ext xmlns:c16="http://schemas.microsoft.com/office/drawing/2014/chart" uri="{C3380CC4-5D6E-409C-BE32-E72D297353CC}">
              <c16:uniqueId val="{00000000-67D6-4444-8551-1FA2033D7C64}"/>
            </c:ext>
          </c:extLst>
        </c:ser>
        <c:ser>
          <c:idx val="1"/>
          <c:order val="1"/>
          <c:tx>
            <c:strRef>
              <c:f>'te ardhurat 2022'!$Q$2</c:f>
              <c:strCache>
                <c:ptCount val="1"/>
                <c:pt idx="0">
                  <c:v>Të ardhura jo tatimore</c:v>
                </c:pt>
              </c:strCache>
            </c:strRef>
          </c:tx>
          <c:spPr>
            <a:solidFill>
              <a:schemeClr val="accent6">
                <a:lumMod val="75000"/>
              </a:schemeClr>
            </a:solidFill>
            <a:ln>
              <a:solidFill>
                <a:schemeClr val="accent6">
                  <a:lumMod val="75000"/>
                </a:schemeClr>
              </a:solidFill>
            </a:ln>
          </c:spPr>
          <c:invertIfNegative val="0"/>
          <c:dLbls>
            <c:numFmt formatCode="#,##0" sourceLinked="0"/>
            <c:spPr>
              <a:noFill/>
              <a:ln>
                <a:noFill/>
              </a:ln>
              <a:effectLst/>
            </c:spPr>
            <c:txPr>
              <a:bodyPr rot="0" vert="horz"/>
              <a:lstStyle/>
              <a:p>
                <a:pPr>
                  <a:defRPr b="1"/>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'te ardhurat 2022'!$O$3:$O$6</c:f>
              <c:strCache>
                <c:ptCount val="4"/>
                <c:pt idx="0">
                  <c:v>Viti 2019</c:v>
                </c:pt>
                <c:pt idx="1">
                  <c:v>Viti 2020</c:v>
                </c:pt>
                <c:pt idx="2">
                  <c:v>Viti 2021</c:v>
                </c:pt>
                <c:pt idx="3">
                  <c:v>Viti 2022</c:v>
                </c:pt>
              </c:strCache>
            </c:strRef>
          </c:cat>
          <c:val>
            <c:numRef>
              <c:f>'te ardhurat 2022'!$Q$3:$Q$6</c:f>
              <c:numCache>
                <c:formatCode>#,##0</c:formatCode>
                <c:ptCount val="4"/>
                <c:pt idx="0">
                  <c:v>2514.1999999999998</c:v>
                </c:pt>
                <c:pt idx="1">
                  <c:v>2246.23</c:v>
                </c:pt>
                <c:pt idx="2">
                  <c:v>2851.78</c:v>
                </c:pt>
                <c:pt idx="3">
                  <c:v>3331</c:v>
                </c:pt>
              </c:numCache>
            </c:numRef>
          </c:val>
          <c:extLst>
            <c:ext xmlns:c16="http://schemas.microsoft.com/office/drawing/2014/chart" uri="{C3380CC4-5D6E-409C-BE32-E72D297353CC}">
              <c16:uniqueId val="{00000001-67D6-4444-8551-1FA2033D7C64}"/>
            </c:ext>
          </c:extLst>
        </c:ser>
        <c:dLbls>
          <c:dLblPos val="inEnd"/>
          <c:showLegendKey val="0"/>
          <c:showVal val="1"/>
          <c:showCatName val="0"/>
          <c:showSerName val="0"/>
          <c:showPercent val="0"/>
          <c:showBubbleSize val="0"/>
        </c:dLbls>
        <c:gapWidth val="100"/>
        <c:overlap val="-24"/>
        <c:axId val="358258944"/>
        <c:axId val="358277120"/>
      </c:barChart>
      <c:catAx>
        <c:axId val="3582589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b="1"/>
            </a:pPr>
            <a:endParaRPr lang="en-US"/>
          </a:p>
        </c:txPr>
        <c:crossAx val="358277120"/>
        <c:crosses val="autoZero"/>
        <c:auto val="1"/>
        <c:lblAlgn val="ctr"/>
        <c:lblOffset val="100"/>
        <c:noMultiLvlLbl val="0"/>
      </c:catAx>
      <c:valAx>
        <c:axId val="358277120"/>
        <c:scaling>
          <c:orientation val="minMax"/>
        </c:scaling>
        <c:delete val="0"/>
        <c:axPos val="l"/>
        <c:majorGridlines>
          <c:spPr>
            <a:ln w="9525" cap="flat" cmpd="sng" algn="ctr">
              <a:solidFill>
                <a:schemeClr val="bg1"/>
              </a:solidFill>
              <a:round/>
            </a:ln>
            <a:effectLst/>
          </c:spPr>
        </c:majorGridlines>
        <c:numFmt formatCode="#,##0" sourceLinked="1"/>
        <c:majorTickMark val="none"/>
        <c:minorTickMark val="none"/>
        <c:tickLblPos val="nextTo"/>
        <c:spPr>
          <a:noFill/>
          <a:ln>
            <a:noFill/>
          </a:ln>
          <a:effectLst/>
        </c:spPr>
        <c:txPr>
          <a:bodyPr rot="-60000000" vert="horz"/>
          <a:lstStyle/>
          <a:p>
            <a:pPr>
              <a:defRPr/>
            </a:pPr>
            <a:endParaRPr lang="en-US"/>
          </a:p>
        </c:txPr>
        <c:crossAx val="358258944"/>
        <c:crosses val="autoZero"/>
        <c:crossBetween val="between"/>
      </c:valAx>
      <c:spPr>
        <a:noFill/>
        <a:ln>
          <a:noFill/>
          <a:bevel/>
        </a:ln>
        <a:effectLst/>
      </c:spPr>
    </c:plotArea>
    <c:legend>
      <c:legendPos val="b"/>
      <c:legendEntry>
        <c:idx val="0"/>
        <c:txPr>
          <a:bodyPr rot="0" vert="horz"/>
          <a:lstStyle/>
          <a:p>
            <a:pPr>
              <a:defRPr b="1"/>
            </a:pPr>
            <a:endParaRPr lang="en-US"/>
          </a:p>
        </c:txPr>
      </c:legendEntry>
      <c:legendEntry>
        <c:idx val="1"/>
        <c:txPr>
          <a:bodyPr rot="0" vert="horz"/>
          <a:lstStyle/>
          <a:p>
            <a:pPr>
              <a:defRPr b="1"/>
            </a:pPr>
            <a:endParaRPr lang="en-US"/>
          </a:p>
        </c:txPr>
      </c:legendEntry>
      <c:layout>
        <c:manualLayout>
          <c:xMode val="edge"/>
          <c:yMode val="edge"/>
          <c:x val="0.1785098304429738"/>
          <c:y val="0.89409667541557303"/>
          <c:w val="0.64788831457417517"/>
          <c:h val="7.8125546806649168E-2"/>
        </c:manualLayout>
      </c:layout>
      <c:overlay val="0"/>
      <c:spPr>
        <a:noFill/>
        <a:ln>
          <a:noFill/>
        </a:ln>
        <a:effectLst/>
      </c:spPr>
      <c:txPr>
        <a:bodyPr rot="0" vert="horz"/>
        <a:lstStyle/>
        <a:p>
          <a:pPr>
            <a:defRPr b="1"/>
          </a:pPr>
          <a:endParaRPr lang="en-US"/>
        </a:p>
      </c:txPr>
    </c:legend>
    <c:plotVisOnly val="1"/>
    <c:dispBlanksAs val="gap"/>
    <c:showDLblsOverMax val="0"/>
  </c:chart>
  <c:spPr>
    <a:solidFill>
      <a:schemeClr val="bg2"/>
    </a:solidFill>
    <a:ln w="9525" cap="flat" cmpd="sng" algn="ctr">
      <a:noFill/>
      <a:round/>
    </a:ln>
    <a:effectLst/>
  </c:spPr>
  <c:txPr>
    <a:bodyPr/>
    <a:lstStyle/>
    <a:p>
      <a:pPr algn="just">
        <a:defRPr sz="800">
          <a:latin typeface="+mj-lt"/>
        </a:defRPr>
      </a:pPr>
      <a:endParaRPr lang="en-US"/>
    </a:p>
  </c:tx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444262536489865E-2"/>
          <c:y val="6.5560323721014793E-2"/>
          <c:w val="0.84007207019914587"/>
          <c:h val="0.64175559136189053"/>
        </c:manualLayout>
      </c:layout>
      <c:barChart>
        <c:barDir val="col"/>
        <c:grouping val="clustered"/>
        <c:varyColors val="0"/>
        <c:ser>
          <c:idx val="1"/>
          <c:order val="0"/>
          <c:tx>
            <c:strRef>
              <c:f>'te ardhurat 2022'!$B$19</c:f>
              <c:strCache>
                <c:ptCount val="1"/>
                <c:pt idx="0">
                  <c:v>Të ardhura nga Pushteti Vendor</c:v>
                </c:pt>
              </c:strCache>
            </c:strRef>
          </c:tx>
          <c:spPr>
            <a:solidFill>
              <a:srgbClr val="5B9BD5">
                <a:lumMod val="60000"/>
                <a:lumOff val="40000"/>
              </a:srgbClr>
            </a:solidFill>
            <a:ln>
              <a:solidFill>
                <a:srgbClr val="4472C4">
                  <a:lumMod val="60000"/>
                  <a:lumOff val="40000"/>
                </a:srgbClr>
              </a:solidFill>
            </a:ln>
          </c:spPr>
          <c:invertIfNegative val="0"/>
          <c:dLbls>
            <c:numFmt formatCode="#,##0.0" sourceLinked="0"/>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'Te dhenat vjetore te PV 1'!$K$46:$T$46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ardhurat 2022'!$I$19:$R$19</c:f>
              <c:numCache>
                <c:formatCode>#,##0</c:formatCode>
                <c:ptCount val="10"/>
                <c:pt idx="0">
                  <c:v>10824.7</c:v>
                </c:pt>
                <c:pt idx="1">
                  <c:v>12447</c:v>
                </c:pt>
                <c:pt idx="2">
                  <c:v>11700</c:v>
                </c:pt>
                <c:pt idx="3">
                  <c:v>14951</c:v>
                </c:pt>
                <c:pt idx="4">
                  <c:v>18447.329999999998</c:v>
                </c:pt>
                <c:pt idx="5">
                  <c:v>21863</c:v>
                </c:pt>
                <c:pt idx="6">
                  <c:v>23102</c:v>
                </c:pt>
                <c:pt idx="7">
                  <c:v>21976</c:v>
                </c:pt>
                <c:pt idx="8">
                  <c:v>26666.449999999997</c:v>
                </c:pt>
                <c:pt idx="9">
                  <c:v>27638</c:v>
                </c:pt>
              </c:numCache>
            </c:numRef>
          </c:val>
          <c:extLst>
            <c:ext xmlns:c16="http://schemas.microsoft.com/office/drawing/2014/chart" uri="{C3380CC4-5D6E-409C-BE32-E72D297353CC}">
              <c16:uniqueId val="{00000000-EF31-4C52-8BFD-BF8EAF2587E2}"/>
            </c:ext>
          </c:extLst>
        </c:ser>
        <c:dLbls>
          <c:showLegendKey val="0"/>
          <c:showVal val="0"/>
          <c:showCatName val="0"/>
          <c:showSerName val="0"/>
          <c:showPercent val="0"/>
          <c:showBubbleSize val="0"/>
        </c:dLbls>
        <c:gapWidth val="40"/>
        <c:axId val="358331520"/>
        <c:axId val="358333056"/>
      </c:barChart>
      <c:lineChart>
        <c:grouping val="standard"/>
        <c:varyColors val="0"/>
        <c:ser>
          <c:idx val="0"/>
          <c:order val="1"/>
          <c:tx>
            <c:strRef>
              <c:f>'te ardhurat 2022'!$B$20</c:f>
              <c:strCache>
                <c:ptCount val="1"/>
                <c:pt idx="0">
                  <c:v>Ritmi i ndryshimit të të ardhurave vendore</c:v>
                </c:pt>
              </c:strCache>
            </c:strRef>
          </c:tx>
          <c:spPr>
            <a:ln w="31750">
              <a:solidFill>
                <a:srgbClr val="C00000"/>
              </a:solidFill>
            </a:ln>
          </c:spPr>
          <c:marker>
            <c:symbol val="square"/>
            <c:size val="5"/>
            <c:spPr>
              <a:solidFill>
                <a:srgbClr val="0070C0"/>
              </a:solidFill>
              <a:ln>
                <a:solidFill>
                  <a:srgbClr val="FF0000"/>
                </a:solidFill>
              </a:ln>
            </c:spPr>
          </c:marker>
          <c:dLbls>
            <c:dLbl>
              <c:idx val="2"/>
              <c:layout>
                <c:manualLayout>
                  <c:x val="-3.318143742670468E-2"/>
                  <c:y val="-7.1975298772932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31-4C52-8BFD-BF8EAF2587E2}"/>
                </c:ext>
              </c:extLst>
            </c:dLbl>
            <c:dLbl>
              <c:idx val="3"/>
              <c:layout>
                <c:manualLayout>
                  <c:x val="-2.8931224022529099E-2"/>
                  <c:y val="0.23259322914584915"/>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31-4C52-8BFD-BF8EAF2587E2}"/>
                </c:ext>
              </c:extLst>
            </c:dLbl>
            <c:dLbl>
              <c:idx val="7"/>
              <c:layout>
                <c:manualLayout>
                  <c:x val="-3.7234122330453374E-2"/>
                  <c:y val="-0.1142764832060967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F31-4C52-8BFD-BF8EAF2587E2}"/>
                </c:ext>
              </c:extLst>
            </c:dLbl>
            <c:spPr>
              <a:noFill/>
              <a:ln>
                <a:noFill/>
              </a:ln>
              <a:effectLst/>
            </c:spPr>
            <c:txPr>
              <a:bodyPr/>
              <a:lstStyle/>
              <a:p>
                <a:pPr>
                  <a:defRPr b="1"/>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'te ardhurat 2022'!$I$18:$R$18</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ardhurat 2022'!$I$20:$R$20</c:f>
              <c:numCache>
                <c:formatCode>0%</c:formatCode>
                <c:ptCount val="10"/>
                <c:pt idx="0">
                  <c:v>-3.158670227461025E-3</c:v>
                </c:pt>
                <c:pt idx="1">
                  <c:v>0.14987020425508321</c:v>
                </c:pt>
                <c:pt idx="2">
                  <c:v>-6.0014461315979754E-2</c:v>
                </c:pt>
                <c:pt idx="3">
                  <c:v>0.27786324786324784</c:v>
                </c:pt>
                <c:pt idx="4">
                  <c:v>0.23385258511136367</c:v>
                </c:pt>
                <c:pt idx="5">
                  <c:v>0.18515796052870537</c:v>
                </c:pt>
                <c:pt idx="6">
                  <c:v>5.6671088139779537E-2</c:v>
                </c:pt>
                <c:pt idx="7">
                  <c:v>-4.8740368799238161E-2</c:v>
                </c:pt>
                <c:pt idx="8">
                  <c:v>0.21343511103021465</c:v>
                </c:pt>
                <c:pt idx="9">
                  <c:v>3.6433421021545911E-2</c:v>
                </c:pt>
              </c:numCache>
            </c:numRef>
          </c:val>
          <c:smooth val="1"/>
          <c:extLst>
            <c:ext xmlns:c16="http://schemas.microsoft.com/office/drawing/2014/chart" uri="{C3380CC4-5D6E-409C-BE32-E72D297353CC}">
              <c16:uniqueId val="{00000004-EF31-4C52-8BFD-BF8EAF2587E2}"/>
            </c:ext>
          </c:extLst>
        </c:ser>
        <c:dLbls>
          <c:showLegendKey val="0"/>
          <c:showVal val="0"/>
          <c:showCatName val="0"/>
          <c:showSerName val="0"/>
          <c:showPercent val="0"/>
          <c:showBubbleSize val="0"/>
        </c:dLbls>
        <c:marker val="1"/>
        <c:smooth val="0"/>
        <c:axId val="358347904"/>
        <c:axId val="358349440"/>
      </c:lineChart>
      <c:catAx>
        <c:axId val="358331520"/>
        <c:scaling>
          <c:orientation val="minMax"/>
        </c:scaling>
        <c:delete val="0"/>
        <c:axPos val="b"/>
        <c:numFmt formatCode="General" sourceLinked="1"/>
        <c:majorTickMark val="cross"/>
        <c:minorTickMark val="none"/>
        <c:tickLblPos val="nextTo"/>
        <c:txPr>
          <a:bodyPr rot="0" vert="horz"/>
          <a:lstStyle/>
          <a:p>
            <a:pPr>
              <a:defRPr b="1"/>
            </a:pPr>
            <a:endParaRPr lang="en-US"/>
          </a:p>
        </c:txPr>
        <c:crossAx val="358333056"/>
        <c:crosses val="autoZero"/>
        <c:auto val="0"/>
        <c:lblAlgn val="ctr"/>
        <c:lblOffset val="100"/>
        <c:tickLblSkip val="1"/>
        <c:tickMarkSkip val="1"/>
        <c:noMultiLvlLbl val="0"/>
      </c:catAx>
      <c:valAx>
        <c:axId val="358333056"/>
        <c:scaling>
          <c:orientation val="minMax"/>
        </c:scaling>
        <c:delete val="0"/>
        <c:axPos val="l"/>
        <c:title>
          <c:tx>
            <c:rich>
              <a:bodyPr/>
              <a:lstStyle/>
              <a:p>
                <a:pPr>
                  <a:defRPr/>
                </a:pPr>
                <a:r>
                  <a:rPr lang="sq-AL"/>
                  <a:t>Në miliardë</a:t>
                </a:r>
              </a:p>
            </c:rich>
          </c:tx>
          <c:layout>
            <c:manualLayout>
              <c:xMode val="edge"/>
              <c:yMode val="edge"/>
              <c:x val="2.1100178275251088E-3"/>
              <c:y val="2.0867950363891792E-3"/>
            </c:manualLayout>
          </c:layout>
          <c:overlay val="0"/>
        </c:title>
        <c:numFmt formatCode="#,##0.0" sourceLinked="0"/>
        <c:majorTickMark val="cross"/>
        <c:minorTickMark val="none"/>
        <c:tickLblPos val="nextTo"/>
        <c:txPr>
          <a:bodyPr rot="0" vert="horz"/>
          <a:lstStyle/>
          <a:p>
            <a:pPr>
              <a:defRPr/>
            </a:pPr>
            <a:endParaRPr lang="en-US"/>
          </a:p>
        </c:txPr>
        <c:crossAx val="358331520"/>
        <c:crosses val="autoZero"/>
        <c:crossBetween val="between"/>
        <c:dispUnits>
          <c:builtInUnit val="thousands"/>
        </c:dispUnits>
      </c:valAx>
      <c:catAx>
        <c:axId val="358347904"/>
        <c:scaling>
          <c:orientation val="minMax"/>
        </c:scaling>
        <c:delete val="1"/>
        <c:axPos val="b"/>
        <c:numFmt formatCode="General" sourceLinked="1"/>
        <c:majorTickMark val="out"/>
        <c:minorTickMark val="none"/>
        <c:tickLblPos val="nextTo"/>
        <c:crossAx val="358349440"/>
        <c:crosses val="autoZero"/>
        <c:auto val="0"/>
        <c:lblAlgn val="ctr"/>
        <c:lblOffset val="100"/>
        <c:noMultiLvlLbl val="0"/>
      </c:catAx>
      <c:valAx>
        <c:axId val="358349440"/>
        <c:scaling>
          <c:orientation val="minMax"/>
        </c:scaling>
        <c:delete val="0"/>
        <c:axPos val="r"/>
        <c:numFmt formatCode="0%" sourceLinked="0"/>
        <c:majorTickMark val="cross"/>
        <c:minorTickMark val="none"/>
        <c:tickLblPos val="nextTo"/>
        <c:txPr>
          <a:bodyPr rot="0" vert="horz"/>
          <a:lstStyle/>
          <a:p>
            <a:pPr>
              <a:defRPr/>
            </a:pPr>
            <a:endParaRPr lang="en-US"/>
          </a:p>
        </c:txPr>
        <c:crossAx val="358347904"/>
        <c:crosses val="max"/>
        <c:crossBetween val="between"/>
      </c:valAx>
      <c:spPr>
        <a:solidFill>
          <a:srgbClr val="DBEFF9"/>
        </a:solidFill>
      </c:spPr>
    </c:plotArea>
    <c:legend>
      <c:legendPos val="b"/>
      <c:legendEntry>
        <c:idx val="1"/>
        <c:txPr>
          <a:bodyPr/>
          <a:lstStyle/>
          <a:p>
            <a:pPr>
              <a:defRPr b="1"/>
            </a:pPr>
            <a:endParaRPr lang="en-US"/>
          </a:p>
        </c:txPr>
      </c:legendEntry>
      <c:layout>
        <c:manualLayout>
          <c:xMode val="edge"/>
          <c:yMode val="edge"/>
          <c:x val="8.9208689339364489E-2"/>
          <c:y val="0.87524015081871109"/>
          <c:w val="0.86516280943441803"/>
          <c:h val="9.0301689816862818E-2"/>
        </c:manualLayout>
      </c:layout>
      <c:overlay val="0"/>
      <c:txPr>
        <a:bodyPr/>
        <a:lstStyle/>
        <a:p>
          <a:pPr>
            <a:defRPr b="1"/>
          </a:pPr>
          <a:endParaRPr lang="en-US"/>
        </a:p>
      </c:txPr>
    </c:legend>
    <c:plotVisOnly val="1"/>
    <c:dispBlanksAs val="gap"/>
    <c:showDLblsOverMax val="0"/>
  </c:chart>
  <c:spPr>
    <a:solidFill>
      <a:srgbClr val="DBEFF9"/>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01754919769689"/>
          <c:y val="5.3535744472618892E-2"/>
          <c:w val="0.84176061861904161"/>
          <c:h val="0.68730870179689074"/>
        </c:manualLayout>
      </c:layout>
      <c:barChart>
        <c:barDir val="col"/>
        <c:grouping val="clustered"/>
        <c:varyColors val="0"/>
        <c:ser>
          <c:idx val="2"/>
          <c:order val="2"/>
          <c:tx>
            <c:strRef>
              <c:f>'pergjithshm 2022'!$B$7</c:f>
              <c:strCache>
                <c:ptCount val="1"/>
                <c:pt idx="0">
                  <c:v>Të ardhurat e buxhetit vendor</c:v>
                </c:pt>
              </c:strCache>
            </c:strRef>
          </c:tx>
          <c:spPr>
            <a:solidFill>
              <a:schemeClr val="tx2">
                <a:lumMod val="60000"/>
                <a:lumOff val="40000"/>
                <a:alpha val="77000"/>
              </a:schemeClr>
            </a:solidFill>
            <a:ln w="31750">
              <a:noFill/>
            </a:ln>
            <a:effectLst>
              <a:outerShdw blurRad="50800" dist="50800" dir="5400000" sx="1000" sy="1000" algn="ctr" rotWithShape="0">
                <a:srgbClr val="000000">
                  <a:alpha val="43137"/>
                </a:srgbClr>
              </a:outerShdw>
            </a:effectLst>
          </c:spPr>
          <c:invertIfNegative val="0"/>
          <c:dLbls>
            <c:numFmt formatCode="#,##0" sourceLinked="0"/>
            <c:spPr>
              <a:noFill/>
              <a:ln>
                <a:noFill/>
              </a:ln>
              <a:effectLst/>
            </c:spPr>
            <c:txPr>
              <a:bodyPr/>
              <a:lstStyle/>
              <a:p>
                <a:pPr>
                  <a:defRPr b="1"/>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'pergjithshm 2022'!$C$4:$L$4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'pergjithshm 2022'!$C$7:$L$7</c:f>
              <c:numCache>
                <c:formatCode>#,##0</c:formatCode>
                <c:ptCount val="10"/>
                <c:pt idx="0">
                  <c:v>10824.7</c:v>
                </c:pt>
                <c:pt idx="1">
                  <c:v>12447</c:v>
                </c:pt>
                <c:pt idx="2">
                  <c:v>11700</c:v>
                </c:pt>
                <c:pt idx="3">
                  <c:v>14951</c:v>
                </c:pt>
                <c:pt idx="4">
                  <c:v>18447.330000000002</c:v>
                </c:pt>
                <c:pt idx="5">
                  <c:v>21862.799999999999</c:v>
                </c:pt>
                <c:pt idx="6">
                  <c:v>23102.309999999998</c:v>
                </c:pt>
                <c:pt idx="7">
                  <c:v>21975</c:v>
                </c:pt>
                <c:pt idx="8">
                  <c:v>26666.449999999997</c:v>
                </c:pt>
                <c:pt idx="9">
                  <c:v>27638</c:v>
                </c:pt>
              </c:numCache>
            </c:numRef>
          </c:val>
          <c:extLst>
            <c:ext xmlns:c16="http://schemas.microsoft.com/office/drawing/2014/chart" uri="{C3380CC4-5D6E-409C-BE32-E72D297353CC}">
              <c16:uniqueId val="{00000000-4D88-4E19-9806-EF0965A30799}"/>
            </c:ext>
          </c:extLst>
        </c:ser>
        <c:dLbls>
          <c:showLegendKey val="0"/>
          <c:showVal val="0"/>
          <c:showCatName val="0"/>
          <c:showSerName val="0"/>
          <c:showPercent val="0"/>
          <c:showBubbleSize val="0"/>
        </c:dLbls>
        <c:gapWidth val="150"/>
        <c:overlap val="-6"/>
        <c:axId val="358483072"/>
        <c:axId val="358484608"/>
      </c:barChart>
      <c:lineChart>
        <c:grouping val="standard"/>
        <c:varyColors val="0"/>
        <c:ser>
          <c:idx val="0"/>
          <c:order val="0"/>
          <c:tx>
            <c:strRef>
              <c:f>'pergjithshm 2022'!$B$5</c:f>
              <c:strCache>
                <c:ptCount val="1"/>
                <c:pt idx="0">
                  <c:v>Në % ndaj totalit të të ardhurave</c:v>
                </c:pt>
              </c:strCache>
            </c:strRef>
          </c:tx>
          <c:spPr>
            <a:ln w="25400" cap="rnd">
              <a:solidFill>
                <a:srgbClr val="233AAF"/>
              </a:solidFill>
              <a:round/>
            </a:ln>
            <a:effectLst/>
          </c:spPr>
          <c:marker>
            <c:symbol val="circle"/>
            <c:size val="6"/>
            <c:spPr>
              <a:solidFill>
                <a:schemeClr val="lt1"/>
              </a:solidFill>
              <a:ln w="15875">
                <a:solidFill>
                  <a:schemeClr val="accent1"/>
                </a:solidFill>
                <a:round/>
              </a:ln>
              <a:effectLst/>
            </c:spPr>
          </c:marker>
          <c:dLbls>
            <c:numFmt formatCode="0.00%" sourceLinked="0"/>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'pergjithshm 2022'!$C$4:$L$4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'pergjithshm 2022'!$C$5:$L$5</c:f>
              <c:numCache>
                <c:formatCode>0.00%</c:formatCode>
                <c:ptCount val="10"/>
                <c:pt idx="0">
                  <c:v>3.3085008056766584E-2</c:v>
                </c:pt>
                <c:pt idx="1">
                  <c:v>3.3941334147758108E-2</c:v>
                </c:pt>
                <c:pt idx="2">
                  <c:v>3.0853942184459106E-2</c:v>
                </c:pt>
                <c:pt idx="3">
                  <c:v>3.6732748433127529E-2</c:v>
                </c:pt>
                <c:pt idx="4">
                  <c:v>4.2861175676793435E-2</c:v>
                </c:pt>
                <c:pt idx="5">
                  <c:v>4.8593780308183357E-2</c:v>
                </c:pt>
                <c:pt idx="6">
                  <c:v>5.0184372198387256E-2</c:v>
                </c:pt>
                <c:pt idx="7">
                  <c:v>5.1596036212880531E-2</c:v>
                </c:pt>
                <c:pt idx="8">
                  <c:v>5.2189838164520663E-2</c:v>
                </c:pt>
                <c:pt idx="9">
                  <c:v>4.8251540704272074E-2</c:v>
                </c:pt>
              </c:numCache>
            </c:numRef>
          </c:val>
          <c:smooth val="1"/>
          <c:extLst>
            <c:ext xmlns:c16="http://schemas.microsoft.com/office/drawing/2014/chart" uri="{C3380CC4-5D6E-409C-BE32-E72D297353CC}">
              <c16:uniqueId val="{00000001-4D88-4E19-9806-EF0965A30799}"/>
            </c:ext>
          </c:extLst>
        </c:ser>
        <c:ser>
          <c:idx val="1"/>
          <c:order val="1"/>
          <c:tx>
            <c:strRef>
              <c:f>'pergjithshm 2022'!$B$6</c:f>
              <c:strCache>
                <c:ptCount val="1"/>
                <c:pt idx="0">
                  <c:v>Në % ndaj PBB-së</c:v>
                </c:pt>
              </c:strCache>
            </c:strRef>
          </c:tx>
          <c:spPr>
            <a:ln w="25400">
              <a:solidFill>
                <a:srgbClr val="FF0000"/>
              </a:solidFill>
              <a:prstDash val="solid"/>
            </a:ln>
          </c:spPr>
          <c:marker>
            <c:symbol val="circle"/>
            <c:size val="6"/>
            <c:spPr>
              <a:solidFill>
                <a:schemeClr val="lt1"/>
              </a:solidFill>
              <a:ln w="12700">
                <a:solidFill>
                  <a:schemeClr val="accent2"/>
                </a:solidFill>
                <a:round/>
              </a:ln>
              <a:effectLst/>
            </c:spPr>
          </c:marker>
          <c:dPt>
            <c:idx val="0"/>
            <c:marker>
              <c:spPr>
                <a:solidFill>
                  <a:schemeClr val="bg1"/>
                </a:solidFill>
                <a:ln w="12700">
                  <a:solidFill>
                    <a:schemeClr val="accent2"/>
                  </a:solidFill>
                  <a:round/>
                </a:ln>
                <a:effectLst/>
              </c:spPr>
            </c:marker>
            <c:bubble3D val="0"/>
            <c:extLst>
              <c:ext xmlns:c16="http://schemas.microsoft.com/office/drawing/2014/chart" uri="{C3380CC4-5D6E-409C-BE32-E72D297353CC}">
                <c16:uniqueId val="{00000002-4D88-4E19-9806-EF0965A30799}"/>
              </c:ext>
            </c:extLst>
          </c:dPt>
          <c:dLbls>
            <c:dLbl>
              <c:idx val="0"/>
              <c:layout>
                <c:manualLayout>
                  <c:x val="-3.6652467621875261E-2"/>
                  <c:y val="-4.9998727064428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88-4E19-9806-EF0965A30799}"/>
                </c:ext>
              </c:extLst>
            </c:dLbl>
            <c:numFmt formatCode="0.00%" sourceLinked="0"/>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'pergjithshm 2022'!$C$4:$L$4</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'pergjithshm 2022'!$C$6:$L$6</c:f>
              <c:numCache>
                <c:formatCode>0.00%</c:formatCode>
                <c:ptCount val="10"/>
                <c:pt idx="0">
                  <c:v>8.0179874552980188E-3</c:v>
                </c:pt>
                <c:pt idx="1">
                  <c:v>8.9206430431239669E-3</c:v>
                </c:pt>
                <c:pt idx="2">
                  <c:v>8.1572437719095205E-3</c:v>
                </c:pt>
                <c:pt idx="3">
                  <c:v>1.0153618385309138E-2</c:v>
                </c:pt>
                <c:pt idx="4">
                  <c:v>1.1896560396841572E-2</c:v>
                </c:pt>
                <c:pt idx="5">
                  <c:v>1.3357609379677771E-2</c:v>
                </c:pt>
                <c:pt idx="6">
                  <c:v>1.3654630318641198E-2</c:v>
                </c:pt>
                <c:pt idx="7">
                  <c:v>1.3366162290452333E-2</c:v>
                </c:pt>
                <c:pt idx="8">
                  <c:v>1.4110434804234646E-2</c:v>
                </c:pt>
                <c:pt idx="9">
                  <c:v>1.3428531864704068E-2</c:v>
                </c:pt>
              </c:numCache>
            </c:numRef>
          </c:val>
          <c:smooth val="1"/>
          <c:extLst>
            <c:ext xmlns:c16="http://schemas.microsoft.com/office/drawing/2014/chart" uri="{C3380CC4-5D6E-409C-BE32-E72D297353CC}">
              <c16:uniqueId val="{00000003-4D88-4E19-9806-EF0965A30799}"/>
            </c:ext>
          </c:extLst>
        </c:ser>
        <c:dLbls>
          <c:showLegendKey val="0"/>
          <c:showVal val="0"/>
          <c:showCatName val="0"/>
          <c:showSerName val="0"/>
          <c:showPercent val="0"/>
          <c:showBubbleSize val="0"/>
        </c:dLbls>
        <c:marker val="1"/>
        <c:smooth val="0"/>
        <c:axId val="358486784"/>
        <c:axId val="358488320"/>
      </c:lineChart>
      <c:catAx>
        <c:axId val="358483072"/>
        <c:scaling>
          <c:orientation val="minMax"/>
        </c:scaling>
        <c:delete val="0"/>
        <c:axPos val="b"/>
        <c:majorGridlines>
          <c:spPr>
            <a:ln w="9525" cap="flat" cmpd="sng" algn="ctr">
              <a:solidFill>
                <a:schemeClr val="bg1"/>
              </a:solidFill>
              <a:round/>
            </a:ln>
            <a:effectLst/>
          </c:spPr>
        </c:majorGridlines>
        <c:numFmt formatCode="General" sourceLinked="0"/>
        <c:majorTickMark val="out"/>
        <c:minorTickMark val="none"/>
        <c:tickLblPos val="nextTo"/>
        <c:spPr>
          <a:noFill/>
          <a:ln w="9525" cap="flat" cmpd="sng" algn="ctr">
            <a:solidFill>
              <a:schemeClr val="dk1">
                <a:lumMod val="15000"/>
                <a:lumOff val="85000"/>
              </a:schemeClr>
            </a:solidFill>
            <a:round/>
          </a:ln>
          <a:effectLst/>
        </c:spPr>
        <c:txPr>
          <a:bodyPr rot="0" vert="horz"/>
          <a:lstStyle/>
          <a:p>
            <a:pPr>
              <a:defRPr b="1"/>
            </a:pPr>
            <a:endParaRPr lang="en-US"/>
          </a:p>
        </c:txPr>
        <c:crossAx val="358484608"/>
        <c:crosses val="autoZero"/>
        <c:auto val="1"/>
        <c:lblAlgn val="ctr"/>
        <c:lblOffset val="100"/>
        <c:noMultiLvlLbl val="0"/>
      </c:catAx>
      <c:valAx>
        <c:axId val="358484608"/>
        <c:scaling>
          <c:orientation val="minMax"/>
        </c:scaling>
        <c:delete val="0"/>
        <c:axPos val="l"/>
        <c:majorGridlines>
          <c:spPr>
            <a:ln w="9525" cap="flat" cmpd="sng" algn="ctr">
              <a:solidFill>
                <a:schemeClr val="bg1"/>
              </a:solidFill>
              <a:round/>
            </a:ln>
            <a:effectLst/>
          </c:spPr>
        </c:majorGridlines>
        <c:title>
          <c:tx>
            <c:rich>
              <a:bodyPr/>
              <a:lstStyle/>
              <a:p>
                <a:pPr>
                  <a:defRPr b="1"/>
                </a:pPr>
                <a:r>
                  <a:rPr lang="en-GB" b="1"/>
                  <a:t>ne milion lekë</a:t>
                </a:r>
              </a:p>
            </c:rich>
          </c:tx>
          <c:layout>
            <c:manualLayout>
              <c:xMode val="edge"/>
              <c:yMode val="edge"/>
              <c:x val="9.3176768084784305E-3"/>
              <c:y val="0.26478555565169742"/>
            </c:manualLayout>
          </c:layout>
          <c:overlay val="0"/>
        </c:title>
        <c:numFmt formatCode="#,##0" sourceLinked="1"/>
        <c:majorTickMark val="none"/>
        <c:minorTickMark val="none"/>
        <c:tickLblPos val="nextTo"/>
        <c:spPr>
          <a:ln w="9525">
            <a:noFill/>
          </a:ln>
        </c:spPr>
        <c:txPr>
          <a:bodyPr rot="0" vert="horz"/>
          <a:lstStyle/>
          <a:p>
            <a:pPr>
              <a:defRPr/>
            </a:pPr>
            <a:endParaRPr lang="en-US"/>
          </a:p>
        </c:txPr>
        <c:crossAx val="358483072"/>
        <c:crosses val="autoZero"/>
        <c:crossBetween val="between"/>
      </c:valAx>
      <c:catAx>
        <c:axId val="358486784"/>
        <c:scaling>
          <c:orientation val="minMax"/>
        </c:scaling>
        <c:delete val="1"/>
        <c:axPos val="b"/>
        <c:numFmt formatCode="General" sourceLinked="1"/>
        <c:majorTickMark val="out"/>
        <c:minorTickMark val="none"/>
        <c:tickLblPos val="nextTo"/>
        <c:crossAx val="358488320"/>
        <c:crosses val="autoZero"/>
        <c:auto val="1"/>
        <c:lblAlgn val="ctr"/>
        <c:lblOffset val="100"/>
        <c:noMultiLvlLbl val="0"/>
      </c:catAx>
      <c:valAx>
        <c:axId val="358488320"/>
        <c:scaling>
          <c:orientation val="minMax"/>
        </c:scaling>
        <c:delete val="0"/>
        <c:axPos val="r"/>
        <c:numFmt formatCode="0.0%" sourceLinked="0"/>
        <c:majorTickMark val="none"/>
        <c:minorTickMark val="none"/>
        <c:tickLblPos val="nextTo"/>
        <c:spPr>
          <a:ln w="9525">
            <a:noFill/>
          </a:ln>
        </c:spPr>
        <c:txPr>
          <a:bodyPr rot="0" vert="horz"/>
          <a:lstStyle/>
          <a:p>
            <a:pPr>
              <a:defRPr/>
            </a:pPr>
            <a:endParaRPr lang="en-US"/>
          </a:p>
        </c:txPr>
        <c:crossAx val="358486784"/>
        <c:crosses val="max"/>
        <c:crossBetween val="between"/>
      </c:valAx>
      <c:spPr>
        <a:noFill/>
        <a:ln w="25400">
          <a:noFill/>
        </a:ln>
        <a:effectLst>
          <a:glow rad="38100">
            <a:schemeClr val="accent1">
              <a:alpha val="40000"/>
            </a:schemeClr>
          </a:glow>
        </a:effectLst>
      </c:spPr>
    </c:plotArea>
    <c:legend>
      <c:legendPos val="r"/>
      <c:layout>
        <c:manualLayout>
          <c:xMode val="edge"/>
          <c:yMode val="edge"/>
          <c:x val="6.5101890353593428E-2"/>
          <c:y val="0.88535394282611157"/>
          <c:w val="0.78034472531192256"/>
          <c:h val="0.10448086389601959"/>
        </c:manualLayout>
      </c:layout>
      <c:overlay val="0"/>
      <c:spPr>
        <a:noFill/>
        <a:ln w="25400">
          <a:noFill/>
        </a:ln>
      </c:spPr>
      <c:txPr>
        <a:bodyPr/>
        <a:lstStyle/>
        <a:p>
          <a:pPr>
            <a:defRPr b="1"/>
          </a:pPr>
          <a:endParaRPr lang="en-US"/>
        </a:p>
      </c:txPr>
    </c:legend>
    <c:plotVisOnly val="1"/>
    <c:dispBlanksAs val="gap"/>
    <c:showDLblsOverMax val="0"/>
  </c:chart>
  <c:spPr>
    <a:solidFill>
      <a:schemeClr val="bg2"/>
    </a:solidFill>
    <a:ln w="9525" cap="flat" cmpd="sng" algn="ctr">
      <a:noFill/>
      <a:round/>
    </a:ln>
    <a:effectLst/>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2345939383337582E-2"/>
          <c:y val="2.4129673081067476E-2"/>
          <c:w val="0.91736201757813118"/>
          <c:h val="0.76360634404060568"/>
        </c:manualLayout>
      </c:layout>
      <c:barChart>
        <c:barDir val="col"/>
        <c:grouping val="stacked"/>
        <c:varyColors val="0"/>
        <c:ser>
          <c:idx val="0"/>
          <c:order val="0"/>
          <c:tx>
            <c:strRef>
              <c:f>'Te dhenat vjetore te PV 2022'!$F$16</c:f>
              <c:strCache>
                <c:ptCount val="1"/>
                <c:pt idx="0">
                  <c:v>Taksa mbi Pasurinë e Palujtshme</c:v>
                </c:pt>
              </c:strCache>
            </c:strRef>
          </c:tx>
          <c:spPr>
            <a:solidFill>
              <a:schemeClr val="accent1">
                <a:lumMod val="50000"/>
              </a:schemeClr>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 dhenat vjetore te PV 2022'!$J$15:$S$15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dhenat vjetore te PV 2022'!$J$16:$S$16</c:f>
              <c:numCache>
                <c:formatCode>0.0</c:formatCode>
                <c:ptCount val="10"/>
                <c:pt idx="0">
                  <c:v>2.5</c:v>
                </c:pt>
                <c:pt idx="1">
                  <c:v>3.7</c:v>
                </c:pt>
                <c:pt idx="2">
                  <c:v>3.9</c:v>
                </c:pt>
                <c:pt idx="3">
                  <c:v>4.5</c:v>
                </c:pt>
                <c:pt idx="4">
                  <c:v>4.7</c:v>
                </c:pt>
                <c:pt idx="5">
                  <c:v>5.2</c:v>
                </c:pt>
                <c:pt idx="6">
                  <c:v>5.3</c:v>
                </c:pt>
                <c:pt idx="7">
                  <c:v>5.0999999999999996</c:v>
                </c:pt>
                <c:pt idx="8">
                  <c:v>6.1159999999999997</c:v>
                </c:pt>
                <c:pt idx="9">
                  <c:v>6.1379999999999999</c:v>
                </c:pt>
              </c:numCache>
            </c:numRef>
          </c:val>
          <c:extLst>
            <c:ext xmlns:c16="http://schemas.microsoft.com/office/drawing/2014/chart" uri="{C3380CC4-5D6E-409C-BE32-E72D297353CC}">
              <c16:uniqueId val="{00000000-86ED-487D-B067-A75FB73B9BA9}"/>
            </c:ext>
          </c:extLst>
        </c:ser>
        <c:ser>
          <c:idx val="1"/>
          <c:order val="1"/>
          <c:tx>
            <c:strRef>
              <c:f>'Te dhenat vjetore te PV 2022'!$F$17</c:f>
              <c:strCache>
                <c:ptCount val="1"/>
                <c:pt idx="0">
                  <c:v>Tatim Fitimi mbi Biznesin e vogël</c:v>
                </c:pt>
              </c:strCache>
            </c:strRef>
          </c:tx>
          <c:spPr>
            <a:solidFill>
              <a:schemeClr val="accent5">
                <a:lumMod val="75000"/>
              </a:schemeClr>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 dhenat vjetore te PV 2022'!$J$15:$S$15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dhenat vjetore te PV 2022'!$J$17:$S$17</c:f>
              <c:numCache>
                <c:formatCode>0.0</c:formatCode>
                <c:ptCount val="10"/>
                <c:pt idx="0">
                  <c:v>2.1</c:v>
                </c:pt>
                <c:pt idx="1">
                  <c:v>1.7</c:v>
                </c:pt>
                <c:pt idx="2">
                  <c:v>2.1</c:v>
                </c:pt>
                <c:pt idx="3">
                  <c:v>0.6</c:v>
                </c:pt>
                <c:pt idx="4">
                  <c:v>0.3</c:v>
                </c:pt>
                <c:pt idx="5">
                  <c:v>0.3</c:v>
                </c:pt>
                <c:pt idx="6">
                  <c:v>0.4</c:v>
                </c:pt>
                <c:pt idx="7">
                  <c:v>0.38</c:v>
                </c:pt>
                <c:pt idx="8">
                  <c:v>0.38484000000000002</c:v>
                </c:pt>
                <c:pt idx="9">
                  <c:v>7.1999999999999995E-2</c:v>
                </c:pt>
              </c:numCache>
            </c:numRef>
          </c:val>
          <c:extLst>
            <c:ext xmlns:c16="http://schemas.microsoft.com/office/drawing/2014/chart" uri="{C3380CC4-5D6E-409C-BE32-E72D297353CC}">
              <c16:uniqueId val="{00000001-86ED-487D-B067-A75FB73B9BA9}"/>
            </c:ext>
          </c:extLst>
        </c:ser>
        <c:ser>
          <c:idx val="2"/>
          <c:order val="2"/>
          <c:tx>
            <c:strRef>
              <c:f>'Te dhenat vjetore te PV 2022'!$F$18</c:f>
              <c:strCache>
                <c:ptCount val="1"/>
                <c:pt idx="0">
                  <c:v>Tarifat e shërbimeve Vendore</c:v>
                </c:pt>
              </c:strCache>
            </c:strRef>
          </c:tx>
          <c:spPr>
            <a:solidFill>
              <a:schemeClr val="accent1">
                <a:lumMod val="60000"/>
                <a:lumOff val="40000"/>
              </a:schemeClr>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 dhenat vjetore te PV 2022'!$J$15:$S$15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dhenat vjetore te PV 2022'!$J$18:$S$18</c:f>
              <c:numCache>
                <c:formatCode>0.0</c:formatCode>
                <c:ptCount val="10"/>
                <c:pt idx="0">
                  <c:v>1.7</c:v>
                </c:pt>
                <c:pt idx="1">
                  <c:v>2</c:v>
                </c:pt>
                <c:pt idx="2">
                  <c:v>2.1</c:v>
                </c:pt>
                <c:pt idx="3">
                  <c:v>3.3</c:v>
                </c:pt>
                <c:pt idx="4">
                  <c:v>3.6</c:v>
                </c:pt>
                <c:pt idx="5">
                  <c:v>4.2</c:v>
                </c:pt>
                <c:pt idx="6">
                  <c:v>4.2</c:v>
                </c:pt>
                <c:pt idx="7">
                  <c:v>6.5</c:v>
                </c:pt>
                <c:pt idx="8">
                  <c:v>7.8</c:v>
                </c:pt>
                <c:pt idx="9">
                  <c:v>8.8140000000000001</c:v>
                </c:pt>
              </c:numCache>
            </c:numRef>
          </c:val>
          <c:extLst>
            <c:ext xmlns:c16="http://schemas.microsoft.com/office/drawing/2014/chart" uri="{C3380CC4-5D6E-409C-BE32-E72D297353CC}">
              <c16:uniqueId val="{00000002-86ED-487D-B067-A75FB73B9BA9}"/>
            </c:ext>
          </c:extLst>
        </c:ser>
        <c:ser>
          <c:idx val="3"/>
          <c:order val="3"/>
          <c:tx>
            <c:strRef>
              <c:f>'Te dhenat vjetore te PV 2022'!$F$19</c:f>
              <c:strCache>
                <c:ptCount val="1"/>
                <c:pt idx="0">
                  <c:v>Taksa e Ndikimit në Infrastrukturë</c:v>
                </c:pt>
              </c:strCache>
            </c:strRef>
          </c:tx>
          <c:spPr>
            <a:solidFill>
              <a:schemeClr val="accent1">
                <a:lumMod val="40000"/>
                <a:lumOff val="60000"/>
              </a:schemeClr>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 dhenat vjetore te PV 2022'!$J$15:$S$15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dhenat vjetore te PV 2022'!$J$19:$S$19</c:f>
              <c:numCache>
                <c:formatCode>0.0</c:formatCode>
                <c:ptCount val="10"/>
                <c:pt idx="0">
                  <c:v>1.8</c:v>
                </c:pt>
                <c:pt idx="1">
                  <c:v>2.4</c:v>
                </c:pt>
                <c:pt idx="2">
                  <c:v>1.4</c:v>
                </c:pt>
                <c:pt idx="3">
                  <c:v>2.8</c:v>
                </c:pt>
                <c:pt idx="4">
                  <c:v>5.2</c:v>
                </c:pt>
                <c:pt idx="5">
                  <c:v>7.2</c:v>
                </c:pt>
                <c:pt idx="6">
                  <c:v>8.4</c:v>
                </c:pt>
                <c:pt idx="7">
                  <c:v>7.9</c:v>
                </c:pt>
                <c:pt idx="8">
                  <c:v>9.5</c:v>
                </c:pt>
                <c:pt idx="9">
                  <c:v>10.143000000000001</c:v>
                </c:pt>
              </c:numCache>
            </c:numRef>
          </c:val>
          <c:extLst>
            <c:ext xmlns:c16="http://schemas.microsoft.com/office/drawing/2014/chart" uri="{C3380CC4-5D6E-409C-BE32-E72D297353CC}">
              <c16:uniqueId val="{00000003-86ED-487D-B067-A75FB73B9BA9}"/>
            </c:ext>
          </c:extLst>
        </c:ser>
        <c:ser>
          <c:idx val="4"/>
          <c:order val="4"/>
          <c:tx>
            <c:strRef>
              <c:f>'Te dhenat vjetore te PV 2022'!$F$20</c:f>
              <c:strCache>
                <c:ptCount val="1"/>
                <c:pt idx="0">
                  <c:v>Te ardhura te tjera Vendore</c:v>
                </c:pt>
              </c:strCache>
            </c:strRef>
          </c:tx>
          <c:spPr>
            <a:solidFill>
              <a:schemeClr val="accent5">
                <a:lumMod val="40000"/>
                <a:lumOff val="60000"/>
              </a:schemeClr>
            </a:solidFill>
            <a:ln>
              <a:noFill/>
            </a:ln>
            <a:effectLst/>
          </c:spPr>
          <c:invertIfNegative val="0"/>
          <c:dLbls>
            <c:spPr>
              <a:noFill/>
              <a:ln>
                <a:noFill/>
              </a:ln>
              <a:effectLst/>
            </c:spPr>
            <c:txPr>
              <a:bodyPr rot="0" vert="horz"/>
              <a:lstStyle/>
              <a:p>
                <a:pPr>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 dhenat vjetore te PV 2022'!$J$15:$S$15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dhenat vjetore te PV 2022'!$J$20:$S$20</c:f>
              <c:numCache>
                <c:formatCode>0.0</c:formatCode>
                <c:ptCount val="10"/>
                <c:pt idx="0">
                  <c:v>3.7</c:v>
                </c:pt>
                <c:pt idx="1">
                  <c:v>3.9</c:v>
                </c:pt>
                <c:pt idx="2">
                  <c:v>3.6</c:v>
                </c:pt>
                <c:pt idx="3">
                  <c:v>5.6</c:v>
                </c:pt>
                <c:pt idx="4">
                  <c:v>6.5</c:v>
                </c:pt>
                <c:pt idx="5">
                  <c:v>7.3</c:v>
                </c:pt>
                <c:pt idx="6">
                  <c:v>7.3</c:v>
                </c:pt>
                <c:pt idx="7">
                  <c:v>4.4000000000000004</c:v>
                </c:pt>
                <c:pt idx="8">
                  <c:v>5.7140000000000004</c:v>
                </c:pt>
                <c:pt idx="9">
                  <c:v>5.8023610000000003</c:v>
                </c:pt>
              </c:numCache>
            </c:numRef>
          </c:val>
          <c:extLst>
            <c:ext xmlns:c16="http://schemas.microsoft.com/office/drawing/2014/chart" uri="{C3380CC4-5D6E-409C-BE32-E72D297353CC}">
              <c16:uniqueId val="{00000004-86ED-487D-B067-A75FB73B9BA9}"/>
            </c:ext>
          </c:extLst>
        </c:ser>
        <c:dLbls>
          <c:showLegendKey val="0"/>
          <c:showVal val="0"/>
          <c:showCatName val="0"/>
          <c:showSerName val="0"/>
          <c:showPercent val="0"/>
          <c:showBubbleSize val="0"/>
        </c:dLbls>
        <c:gapWidth val="125"/>
        <c:overlap val="100"/>
        <c:axId val="358562816"/>
        <c:axId val="358585088"/>
      </c:barChart>
      <c:lineChart>
        <c:grouping val="standard"/>
        <c:varyColors val="0"/>
        <c:ser>
          <c:idx val="5"/>
          <c:order val="5"/>
          <c:tx>
            <c:strRef>
              <c:f>'Te dhenat vjetore te PV 2022'!$F$21</c:f>
              <c:strCache>
                <c:ptCount val="1"/>
                <c:pt idx="0">
                  <c:v>Të ardhurat Fiskale Vendore</c:v>
                </c:pt>
              </c:strCache>
            </c:strRef>
          </c:tx>
          <c:spPr>
            <a:ln w="28575" cap="rnd">
              <a:solidFill>
                <a:srgbClr val="C00000"/>
              </a:solidFill>
              <a:round/>
            </a:ln>
            <a:effectLst/>
          </c:spPr>
          <c:marker>
            <c:symbol val="square"/>
            <c:size val="5"/>
            <c:spPr>
              <a:solidFill>
                <a:srgbClr val="FFC000"/>
              </a:solidFill>
              <a:ln>
                <a:solidFill>
                  <a:srgbClr val="FF0000"/>
                </a:solidFill>
              </a:ln>
            </c:spPr>
          </c:marker>
          <c:dLbls>
            <c:spPr>
              <a:noFill/>
              <a:ln>
                <a:noFill/>
              </a:ln>
              <a:effectLst/>
            </c:spPr>
            <c:txPr>
              <a:bodyPr rot="0" vert="horz"/>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'Te dhenat vjetore te PV 2022'!$I$15:$S$15</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'Te dhenat vjetore te PV 2022'!$J$21:$S$21</c:f>
              <c:numCache>
                <c:formatCode>General</c:formatCode>
                <c:ptCount val="10"/>
                <c:pt idx="0">
                  <c:v>11.8</c:v>
                </c:pt>
                <c:pt idx="1">
                  <c:v>13.7</c:v>
                </c:pt>
                <c:pt idx="2">
                  <c:v>13.1</c:v>
                </c:pt>
                <c:pt idx="3">
                  <c:v>16.799999999999997</c:v>
                </c:pt>
                <c:pt idx="4">
                  <c:v>20.3</c:v>
                </c:pt>
                <c:pt idx="5">
                  <c:v>24.2</c:v>
                </c:pt>
                <c:pt idx="6">
                  <c:v>25.599999999999998</c:v>
                </c:pt>
                <c:pt idx="7">
                  <c:v>24.28</c:v>
                </c:pt>
                <c:pt idx="8" formatCode="0.00">
                  <c:v>29.51484</c:v>
                </c:pt>
                <c:pt idx="9" formatCode="0.00">
                  <c:v>30.969360999999999</c:v>
                </c:pt>
              </c:numCache>
            </c:numRef>
          </c:val>
          <c:smooth val="0"/>
          <c:extLst>
            <c:ext xmlns:c16="http://schemas.microsoft.com/office/drawing/2014/chart" uri="{C3380CC4-5D6E-409C-BE32-E72D297353CC}">
              <c16:uniqueId val="{00000005-86ED-487D-B067-A75FB73B9BA9}"/>
            </c:ext>
          </c:extLst>
        </c:ser>
        <c:dLbls>
          <c:showLegendKey val="0"/>
          <c:showVal val="0"/>
          <c:showCatName val="0"/>
          <c:showSerName val="0"/>
          <c:showPercent val="0"/>
          <c:showBubbleSize val="0"/>
        </c:dLbls>
        <c:marker val="1"/>
        <c:smooth val="0"/>
        <c:axId val="358562816"/>
        <c:axId val="358585088"/>
      </c:lineChart>
      <c:catAx>
        <c:axId val="35856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358585088"/>
        <c:crosses val="autoZero"/>
        <c:auto val="1"/>
        <c:lblAlgn val="ctr"/>
        <c:lblOffset val="100"/>
        <c:noMultiLvlLbl val="0"/>
      </c:catAx>
      <c:valAx>
        <c:axId val="358585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Në miliard lekë</a:t>
                </a:r>
              </a:p>
            </c:rich>
          </c:tx>
          <c:layout>
            <c:manualLayout>
              <c:xMode val="edge"/>
              <c:yMode val="edge"/>
              <c:x val="0"/>
              <c:y val="4.5610775690094663E-4"/>
            </c:manualLayout>
          </c:layout>
          <c:overlay val="0"/>
          <c:spPr>
            <a:noFill/>
            <a:ln>
              <a:noFill/>
            </a:ln>
            <a:effectLst/>
          </c:spPr>
        </c:title>
        <c:numFmt formatCode="0.0" sourceLinked="1"/>
        <c:majorTickMark val="none"/>
        <c:minorTickMark val="none"/>
        <c:tickLblPos val="nextTo"/>
        <c:spPr>
          <a:noFill/>
          <a:ln>
            <a:noFill/>
          </a:ln>
          <a:effectLst/>
        </c:spPr>
        <c:txPr>
          <a:bodyPr rot="-60000000" vert="horz"/>
          <a:lstStyle/>
          <a:p>
            <a:pPr>
              <a:defRPr/>
            </a:pPr>
            <a:endParaRPr lang="en-US"/>
          </a:p>
        </c:txPr>
        <c:crossAx val="358562816"/>
        <c:crosses val="autoZero"/>
        <c:crossBetween val="between"/>
      </c:valAx>
      <c:spPr>
        <a:noFill/>
        <a:ln>
          <a:noFill/>
        </a:ln>
        <a:effectLst/>
      </c:spPr>
    </c:plotArea>
    <c:legend>
      <c:legendPos val="b"/>
      <c:layout>
        <c:manualLayout>
          <c:xMode val="edge"/>
          <c:yMode val="edge"/>
          <c:x val="2.6619422572178492E-2"/>
          <c:y val="0.88265011411734406"/>
          <c:w val="0.9433251826427681"/>
          <c:h val="9.9869279351807019E-2"/>
        </c:manualLayout>
      </c:layout>
      <c:overlay val="0"/>
      <c:spPr>
        <a:noFill/>
        <a:ln>
          <a:solidFill>
            <a:schemeClr val="accent1"/>
          </a:solidFill>
        </a:ln>
        <a:effectLst/>
      </c:spPr>
      <c:txPr>
        <a:bodyPr rot="0" vert="horz"/>
        <a:lstStyle/>
        <a:p>
          <a:pPr>
            <a:defRPr b="1"/>
          </a:pPr>
          <a:endParaRPr lang="en-US"/>
        </a:p>
      </c:txPr>
    </c:legend>
    <c:plotVisOnly val="1"/>
    <c:dispBlanksAs val="gap"/>
    <c:showDLblsOverMax val="0"/>
  </c:chart>
  <c:spPr>
    <a:solidFill>
      <a:schemeClr val="bg2"/>
    </a:solidFill>
    <a:ln w="9525" cap="flat" cmpd="sng" algn="ctr">
      <a:noFill/>
      <a:round/>
    </a:ln>
    <a:effectLst/>
  </c:spPr>
  <c:txPr>
    <a:bodyPr/>
    <a:lstStyle/>
    <a:p>
      <a:pPr>
        <a:defRPr sz="800">
          <a:latin typeface="+mj-lt"/>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6.9079111892129369E-2"/>
          <c:y val="2.8455284552845527E-2"/>
          <c:w val="0.85730075586045296"/>
          <c:h val="0.59050164168136798"/>
        </c:manualLayout>
      </c:layout>
      <c:barChart>
        <c:barDir val="col"/>
        <c:grouping val="clustered"/>
        <c:varyColors val="0"/>
        <c:ser>
          <c:idx val="0"/>
          <c:order val="0"/>
          <c:tx>
            <c:strRef>
              <c:f>'[Chart in Microsoft Word]Sheet1'!$D$52</c:f>
              <c:strCache>
                <c:ptCount val="1"/>
                <c:pt idx="0">
                  <c:v>Plan I rishikuar 2022</c:v>
                </c:pt>
              </c:strCache>
            </c:strRef>
          </c:tx>
          <c:spPr>
            <a:solidFill>
              <a:schemeClr val="accent1">
                <a:shade val="58000"/>
              </a:schemeClr>
            </a:solidFill>
            <a:ln>
              <a:noFill/>
            </a:ln>
            <a:effectLst/>
          </c:spPr>
          <c:invertIfNegative val="0"/>
          <c:cat>
            <c:strRef>
              <c:f>'[Chart in Microsoft Word]Sheet1'!$C$53:$C$58</c:f>
              <c:strCache>
                <c:ptCount val="6"/>
                <c:pt idx="0">
                  <c:v>Tatimi mbi Vleren e Shtuar</c:v>
                </c:pt>
                <c:pt idx="1">
                  <c:v>Tatimi mbi Fitimin</c:v>
                </c:pt>
                <c:pt idx="2">
                  <c:v>Akcizat</c:v>
                </c:pt>
                <c:pt idx="3">
                  <c:v>Tatimi mbi te Ardhurat Personale</c:v>
                </c:pt>
                <c:pt idx="4">
                  <c:v>Taksa Nacionale dhe te tjera</c:v>
                </c:pt>
                <c:pt idx="5">
                  <c:v>Taksa Doganore</c:v>
                </c:pt>
              </c:strCache>
            </c:strRef>
          </c:cat>
          <c:val>
            <c:numRef>
              <c:f>'[Chart in Microsoft Word]Sheet1'!$D$53:$D$58</c:f>
              <c:numCache>
                <c:formatCode>_(* #,##0.0_);_(* \(#,##0.0\);_(* "-"??_);_(@_)</c:formatCode>
                <c:ptCount val="6"/>
                <c:pt idx="0">
                  <c:v>193</c:v>
                </c:pt>
                <c:pt idx="1">
                  <c:v>46</c:v>
                </c:pt>
                <c:pt idx="2">
                  <c:v>55</c:v>
                </c:pt>
                <c:pt idx="3">
                  <c:v>47</c:v>
                </c:pt>
                <c:pt idx="4">
                  <c:v>48.5</c:v>
                </c:pt>
                <c:pt idx="5">
                  <c:v>8.5</c:v>
                </c:pt>
              </c:numCache>
            </c:numRef>
          </c:val>
          <c:extLst>
            <c:ext xmlns:c16="http://schemas.microsoft.com/office/drawing/2014/chart" uri="{C3380CC4-5D6E-409C-BE32-E72D297353CC}">
              <c16:uniqueId val="{00000000-8D6B-495C-B5E3-627B04A896FA}"/>
            </c:ext>
          </c:extLst>
        </c:ser>
        <c:ser>
          <c:idx val="1"/>
          <c:order val="1"/>
          <c:tx>
            <c:strRef>
              <c:f>'[Chart in Microsoft Word]Sheet1'!$E$52</c:f>
              <c:strCache>
                <c:ptCount val="1"/>
                <c:pt idx="0">
                  <c:v>Fakti 2022</c:v>
                </c:pt>
              </c:strCache>
            </c:strRef>
          </c:tx>
          <c:spPr>
            <a:solidFill>
              <a:schemeClr val="accent1">
                <a:shade val="86000"/>
              </a:schemeClr>
            </a:solidFill>
            <a:ln>
              <a:noFill/>
            </a:ln>
            <a:effectLst/>
          </c:spPr>
          <c:invertIfNegative val="0"/>
          <c:cat>
            <c:strRef>
              <c:f>'[Chart in Microsoft Word]Sheet1'!$C$53:$C$58</c:f>
              <c:strCache>
                <c:ptCount val="6"/>
                <c:pt idx="0">
                  <c:v>Tatimi mbi Vleren e Shtuar</c:v>
                </c:pt>
                <c:pt idx="1">
                  <c:v>Tatimi mbi Fitimin</c:v>
                </c:pt>
                <c:pt idx="2">
                  <c:v>Akcizat</c:v>
                </c:pt>
                <c:pt idx="3">
                  <c:v>Tatimi mbi te Ardhurat Personale</c:v>
                </c:pt>
                <c:pt idx="4">
                  <c:v>Taksa Nacionale dhe te tjera</c:v>
                </c:pt>
                <c:pt idx="5">
                  <c:v>Taksa Doganore</c:v>
                </c:pt>
              </c:strCache>
            </c:strRef>
          </c:cat>
          <c:val>
            <c:numRef>
              <c:f>'[Chart in Microsoft Word]Sheet1'!$E$53:$E$58</c:f>
              <c:numCache>
                <c:formatCode>#,##0.0</c:formatCode>
                <c:ptCount val="6"/>
                <c:pt idx="0">
                  <c:v>191.41</c:v>
                </c:pt>
                <c:pt idx="1">
                  <c:v>47.68</c:v>
                </c:pt>
                <c:pt idx="2">
                  <c:v>53.55</c:v>
                </c:pt>
                <c:pt idx="3">
                  <c:v>44.98</c:v>
                </c:pt>
                <c:pt idx="4">
                  <c:v>44.82</c:v>
                </c:pt>
                <c:pt idx="5">
                  <c:v>8.4499999999999993</c:v>
                </c:pt>
              </c:numCache>
            </c:numRef>
          </c:val>
          <c:extLst>
            <c:ext xmlns:c16="http://schemas.microsoft.com/office/drawing/2014/chart" uri="{C3380CC4-5D6E-409C-BE32-E72D297353CC}">
              <c16:uniqueId val="{00000001-8D6B-495C-B5E3-627B04A896FA}"/>
            </c:ext>
          </c:extLst>
        </c:ser>
        <c:dLbls>
          <c:showLegendKey val="0"/>
          <c:showVal val="0"/>
          <c:showCatName val="0"/>
          <c:showSerName val="0"/>
          <c:showPercent val="0"/>
          <c:showBubbleSize val="0"/>
        </c:dLbls>
        <c:gapWidth val="219"/>
        <c:overlap val="-27"/>
        <c:axId val="362368000"/>
        <c:axId val="362377984"/>
      </c:barChart>
      <c:lineChart>
        <c:grouping val="standard"/>
        <c:varyColors val="0"/>
        <c:ser>
          <c:idx val="2"/>
          <c:order val="2"/>
          <c:tx>
            <c:strRef>
              <c:f>'[Chart in Microsoft Word]Sheet1'!$F$52</c:f>
              <c:strCache>
                <c:ptCount val="1"/>
                <c:pt idx="0">
                  <c:v>% ndaj vitit paraardhes</c:v>
                </c:pt>
              </c:strCache>
            </c:strRef>
          </c:tx>
          <c:spPr>
            <a:ln w="28575" cap="rnd">
              <a:solidFill>
                <a:schemeClr val="accent1">
                  <a:tint val="86000"/>
                </a:schemeClr>
              </a:solidFill>
              <a:round/>
            </a:ln>
            <a:effectLst/>
          </c:spPr>
          <c:marker>
            <c:symbol val="circle"/>
            <c:size val="5"/>
            <c:spPr>
              <a:solidFill>
                <a:schemeClr val="accent1">
                  <a:tint val="86000"/>
                </a:schemeClr>
              </a:solidFill>
              <a:ln w="9525">
                <a:solidFill>
                  <a:schemeClr val="accent1">
                    <a:tint val="86000"/>
                  </a:schemeClr>
                </a:solidFill>
              </a:ln>
              <a:effectLst/>
            </c:spPr>
          </c:marker>
          <c:dLbls>
            <c:dLbl>
              <c:idx val="0"/>
              <c:layout>
                <c:manualLayout>
                  <c:x val="-4.9004814795889667E-2"/>
                  <c:y val="-3.8648293963254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D6B-495C-B5E3-627B04A896FA}"/>
                </c:ext>
              </c:extLst>
            </c:dLbl>
            <c:dLbl>
              <c:idx val="1"/>
              <c:layout>
                <c:manualLayout>
                  <c:x val="-5.5841842134981799E-2"/>
                  <c:y val="-3.70629281095960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D6B-495C-B5E3-627B04A896FA}"/>
                </c:ext>
              </c:extLst>
            </c:dLbl>
            <c:dLbl>
              <c:idx val="2"/>
              <c:layout>
                <c:manualLayout>
                  <c:x val="-5.5841842134981751E-2"/>
                  <c:y val="-3.70629281095960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D6B-495C-B5E3-627B04A896FA}"/>
                </c:ext>
              </c:extLst>
            </c:dLbl>
            <c:dLbl>
              <c:idx val="3"/>
              <c:layout>
                <c:manualLayout>
                  <c:x val="-5.5841842134981848E-2"/>
                  <c:y val="-2.89328468087830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D6B-495C-B5E3-627B04A896FA}"/>
                </c:ext>
              </c:extLst>
            </c:dLbl>
            <c:dLbl>
              <c:idx val="4"/>
              <c:layout>
                <c:manualLayout>
                  <c:x val="-5.5841842134981751E-2"/>
                  <c:y val="-2.8932846808783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D6B-495C-B5E3-627B04A896FA}"/>
                </c:ext>
              </c:extLst>
            </c:dLbl>
            <c:dLbl>
              <c:idx val="5"/>
              <c:layout>
                <c:manualLayout>
                  <c:x val="-5.5841842134981848E-2"/>
                  <c:y val="-3.29978874591895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8D6B-495C-B5E3-627B04A896FA}"/>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Word]Sheet1'!$C$53:$C$58</c:f>
              <c:strCache>
                <c:ptCount val="6"/>
                <c:pt idx="0">
                  <c:v>Tatimi mbi Vleren e Shtuar</c:v>
                </c:pt>
                <c:pt idx="1">
                  <c:v>Tatimi mbi Fitimin</c:v>
                </c:pt>
                <c:pt idx="2">
                  <c:v>Akcizat</c:v>
                </c:pt>
                <c:pt idx="3">
                  <c:v>Tatimi mbi te Ardhurat Personale</c:v>
                </c:pt>
                <c:pt idx="4">
                  <c:v>Taksa Nacionale dhe te tjera</c:v>
                </c:pt>
                <c:pt idx="5">
                  <c:v>Taksa Doganore</c:v>
                </c:pt>
              </c:strCache>
            </c:strRef>
          </c:cat>
          <c:val>
            <c:numRef>
              <c:f>'[Chart in Microsoft Word]Sheet1'!$F$53:$F$58</c:f>
              <c:numCache>
                <c:formatCode>0.0%</c:formatCode>
                <c:ptCount val="6"/>
                <c:pt idx="0">
                  <c:v>1.1849371038034866</c:v>
                </c:pt>
                <c:pt idx="1">
                  <c:v>1.3389497332210054</c:v>
                </c:pt>
                <c:pt idx="2">
                  <c:v>1.0370269956233782</c:v>
                </c:pt>
                <c:pt idx="3">
                  <c:v>1.1441798941798942</c:v>
                </c:pt>
                <c:pt idx="4">
                  <c:v>1.0540921919096895</c:v>
                </c:pt>
                <c:pt idx="5">
                  <c:v>1.1331634705645701</c:v>
                </c:pt>
              </c:numCache>
            </c:numRef>
          </c:val>
          <c:smooth val="0"/>
          <c:extLst>
            <c:ext xmlns:c16="http://schemas.microsoft.com/office/drawing/2014/chart" uri="{C3380CC4-5D6E-409C-BE32-E72D297353CC}">
              <c16:uniqueId val="{00000008-8D6B-495C-B5E3-627B04A896FA}"/>
            </c:ext>
          </c:extLst>
        </c:ser>
        <c:ser>
          <c:idx val="3"/>
          <c:order val="3"/>
          <c:tx>
            <c:strRef>
              <c:f>'[Chart in Microsoft Word]Sheet1'!$G$52</c:f>
              <c:strCache>
                <c:ptCount val="1"/>
                <c:pt idx="0">
                  <c:v>% ndaj planit te rishikuar</c:v>
                </c:pt>
              </c:strCache>
            </c:strRef>
          </c:tx>
          <c:spPr>
            <a:ln w="28575" cap="rnd">
              <a:solidFill>
                <a:schemeClr val="accent1">
                  <a:tint val="58000"/>
                </a:schemeClr>
              </a:solidFill>
              <a:round/>
            </a:ln>
            <a:effectLst/>
          </c:spPr>
          <c:marker>
            <c:symbol val="circle"/>
            <c:size val="5"/>
            <c:spPr>
              <a:solidFill>
                <a:schemeClr val="accent1">
                  <a:tint val="58000"/>
                </a:schemeClr>
              </a:solidFill>
              <a:ln w="9525">
                <a:solidFill>
                  <a:schemeClr val="accent1">
                    <a:tint val="58000"/>
                  </a:schemeClr>
                </a:solidFill>
              </a:ln>
              <a:effectLst/>
            </c:spPr>
          </c:marker>
          <c:dLbls>
            <c:dLbl>
              <c:idx val="0"/>
              <c:layout>
                <c:manualLayout>
                  <c:x val="-8.719380989548009E-2"/>
                  <c:y val="-1.2149225621606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8D6B-495C-B5E3-627B04A896FA}"/>
                </c:ext>
              </c:extLst>
            </c:dLbl>
            <c:dLbl>
              <c:idx val="1"/>
              <c:layout>
                <c:manualLayout>
                  <c:x val="-6.809138193186981E-2"/>
                  <c:y val="3.05182126624415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8D6B-495C-B5E3-627B04A896FA}"/>
                </c:ext>
              </c:extLst>
            </c:dLbl>
            <c:dLbl>
              <c:idx val="2"/>
              <c:layout>
                <c:manualLayout>
                  <c:x val="-5.5766912866922563E-2"/>
                  <c:y val="2.8932846808783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8D6B-495C-B5E3-627B04A896FA}"/>
                </c:ext>
              </c:extLst>
            </c:dLbl>
            <c:dLbl>
              <c:idx val="3"/>
              <c:layout>
                <c:manualLayout>
                  <c:x val="-5.304026041892556E-2"/>
                  <c:y val="3.70629281095960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8D6B-495C-B5E3-627B04A896FA}"/>
                </c:ext>
              </c:extLst>
            </c:dLbl>
            <c:dLbl>
              <c:idx val="4"/>
              <c:layout>
                <c:manualLayout>
                  <c:x val="-5.3040260418925456E-2"/>
                  <c:y val="2.08027655079700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8D6B-495C-B5E3-627B04A896FA}"/>
                </c:ext>
              </c:extLst>
            </c:dLbl>
            <c:dLbl>
              <c:idx val="5"/>
              <c:layout>
                <c:manualLayout>
                  <c:x val="-5.0313607970928501E-2"/>
                  <c:y val="2.89328468087830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8D6B-495C-B5E3-627B04A896FA}"/>
                </c:ext>
              </c:extLst>
            </c:dLbl>
            <c:spPr>
              <a:noFill/>
              <a:ln>
                <a:noFill/>
              </a:ln>
              <a:effectLst/>
            </c:spPr>
            <c:txPr>
              <a:bodyPr rot="0" spcFirstLastPara="1" vertOverflow="ellipsis" vert="horz" wrap="square" lIns="38100" tIns="19050" rIns="38100" bIns="19050" anchor="ctr" anchorCtr="1">
                <a:spAutoFit/>
              </a:bodyPr>
              <a:lstStyle/>
              <a:p>
                <a:pPr>
                  <a:defRPr sz="750" b="1" i="0" u="none" strike="noStrike" kern="1200" baseline="0">
                    <a:solidFill>
                      <a:schemeClr val="tx1">
                        <a:lumMod val="75000"/>
                        <a:lumOff val="25000"/>
                      </a:schemeClr>
                    </a:solidFill>
                    <a:latin typeface="Calibri" panose="020F0502020204030204" pitchFamily="34" charset="0"/>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'[Chart in Microsoft Word]Sheet1'!$C$53:$C$58</c:f>
              <c:strCache>
                <c:ptCount val="6"/>
                <c:pt idx="0">
                  <c:v>Tatimi mbi Vleren e Shtuar</c:v>
                </c:pt>
                <c:pt idx="1">
                  <c:v>Tatimi mbi Fitimin</c:v>
                </c:pt>
                <c:pt idx="2">
                  <c:v>Akcizat</c:v>
                </c:pt>
                <c:pt idx="3">
                  <c:v>Tatimi mbi te Ardhurat Personale</c:v>
                </c:pt>
                <c:pt idx="4">
                  <c:v>Taksa Nacionale dhe te tjera</c:v>
                </c:pt>
                <c:pt idx="5">
                  <c:v>Taksa Doganore</c:v>
                </c:pt>
              </c:strCache>
            </c:strRef>
          </c:cat>
          <c:val>
            <c:numRef>
              <c:f>'[Chart in Microsoft Word]Sheet1'!$G$53:$G$58</c:f>
              <c:numCache>
                <c:formatCode>0.0%</c:formatCode>
                <c:ptCount val="6"/>
                <c:pt idx="0">
                  <c:v>0.99176165803108807</c:v>
                </c:pt>
                <c:pt idx="1">
                  <c:v>1.0365217391304349</c:v>
                </c:pt>
                <c:pt idx="2">
                  <c:v>0.97363636363636363</c:v>
                </c:pt>
                <c:pt idx="3">
                  <c:v>0.95702127659574465</c:v>
                </c:pt>
                <c:pt idx="4">
                  <c:v>0.92412371134020621</c:v>
                </c:pt>
                <c:pt idx="5">
                  <c:v>0.99411764705882344</c:v>
                </c:pt>
              </c:numCache>
            </c:numRef>
          </c:val>
          <c:smooth val="0"/>
          <c:extLst>
            <c:ext xmlns:c16="http://schemas.microsoft.com/office/drawing/2014/chart" uri="{C3380CC4-5D6E-409C-BE32-E72D297353CC}">
              <c16:uniqueId val="{0000000F-8D6B-495C-B5E3-627B04A896FA}"/>
            </c:ext>
          </c:extLst>
        </c:ser>
        <c:dLbls>
          <c:showLegendKey val="0"/>
          <c:showVal val="0"/>
          <c:showCatName val="0"/>
          <c:showSerName val="0"/>
          <c:showPercent val="0"/>
          <c:showBubbleSize val="0"/>
        </c:dLbls>
        <c:marker val="1"/>
        <c:smooth val="0"/>
        <c:axId val="362385408"/>
        <c:axId val="362379520"/>
      </c:lineChart>
      <c:catAx>
        <c:axId val="36236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62377984"/>
        <c:crosses val="autoZero"/>
        <c:auto val="1"/>
        <c:lblAlgn val="ctr"/>
        <c:lblOffset val="100"/>
        <c:noMultiLvlLbl val="0"/>
      </c:catAx>
      <c:valAx>
        <c:axId val="362377984"/>
        <c:scaling>
          <c:orientation val="minMax"/>
        </c:scaling>
        <c:delete val="0"/>
        <c:axPos val="l"/>
        <c:majorGridlines>
          <c:spPr>
            <a:ln w="9525" cap="flat" cmpd="sng" algn="ctr">
              <a:solidFill>
                <a:schemeClr val="tx1">
                  <a:lumMod val="15000"/>
                  <a:lumOff val="85000"/>
                </a:schemeClr>
              </a:solidFill>
              <a:round/>
            </a:ln>
            <a:effectLst/>
          </c:spPr>
        </c:majorGridlines>
        <c:numFmt formatCode="_(* #,##0.0_);_(* \(#,##0.0\);_(* &quot;-&quot;??_);_(@_)"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62368000"/>
        <c:crosses val="autoZero"/>
        <c:crossBetween val="between"/>
      </c:valAx>
      <c:valAx>
        <c:axId val="362379520"/>
        <c:scaling>
          <c:orientation val="minMax"/>
        </c:scaling>
        <c:delete val="0"/>
        <c:axPos val="r"/>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crossAx val="362385408"/>
        <c:crosses val="max"/>
        <c:crossBetween val="between"/>
      </c:valAx>
      <c:catAx>
        <c:axId val="362385408"/>
        <c:scaling>
          <c:orientation val="minMax"/>
        </c:scaling>
        <c:delete val="1"/>
        <c:axPos val="b"/>
        <c:numFmt formatCode="General" sourceLinked="1"/>
        <c:majorTickMark val="none"/>
        <c:minorTickMark val="none"/>
        <c:tickLblPos val="nextTo"/>
        <c:crossAx val="36237952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legend>
    <c:plotVisOnly val="1"/>
    <c:dispBlanksAs val="gap"/>
    <c:showDLblsOverMax val="0"/>
  </c:chart>
  <c:spPr>
    <a:solidFill>
      <a:schemeClr val="bg2"/>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9.6054852140418895E-2"/>
          <c:y val="6.862369682519058E-2"/>
          <c:w val="0.83978574450666899"/>
          <c:h val="0.66793075108035727"/>
        </c:manualLayout>
      </c:layout>
      <c:barChart>
        <c:barDir val="col"/>
        <c:grouping val="clustered"/>
        <c:varyColors val="0"/>
        <c:ser>
          <c:idx val="2"/>
          <c:order val="2"/>
          <c:tx>
            <c:strRef>
              <c:f>'pergjithshm 2022'!$B$15</c:f>
              <c:strCache>
                <c:ptCount val="1"/>
                <c:pt idx="0">
                  <c:v>Shpenzimet e buxhetit vendor</c:v>
                </c:pt>
              </c:strCache>
            </c:strRef>
          </c:tx>
          <c:spPr>
            <a:solidFill>
              <a:schemeClr val="bg2">
                <a:lumMod val="50000"/>
                <a:alpha val="75000"/>
              </a:schemeClr>
            </a:solidFill>
            <a:ln>
              <a:solidFill>
                <a:schemeClr val="bg2">
                  <a:lumMod val="50000"/>
                </a:schemeClr>
              </a:solidFill>
            </a:ln>
            <a:effectLst/>
          </c:spPr>
          <c:invertIfNegative val="0"/>
          <c:dLbls>
            <c:numFmt formatCode="#,##0" sourceLinked="0"/>
            <c:spPr>
              <a:noFill/>
              <a:ln>
                <a:noFill/>
              </a:ln>
              <a:effectLst/>
            </c:spPr>
            <c:txPr>
              <a:bodyPr/>
              <a:lstStyle/>
              <a:p>
                <a:pPr>
                  <a:defRPr b="1"/>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'pergjithshm 2022'!$C$12:$L$12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'pergjithshm 2022'!$C$15:$L$15</c:f>
              <c:numCache>
                <c:formatCode>#,##0</c:formatCode>
                <c:ptCount val="10"/>
                <c:pt idx="0">
                  <c:v>29787</c:v>
                </c:pt>
                <c:pt idx="1">
                  <c:v>32985</c:v>
                </c:pt>
                <c:pt idx="2">
                  <c:v>34066</c:v>
                </c:pt>
                <c:pt idx="3">
                  <c:v>43580</c:v>
                </c:pt>
                <c:pt idx="4">
                  <c:v>46486.67</c:v>
                </c:pt>
                <c:pt idx="5">
                  <c:v>49615.41</c:v>
                </c:pt>
                <c:pt idx="6">
                  <c:v>56226.75</c:v>
                </c:pt>
                <c:pt idx="7">
                  <c:v>51626.37</c:v>
                </c:pt>
                <c:pt idx="8">
                  <c:v>52593</c:v>
                </c:pt>
                <c:pt idx="9">
                  <c:v>58696</c:v>
                </c:pt>
              </c:numCache>
            </c:numRef>
          </c:val>
          <c:extLst>
            <c:ext xmlns:c16="http://schemas.microsoft.com/office/drawing/2014/chart" uri="{C3380CC4-5D6E-409C-BE32-E72D297353CC}">
              <c16:uniqueId val="{00000000-FFE8-4651-8F4F-B144DB2BA728}"/>
            </c:ext>
          </c:extLst>
        </c:ser>
        <c:dLbls>
          <c:showLegendKey val="0"/>
          <c:showVal val="0"/>
          <c:showCatName val="0"/>
          <c:showSerName val="0"/>
          <c:showPercent val="0"/>
          <c:showBubbleSize val="0"/>
        </c:dLbls>
        <c:gapWidth val="150"/>
        <c:axId val="336557952"/>
        <c:axId val="336559488"/>
      </c:barChart>
      <c:lineChart>
        <c:grouping val="standard"/>
        <c:varyColors val="0"/>
        <c:ser>
          <c:idx val="0"/>
          <c:order val="0"/>
          <c:tx>
            <c:strRef>
              <c:f>'pergjithshm 2022'!$B$13</c:f>
              <c:strCache>
                <c:ptCount val="1"/>
                <c:pt idx="0">
                  <c:v>Në % ndaj totalit të shpenzimeve</c:v>
                </c:pt>
              </c:strCache>
            </c:strRef>
          </c:tx>
          <c:spPr>
            <a:ln w="25400" cap="rnd">
              <a:solidFill>
                <a:srgbClr val="233AAF"/>
              </a:solidFill>
              <a:round/>
            </a:ln>
            <a:effectLst/>
          </c:spPr>
          <c:marker>
            <c:symbol val="circle"/>
            <c:size val="6"/>
            <c:spPr>
              <a:solidFill>
                <a:schemeClr val="lt1"/>
              </a:solidFill>
              <a:ln w="15875">
                <a:solidFill>
                  <a:schemeClr val="accent3">
                    <a:lumMod val="75000"/>
                  </a:schemeClr>
                </a:solidFill>
                <a:round/>
              </a:ln>
              <a:effectLst/>
            </c:spPr>
          </c:marker>
          <c:dLbls>
            <c:numFmt formatCode="0.00%" sourceLinked="0"/>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'pergjithshm 2022'!$C$12:$L$12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'pergjithshm 2022'!$C$13:$L$13</c:f>
              <c:numCache>
                <c:formatCode>0.00%</c:formatCode>
                <c:ptCount val="10"/>
                <c:pt idx="0">
                  <c:v>7.5578887541294743E-2</c:v>
                </c:pt>
                <c:pt idx="1">
                  <c:v>7.5162527429708165E-2</c:v>
                </c:pt>
                <c:pt idx="2">
                  <c:v>7.7881520228253717E-2</c:v>
                </c:pt>
                <c:pt idx="3">
                  <c:v>0.10048490074867938</c:v>
                </c:pt>
                <c:pt idx="4">
                  <c:v>0.10074925625728257</c:v>
                </c:pt>
                <c:pt idx="5">
                  <c:v>0.10420184399301442</c:v>
                </c:pt>
                <c:pt idx="6">
                  <c:v>0.11430588632698975</c:v>
                </c:pt>
                <c:pt idx="7">
                  <c:v>9.6267831126258793E-2</c:v>
                </c:pt>
                <c:pt idx="8">
                  <c:v>8.8201999399609918E-2</c:v>
                </c:pt>
                <c:pt idx="9">
                  <c:v>9.0160748984278394E-2</c:v>
                </c:pt>
              </c:numCache>
            </c:numRef>
          </c:val>
          <c:smooth val="1"/>
          <c:extLst>
            <c:ext xmlns:c16="http://schemas.microsoft.com/office/drawing/2014/chart" uri="{C3380CC4-5D6E-409C-BE32-E72D297353CC}">
              <c16:uniqueId val="{00000001-FFE8-4651-8F4F-B144DB2BA728}"/>
            </c:ext>
          </c:extLst>
        </c:ser>
        <c:ser>
          <c:idx val="1"/>
          <c:order val="1"/>
          <c:tx>
            <c:strRef>
              <c:f>'pergjithshm 2022'!$B$14</c:f>
              <c:strCache>
                <c:ptCount val="1"/>
                <c:pt idx="0">
                  <c:v>Në % ndaj PBB-së</c:v>
                </c:pt>
              </c:strCache>
            </c:strRef>
          </c:tx>
          <c:spPr>
            <a:ln w="25400">
              <a:solidFill>
                <a:srgbClr val="FF0000"/>
              </a:solidFill>
              <a:prstDash val="solid"/>
            </a:ln>
          </c:spPr>
          <c:marker>
            <c:symbol val="square"/>
            <c:size val="6"/>
            <c:spPr>
              <a:solidFill>
                <a:schemeClr val="lt1"/>
              </a:solidFill>
              <a:ln w="6350">
                <a:solidFill>
                  <a:srgbClr val="FFFF00"/>
                </a:solidFill>
                <a:round/>
              </a:ln>
              <a:effectLst/>
            </c:spPr>
          </c:marker>
          <c:dLbls>
            <c:numFmt formatCode="0.00%" sourceLinked="0"/>
            <c:spPr>
              <a:noFill/>
              <a:ln w="25400">
                <a:noFill/>
              </a:ln>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'pergjithshm 2022'!$C$12:$L$12</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'pergjithshm 2022'!$C$14:$L$14</c:f>
              <c:numCache>
                <c:formatCode>0.00%</c:formatCode>
                <c:ptCount val="10"/>
                <c:pt idx="0">
                  <c:v>2.2063586044115641E-2</c:v>
                </c:pt>
                <c:pt idx="1">
                  <c:v>2.3640000194304654E-2</c:v>
                </c:pt>
                <c:pt idx="2">
                  <c:v>2.3750843717185013E-2</c:v>
                </c:pt>
                <c:pt idx="3">
                  <c:v>2.959634489444634E-2</c:v>
                </c:pt>
                <c:pt idx="4">
                  <c:v>2.9978944232202879E-2</c:v>
                </c:pt>
                <c:pt idx="5">
                  <c:v>3.0313741423447976E-2</c:v>
                </c:pt>
                <c:pt idx="6">
                  <c:v>3.3232844908957546E-2</c:v>
                </c:pt>
                <c:pt idx="7">
                  <c:v>3.1401430711578596E-2</c:v>
                </c:pt>
                <c:pt idx="8">
                  <c:v>2.7829354775724281E-2</c:v>
                </c:pt>
                <c:pt idx="9">
                  <c:v>2.8518746158574061E-2</c:v>
                </c:pt>
              </c:numCache>
            </c:numRef>
          </c:val>
          <c:smooth val="1"/>
          <c:extLst>
            <c:ext xmlns:c16="http://schemas.microsoft.com/office/drawing/2014/chart" uri="{C3380CC4-5D6E-409C-BE32-E72D297353CC}">
              <c16:uniqueId val="{00000002-FFE8-4651-8F4F-B144DB2BA728}"/>
            </c:ext>
          </c:extLst>
        </c:ser>
        <c:dLbls>
          <c:showLegendKey val="0"/>
          <c:showVal val="0"/>
          <c:showCatName val="0"/>
          <c:showSerName val="0"/>
          <c:showPercent val="0"/>
          <c:showBubbleSize val="0"/>
        </c:dLbls>
        <c:marker val="1"/>
        <c:smooth val="0"/>
        <c:axId val="336565760"/>
        <c:axId val="336567296"/>
      </c:lineChart>
      <c:catAx>
        <c:axId val="336557952"/>
        <c:scaling>
          <c:orientation val="minMax"/>
        </c:scaling>
        <c:delete val="0"/>
        <c:axPos val="b"/>
        <c:majorGridlines>
          <c:spPr>
            <a:ln>
              <a:solidFill>
                <a:sysClr val="window" lastClr="FFFFFF"/>
              </a:solidFill>
            </a:ln>
            <a:effectLst>
              <a:outerShdw blurRad="50800" dist="50800" dir="5400000" algn="ctr" rotWithShape="0">
                <a:schemeClr val="bg1"/>
              </a:outerShdw>
            </a:effectLst>
          </c:spPr>
        </c:majorGridlines>
        <c:numFmt formatCode="General" sourceLinked="1"/>
        <c:majorTickMark val="out"/>
        <c:minorTickMark val="none"/>
        <c:tickLblPos val="nextTo"/>
        <c:spPr>
          <a:noFill/>
          <a:ln w="9525" cap="flat" cmpd="sng" algn="ctr">
            <a:solidFill>
              <a:schemeClr val="dk1">
                <a:lumMod val="15000"/>
                <a:lumOff val="85000"/>
              </a:schemeClr>
            </a:solidFill>
            <a:round/>
          </a:ln>
          <a:effectLst/>
        </c:spPr>
        <c:txPr>
          <a:bodyPr rot="0" vert="horz"/>
          <a:lstStyle/>
          <a:p>
            <a:pPr>
              <a:defRPr b="1"/>
            </a:pPr>
            <a:endParaRPr lang="en-US"/>
          </a:p>
        </c:txPr>
        <c:crossAx val="336559488"/>
        <c:crosses val="autoZero"/>
        <c:auto val="1"/>
        <c:lblAlgn val="ctr"/>
        <c:lblOffset val="100"/>
        <c:noMultiLvlLbl val="0"/>
      </c:catAx>
      <c:valAx>
        <c:axId val="336559488"/>
        <c:scaling>
          <c:orientation val="minMax"/>
        </c:scaling>
        <c:delete val="0"/>
        <c:axPos val="l"/>
        <c:majorGridlines>
          <c:spPr>
            <a:ln w="9525" cap="flat" cmpd="sng" algn="ctr">
              <a:solidFill>
                <a:schemeClr val="bg1"/>
              </a:solidFill>
              <a:round/>
            </a:ln>
            <a:effectLst/>
          </c:spPr>
        </c:majorGridlines>
        <c:title>
          <c:tx>
            <c:rich>
              <a:bodyPr/>
              <a:lstStyle/>
              <a:p>
                <a:pPr>
                  <a:defRPr/>
                </a:pPr>
                <a:r>
                  <a:rPr lang="en-GB"/>
                  <a:t>ne milion leke</a:t>
                </a:r>
              </a:p>
            </c:rich>
          </c:tx>
          <c:layout>
            <c:manualLayout>
              <c:xMode val="edge"/>
              <c:yMode val="edge"/>
              <c:x val="0"/>
              <c:y val="5.3991084575538938E-2"/>
            </c:manualLayout>
          </c:layout>
          <c:overlay val="0"/>
        </c:title>
        <c:numFmt formatCode="#,##0" sourceLinked="1"/>
        <c:majorTickMark val="none"/>
        <c:minorTickMark val="none"/>
        <c:tickLblPos val="nextTo"/>
        <c:spPr>
          <a:ln w="9525">
            <a:noFill/>
          </a:ln>
        </c:spPr>
        <c:txPr>
          <a:bodyPr rot="0" vert="horz"/>
          <a:lstStyle/>
          <a:p>
            <a:pPr>
              <a:defRPr/>
            </a:pPr>
            <a:endParaRPr lang="en-US"/>
          </a:p>
        </c:txPr>
        <c:crossAx val="336557952"/>
        <c:crosses val="autoZero"/>
        <c:crossBetween val="between"/>
      </c:valAx>
      <c:catAx>
        <c:axId val="336565760"/>
        <c:scaling>
          <c:orientation val="minMax"/>
        </c:scaling>
        <c:delete val="1"/>
        <c:axPos val="b"/>
        <c:numFmt formatCode="General" sourceLinked="1"/>
        <c:majorTickMark val="out"/>
        <c:minorTickMark val="none"/>
        <c:tickLblPos val="nextTo"/>
        <c:crossAx val="336567296"/>
        <c:crosses val="autoZero"/>
        <c:auto val="1"/>
        <c:lblAlgn val="ctr"/>
        <c:lblOffset val="100"/>
        <c:noMultiLvlLbl val="0"/>
      </c:catAx>
      <c:valAx>
        <c:axId val="336567296"/>
        <c:scaling>
          <c:orientation val="minMax"/>
        </c:scaling>
        <c:delete val="0"/>
        <c:axPos val="r"/>
        <c:numFmt formatCode="0%" sourceLinked="0"/>
        <c:majorTickMark val="none"/>
        <c:minorTickMark val="none"/>
        <c:tickLblPos val="nextTo"/>
        <c:spPr>
          <a:ln w="9525">
            <a:noFill/>
          </a:ln>
        </c:spPr>
        <c:txPr>
          <a:bodyPr rot="0" vert="horz"/>
          <a:lstStyle/>
          <a:p>
            <a:pPr>
              <a:defRPr/>
            </a:pPr>
            <a:endParaRPr lang="en-US"/>
          </a:p>
        </c:txPr>
        <c:crossAx val="336565760"/>
        <c:crosses val="max"/>
        <c:crossBetween val="between"/>
      </c:valAx>
      <c:spPr>
        <a:noFill/>
        <a:ln w="25400">
          <a:noFill/>
        </a:ln>
      </c:spPr>
    </c:plotArea>
    <c:legend>
      <c:legendPos val="r"/>
      <c:layout>
        <c:manualLayout>
          <c:xMode val="edge"/>
          <c:yMode val="edge"/>
          <c:x val="9.3872791397340505E-2"/>
          <c:y val="0.89240696886389737"/>
          <c:w val="0.81420278252795186"/>
          <c:h val="8.0720228339448322E-2"/>
        </c:manualLayout>
      </c:layout>
      <c:overlay val="0"/>
      <c:spPr>
        <a:noFill/>
        <a:ln w="25400">
          <a:noFill/>
        </a:ln>
      </c:spPr>
      <c:txPr>
        <a:bodyPr/>
        <a:lstStyle/>
        <a:p>
          <a:pPr>
            <a:defRPr b="1"/>
          </a:pPr>
          <a:endParaRPr lang="en-US"/>
        </a:p>
      </c:txPr>
    </c:legend>
    <c:plotVisOnly val="1"/>
    <c:dispBlanksAs val="gap"/>
    <c:showDLblsOverMax val="0"/>
  </c:chart>
  <c:spPr>
    <a:solidFill>
      <a:schemeClr val="bg2"/>
    </a:solidFill>
    <a:ln w="9525" cap="flat" cmpd="sng" algn="ctr">
      <a:noFill/>
      <a:round/>
    </a:ln>
    <a:effectLst/>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018863026737044E-2"/>
          <c:y val="6.4864127633592616E-2"/>
          <c:w val="0.85503982331878847"/>
          <c:h val="0.68905237591569712"/>
        </c:manualLayout>
      </c:layout>
      <c:barChart>
        <c:barDir val="col"/>
        <c:grouping val="clustered"/>
        <c:varyColors val="0"/>
        <c:ser>
          <c:idx val="1"/>
          <c:order val="0"/>
          <c:tx>
            <c:strRef>
              <c:f>'Te dhenat vjetore te PV 1'!$L$6</c:f>
              <c:strCache>
                <c:ptCount val="1"/>
                <c:pt idx="0">
                  <c:v>Buxheti lokal </c:v>
                </c:pt>
              </c:strCache>
            </c:strRef>
          </c:tx>
          <c:spPr>
            <a:solidFill>
              <a:srgbClr val="0F6FC6">
                <a:lumMod val="40000"/>
                <a:lumOff val="60000"/>
              </a:srgbClr>
            </a:solidFill>
            <a:ln>
              <a:noFill/>
            </a:ln>
          </c:spPr>
          <c:invertIfNegative val="0"/>
          <c:dLbls>
            <c:numFmt formatCode="#,##0.0" sourceLinked="0"/>
            <c:spPr>
              <a:noFill/>
              <a:ln>
                <a:noFill/>
              </a:ln>
              <a:effectLst/>
            </c:spPr>
            <c:txPr>
              <a:bodyPr/>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'Te dhenat vjetore te PV 1'!$V$5:$AE$5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dhenat vjetore te PV 1'!$V$6:$AE$6</c:f>
              <c:numCache>
                <c:formatCode>#,##0</c:formatCode>
                <c:ptCount val="10"/>
                <c:pt idx="0">
                  <c:v>29787</c:v>
                </c:pt>
                <c:pt idx="1">
                  <c:v>32985</c:v>
                </c:pt>
                <c:pt idx="2">
                  <c:v>34066</c:v>
                </c:pt>
                <c:pt idx="3">
                  <c:v>43580</c:v>
                </c:pt>
                <c:pt idx="4">
                  <c:v>46487</c:v>
                </c:pt>
                <c:pt idx="5">
                  <c:v>49606.047963739999</c:v>
                </c:pt>
                <c:pt idx="6">
                  <c:v>56226.559999999998</c:v>
                </c:pt>
                <c:pt idx="7">
                  <c:v>51626</c:v>
                </c:pt>
                <c:pt idx="8">
                  <c:v>52593</c:v>
                </c:pt>
                <c:pt idx="9">
                  <c:v>58695.96</c:v>
                </c:pt>
              </c:numCache>
            </c:numRef>
          </c:val>
          <c:extLst>
            <c:ext xmlns:c16="http://schemas.microsoft.com/office/drawing/2014/chart" uri="{C3380CC4-5D6E-409C-BE32-E72D297353CC}">
              <c16:uniqueId val="{00000000-5466-4895-9BDC-85D187E98FDA}"/>
            </c:ext>
          </c:extLst>
        </c:ser>
        <c:dLbls>
          <c:showLegendKey val="0"/>
          <c:showVal val="0"/>
          <c:showCatName val="0"/>
          <c:showSerName val="0"/>
          <c:showPercent val="0"/>
          <c:showBubbleSize val="0"/>
        </c:dLbls>
        <c:gapWidth val="91"/>
        <c:axId val="358763520"/>
        <c:axId val="358765312"/>
      </c:barChart>
      <c:lineChart>
        <c:grouping val="standard"/>
        <c:varyColors val="0"/>
        <c:ser>
          <c:idx val="0"/>
          <c:order val="1"/>
          <c:tx>
            <c:strRef>
              <c:f>'Te dhenat vjetore te PV 1'!$L$7</c:f>
              <c:strCache>
                <c:ptCount val="1"/>
                <c:pt idx="0">
                  <c:v>Ritmi i rritjes</c:v>
                </c:pt>
              </c:strCache>
            </c:strRef>
          </c:tx>
          <c:spPr>
            <a:ln w="31750">
              <a:solidFill>
                <a:srgbClr val="C00000"/>
              </a:solidFill>
            </a:ln>
          </c:spPr>
          <c:marker>
            <c:symbol val="square"/>
            <c:size val="5"/>
            <c:spPr>
              <a:solidFill>
                <a:srgbClr val="FFC000"/>
              </a:solidFill>
              <a:ln>
                <a:solidFill>
                  <a:srgbClr val="C00000"/>
                </a:solidFill>
              </a:ln>
            </c:spPr>
          </c:marker>
          <c:dLbls>
            <c:dLbl>
              <c:idx val="0"/>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466-4895-9BDC-85D187E98FDA}"/>
                </c:ext>
              </c:extLst>
            </c:dLbl>
            <c:dLbl>
              <c:idx val="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466-4895-9BDC-85D187E98FDA}"/>
                </c:ext>
              </c:extLst>
            </c:dLbl>
            <c:spPr>
              <a:noFill/>
              <a:ln>
                <a:solidFill>
                  <a:srgbClr val="4472C4">
                    <a:lumMod val="75000"/>
                  </a:srgbClr>
                </a:solidFill>
              </a:ln>
              <a:effectLst/>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'Te dhenat vjetore te PV 1'!$V$5:$AE$5</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dhenat vjetore te PV 1'!$V$7:$AE$7</c:f>
              <c:numCache>
                <c:formatCode>0%</c:formatCode>
                <c:ptCount val="10"/>
                <c:pt idx="0">
                  <c:v>8.978158270222808E-2</c:v>
                </c:pt>
                <c:pt idx="1">
                  <c:v>0.10736227213213818</c:v>
                </c:pt>
                <c:pt idx="2">
                  <c:v>3.2772472335910262E-2</c:v>
                </c:pt>
                <c:pt idx="3">
                  <c:v>0.27928139493923559</c:v>
                </c:pt>
                <c:pt idx="4">
                  <c:v>6.670491050940798E-2</c:v>
                </c:pt>
                <c:pt idx="5">
                  <c:v>6.7095058053649376E-2</c:v>
                </c:pt>
                <c:pt idx="6">
                  <c:v>0.13346179161660537</c:v>
                </c:pt>
                <c:pt idx="7">
                  <c:v>-8.1821829398775206E-2</c:v>
                </c:pt>
                <c:pt idx="8">
                  <c:v>1.8730872041219541E-2</c:v>
                </c:pt>
                <c:pt idx="9">
                  <c:v>0.11604129827163309</c:v>
                </c:pt>
              </c:numCache>
            </c:numRef>
          </c:val>
          <c:smooth val="1"/>
          <c:extLst>
            <c:ext xmlns:c16="http://schemas.microsoft.com/office/drawing/2014/chart" uri="{C3380CC4-5D6E-409C-BE32-E72D297353CC}">
              <c16:uniqueId val="{00000003-5466-4895-9BDC-85D187E98FDA}"/>
            </c:ext>
          </c:extLst>
        </c:ser>
        <c:dLbls>
          <c:showLegendKey val="0"/>
          <c:showVal val="0"/>
          <c:showCatName val="0"/>
          <c:showSerName val="0"/>
          <c:showPercent val="0"/>
          <c:showBubbleSize val="0"/>
        </c:dLbls>
        <c:marker val="1"/>
        <c:smooth val="0"/>
        <c:axId val="358767616"/>
        <c:axId val="358777600"/>
      </c:lineChart>
      <c:catAx>
        <c:axId val="358763520"/>
        <c:scaling>
          <c:orientation val="minMax"/>
        </c:scaling>
        <c:delete val="0"/>
        <c:axPos val="b"/>
        <c:numFmt formatCode="General" sourceLinked="1"/>
        <c:majorTickMark val="cross"/>
        <c:minorTickMark val="none"/>
        <c:tickLblPos val="nextTo"/>
        <c:txPr>
          <a:bodyPr rot="0" vert="horz"/>
          <a:lstStyle/>
          <a:p>
            <a:pPr>
              <a:defRPr b="1"/>
            </a:pPr>
            <a:endParaRPr lang="en-US"/>
          </a:p>
        </c:txPr>
        <c:crossAx val="358765312"/>
        <c:crosses val="autoZero"/>
        <c:auto val="0"/>
        <c:lblAlgn val="ctr"/>
        <c:lblOffset val="100"/>
        <c:tickLblSkip val="1"/>
        <c:tickMarkSkip val="1"/>
        <c:noMultiLvlLbl val="0"/>
      </c:catAx>
      <c:valAx>
        <c:axId val="358765312"/>
        <c:scaling>
          <c:orientation val="minMax"/>
        </c:scaling>
        <c:delete val="0"/>
        <c:axPos val="l"/>
        <c:title>
          <c:tx>
            <c:rich>
              <a:bodyPr/>
              <a:lstStyle/>
              <a:p>
                <a:pPr>
                  <a:defRPr/>
                </a:pPr>
                <a:r>
                  <a:rPr lang="sq-AL"/>
                  <a:t>Në miliardë</a:t>
                </a:r>
              </a:p>
            </c:rich>
          </c:tx>
          <c:layout>
            <c:manualLayout>
              <c:xMode val="edge"/>
              <c:yMode val="edge"/>
              <c:x val="2.1100178275251088E-3"/>
              <c:y val="2.0867950363891792E-3"/>
            </c:manualLayout>
          </c:layout>
          <c:overlay val="0"/>
        </c:title>
        <c:numFmt formatCode="#,##0.0" sourceLinked="0"/>
        <c:majorTickMark val="cross"/>
        <c:minorTickMark val="none"/>
        <c:tickLblPos val="nextTo"/>
        <c:txPr>
          <a:bodyPr rot="0" vert="horz"/>
          <a:lstStyle/>
          <a:p>
            <a:pPr>
              <a:defRPr/>
            </a:pPr>
            <a:endParaRPr lang="en-US"/>
          </a:p>
        </c:txPr>
        <c:crossAx val="358763520"/>
        <c:crosses val="autoZero"/>
        <c:crossBetween val="between"/>
        <c:dispUnits>
          <c:builtInUnit val="thousands"/>
        </c:dispUnits>
      </c:valAx>
      <c:catAx>
        <c:axId val="358767616"/>
        <c:scaling>
          <c:orientation val="minMax"/>
        </c:scaling>
        <c:delete val="1"/>
        <c:axPos val="b"/>
        <c:numFmt formatCode="General" sourceLinked="1"/>
        <c:majorTickMark val="out"/>
        <c:minorTickMark val="none"/>
        <c:tickLblPos val="nextTo"/>
        <c:crossAx val="358777600"/>
        <c:crosses val="autoZero"/>
        <c:auto val="0"/>
        <c:lblAlgn val="ctr"/>
        <c:lblOffset val="100"/>
        <c:noMultiLvlLbl val="0"/>
      </c:catAx>
      <c:valAx>
        <c:axId val="358777600"/>
        <c:scaling>
          <c:orientation val="minMax"/>
        </c:scaling>
        <c:delete val="0"/>
        <c:axPos val="r"/>
        <c:numFmt formatCode="0%" sourceLinked="0"/>
        <c:majorTickMark val="cross"/>
        <c:minorTickMark val="none"/>
        <c:tickLblPos val="nextTo"/>
        <c:txPr>
          <a:bodyPr rot="0" vert="horz"/>
          <a:lstStyle/>
          <a:p>
            <a:pPr>
              <a:defRPr/>
            </a:pPr>
            <a:endParaRPr lang="en-US"/>
          </a:p>
        </c:txPr>
        <c:crossAx val="358767616"/>
        <c:crosses val="max"/>
        <c:crossBetween val="between"/>
      </c:valAx>
      <c:spPr>
        <a:solidFill>
          <a:srgbClr val="DBEFF9"/>
        </a:solidFill>
      </c:spPr>
    </c:plotArea>
    <c:legend>
      <c:legendPos val="b"/>
      <c:layout>
        <c:manualLayout>
          <c:xMode val="edge"/>
          <c:yMode val="edge"/>
          <c:x val="0.18524729101599793"/>
          <c:y val="0.92367427947489333"/>
          <c:w val="0.61611846940185111"/>
          <c:h val="7.5708675429970992E-2"/>
        </c:manualLayout>
      </c:layout>
      <c:overlay val="0"/>
      <c:txPr>
        <a:bodyPr/>
        <a:lstStyle/>
        <a:p>
          <a:pPr>
            <a:defRPr b="1"/>
          </a:pPr>
          <a:endParaRPr lang="en-US"/>
        </a:p>
      </c:txPr>
    </c:legend>
    <c:plotVisOnly val="1"/>
    <c:dispBlanksAs val="gap"/>
    <c:showDLblsOverMax val="0"/>
  </c:chart>
  <c:spPr>
    <a:solidFill>
      <a:srgbClr val="DBEFF9"/>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8436853248328853E-2"/>
          <c:y val="3.3166683858840786E-2"/>
          <c:w val="0.88190214916016485"/>
          <c:h val="0.71899010085668225"/>
        </c:manualLayout>
      </c:layout>
      <c:barChart>
        <c:barDir val="col"/>
        <c:grouping val="clustered"/>
        <c:varyColors val="0"/>
        <c:ser>
          <c:idx val="0"/>
          <c:order val="0"/>
          <c:tx>
            <c:strRef>
              <c:f>'Te dhenat vjetore te PV 1'!$C$22</c:f>
              <c:strCache>
                <c:ptCount val="1"/>
                <c:pt idx="0">
                  <c:v>Viti 2022</c:v>
                </c:pt>
              </c:strCache>
            </c:strRef>
          </c:tx>
          <c:spPr>
            <a:solidFill>
              <a:schemeClr val="bg2">
                <a:lumMod val="50000"/>
              </a:schemeClr>
            </a:solidFill>
            <a:ln>
              <a:noFill/>
            </a:ln>
            <a:effectLst/>
          </c:spPr>
          <c:invertIfNegative val="0"/>
          <c:dLbls>
            <c:spPr>
              <a:noFill/>
              <a:ln>
                <a:noFill/>
              </a:ln>
              <a:effectLst/>
            </c:spPr>
            <c:txPr>
              <a:bodyPr rot="0" vert="horz"/>
              <a:lstStyle/>
              <a:p>
                <a:pPr>
                  <a:defRPr b="1"/>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dhenat vjetore te PV 1'!$E$21:$J$21</c:f>
              <c:strCache>
                <c:ptCount val="6"/>
                <c:pt idx="0">
                  <c:v>Paga</c:v>
                </c:pt>
                <c:pt idx="1">
                  <c:v>Sigurime</c:v>
                </c:pt>
                <c:pt idx="2">
                  <c:v>Operative</c:v>
                </c:pt>
                <c:pt idx="3">
                  <c:v>Subvencione</c:v>
                </c:pt>
                <c:pt idx="4">
                  <c:v>Te tjera</c:v>
                </c:pt>
                <c:pt idx="5">
                  <c:v>Shpenzime Kapitale</c:v>
                </c:pt>
              </c:strCache>
            </c:strRef>
          </c:cat>
          <c:val>
            <c:numRef>
              <c:f>'Te dhenat vjetore te PV 1'!$E$22:$J$22</c:f>
              <c:numCache>
                <c:formatCode>#,##0</c:formatCode>
                <c:ptCount val="6"/>
                <c:pt idx="0">
                  <c:v>21614.76</c:v>
                </c:pt>
                <c:pt idx="1">
                  <c:v>3595.77</c:v>
                </c:pt>
                <c:pt idx="2">
                  <c:v>18749.37</c:v>
                </c:pt>
                <c:pt idx="3">
                  <c:v>347</c:v>
                </c:pt>
                <c:pt idx="4">
                  <c:v>2475.7199999999998</c:v>
                </c:pt>
                <c:pt idx="5">
                  <c:v>11913.35</c:v>
                </c:pt>
              </c:numCache>
            </c:numRef>
          </c:val>
          <c:extLst>
            <c:ext xmlns:c16="http://schemas.microsoft.com/office/drawing/2014/chart" uri="{C3380CC4-5D6E-409C-BE32-E72D297353CC}">
              <c16:uniqueId val="{00000000-6A8E-460C-91FB-1A9ECF79EE44}"/>
            </c:ext>
          </c:extLst>
        </c:ser>
        <c:ser>
          <c:idx val="1"/>
          <c:order val="1"/>
          <c:tx>
            <c:strRef>
              <c:f>'Te dhenat vjetore te PV 1'!$C$23</c:f>
              <c:strCache>
                <c:ptCount val="1"/>
                <c:pt idx="0">
                  <c:v>Viti 2021</c:v>
                </c:pt>
              </c:strCache>
            </c:strRef>
          </c:tx>
          <c:spPr>
            <a:solidFill>
              <a:schemeClr val="accent5">
                <a:lumMod val="75000"/>
              </a:schemeClr>
            </a:solidFill>
            <a:ln>
              <a:noFill/>
            </a:ln>
            <a:effectLst/>
          </c:spPr>
          <c:invertIfNegative val="0"/>
          <c:dLbls>
            <c:spPr>
              <a:noFill/>
              <a:ln>
                <a:noFill/>
              </a:ln>
              <a:effectLst/>
            </c:spPr>
            <c:txPr>
              <a:bodyPr rot="0" vert="horz"/>
              <a:lstStyle/>
              <a:p>
                <a:pPr>
                  <a:defRPr b="1"/>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'Te dhenat vjetore te PV 1'!$E$21:$J$21</c:f>
              <c:strCache>
                <c:ptCount val="6"/>
                <c:pt idx="0">
                  <c:v>Paga</c:v>
                </c:pt>
                <c:pt idx="1">
                  <c:v>Sigurime</c:v>
                </c:pt>
                <c:pt idx="2">
                  <c:v>Operative</c:v>
                </c:pt>
                <c:pt idx="3">
                  <c:v>Subvencione</c:v>
                </c:pt>
                <c:pt idx="4">
                  <c:v>Te tjera</c:v>
                </c:pt>
                <c:pt idx="5">
                  <c:v>Shpenzime Kapitale</c:v>
                </c:pt>
              </c:strCache>
            </c:strRef>
          </c:cat>
          <c:val>
            <c:numRef>
              <c:f>'Te dhenat vjetore te PV 1'!$E$23:$J$23</c:f>
              <c:numCache>
                <c:formatCode>#,##0</c:formatCode>
                <c:ptCount val="6"/>
                <c:pt idx="0">
                  <c:v>20702.599999999999</c:v>
                </c:pt>
                <c:pt idx="1">
                  <c:v>3415.6</c:v>
                </c:pt>
                <c:pt idx="2">
                  <c:v>15701</c:v>
                </c:pt>
                <c:pt idx="3">
                  <c:v>144.9</c:v>
                </c:pt>
                <c:pt idx="4">
                  <c:v>1347</c:v>
                </c:pt>
                <c:pt idx="5">
                  <c:v>11282</c:v>
                </c:pt>
              </c:numCache>
            </c:numRef>
          </c:val>
          <c:extLst>
            <c:ext xmlns:c16="http://schemas.microsoft.com/office/drawing/2014/chart" uri="{C3380CC4-5D6E-409C-BE32-E72D297353CC}">
              <c16:uniqueId val="{00000001-6A8E-460C-91FB-1A9ECF79EE44}"/>
            </c:ext>
          </c:extLst>
        </c:ser>
        <c:dLbls>
          <c:showLegendKey val="0"/>
          <c:showVal val="0"/>
          <c:showCatName val="0"/>
          <c:showSerName val="0"/>
          <c:showPercent val="0"/>
          <c:showBubbleSize val="0"/>
        </c:dLbls>
        <c:gapWidth val="55"/>
        <c:overlap val="-5"/>
        <c:axId val="358886016"/>
        <c:axId val="358891904"/>
      </c:barChart>
      <c:catAx>
        <c:axId val="358886016"/>
        <c:scaling>
          <c:orientation val="minMax"/>
        </c:scaling>
        <c:delete val="0"/>
        <c:axPos val="b"/>
        <c:numFmt formatCode="General" sourceLinked="0"/>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vert="horz"/>
          <a:lstStyle/>
          <a:p>
            <a:pPr>
              <a:defRPr b="1"/>
            </a:pPr>
            <a:endParaRPr lang="en-US"/>
          </a:p>
        </c:txPr>
        <c:crossAx val="358891904"/>
        <c:crosses val="autoZero"/>
        <c:auto val="1"/>
        <c:lblAlgn val="ctr"/>
        <c:lblOffset val="100"/>
        <c:noMultiLvlLbl val="0"/>
      </c:catAx>
      <c:valAx>
        <c:axId val="358891904"/>
        <c:scaling>
          <c:orientation val="minMax"/>
        </c:scaling>
        <c:delete val="0"/>
        <c:axPos val="l"/>
        <c:title>
          <c:tx>
            <c:rich>
              <a:bodyPr rot="-5400000" vert="horz"/>
              <a:lstStyle/>
              <a:p>
                <a:pPr>
                  <a:defRPr/>
                </a:pPr>
                <a:r>
                  <a:rPr lang="sq-AL"/>
                  <a:t>Në milion</a:t>
                </a:r>
              </a:p>
            </c:rich>
          </c:tx>
          <c:layout>
            <c:manualLayout>
              <c:xMode val="edge"/>
              <c:yMode val="edge"/>
              <c:x val="1.049075814163713E-3"/>
              <c:y val="1.4324547459736549E-2"/>
            </c:manualLayout>
          </c:layout>
          <c:overlay val="0"/>
          <c:spPr>
            <a:noFill/>
            <a:ln>
              <a:noFill/>
            </a:ln>
            <a:effectLst/>
          </c:spPr>
        </c:title>
        <c:numFmt formatCode="#,##0" sourceLinked="1"/>
        <c:majorTickMark val="none"/>
        <c:minorTickMark val="none"/>
        <c:tickLblPos val="nextTo"/>
        <c:spPr>
          <a:noFill/>
          <a:ln w="9525" cap="flat" cmpd="sng" algn="ctr">
            <a:solidFill>
              <a:schemeClr val="tx1">
                <a:tint val="75000"/>
                <a:shade val="95000"/>
                <a:satMod val="105000"/>
              </a:schemeClr>
            </a:solidFill>
            <a:prstDash val="solid"/>
            <a:round/>
          </a:ln>
          <a:effectLst/>
        </c:spPr>
        <c:txPr>
          <a:bodyPr rot="-60000000" vert="horz"/>
          <a:lstStyle/>
          <a:p>
            <a:pPr>
              <a:defRPr/>
            </a:pPr>
            <a:endParaRPr lang="en-US"/>
          </a:p>
        </c:txPr>
        <c:crossAx val="358886016"/>
        <c:crosses val="autoZero"/>
        <c:crossBetween val="between"/>
      </c:valAx>
      <c:spPr>
        <a:noFill/>
        <a:ln w="25400">
          <a:noFill/>
        </a:ln>
        <a:effectLst>
          <a:glow>
            <a:schemeClr val="bg1"/>
          </a:glow>
          <a:outerShdw blurRad="50800" dist="50800" dir="5400000" algn="ctr" rotWithShape="0">
            <a:schemeClr val="bg1"/>
          </a:outerShdw>
          <a:softEdge rad="635000"/>
        </a:effectLst>
      </c:spPr>
    </c:plotArea>
    <c:legend>
      <c:legendPos val="b"/>
      <c:layout>
        <c:manualLayout>
          <c:xMode val="edge"/>
          <c:yMode val="edge"/>
          <c:x val="0.20154704982118926"/>
          <c:y val="0.91343363769669628"/>
          <c:w val="0.60910959392915753"/>
          <c:h val="8.3974221532167631E-2"/>
        </c:manualLayout>
      </c:layout>
      <c:overlay val="0"/>
      <c:spPr>
        <a:noFill/>
        <a:ln>
          <a:noFill/>
        </a:ln>
        <a:effectLst/>
      </c:spPr>
      <c:txPr>
        <a:bodyPr rot="0" vert="horz"/>
        <a:lstStyle/>
        <a:p>
          <a:pPr>
            <a:defRPr b="1"/>
          </a:pPr>
          <a:endParaRPr lang="en-US"/>
        </a:p>
      </c:txPr>
    </c:legend>
    <c:plotVisOnly val="1"/>
    <c:dispBlanksAs val="gap"/>
    <c:showDLblsOverMax val="0"/>
  </c:chart>
  <c:spPr>
    <a:solidFill>
      <a:schemeClr val="bg2"/>
    </a:solidFill>
    <a:ln w="9525" cap="flat" cmpd="sng" algn="ctr">
      <a:noFill/>
      <a:prstDash val="solid"/>
      <a:round/>
    </a:ln>
    <a:effectLst/>
  </c:spPr>
  <c:txPr>
    <a:bodyPr/>
    <a:lstStyle/>
    <a:p>
      <a:pPr>
        <a:defRPr sz="800">
          <a:latin typeface="+mj-lt"/>
        </a:defRPr>
      </a:pPr>
      <a:endParaRPr lang="en-US"/>
    </a:p>
  </c:txPr>
  <c:externalData r:id="rId2">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2543267782043047"/>
          <c:y val="0.17617405541349129"/>
          <c:w val="0.49313500575886415"/>
          <c:h val="0.79760358451235813"/>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66-46C8-9411-D412EC1FF1A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66-46C8-9411-D412EC1FF1A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66-46C8-9411-D412EC1FF1A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866-46C8-9411-D412EC1FF1A5}"/>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866-46C8-9411-D412EC1FF1A5}"/>
              </c:ext>
            </c:extLst>
          </c:dPt>
          <c:dLbls>
            <c:dLbl>
              <c:idx val="0"/>
              <c:layout>
                <c:manualLayout>
                  <c:x val="5.630902241870929E-2"/>
                  <c:y val="0.11885927899402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866-46C8-9411-D412EC1FF1A5}"/>
                </c:ext>
              </c:extLst>
            </c:dLbl>
            <c:dLbl>
              <c:idx val="1"/>
              <c:layout>
                <c:manualLayout>
                  <c:x val="-0.12027820650325687"/>
                  <c:y val="-8.095334407379768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866-46C8-9411-D412EC1FF1A5}"/>
                </c:ext>
              </c:extLst>
            </c:dLbl>
            <c:dLbl>
              <c:idx val="2"/>
              <c:layout>
                <c:manualLayout>
                  <c:x val="-0.1082080262578365"/>
                  <c:y val="0.1854233096895945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866-46C8-9411-D412EC1FF1A5}"/>
                </c:ext>
              </c:extLst>
            </c:dLbl>
            <c:dLbl>
              <c:idx val="3"/>
              <c:layout>
                <c:manualLayout>
                  <c:x val="-0.1607650787837567"/>
                  <c:y val="1.1810093711713848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layout>
                    <c:manualLayout>
                      <c:w val="0.27266046686024714"/>
                      <c:h val="0.17679362267493354"/>
                    </c:manualLayout>
                  </c15:layout>
                </c:ext>
                <c:ext xmlns:c16="http://schemas.microsoft.com/office/drawing/2014/chart" uri="{C3380CC4-5D6E-409C-BE32-E72D297353CC}">
                  <c16:uniqueId val="{00000007-3866-46C8-9411-D412EC1FF1A5}"/>
                </c:ext>
              </c:extLst>
            </c:dLbl>
            <c:dLbl>
              <c:idx val="4"/>
              <c:layout>
                <c:manualLayout>
                  <c:x val="0.16297711758248981"/>
                  <c:y val="4.5913682277318535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866-46C8-9411-D412EC1FF1A5}"/>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95000"/>
                        <a:lumOff val="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solidFill>
                  <a:round/>
                </a:ln>
                <a:effectLst/>
              </c:spPr>
            </c:leaderLines>
            <c:extLst>
              <c:ext xmlns:c15="http://schemas.microsoft.com/office/drawing/2012/chart" uri="{CE6537A1-D6FC-4f65-9D91-7224C49458BB}"/>
            </c:extLst>
          </c:dLbls>
          <c:cat>
            <c:strRef>
              <c:f>Sheet1!$A$3:$A$7</c:f>
              <c:strCache>
                <c:ptCount val="5"/>
                <c:pt idx="0">
                  <c:v>Extra-buxhetore Qeveria qendrore</c:v>
                </c:pt>
                <c:pt idx="1">
                  <c:v>Extra-buxhetore Qeveria lokale</c:v>
                </c:pt>
                <c:pt idx="2">
                  <c:v>Ndërmarrje publike jo-financiare</c:v>
                </c:pt>
                <c:pt idx="3">
                  <c:v>Ndërmarrje publike financiare</c:v>
                </c:pt>
                <c:pt idx="4">
                  <c:v>Banka e Shqipërisë</c:v>
                </c:pt>
              </c:strCache>
            </c:strRef>
          </c:cat>
          <c:val>
            <c:numRef>
              <c:f>Sheet1!$D$3:$D$7</c:f>
              <c:numCache>
                <c:formatCode>General</c:formatCode>
                <c:ptCount val="5"/>
                <c:pt idx="0">
                  <c:v>59</c:v>
                </c:pt>
                <c:pt idx="1">
                  <c:v>110</c:v>
                </c:pt>
                <c:pt idx="2">
                  <c:v>27</c:v>
                </c:pt>
                <c:pt idx="3">
                  <c:v>2</c:v>
                </c:pt>
                <c:pt idx="4">
                  <c:v>1</c:v>
                </c:pt>
              </c:numCache>
            </c:numRef>
          </c:val>
          <c:extLst>
            <c:ext xmlns:c16="http://schemas.microsoft.com/office/drawing/2014/chart" uri="{C3380CC4-5D6E-409C-BE32-E72D297353CC}">
              <c16:uniqueId val="{0000000A-3866-46C8-9411-D412EC1FF1A5}"/>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rgbClr val="DBEFF9"/>
    </a:solidFill>
    <a:ln w="9525" cap="flat" cmpd="sng" algn="ctr">
      <a:solidFill>
        <a:sysClr val="window" lastClr="FFFFFF">
          <a:lumMod val="75000"/>
        </a:sysClr>
      </a:solidFill>
      <a:round/>
    </a:ln>
    <a:effectLst/>
  </c:spPr>
  <c:txPr>
    <a:bodyPr/>
    <a:lstStyle/>
    <a:p>
      <a:pPr>
        <a:defRPr/>
      </a:pPr>
      <a:endParaRPr lang="en-US"/>
    </a:p>
  </c:txPr>
  <c:externalData r:id="rId2">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extLst>
              <c:ext xmlns:c16="http://schemas.microsoft.com/office/drawing/2014/chart" uri="{C3380CC4-5D6E-409C-BE32-E72D297353CC}">
                <c16:uniqueId val="{00000000-F4C2-4169-8D8A-523433E92480}"/>
              </c:ext>
            </c:extLst>
          </c:dPt>
          <c:dPt>
            <c:idx val="1"/>
            <c:invertIfNegative val="0"/>
            <c:bubble3D val="0"/>
            <c:extLst>
              <c:ext xmlns:c16="http://schemas.microsoft.com/office/drawing/2014/chart" uri="{C3380CC4-5D6E-409C-BE32-E72D297353CC}">
                <c16:uniqueId val="{00000001-F4C2-4169-8D8A-523433E92480}"/>
              </c:ext>
            </c:extLst>
          </c:dPt>
          <c:dPt>
            <c:idx val="2"/>
            <c:invertIfNegative val="0"/>
            <c:bubble3D val="0"/>
            <c:extLst>
              <c:ext xmlns:c16="http://schemas.microsoft.com/office/drawing/2014/chart" uri="{C3380CC4-5D6E-409C-BE32-E72D297353CC}">
                <c16:uniqueId val="{00000002-F4C2-4169-8D8A-523433E92480}"/>
              </c:ext>
            </c:extLst>
          </c:dPt>
          <c:dPt>
            <c:idx val="3"/>
            <c:invertIfNegative val="0"/>
            <c:bubble3D val="0"/>
            <c:extLst>
              <c:ext xmlns:c16="http://schemas.microsoft.com/office/drawing/2014/chart" uri="{C3380CC4-5D6E-409C-BE32-E72D297353CC}">
                <c16:uniqueId val="{00000003-F4C2-4169-8D8A-523433E92480}"/>
              </c:ext>
            </c:extLst>
          </c:dPt>
          <c:dPt>
            <c:idx val="4"/>
            <c:invertIfNegative val="0"/>
            <c:bubble3D val="0"/>
            <c:extLst>
              <c:ext xmlns:c16="http://schemas.microsoft.com/office/drawing/2014/chart" uri="{C3380CC4-5D6E-409C-BE32-E72D297353CC}">
                <c16:uniqueId val="{00000004-F4C2-4169-8D8A-523433E92480}"/>
              </c:ext>
            </c:extLst>
          </c:dPt>
          <c:dPt>
            <c:idx val="5"/>
            <c:invertIfNegative val="0"/>
            <c:bubble3D val="0"/>
            <c:extLst>
              <c:ext xmlns:c16="http://schemas.microsoft.com/office/drawing/2014/chart" uri="{C3380CC4-5D6E-409C-BE32-E72D297353CC}">
                <c16:uniqueId val="{00000005-F4C2-4169-8D8A-523433E9248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Sheet1!$A$3:$A$9</c:f>
              <c:numCache>
                <c:formatCode>General</c:formatCode>
                <c:ptCount val="7"/>
                <c:pt idx="0">
                  <c:v>2013</c:v>
                </c:pt>
                <c:pt idx="1">
                  <c:v>2017</c:v>
                </c:pt>
                <c:pt idx="2">
                  <c:v>2018</c:v>
                </c:pt>
                <c:pt idx="3">
                  <c:v>2019</c:v>
                </c:pt>
                <c:pt idx="4">
                  <c:v>2020</c:v>
                </c:pt>
                <c:pt idx="5">
                  <c:v>2021</c:v>
                </c:pt>
                <c:pt idx="6">
                  <c:v>2022</c:v>
                </c:pt>
              </c:numCache>
            </c:numRef>
          </c:cat>
          <c:val>
            <c:numRef>
              <c:f>Sheet1!$D$3:$D$9</c:f>
              <c:numCache>
                <c:formatCode>General</c:formatCode>
                <c:ptCount val="7"/>
                <c:pt idx="0">
                  <c:v>38.58</c:v>
                </c:pt>
                <c:pt idx="1">
                  <c:v>61.4</c:v>
                </c:pt>
                <c:pt idx="2">
                  <c:v>65.81</c:v>
                </c:pt>
                <c:pt idx="3">
                  <c:v>66.44</c:v>
                </c:pt>
                <c:pt idx="4">
                  <c:v>63.34</c:v>
                </c:pt>
                <c:pt idx="5">
                  <c:v>69.819999999999993</c:v>
                </c:pt>
                <c:pt idx="6">
                  <c:v>81.23</c:v>
                </c:pt>
              </c:numCache>
            </c:numRef>
          </c:val>
          <c:extLst>
            <c:ext xmlns:c16="http://schemas.microsoft.com/office/drawing/2014/chart" uri="{C3380CC4-5D6E-409C-BE32-E72D297353CC}">
              <c16:uniqueId val="{00000006-F4C2-4169-8D8A-523433E92480}"/>
            </c:ext>
          </c:extLst>
        </c:ser>
        <c:dLbls>
          <c:dLblPos val="inEnd"/>
          <c:showLegendKey val="0"/>
          <c:showVal val="1"/>
          <c:showCatName val="0"/>
          <c:showSerName val="0"/>
          <c:showPercent val="0"/>
          <c:showBubbleSize val="0"/>
        </c:dLbls>
        <c:gapWidth val="65"/>
        <c:axId val="358991744"/>
        <c:axId val="358976512"/>
      </c:barChart>
      <c:valAx>
        <c:axId val="358976512"/>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58991744"/>
        <c:crosses val="autoZero"/>
        <c:crossBetween val="between"/>
      </c:valAx>
      <c:catAx>
        <c:axId val="35899174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58976512"/>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extLst>
              <c:ext xmlns:c16="http://schemas.microsoft.com/office/drawing/2014/chart" uri="{C3380CC4-5D6E-409C-BE32-E72D297353CC}">
                <c16:uniqueId val="{00000000-FD48-4EE0-8AE6-001FF2F37246}"/>
              </c:ext>
            </c:extLst>
          </c:dPt>
          <c:dPt>
            <c:idx val="1"/>
            <c:invertIfNegative val="0"/>
            <c:bubble3D val="0"/>
            <c:extLst>
              <c:ext xmlns:c16="http://schemas.microsoft.com/office/drawing/2014/chart" uri="{C3380CC4-5D6E-409C-BE32-E72D297353CC}">
                <c16:uniqueId val="{00000001-FD48-4EE0-8AE6-001FF2F37246}"/>
              </c:ext>
            </c:extLst>
          </c:dPt>
          <c:dPt>
            <c:idx val="2"/>
            <c:invertIfNegative val="0"/>
            <c:bubble3D val="0"/>
            <c:extLst>
              <c:ext xmlns:c16="http://schemas.microsoft.com/office/drawing/2014/chart" uri="{C3380CC4-5D6E-409C-BE32-E72D297353CC}">
                <c16:uniqueId val="{00000002-FD48-4EE0-8AE6-001FF2F37246}"/>
              </c:ext>
            </c:extLst>
          </c:dPt>
          <c:dPt>
            <c:idx val="3"/>
            <c:invertIfNegative val="0"/>
            <c:bubble3D val="0"/>
            <c:extLst>
              <c:ext xmlns:c16="http://schemas.microsoft.com/office/drawing/2014/chart" uri="{C3380CC4-5D6E-409C-BE32-E72D297353CC}">
                <c16:uniqueId val="{00000003-FD48-4EE0-8AE6-001FF2F37246}"/>
              </c:ext>
            </c:extLst>
          </c:dPt>
          <c:dPt>
            <c:idx val="4"/>
            <c:invertIfNegative val="0"/>
            <c:bubble3D val="0"/>
            <c:extLst>
              <c:ext xmlns:c16="http://schemas.microsoft.com/office/drawing/2014/chart" uri="{C3380CC4-5D6E-409C-BE32-E72D297353CC}">
                <c16:uniqueId val="{00000004-FD48-4EE0-8AE6-001FF2F37246}"/>
              </c:ext>
            </c:extLst>
          </c:dPt>
          <c:dPt>
            <c:idx val="5"/>
            <c:invertIfNegative val="0"/>
            <c:bubble3D val="0"/>
            <c:extLst>
              <c:ext xmlns:c16="http://schemas.microsoft.com/office/drawing/2014/chart" uri="{C3380CC4-5D6E-409C-BE32-E72D297353CC}">
                <c16:uniqueId val="{00000005-FD48-4EE0-8AE6-001FF2F3724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Sheet1!$A$3:$A$9</c:f>
              <c:numCache>
                <c:formatCode>General</c:formatCode>
                <c:ptCount val="7"/>
                <c:pt idx="0">
                  <c:v>2013</c:v>
                </c:pt>
                <c:pt idx="1">
                  <c:v>2017</c:v>
                </c:pt>
                <c:pt idx="2">
                  <c:v>2018</c:v>
                </c:pt>
                <c:pt idx="3">
                  <c:v>2019</c:v>
                </c:pt>
                <c:pt idx="4">
                  <c:v>2020</c:v>
                </c:pt>
                <c:pt idx="5">
                  <c:v>2021</c:v>
                </c:pt>
                <c:pt idx="6">
                  <c:v>2022</c:v>
                </c:pt>
              </c:numCache>
            </c:numRef>
          </c:cat>
          <c:val>
            <c:numRef>
              <c:f>Sheet1!$D$3:$D$9</c:f>
              <c:numCache>
                <c:formatCode>General</c:formatCode>
                <c:ptCount val="7"/>
                <c:pt idx="0">
                  <c:v>44.74</c:v>
                </c:pt>
                <c:pt idx="1">
                  <c:v>26.41</c:v>
                </c:pt>
                <c:pt idx="2" formatCode="0.00">
                  <c:v>23.9</c:v>
                </c:pt>
                <c:pt idx="3">
                  <c:v>21.79</c:v>
                </c:pt>
                <c:pt idx="4">
                  <c:v>21.48</c:v>
                </c:pt>
                <c:pt idx="5">
                  <c:v>20.62</c:v>
                </c:pt>
                <c:pt idx="6" formatCode="0.00">
                  <c:v>19.7</c:v>
                </c:pt>
              </c:numCache>
            </c:numRef>
          </c:val>
          <c:extLst>
            <c:ext xmlns:c16="http://schemas.microsoft.com/office/drawing/2014/chart" uri="{C3380CC4-5D6E-409C-BE32-E72D297353CC}">
              <c16:uniqueId val="{00000006-FD48-4EE0-8AE6-001FF2F37246}"/>
            </c:ext>
          </c:extLst>
        </c:ser>
        <c:dLbls>
          <c:dLblPos val="inEnd"/>
          <c:showLegendKey val="0"/>
          <c:showVal val="1"/>
          <c:showCatName val="0"/>
          <c:showSerName val="0"/>
          <c:showPercent val="0"/>
          <c:showBubbleSize val="0"/>
        </c:dLbls>
        <c:gapWidth val="65"/>
        <c:axId val="358741888"/>
        <c:axId val="358685696"/>
      </c:barChart>
      <c:valAx>
        <c:axId val="358685696"/>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358741888"/>
        <c:crosses val="autoZero"/>
        <c:crossBetween val="between"/>
      </c:valAx>
      <c:catAx>
        <c:axId val="358741888"/>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58685696"/>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2">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solidFill>
                  <a:srgbClr val="C00000"/>
                </a:solidFill>
              </a:defRPr>
            </a:pPr>
            <a:r>
              <a:rPr lang="en-US">
                <a:solidFill>
                  <a:srgbClr val="C00000"/>
                </a:solidFill>
              </a:rPr>
              <a:t>Detyrimet e Prapambetura Qendrore &amp; Vendore</a:t>
            </a:r>
            <a:endParaRPr lang="sq-AL">
              <a:solidFill>
                <a:srgbClr val="C00000"/>
              </a:solidFill>
            </a:endParaRPr>
          </a:p>
        </c:rich>
      </c:tx>
      <c:layout>
        <c:manualLayout>
          <c:xMode val="edge"/>
          <c:yMode val="edge"/>
          <c:x val="0.25086460683642609"/>
          <c:y val="1.8426283992607432E-2"/>
        </c:manualLayout>
      </c:layout>
      <c:overlay val="0"/>
      <c:spPr>
        <a:noFill/>
        <a:ln>
          <a:noFill/>
        </a:ln>
        <a:effectLst/>
      </c:spPr>
    </c:title>
    <c:autoTitleDeleted val="0"/>
    <c:plotArea>
      <c:layout>
        <c:manualLayout>
          <c:layoutTarget val="inner"/>
          <c:xMode val="edge"/>
          <c:yMode val="edge"/>
          <c:x val="3.4390741890419761E-2"/>
          <c:y val="0.1450563294972744"/>
          <c:w val="0.63650289327869114"/>
          <c:h val="0.74351679117033442"/>
        </c:manualLayout>
      </c:layout>
      <c:barChart>
        <c:barDir val="col"/>
        <c:grouping val="stacked"/>
        <c:varyColors val="0"/>
        <c:ser>
          <c:idx val="0"/>
          <c:order val="0"/>
          <c:tx>
            <c:strRef>
              <c:f>'Detyrimet Tot'!$B$4</c:f>
              <c:strCache>
                <c:ptCount val="1"/>
                <c:pt idx="0">
                  <c:v> Vendime Gjyqësore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Tot'!$C$4:$K$4</c:f>
            </c:numRef>
          </c:val>
          <c:extLst>
            <c:ext xmlns:c16="http://schemas.microsoft.com/office/drawing/2014/chart" uri="{C3380CC4-5D6E-409C-BE32-E72D297353CC}">
              <c16:uniqueId val="{00000000-A1FE-45DC-9C6B-DF2878780785}"/>
            </c:ext>
          </c:extLst>
        </c:ser>
        <c:ser>
          <c:idx val="1"/>
          <c:order val="1"/>
          <c:tx>
            <c:strRef>
              <c:f>'Detyrimet Tot'!$B$5</c:f>
              <c:strCache>
                <c:ptCount val="1"/>
                <c:pt idx="0">
                  <c:v> Mirëmbajtje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Tot'!$C$5:$K$5</c:f>
            </c:numRef>
          </c:val>
          <c:extLst>
            <c:ext xmlns:c16="http://schemas.microsoft.com/office/drawing/2014/chart" uri="{C3380CC4-5D6E-409C-BE32-E72D297353CC}">
              <c16:uniqueId val="{00000001-A1FE-45DC-9C6B-DF2878780785}"/>
            </c:ext>
          </c:extLst>
        </c:ser>
        <c:ser>
          <c:idx val="2"/>
          <c:order val="2"/>
          <c:tx>
            <c:strRef>
              <c:f>'Detyrimet Tot'!$B$6</c:f>
              <c:strCache>
                <c:ptCount val="1"/>
                <c:pt idx="0">
                  <c:v> Investime (infrastrukturë)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Tot'!$C$6:$K$6</c:f>
            </c:numRef>
          </c:val>
          <c:extLst>
            <c:ext xmlns:c16="http://schemas.microsoft.com/office/drawing/2014/chart" uri="{C3380CC4-5D6E-409C-BE32-E72D297353CC}">
              <c16:uniqueId val="{00000002-A1FE-45DC-9C6B-DF2878780785}"/>
            </c:ext>
          </c:extLst>
        </c:ser>
        <c:ser>
          <c:idx val="3"/>
          <c:order val="3"/>
          <c:tx>
            <c:strRef>
              <c:f>'Detyrimet Tot'!$B$7</c:f>
              <c:strCache>
                <c:ptCount val="1"/>
                <c:pt idx="0">
                  <c:v> Te tjera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Tot'!$C$7:$K$7</c:f>
            </c:numRef>
          </c:val>
          <c:extLst>
            <c:ext xmlns:c16="http://schemas.microsoft.com/office/drawing/2014/chart" uri="{C3380CC4-5D6E-409C-BE32-E72D297353CC}">
              <c16:uniqueId val="{00000003-A1FE-45DC-9C6B-DF2878780785}"/>
            </c:ext>
          </c:extLst>
        </c:ser>
        <c:ser>
          <c:idx val="4"/>
          <c:order val="4"/>
          <c:tx>
            <c:strRef>
              <c:f>'Detyrimet Tot'!$B$8</c:f>
              <c:strCache>
                <c:ptCount val="1"/>
                <c:pt idx="0">
                  <c:v>Totali Detyrimeve të Qeverisë Qendrore</c:v>
                </c:pt>
              </c:strCache>
            </c:strRef>
          </c:tx>
          <c:spPr>
            <a:solidFill>
              <a:schemeClr val="accent5"/>
            </a:solidFill>
            <a:ln>
              <a:noFill/>
            </a:ln>
            <a:effectLst/>
          </c:spPr>
          <c:invertIfNegative val="0"/>
          <c:dLbls>
            <c:spPr>
              <a:solidFill>
                <a:sysClr val="window" lastClr="FFFFFF"/>
              </a:solidFill>
              <a:ln>
                <a:noFill/>
              </a:ln>
              <a:effectLst/>
            </c:spPr>
            <c:txPr>
              <a:bodyPr rot="0" vert="horz"/>
              <a:lstStyle/>
              <a:p>
                <a:pPr>
                  <a:defRPr b="1"/>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2021</c:v>
                </c:pt>
                <c:pt idx="1">
                  <c:v>3M 2022</c:v>
                </c:pt>
                <c:pt idx="2">
                  <c:v>6M 2022</c:v>
                </c:pt>
                <c:pt idx="3">
                  <c:v>9M 2022</c:v>
                </c:pt>
                <c:pt idx="4">
                  <c:v>2022</c:v>
                </c:pt>
              </c:strCache>
            </c:strRef>
          </c:cat>
          <c:val>
            <c:numRef>
              <c:f>'Detyrimet Tot'!$C$8:$O$8</c:f>
              <c:numCache>
                <c:formatCode>_-* #,##0_L_e_k_-;\-* #,##0_L_e_k_-;_-* "-"??_L_e_k_-;_-@_-</c:formatCode>
                <c:ptCount val="5"/>
                <c:pt idx="0">
                  <c:v>6149.7587629100008</c:v>
                </c:pt>
                <c:pt idx="1">
                  <c:v>6759.4054827599994</c:v>
                </c:pt>
                <c:pt idx="2">
                  <c:v>7912.9732096299986</c:v>
                </c:pt>
                <c:pt idx="3">
                  <c:v>10289.463039699998</c:v>
                </c:pt>
                <c:pt idx="4">
                  <c:v>6769.6607726399989</c:v>
                </c:pt>
              </c:numCache>
            </c:numRef>
          </c:val>
          <c:extLst>
            <c:ext xmlns:c16="http://schemas.microsoft.com/office/drawing/2014/chart" uri="{C3380CC4-5D6E-409C-BE32-E72D297353CC}">
              <c16:uniqueId val="{00000004-A1FE-45DC-9C6B-DF2878780785}"/>
            </c:ext>
          </c:extLst>
        </c:ser>
        <c:ser>
          <c:idx val="5"/>
          <c:order val="5"/>
          <c:tx>
            <c:strRef>
              <c:f>'Detyrimet Tot'!$B$9</c:f>
              <c:strCache>
                <c:ptCount val="1"/>
                <c:pt idx="0">
                  <c:v>2. Totali Detyrimeve të Qeverisë Vendore</c:v>
                </c:pt>
              </c:strCache>
            </c:strRef>
          </c:tx>
          <c:spPr>
            <a:solidFill>
              <a:schemeClr val="accent6"/>
            </a:solidFill>
            <a:ln>
              <a:noFill/>
            </a:ln>
            <a:effectLst/>
          </c:spPr>
          <c:invertIfNegative val="0"/>
          <c:dLbls>
            <c:spPr>
              <a:solidFill>
                <a:sysClr val="window" lastClr="FFFFFF"/>
              </a:solidFill>
              <a:ln>
                <a:noFill/>
              </a:ln>
              <a:effectLst/>
            </c:spPr>
            <c:txPr>
              <a:bodyPr rot="0" vert="horz"/>
              <a:lstStyle/>
              <a:p>
                <a:pPr>
                  <a:defRPr b="1"/>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2021</c:v>
                </c:pt>
                <c:pt idx="1">
                  <c:v>3M 2022</c:v>
                </c:pt>
                <c:pt idx="2">
                  <c:v>6M 2022</c:v>
                </c:pt>
                <c:pt idx="3">
                  <c:v>9M 2022</c:v>
                </c:pt>
                <c:pt idx="4">
                  <c:v>2022</c:v>
                </c:pt>
              </c:strCache>
            </c:strRef>
          </c:cat>
          <c:val>
            <c:numRef>
              <c:f>'Detyrimet Tot'!$C$9:$O$9</c:f>
              <c:numCache>
                <c:formatCode>_-* #,##0_L_e_k_-;\-* #,##0_L_e_k_-;_-* "-"??_L_e_k_-;_-@_-</c:formatCode>
                <c:ptCount val="5"/>
                <c:pt idx="0">
                  <c:v>6604.1740495399999</c:v>
                </c:pt>
                <c:pt idx="1">
                  <c:v>7302.3664616100004</c:v>
                </c:pt>
                <c:pt idx="2">
                  <c:v>7057.9407752300003</c:v>
                </c:pt>
                <c:pt idx="3">
                  <c:v>6667.7121687299996</c:v>
                </c:pt>
                <c:pt idx="4">
                  <c:v>5428.9492626100009</c:v>
                </c:pt>
              </c:numCache>
            </c:numRef>
          </c:val>
          <c:extLst>
            <c:ext xmlns:c16="http://schemas.microsoft.com/office/drawing/2014/chart" uri="{C3380CC4-5D6E-409C-BE32-E72D297353CC}">
              <c16:uniqueId val="{00000005-A1FE-45DC-9C6B-DF2878780785}"/>
            </c:ext>
          </c:extLst>
        </c:ser>
        <c:ser>
          <c:idx val="6"/>
          <c:order val="6"/>
          <c:tx>
            <c:strRef>
              <c:f>'Detyrimet Tot'!$B$10</c:f>
              <c:strCache>
                <c:ptCount val="1"/>
                <c:pt idx="0">
                  <c:v>3. Rimbursim i TVSH</c:v>
                </c:pt>
              </c:strCache>
            </c:strRef>
          </c:tx>
          <c:spPr>
            <a:solidFill>
              <a:schemeClr val="accent1">
                <a:lumMod val="60000"/>
              </a:schemeClr>
            </a:solidFill>
            <a:ln>
              <a:noFill/>
            </a:ln>
            <a:effectLst/>
          </c:spPr>
          <c:invertIfNegative val="0"/>
          <c:dLbls>
            <c:spPr>
              <a:solidFill>
                <a:sysClr val="window" lastClr="FFFFFF"/>
              </a:solidFill>
              <a:ln>
                <a:noFill/>
              </a:ln>
              <a:effectLst/>
            </c:spPr>
            <c:txPr>
              <a:bodyPr rot="0" vert="horz"/>
              <a:lstStyle/>
              <a:p>
                <a:pPr>
                  <a:defRPr b="1"/>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2021</c:v>
                </c:pt>
                <c:pt idx="1">
                  <c:v>3M 2022</c:v>
                </c:pt>
                <c:pt idx="2">
                  <c:v>6M 2022</c:v>
                </c:pt>
                <c:pt idx="3">
                  <c:v>9M 2022</c:v>
                </c:pt>
                <c:pt idx="4">
                  <c:v>2022</c:v>
                </c:pt>
              </c:strCache>
            </c:strRef>
          </c:cat>
          <c:val>
            <c:numRef>
              <c:f>'Detyrimet Tot'!$C$10:$O$10</c:f>
              <c:numCache>
                <c:formatCode>_-* #,##0_L_e_k_-;\-* #,##0_L_e_k_-;_-* "-"??_L_e_k_-;_-@_-</c:formatCode>
                <c:ptCount val="5"/>
                <c:pt idx="0">
                  <c:v>476.65039000000002</c:v>
                </c:pt>
                <c:pt idx="1">
                  <c:v>476.65039000000002</c:v>
                </c:pt>
                <c:pt idx="2">
                  <c:v>476.65039000000002</c:v>
                </c:pt>
                <c:pt idx="3">
                  <c:v>0</c:v>
                </c:pt>
                <c:pt idx="4">
                  <c:v>0</c:v>
                </c:pt>
              </c:numCache>
            </c:numRef>
          </c:val>
          <c:extLst>
            <c:ext xmlns:c16="http://schemas.microsoft.com/office/drawing/2014/chart" uri="{C3380CC4-5D6E-409C-BE32-E72D297353CC}">
              <c16:uniqueId val="{00000006-A1FE-45DC-9C6B-DF2878780785}"/>
            </c:ext>
          </c:extLst>
        </c:ser>
        <c:dLbls>
          <c:dLblPos val="ctr"/>
          <c:showLegendKey val="0"/>
          <c:showVal val="1"/>
          <c:showCatName val="0"/>
          <c:showSerName val="0"/>
          <c:showPercent val="0"/>
          <c:showBubbleSize val="0"/>
        </c:dLbls>
        <c:gapWidth val="79"/>
        <c:overlap val="100"/>
        <c:axId val="359508224"/>
        <c:axId val="359518208"/>
      </c:barChart>
      <c:lineChart>
        <c:grouping val="standard"/>
        <c:varyColors val="0"/>
        <c:ser>
          <c:idx val="7"/>
          <c:order val="7"/>
          <c:tx>
            <c:strRef>
              <c:f>'Detyrimet Tot'!$B$11</c:f>
              <c:strCache>
                <c:ptCount val="1"/>
                <c:pt idx="0">
                  <c:v>Total</c:v>
                </c:pt>
              </c:strCache>
            </c:strRef>
          </c:tx>
          <c:spPr>
            <a:ln w="19050" cap="rnd">
              <a:solidFill>
                <a:schemeClr val="accent2">
                  <a:lumMod val="60000"/>
                </a:schemeClr>
              </a:solidFill>
              <a:round/>
            </a:ln>
            <a:effectLst/>
          </c:spPr>
          <c:marker>
            <c:symbol val="none"/>
          </c:marker>
          <c:dLbls>
            <c:spPr>
              <a:noFill/>
              <a:ln>
                <a:noFill/>
              </a:ln>
              <a:effectLst/>
            </c:spPr>
            <c:txPr>
              <a:bodyPr rot="0" vert="horz"/>
              <a:lstStyle/>
              <a:p>
                <a:pPr>
                  <a:defRPr b="1">
                    <a:solidFill>
                      <a:srgbClr val="C00000"/>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Tot'!$C$3:$K$3</c:f>
              <c:strCache>
                <c:ptCount val="2"/>
                <c:pt idx="0">
                  <c:v>2021</c:v>
                </c:pt>
                <c:pt idx="1">
                  <c:v>3M 2022</c:v>
                </c:pt>
              </c:strCache>
            </c:strRef>
          </c:cat>
          <c:val>
            <c:numRef>
              <c:f>'Detyrimet Tot'!$C$11:$O$11</c:f>
              <c:numCache>
                <c:formatCode>_-* #,##0_L_e_k_-;\-* #,##0_L_e_k_-;_-* "-"??_L_e_k_-;_-@_-</c:formatCode>
                <c:ptCount val="5"/>
                <c:pt idx="0">
                  <c:v>13230.583202450001</c:v>
                </c:pt>
                <c:pt idx="1">
                  <c:v>14538.422334370001</c:v>
                </c:pt>
                <c:pt idx="2">
                  <c:v>15447.56437486</c:v>
                </c:pt>
                <c:pt idx="3">
                  <c:v>16957.175208429999</c:v>
                </c:pt>
                <c:pt idx="4">
                  <c:v>12198.61003525</c:v>
                </c:pt>
              </c:numCache>
            </c:numRef>
          </c:val>
          <c:smooth val="0"/>
          <c:extLst>
            <c:ext xmlns:c16="http://schemas.microsoft.com/office/drawing/2014/chart" uri="{C3380CC4-5D6E-409C-BE32-E72D297353CC}">
              <c16:uniqueId val="{00000007-A1FE-45DC-9C6B-DF2878780785}"/>
            </c:ext>
          </c:extLst>
        </c:ser>
        <c:dLbls>
          <c:showLegendKey val="0"/>
          <c:showVal val="0"/>
          <c:showCatName val="0"/>
          <c:showSerName val="0"/>
          <c:showPercent val="0"/>
          <c:showBubbleSize val="0"/>
        </c:dLbls>
        <c:marker val="1"/>
        <c:smooth val="0"/>
        <c:axId val="359521280"/>
        <c:axId val="359519744"/>
      </c:lineChart>
      <c:catAx>
        <c:axId val="3595082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accent1">
                <a:shade val="95000"/>
                <a:satMod val="105000"/>
              </a:schemeClr>
            </a:solidFill>
            <a:prstDash val="solid"/>
            <a:round/>
          </a:ln>
          <a:effectLst/>
        </c:spPr>
        <c:txPr>
          <a:bodyPr rot="-60000000" vert="horz"/>
          <a:lstStyle/>
          <a:p>
            <a:pPr>
              <a:defRPr b="1"/>
            </a:pPr>
            <a:endParaRPr lang="en-US"/>
          </a:p>
        </c:txPr>
        <c:crossAx val="359518208"/>
        <c:crosses val="autoZero"/>
        <c:auto val="1"/>
        <c:lblAlgn val="ctr"/>
        <c:lblOffset val="100"/>
        <c:noMultiLvlLbl val="0"/>
      </c:catAx>
      <c:valAx>
        <c:axId val="359518208"/>
        <c:scaling>
          <c:orientation val="minMax"/>
        </c:scaling>
        <c:delete val="1"/>
        <c:axPos val="l"/>
        <c:numFmt formatCode="_-* #,##0_L_e_k_-;\-* #,##0_L_e_k_-;_-* &quot;-&quot;??_L_e_k_-;_-@_-" sourceLinked="1"/>
        <c:majorTickMark val="none"/>
        <c:minorTickMark val="none"/>
        <c:tickLblPos val="nextTo"/>
        <c:crossAx val="359508224"/>
        <c:crosses val="autoZero"/>
        <c:crossBetween val="between"/>
      </c:valAx>
      <c:valAx>
        <c:axId val="359519744"/>
        <c:scaling>
          <c:orientation val="minMax"/>
        </c:scaling>
        <c:delete val="0"/>
        <c:axPos val="r"/>
        <c:numFmt formatCode="_-* #,##0_L_e_k_-;\-* #,##0_L_e_k_-;_-* &quot;-&quot;??_L_e_k_-;_-@_-" sourceLinked="1"/>
        <c:majorTickMark val="out"/>
        <c:minorTickMark val="none"/>
        <c:tickLblPos val="nextTo"/>
        <c:spPr>
          <a:noFill/>
          <a:ln w="9525" cap="flat" cmpd="sng" algn="ctr">
            <a:solidFill>
              <a:schemeClr val="accent1">
                <a:shade val="95000"/>
                <a:satMod val="105000"/>
              </a:schemeClr>
            </a:solidFill>
            <a:prstDash val="solid"/>
            <a:round/>
          </a:ln>
          <a:effectLst/>
        </c:spPr>
        <c:txPr>
          <a:bodyPr rot="-60000000" vert="horz"/>
          <a:lstStyle/>
          <a:p>
            <a:pPr>
              <a:defRPr/>
            </a:pPr>
            <a:endParaRPr lang="en-US"/>
          </a:p>
        </c:txPr>
        <c:crossAx val="359521280"/>
        <c:crosses val="max"/>
        <c:crossBetween val="between"/>
      </c:valAx>
      <c:catAx>
        <c:axId val="359521280"/>
        <c:scaling>
          <c:orientation val="minMax"/>
        </c:scaling>
        <c:delete val="1"/>
        <c:axPos val="b"/>
        <c:numFmt formatCode="General" sourceLinked="1"/>
        <c:majorTickMark val="out"/>
        <c:minorTickMark val="none"/>
        <c:tickLblPos val="nextTo"/>
        <c:crossAx val="359519744"/>
        <c:crosses val="autoZero"/>
        <c:auto val="1"/>
        <c:lblAlgn val="ctr"/>
        <c:lblOffset val="100"/>
        <c:noMultiLvlLbl val="0"/>
      </c:catAx>
      <c:spPr>
        <a:solidFill>
          <a:srgbClr val="DBEFF9"/>
        </a:solidFill>
        <a:ln w="9525" cap="flat" cmpd="sng" algn="ctr">
          <a:noFill/>
          <a:prstDash val="solid"/>
        </a:ln>
        <a:effectLst/>
      </c:spPr>
    </c:plotArea>
    <c:legend>
      <c:legendPos val="r"/>
      <c:layout>
        <c:manualLayout>
          <c:xMode val="edge"/>
          <c:yMode val="edge"/>
          <c:x val="0.75456800356095854"/>
          <c:y val="0.16253583686654552"/>
          <c:w val="0.23641248791269512"/>
          <c:h val="0.73082226260179017"/>
        </c:manualLayout>
      </c:layout>
      <c:overlay val="0"/>
      <c:spPr>
        <a:noFill/>
        <a:ln>
          <a:noFill/>
        </a:ln>
        <a:effectLst/>
      </c:spPr>
      <c:txPr>
        <a:bodyPr rot="0" vert="horz"/>
        <a:lstStyle/>
        <a:p>
          <a:pPr>
            <a:defRPr b="1"/>
          </a:pPr>
          <a:endParaRPr lang="en-US"/>
        </a:p>
      </c:txPr>
    </c:legend>
    <c:plotVisOnly val="1"/>
    <c:dispBlanksAs val="zero"/>
    <c:showDLblsOverMax val="0"/>
  </c:chart>
  <c:spPr>
    <a:solidFill>
      <a:srgbClr val="DBEFF9"/>
    </a:solidFill>
    <a:ln w="9525" cap="flat" cmpd="sng" algn="ctr">
      <a:solidFill>
        <a:schemeClr val="dk1"/>
      </a:solidFill>
      <a:prstDash val="solid"/>
      <a:round/>
    </a:ln>
    <a:effectLst/>
  </c:spPr>
  <c:txPr>
    <a:bodyPr/>
    <a:lstStyle/>
    <a:p>
      <a:pPr>
        <a:defRPr sz="700">
          <a:solidFill>
            <a:schemeClr val="dk1"/>
          </a:solidFill>
          <a:latin typeface="+mj-lt"/>
          <a:ea typeface="+mn-ea"/>
          <a:cs typeface="+mn-cs"/>
        </a:defRPr>
      </a:pPr>
      <a:endParaRPr lang="en-US"/>
    </a:p>
  </c:txPr>
  <c:externalData r:id="rId2">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solidFill>
                  <a:srgbClr val="C00000"/>
                </a:solidFill>
              </a:rPr>
              <a:t>Stoku i detyrimeve të MIE vs Totalit</a:t>
            </a:r>
          </a:p>
        </c:rich>
      </c:tx>
      <c:layout>
        <c:manualLayout>
          <c:xMode val="edge"/>
          <c:yMode val="edge"/>
          <c:x val="3.5695216012108913E-2"/>
          <c:y val="2.8735632183908046E-2"/>
        </c:manualLayout>
      </c:layout>
      <c:overlay val="0"/>
      <c:spPr>
        <a:noFill/>
        <a:ln>
          <a:noFill/>
        </a:ln>
        <a:effectLst/>
      </c:spPr>
    </c:title>
    <c:autoTitleDeleted val="0"/>
    <c:plotArea>
      <c:layout>
        <c:manualLayout>
          <c:layoutTarget val="inner"/>
          <c:xMode val="edge"/>
          <c:yMode val="edge"/>
          <c:x val="3.4390741890419761E-2"/>
          <c:y val="0.15942392976739977"/>
          <c:w val="0.69137078724055201"/>
          <c:h val="0.69594816272965876"/>
        </c:manualLayout>
      </c:layout>
      <c:barChart>
        <c:barDir val="col"/>
        <c:grouping val="stacked"/>
        <c:varyColors val="0"/>
        <c:ser>
          <c:idx val="0"/>
          <c:order val="0"/>
          <c:tx>
            <c:strRef>
              <c:f>'Detyrimet Tot'!$B$4</c:f>
              <c:strCache>
                <c:ptCount val="1"/>
                <c:pt idx="0">
                  <c:v> Vendime Gjyqësore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Tot'!$C$4:$K$4</c:f>
            </c:numRef>
          </c:val>
          <c:extLst>
            <c:ext xmlns:c16="http://schemas.microsoft.com/office/drawing/2014/chart" uri="{C3380CC4-5D6E-409C-BE32-E72D297353CC}">
              <c16:uniqueId val="{00000000-2BEB-4054-B540-AFA758751B24}"/>
            </c:ext>
          </c:extLst>
        </c:ser>
        <c:ser>
          <c:idx val="1"/>
          <c:order val="1"/>
          <c:tx>
            <c:strRef>
              <c:f>'Detyrimet Tot'!$B$5</c:f>
              <c:strCache>
                <c:ptCount val="1"/>
                <c:pt idx="0">
                  <c:v> Mirëmbajtje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Tot'!$C$5:$K$5</c:f>
            </c:numRef>
          </c:val>
          <c:extLst>
            <c:ext xmlns:c16="http://schemas.microsoft.com/office/drawing/2014/chart" uri="{C3380CC4-5D6E-409C-BE32-E72D297353CC}">
              <c16:uniqueId val="{00000001-2BEB-4054-B540-AFA758751B24}"/>
            </c:ext>
          </c:extLst>
        </c:ser>
        <c:ser>
          <c:idx val="2"/>
          <c:order val="2"/>
          <c:tx>
            <c:strRef>
              <c:f>'Detyrimet Tot'!$B$6</c:f>
              <c:strCache>
                <c:ptCount val="1"/>
                <c:pt idx="0">
                  <c:v> Investime (infrastrukturë) </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Tot'!$C$6:$K$6</c:f>
            </c:numRef>
          </c:val>
          <c:extLst>
            <c:ext xmlns:c16="http://schemas.microsoft.com/office/drawing/2014/chart" uri="{C3380CC4-5D6E-409C-BE32-E72D297353CC}">
              <c16:uniqueId val="{00000002-2BEB-4054-B540-AFA758751B24}"/>
            </c:ext>
          </c:extLst>
        </c:ser>
        <c:ser>
          <c:idx val="3"/>
          <c:order val="3"/>
          <c:tx>
            <c:strRef>
              <c:f>'Detyrimet Tot'!$B$7</c:f>
              <c:strCache>
                <c:ptCount val="1"/>
                <c:pt idx="0">
                  <c:v> Te tjera </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'[1]Detyrimet Tot'!$C$3:$K$3</c:f>
              <c:numCache>
                <c:formatCode>General</c:formatCode>
                <c:ptCount val="9"/>
                <c:pt idx="0">
                  <c:v>0</c:v>
                </c:pt>
                <c:pt idx="1">
                  <c:v>0</c:v>
                </c:pt>
                <c:pt idx="2">
                  <c:v>0</c:v>
                </c:pt>
                <c:pt idx="3">
                  <c:v>0</c:v>
                </c:pt>
                <c:pt idx="4">
                  <c:v>0</c:v>
                </c:pt>
                <c:pt idx="5">
                  <c:v>0</c:v>
                </c:pt>
                <c:pt idx="6">
                  <c:v>0</c:v>
                </c:pt>
                <c:pt idx="7">
                  <c:v>0</c:v>
                </c:pt>
                <c:pt idx="8">
                  <c:v>0</c:v>
                </c:pt>
              </c:numCache>
            </c:numRef>
          </c:cat>
          <c:val>
            <c:numRef>
              <c:f>'Detyrimet Tot'!$C$7:$K$7</c:f>
            </c:numRef>
          </c:val>
          <c:extLst>
            <c:ext xmlns:c16="http://schemas.microsoft.com/office/drawing/2014/chart" uri="{C3380CC4-5D6E-409C-BE32-E72D297353CC}">
              <c16:uniqueId val="{00000003-2BEB-4054-B540-AFA758751B24}"/>
            </c:ext>
          </c:extLst>
        </c:ser>
        <c:ser>
          <c:idx val="4"/>
          <c:order val="4"/>
          <c:tx>
            <c:strRef>
              <c:f>'Detyrimet Tot'!$B$8</c:f>
              <c:strCache>
                <c:ptCount val="1"/>
                <c:pt idx="0">
                  <c:v>MIE</c:v>
                </c:pt>
              </c:strCache>
            </c:strRef>
          </c:tx>
          <c:spPr>
            <a:solidFill>
              <a:schemeClr val="accent5"/>
            </a:solidFill>
            <a:ln>
              <a:noFill/>
            </a:ln>
            <a:effectLst/>
          </c:spPr>
          <c:invertIfNegative val="0"/>
          <c:dLbls>
            <c:spPr>
              <a:solidFill>
                <a:sysClr val="window" lastClr="FFFFFF"/>
              </a:solidFill>
              <a:ln>
                <a:noFill/>
              </a:ln>
              <a:effectLst/>
            </c:spPr>
            <c:txPr>
              <a:bodyPr rot="0" vert="horz"/>
              <a:lstStyle/>
              <a:p>
                <a:pPr>
                  <a:defRPr b="1"/>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2021</c:v>
                </c:pt>
                <c:pt idx="1">
                  <c:v>3M 2022</c:v>
                </c:pt>
                <c:pt idx="2">
                  <c:v>6M 2022</c:v>
                </c:pt>
                <c:pt idx="3">
                  <c:v>9M 2022</c:v>
                </c:pt>
                <c:pt idx="4">
                  <c:v>2022</c:v>
                </c:pt>
              </c:strCache>
            </c:strRef>
          </c:cat>
          <c:val>
            <c:numRef>
              <c:f>'Detyrimet Tot'!$C$8:$O$8</c:f>
              <c:numCache>
                <c:formatCode>_-* #,##0_L_e_k_-;\-* #,##0_L_e_k_-;_-* "-"??_L_e_k_-;_-@_-</c:formatCode>
                <c:ptCount val="5"/>
                <c:pt idx="0">
                  <c:v>2338.643309</c:v>
                </c:pt>
                <c:pt idx="1">
                  <c:v>3073.5484889999998</c:v>
                </c:pt>
                <c:pt idx="2">
                  <c:v>4046.1445570000005</c:v>
                </c:pt>
                <c:pt idx="3">
                  <c:v>5799.44946807</c:v>
                </c:pt>
                <c:pt idx="4">
                  <c:v>3955.37839407</c:v>
                </c:pt>
              </c:numCache>
            </c:numRef>
          </c:val>
          <c:extLst>
            <c:ext xmlns:c16="http://schemas.microsoft.com/office/drawing/2014/chart" uri="{C3380CC4-5D6E-409C-BE32-E72D297353CC}">
              <c16:uniqueId val="{00000004-2BEB-4054-B540-AFA758751B24}"/>
            </c:ext>
          </c:extLst>
        </c:ser>
        <c:ser>
          <c:idx val="5"/>
          <c:order val="5"/>
          <c:tx>
            <c:strRef>
              <c:f>'Detyrimet Tot'!$B$9</c:f>
              <c:strCache>
                <c:ptCount val="1"/>
                <c:pt idx="0">
                  <c:v>ML të tjera</c:v>
                </c:pt>
              </c:strCache>
            </c:strRef>
          </c:tx>
          <c:spPr>
            <a:solidFill>
              <a:schemeClr val="accent6"/>
            </a:solidFill>
            <a:ln>
              <a:noFill/>
            </a:ln>
            <a:effectLst/>
          </c:spPr>
          <c:invertIfNegative val="0"/>
          <c:dLbls>
            <c:spPr>
              <a:solidFill>
                <a:sysClr val="window" lastClr="FFFFFF"/>
              </a:solidFill>
              <a:ln>
                <a:noFill/>
              </a:ln>
              <a:effectLst/>
            </c:spPr>
            <c:txPr>
              <a:bodyPr rot="0" vert="horz"/>
              <a:lstStyle/>
              <a:p>
                <a:pPr>
                  <a:defRPr b="1"/>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2021</c:v>
                </c:pt>
                <c:pt idx="1">
                  <c:v>3M 2022</c:v>
                </c:pt>
                <c:pt idx="2">
                  <c:v>6M 2022</c:v>
                </c:pt>
                <c:pt idx="3">
                  <c:v>9M 2022</c:v>
                </c:pt>
                <c:pt idx="4">
                  <c:v>2022</c:v>
                </c:pt>
              </c:strCache>
            </c:strRef>
          </c:cat>
          <c:val>
            <c:numRef>
              <c:f>'Detyrimet Tot'!$C$9:$O$9</c:f>
              <c:numCache>
                <c:formatCode>_-* #,##0_L_e_k_-;\-* #,##0_L_e_k_-;_-* "-"??_L_e_k_-;_-@_-</c:formatCode>
                <c:ptCount val="5"/>
                <c:pt idx="0">
                  <c:v>3811.1154539100007</c:v>
                </c:pt>
                <c:pt idx="1">
                  <c:v>3685.85699376</c:v>
                </c:pt>
                <c:pt idx="2">
                  <c:v>3866.8286526300003</c:v>
                </c:pt>
                <c:pt idx="3">
                  <c:v>4490.0135716300001</c:v>
                </c:pt>
                <c:pt idx="4">
                  <c:v>2814.2823785699998</c:v>
                </c:pt>
              </c:numCache>
            </c:numRef>
          </c:val>
          <c:extLst>
            <c:ext xmlns:c16="http://schemas.microsoft.com/office/drawing/2014/chart" uri="{C3380CC4-5D6E-409C-BE32-E72D297353CC}">
              <c16:uniqueId val="{00000005-2BEB-4054-B540-AFA758751B24}"/>
            </c:ext>
          </c:extLst>
        </c:ser>
        <c:ser>
          <c:idx val="6"/>
          <c:order val="6"/>
          <c:tx>
            <c:strRef>
              <c:f>'Detyrimet Tot'!$B$10</c:f>
              <c:strCache>
                <c:ptCount val="1"/>
                <c:pt idx="0">
                  <c:v>3. Rimbursim i TVSH</c:v>
                </c:pt>
              </c:strCache>
            </c:strRef>
          </c:tx>
          <c:spPr>
            <a:solidFill>
              <a:schemeClr val="accent1">
                <a:lumMod val="60000"/>
              </a:schemeClr>
            </a:solidFill>
            <a:ln>
              <a:noFill/>
            </a:ln>
            <a:effectLst/>
          </c:spPr>
          <c:invertIfNegative val="0"/>
          <c:dLbls>
            <c:spPr>
              <a:solidFill>
                <a:sysClr val="window" lastClr="FFFFFF"/>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Tot'!$C$3:$O$3</c:f>
              <c:strCache>
                <c:ptCount val="5"/>
                <c:pt idx="0">
                  <c:v>2021</c:v>
                </c:pt>
                <c:pt idx="1">
                  <c:v>3M 2022</c:v>
                </c:pt>
                <c:pt idx="2">
                  <c:v>6M 2022</c:v>
                </c:pt>
                <c:pt idx="3">
                  <c:v>9M 2022</c:v>
                </c:pt>
                <c:pt idx="4">
                  <c:v>2022</c:v>
                </c:pt>
              </c:strCache>
            </c:strRef>
          </c:cat>
          <c:val>
            <c:numRef>
              <c:f>'Detyrimet Tot'!$C$10:$O$10</c:f>
            </c:numRef>
          </c:val>
          <c:extLst>
            <c:ext xmlns:c16="http://schemas.microsoft.com/office/drawing/2014/chart" uri="{C3380CC4-5D6E-409C-BE32-E72D297353CC}">
              <c16:uniqueId val="{00000006-2BEB-4054-B540-AFA758751B24}"/>
            </c:ext>
          </c:extLst>
        </c:ser>
        <c:dLbls>
          <c:dLblPos val="ctr"/>
          <c:showLegendKey val="0"/>
          <c:showVal val="1"/>
          <c:showCatName val="0"/>
          <c:showSerName val="0"/>
          <c:showPercent val="0"/>
          <c:showBubbleSize val="0"/>
        </c:dLbls>
        <c:gapWidth val="79"/>
        <c:overlap val="100"/>
        <c:axId val="336257408"/>
        <c:axId val="336258944"/>
      </c:barChart>
      <c:lineChart>
        <c:grouping val="standard"/>
        <c:varyColors val="0"/>
        <c:ser>
          <c:idx val="7"/>
          <c:order val="7"/>
          <c:tx>
            <c:strRef>
              <c:f>'Detyrimet Tot'!$B$11</c:f>
              <c:strCache>
                <c:ptCount val="1"/>
                <c:pt idx="0">
                  <c:v>Total</c:v>
                </c:pt>
              </c:strCache>
            </c:strRef>
          </c:tx>
          <c:spPr>
            <a:ln w="19050" cap="rnd">
              <a:solidFill>
                <a:schemeClr val="accent2">
                  <a:lumMod val="60000"/>
                </a:schemeClr>
              </a:solidFill>
              <a:round/>
            </a:ln>
            <a:effectLst/>
          </c:spPr>
          <c:marker>
            <c:symbol val="none"/>
          </c:marker>
          <c:dLbls>
            <c:spPr>
              <a:noFill/>
              <a:ln>
                <a:noFill/>
              </a:ln>
              <a:effectLst/>
            </c:spPr>
            <c:txPr>
              <a:bodyPr rot="0" vert="horz"/>
              <a:lstStyle/>
              <a:p>
                <a:pPr>
                  <a:defRPr b="1">
                    <a:solidFill>
                      <a:srgbClr val="C00000"/>
                    </a:solidFill>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'Detyrimet Tot'!$C$3:$K$3</c:f>
              <c:strCache>
                <c:ptCount val="2"/>
                <c:pt idx="0">
                  <c:v>2021</c:v>
                </c:pt>
                <c:pt idx="1">
                  <c:v>3M 2022</c:v>
                </c:pt>
              </c:strCache>
            </c:strRef>
          </c:cat>
          <c:val>
            <c:numRef>
              <c:f>'Detyrimet Tot'!$C$11:$O$11</c:f>
              <c:numCache>
                <c:formatCode>_-* #,##0_L_e_k_-;\-* #,##0_L_e_k_-;_-* "-"??_L_e_k_-;_-@_-</c:formatCode>
                <c:ptCount val="5"/>
                <c:pt idx="0">
                  <c:v>6149.7587629100008</c:v>
                </c:pt>
                <c:pt idx="1">
                  <c:v>6759.4054827599994</c:v>
                </c:pt>
                <c:pt idx="2">
                  <c:v>7912.9732096300013</c:v>
                </c:pt>
                <c:pt idx="3">
                  <c:v>10289.4630397</c:v>
                </c:pt>
                <c:pt idx="4">
                  <c:v>6769.6607726399998</c:v>
                </c:pt>
              </c:numCache>
            </c:numRef>
          </c:val>
          <c:smooth val="0"/>
          <c:extLst>
            <c:ext xmlns:c16="http://schemas.microsoft.com/office/drawing/2014/chart" uri="{C3380CC4-5D6E-409C-BE32-E72D297353CC}">
              <c16:uniqueId val="{00000007-2BEB-4054-B540-AFA758751B24}"/>
            </c:ext>
          </c:extLst>
        </c:ser>
        <c:dLbls>
          <c:showLegendKey val="0"/>
          <c:showVal val="0"/>
          <c:showCatName val="0"/>
          <c:showSerName val="0"/>
          <c:showPercent val="0"/>
          <c:showBubbleSize val="0"/>
        </c:dLbls>
        <c:marker val="1"/>
        <c:smooth val="0"/>
        <c:axId val="359113856"/>
        <c:axId val="336260480"/>
      </c:lineChart>
      <c:catAx>
        <c:axId val="336257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accent1">
                <a:shade val="95000"/>
                <a:satMod val="105000"/>
              </a:schemeClr>
            </a:solidFill>
            <a:prstDash val="solid"/>
            <a:round/>
          </a:ln>
          <a:effectLst/>
        </c:spPr>
        <c:txPr>
          <a:bodyPr rot="-60000000" vert="horz"/>
          <a:lstStyle/>
          <a:p>
            <a:pPr>
              <a:defRPr b="1">
                <a:solidFill>
                  <a:srgbClr val="C00000"/>
                </a:solidFill>
              </a:defRPr>
            </a:pPr>
            <a:endParaRPr lang="en-US"/>
          </a:p>
        </c:txPr>
        <c:crossAx val="336258944"/>
        <c:crosses val="autoZero"/>
        <c:auto val="1"/>
        <c:lblAlgn val="ctr"/>
        <c:lblOffset val="100"/>
        <c:noMultiLvlLbl val="0"/>
      </c:catAx>
      <c:valAx>
        <c:axId val="336258944"/>
        <c:scaling>
          <c:orientation val="minMax"/>
        </c:scaling>
        <c:delete val="1"/>
        <c:axPos val="l"/>
        <c:numFmt formatCode="_-* #,##0_L_e_k_-;\-* #,##0_L_e_k_-;_-* &quot;-&quot;??_L_e_k_-;_-@_-" sourceLinked="1"/>
        <c:majorTickMark val="none"/>
        <c:minorTickMark val="none"/>
        <c:tickLblPos val="nextTo"/>
        <c:crossAx val="336257408"/>
        <c:crosses val="autoZero"/>
        <c:crossBetween val="between"/>
      </c:valAx>
      <c:valAx>
        <c:axId val="336260480"/>
        <c:scaling>
          <c:orientation val="minMax"/>
        </c:scaling>
        <c:delete val="0"/>
        <c:axPos val="r"/>
        <c:numFmt formatCode="_-* #,##0_L_e_k_-;\-* #,##0_L_e_k_-;_-* &quot;-&quot;??_L_e_k_-;_-@_-" sourceLinked="1"/>
        <c:majorTickMark val="out"/>
        <c:minorTickMark val="none"/>
        <c:tickLblPos val="nextTo"/>
        <c:spPr>
          <a:noFill/>
          <a:ln w="9525" cap="flat" cmpd="sng" algn="ctr">
            <a:solidFill>
              <a:schemeClr val="accent1">
                <a:shade val="95000"/>
                <a:satMod val="105000"/>
              </a:schemeClr>
            </a:solidFill>
            <a:prstDash val="solid"/>
            <a:round/>
          </a:ln>
          <a:effectLst/>
        </c:spPr>
        <c:txPr>
          <a:bodyPr rot="-60000000" vert="horz"/>
          <a:lstStyle/>
          <a:p>
            <a:pPr>
              <a:defRPr/>
            </a:pPr>
            <a:endParaRPr lang="en-US"/>
          </a:p>
        </c:txPr>
        <c:crossAx val="359113856"/>
        <c:crosses val="max"/>
        <c:crossBetween val="between"/>
      </c:valAx>
      <c:catAx>
        <c:axId val="359113856"/>
        <c:scaling>
          <c:orientation val="minMax"/>
        </c:scaling>
        <c:delete val="1"/>
        <c:axPos val="b"/>
        <c:numFmt formatCode="General" sourceLinked="1"/>
        <c:majorTickMark val="out"/>
        <c:minorTickMark val="none"/>
        <c:tickLblPos val="nextTo"/>
        <c:crossAx val="336260480"/>
        <c:crosses val="autoZero"/>
        <c:auto val="1"/>
        <c:lblAlgn val="ctr"/>
        <c:lblOffset val="100"/>
        <c:noMultiLvlLbl val="0"/>
      </c:catAx>
      <c:spPr>
        <a:solidFill>
          <a:srgbClr val="DBEFF9"/>
        </a:solidFill>
        <a:ln w="9525" cap="flat" cmpd="sng" algn="ctr">
          <a:noFill/>
          <a:prstDash val="solid"/>
        </a:ln>
        <a:effectLst/>
      </c:spPr>
    </c:plotArea>
    <c:legend>
      <c:legendPos val="r"/>
      <c:legendEntry>
        <c:idx val="0"/>
        <c:txPr>
          <a:bodyPr rot="0" vert="horz"/>
          <a:lstStyle/>
          <a:p>
            <a:pPr>
              <a:defRPr b="1"/>
            </a:pPr>
            <a:endParaRPr lang="en-US"/>
          </a:p>
        </c:txPr>
      </c:legendEntry>
      <c:legendEntry>
        <c:idx val="1"/>
        <c:txPr>
          <a:bodyPr rot="0" vert="horz"/>
          <a:lstStyle/>
          <a:p>
            <a:pPr>
              <a:defRPr b="1"/>
            </a:pPr>
            <a:endParaRPr lang="en-US"/>
          </a:p>
        </c:txPr>
      </c:legendEntry>
      <c:legendEntry>
        <c:idx val="2"/>
        <c:txPr>
          <a:bodyPr rot="0" vert="horz"/>
          <a:lstStyle/>
          <a:p>
            <a:pPr>
              <a:defRPr b="1"/>
            </a:pPr>
            <a:endParaRPr lang="en-US"/>
          </a:p>
        </c:txPr>
      </c:legendEntry>
      <c:layout>
        <c:manualLayout>
          <c:xMode val="edge"/>
          <c:yMode val="edge"/>
          <c:x val="0.79617329275558346"/>
          <c:y val="0.16253596207450813"/>
          <c:w val="0.20132476976192137"/>
          <c:h val="0.73082226260179017"/>
        </c:manualLayout>
      </c:layout>
      <c:overlay val="0"/>
      <c:spPr>
        <a:noFill/>
        <a:ln>
          <a:noFill/>
        </a:ln>
        <a:effectLst/>
      </c:spPr>
      <c:txPr>
        <a:bodyPr rot="0" vert="horz"/>
        <a:lstStyle/>
        <a:p>
          <a:pPr>
            <a:defRPr b="1"/>
          </a:pPr>
          <a:endParaRPr lang="en-US"/>
        </a:p>
      </c:txPr>
    </c:legend>
    <c:plotVisOnly val="1"/>
    <c:dispBlanksAs val="zero"/>
    <c:showDLblsOverMax val="0"/>
  </c:chart>
  <c:spPr>
    <a:solidFill>
      <a:srgbClr val="DBEFF9"/>
    </a:solidFill>
    <a:ln w="9525" cap="flat" cmpd="sng" algn="ctr">
      <a:solidFill>
        <a:schemeClr val="dk1"/>
      </a:solidFill>
      <a:prstDash val="solid"/>
      <a:round/>
    </a:ln>
    <a:effectLst/>
  </c:spPr>
  <c:txPr>
    <a:bodyPr/>
    <a:lstStyle/>
    <a:p>
      <a:pPr>
        <a:defRPr sz="800">
          <a:solidFill>
            <a:schemeClr val="dk1"/>
          </a:solidFill>
          <a:latin typeface="+mj-lt"/>
          <a:ea typeface="+mn-ea"/>
          <a:cs typeface="+mn-cs"/>
        </a:defRPr>
      </a:pPr>
      <a:endParaRPr lang="en-US"/>
    </a:p>
  </c:txPr>
  <c:externalData r:id="rId2">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831084535055047"/>
          <c:y val="0.10171552085401091"/>
          <c:w val="0.34956368588132702"/>
          <c:h val="0.89740929442643202"/>
        </c:manualLayout>
      </c:layout>
      <c:pieChart>
        <c:varyColors val="1"/>
        <c:ser>
          <c:idx val="0"/>
          <c:order val="0"/>
          <c:spPr>
            <a:ln>
              <a:noFill/>
            </a:ln>
          </c:spPr>
          <c:dPt>
            <c:idx val="0"/>
            <c:bubble3D val="0"/>
            <c:spPr>
              <a:gradFill>
                <a:gsLst>
                  <a:gs pos="100000">
                    <a:schemeClr val="accent1">
                      <a:lumMod val="60000"/>
                      <a:lumOff val="40000"/>
                    </a:schemeClr>
                  </a:gs>
                  <a:gs pos="0">
                    <a:schemeClr val="accent1"/>
                  </a:gs>
                </a:gsLst>
                <a:lin ang="5400000" scaled="0"/>
              </a:gradFill>
              <a:ln w="19050">
                <a:noFill/>
              </a:ln>
              <a:effectLst/>
            </c:spPr>
            <c:extLst>
              <c:ext xmlns:c16="http://schemas.microsoft.com/office/drawing/2014/chart" uri="{C3380CC4-5D6E-409C-BE32-E72D297353CC}">
                <c16:uniqueId val="{00000001-3CDD-4CCF-8679-FEF750D7E6DB}"/>
              </c:ext>
            </c:extLst>
          </c:dPt>
          <c:dPt>
            <c:idx val="1"/>
            <c:bubble3D val="0"/>
            <c:spPr>
              <a:gradFill>
                <a:gsLst>
                  <a:gs pos="100000">
                    <a:schemeClr val="accent2">
                      <a:lumMod val="60000"/>
                      <a:lumOff val="40000"/>
                    </a:schemeClr>
                  </a:gs>
                  <a:gs pos="0">
                    <a:schemeClr val="accent2"/>
                  </a:gs>
                </a:gsLst>
                <a:lin ang="5400000" scaled="0"/>
              </a:gradFill>
              <a:ln w="19050">
                <a:noFill/>
              </a:ln>
              <a:effectLst/>
            </c:spPr>
            <c:extLst>
              <c:ext xmlns:c16="http://schemas.microsoft.com/office/drawing/2014/chart" uri="{C3380CC4-5D6E-409C-BE32-E72D297353CC}">
                <c16:uniqueId val="{00000003-3CDD-4CCF-8679-FEF750D7E6DB}"/>
              </c:ext>
            </c:extLst>
          </c:dPt>
          <c:dPt>
            <c:idx val="2"/>
            <c:bubble3D val="0"/>
            <c:spPr>
              <a:gradFill>
                <a:gsLst>
                  <a:gs pos="100000">
                    <a:schemeClr val="accent3">
                      <a:lumMod val="60000"/>
                      <a:lumOff val="40000"/>
                    </a:schemeClr>
                  </a:gs>
                  <a:gs pos="0">
                    <a:schemeClr val="accent3"/>
                  </a:gs>
                </a:gsLst>
                <a:lin ang="5400000" scaled="0"/>
              </a:gradFill>
              <a:ln w="19050">
                <a:noFill/>
              </a:ln>
              <a:effectLst/>
            </c:spPr>
            <c:extLst>
              <c:ext xmlns:c16="http://schemas.microsoft.com/office/drawing/2014/chart" uri="{C3380CC4-5D6E-409C-BE32-E72D297353CC}">
                <c16:uniqueId val="{00000005-3CDD-4CCF-8679-FEF750D7E6DB}"/>
              </c:ext>
            </c:extLst>
          </c:dPt>
          <c:dPt>
            <c:idx val="3"/>
            <c:bubble3D val="0"/>
            <c:spPr>
              <a:gradFill>
                <a:gsLst>
                  <a:gs pos="100000">
                    <a:schemeClr val="accent4">
                      <a:lumMod val="60000"/>
                      <a:lumOff val="40000"/>
                    </a:schemeClr>
                  </a:gs>
                  <a:gs pos="0">
                    <a:schemeClr val="accent4"/>
                  </a:gs>
                </a:gsLst>
                <a:lin ang="5400000" scaled="0"/>
              </a:gradFill>
              <a:ln w="19050">
                <a:noFill/>
              </a:ln>
              <a:effectLst/>
            </c:spPr>
            <c:extLst>
              <c:ext xmlns:c16="http://schemas.microsoft.com/office/drawing/2014/chart" uri="{C3380CC4-5D6E-409C-BE32-E72D297353CC}">
                <c16:uniqueId val="{00000007-3CDD-4CCF-8679-FEF750D7E6DB}"/>
              </c:ext>
            </c:extLst>
          </c:dPt>
          <c:dPt>
            <c:idx val="4"/>
            <c:bubble3D val="0"/>
            <c:spPr>
              <a:gradFill>
                <a:gsLst>
                  <a:gs pos="100000">
                    <a:schemeClr val="accent5">
                      <a:lumMod val="60000"/>
                      <a:lumOff val="40000"/>
                    </a:schemeClr>
                  </a:gs>
                  <a:gs pos="0">
                    <a:schemeClr val="accent5"/>
                  </a:gs>
                </a:gsLst>
                <a:lin ang="5400000" scaled="0"/>
              </a:gradFill>
              <a:ln w="19050">
                <a:noFill/>
              </a:ln>
              <a:effectLst/>
            </c:spPr>
            <c:extLst>
              <c:ext xmlns:c16="http://schemas.microsoft.com/office/drawing/2014/chart" uri="{C3380CC4-5D6E-409C-BE32-E72D297353CC}">
                <c16:uniqueId val="{00000009-3CDD-4CCF-8679-FEF750D7E6DB}"/>
              </c:ext>
            </c:extLst>
          </c:dPt>
          <c:dPt>
            <c:idx val="5"/>
            <c:bubble3D val="0"/>
            <c:spPr>
              <a:gradFill>
                <a:gsLst>
                  <a:gs pos="100000">
                    <a:schemeClr val="accent6">
                      <a:lumMod val="60000"/>
                      <a:lumOff val="40000"/>
                    </a:schemeClr>
                  </a:gs>
                  <a:gs pos="0">
                    <a:schemeClr val="accent6"/>
                  </a:gs>
                </a:gsLst>
                <a:lin ang="5400000" scaled="0"/>
              </a:gradFill>
              <a:ln w="19050">
                <a:noFill/>
              </a:ln>
              <a:effectLst/>
            </c:spPr>
            <c:extLst>
              <c:ext xmlns:c16="http://schemas.microsoft.com/office/drawing/2014/chart" uri="{C3380CC4-5D6E-409C-BE32-E72D297353CC}">
                <c16:uniqueId val="{0000000B-3CDD-4CCF-8679-FEF750D7E6DB}"/>
              </c:ext>
            </c:extLst>
          </c:dPt>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Sheet1!$A$3:$A$12</c:f>
              <c:strCache>
                <c:ptCount val="10"/>
                <c:pt idx="0">
                  <c:v>Vendime Gjyqësore</c:v>
                </c:pt>
                <c:pt idx="1">
                  <c:v>Investime</c:v>
                </c:pt>
                <c:pt idx="2">
                  <c:v>Detyrime të prapambetura të tjera</c:v>
                </c:pt>
                <c:pt idx="3">
                  <c:v>Detyrimet për sigurimet shoqërore</c:v>
                </c:pt>
                <c:pt idx="4">
                  <c:v>Mirëmbajtje</c:v>
                </c:pt>
                <c:pt idx="5">
                  <c:v>Rimbursimi i TVSH-së</c:v>
                </c:pt>
                <c:pt idx="6">
                  <c:v>Mallra</c:v>
                </c:pt>
                <c:pt idx="7">
                  <c:v>Të Ardhurat Personale </c:v>
                </c:pt>
                <c:pt idx="8">
                  <c:v>Shërbimet</c:v>
                </c:pt>
                <c:pt idx="9">
                  <c:v>Detyrimet për sigurimet shëndetsore</c:v>
                </c:pt>
              </c:strCache>
            </c:strRef>
          </c:cat>
          <c:val>
            <c:numRef>
              <c:f>Sheet1!$D$3:$D$12</c:f>
              <c:numCache>
                <c:formatCode>0.0%</c:formatCode>
                <c:ptCount val="10"/>
                <c:pt idx="0">
                  <c:v>0.47899999999999998</c:v>
                </c:pt>
                <c:pt idx="1">
                  <c:v>0.35499999999999998</c:v>
                </c:pt>
                <c:pt idx="2">
                  <c:v>9.5000000000000001E-2</c:v>
                </c:pt>
                <c:pt idx="3">
                  <c:v>2.3E-2</c:v>
                </c:pt>
                <c:pt idx="4">
                  <c:v>1.7999999999999999E-2</c:v>
                </c:pt>
                <c:pt idx="5">
                  <c:v>8.0000000000000002E-3</c:v>
                </c:pt>
                <c:pt idx="6">
                  <c:v>8.0000000000000002E-3</c:v>
                </c:pt>
                <c:pt idx="7">
                  <c:v>6.0000000000000001E-3</c:v>
                </c:pt>
                <c:pt idx="8">
                  <c:v>6.0000000000000001E-3</c:v>
                </c:pt>
                <c:pt idx="9">
                  <c:v>3.0000000000000001E-3</c:v>
                </c:pt>
              </c:numCache>
            </c:numRef>
          </c:val>
          <c:extLst>
            <c:ext xmlns:c16="http://schemas.microsoft.com/office/drawing/2014/chart" uri="{C3380CC4-5D6E-409C-BE32-E72D297353CC}">
              <c16:uniqueId val="{0000000C-3CDD-4CCF-8679-FEF750D7E6DB}"/>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56965363781245848"/>
          <c:y val="0.15951884392829274"/>
          <c:w val="0.37876429930710381"/>
          <c:h val="0.79975678715836196"/>
        </c:manualLayout>
      </c:layout>
      <c:overlay val="0"/>
      <c:spPr>
        <a:noFill/>
        <a:ln w="22225">
          <a:noFill/>
        </a:ln>
        <a:effectLst/>
      </c:spPr>
      <c:txPr>
        <a:bodyPr rot="0" spcFirstLastPara="1" vertOverflow="ellipsis" vert="horz" wrap="square" anchor="ctr" anchorCtr="1"/>
        <a:lstStyle/>
        <a:p>
          <a:pPr>
            <a:defRPr sz="800" b="1" i="0" u="none" strike="noStrike" kern="1200" baseline="0">
              <a:solidFill>
                <a:schemeClr val="tx1"/>
              </a:solidFill>
              <a:latin typeface="+mn-lt"/>
              <a:ea typeface="+mn-ea"/>
              <a:cs typeface="+mn-cs"/>
            </a:defRPr>
          </a:pPr>
          <a:endParaRPr lang="en-US"/>
        </a:p>
      </c:txPr>
    </c:legend>
    <c:plotVisOnly val="1"/>
    <c:dispBlanksAs val="gap"/>
    <c:showDLblsOverMax val="0"/>
  </c:chart>
  <c:spPr>
    <a:solidFill>
      <a:srgbClr val="DBEFF9"/>
    </a:solidFill>
    <a:ln w="9525" cap="flat" cmpd="sng" algn="ctr">
      <a:noFill/>
      <a:round/>
    </a:ln>
    <a:effectLst/>
  </c:spPr>
  <c:txPr>
    <a:bodyPr/>
    <a:lstStyle/>
    <a:p>
      <a:pPr>
        <a:defRPr/>
      </a:pPr>
      <a:endParaRPr lang="en-US"/>
    </a:p>
  </c:txPr>
  <c:externalData r:id="rId2">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Sheet1!$G$6</c:f>
              <c:strCache>
                <c:ptCount val="1"/>
                <c:pt idx="0">
                  <c:v>Pesha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2AE-4579-B9D0-F6E850B3AF9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2AE-4579-B9D0-F6E850B3AF9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2AE-4579-B9D0-F6E850B3AF9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2AE-4579-B9D0-F6E850B3AF9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2AE-4579-B9D0-F6E850B3AF9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D2AE-4579-B9D0-F6E850B3AF9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D2AE-4579-B9D0-F6E850B3AF9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D2AE-4579-B9D0-F6E850B3AF9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D2AE-4579-B9D0-F6E850B3AF9D}"/>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D2AE-4579-B9D0-F6E850B3AF9D}"/>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D2AE-4579-B9D0-F6E850B3AF9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bestFit"/>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Sheet1!$C$7:$C$17</c:f>
              <c:strCache>
                <c:ptCount val="11"/>
                <c:pt idx="0">
                  <c:v>Vendime Gjyqesore</c:v>
                </c:pt>
                <c:pt idx="1">
                  <c:v>Sherbime</c:v>
                </c:pt>
                <c:pt idx="2">
                  <c:v>Mirembajtje</c:v>
                </c:pt>
                <c:pt idx="3">
                  <c:v>Investime</c:v>
                </c:pt>
                <c:pt idx="4">
                  <c:v>Rimbursi.TVSH</c:v>
                </c:pt>
                <c:pt idx="5">
                  <c:v>Mallra</c:v>
                </c:pt>
                <c:pt idx="6">
                  <c:v>Te Tjera</c:v>
                </c:pt>
                <c:pt idx="7">
                  <c:v>Sig.Shoqerore</c:v>
                </c:pt>
                <c:pt idx="8">
                  <c:v>Sig.Shendet</c:v>
                </c:pt>
                <c:pt idx="9">
                  <c:v>Ardh.Personal</c:v>
                </c:pt>
                <c:pt idx="10">
                  <c:v>Tatime Tjera</c:v>
                </c:pt>
              </c:strCache>
            </c:strRef>
          </c:cat>
          <c:val>
            <c:numRef>
              <c:f>Sheet1!$G$7:$G$17</c:f>
              <c:numCache>
                <c:formatCode>0%</c:formatCode>
                <c:ptCount val="11"/>
                <c:pt idx="0">
                  <c:v>9.6118131218108249E-2</c:v>
                </c:pt>
                <c:pt idx="1">
                  <c:v>0.10940621539433025</c:v>
                </c:pt>
                <c:pt idx="2">
                  <c:v>2.2041959322432584E-2</c:v>
                </c:pt>
                <c:pt idx="3">
                  <c:v>0.4380465168054819</c:v>
                </c:pt>
                <c:pt idx="4">
                  <c:v>1.3967804142554102E-4</c:v>
                </c:pt>
                <c:pt idx="5">
                  <c:v>4.2156657848368084E-2</c:v>
                </c:pt>
                <c:pt idx="6">
                  <c:v>0.27738656930199801</c:v>
                </c:pt>
                <c:pt idx="7">
                  <c:v>9.3102023163319017E-3</c:v>
                </c:pt>
                <c:pt idx="8">
                  <c:v>6.2553264650835199E-4</c:v>
                </c:pt>
                <c:pt idx="9">
                  <c:v>3.6678931846246057E-3</c:v>
                </c:pt>
                <c:pt idx="10">
                  <c:v>1.100643920390466E-3</c:v>
                </c:pt>
              </c:numCache>
            </c:numRef>
          </c:val>
          <c:extLst>
            <c:ext xmlns:c16="http://schemas.microsoft.com/office/drawing/2014/chart" uri="{C3380CC4-5D6E-409C-BE32-E72D297353CC}">
              <c16:uniqueId val="{00000016-D2AE-4579-B9D0-F6E850B3AF9D}"/>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5841848134476655"/>
          <c:y val="0.26698782443861185"/>
          <c:w val="0.31538865203815902"/>
          <c:h val="0.63310731991834357"/>
        </c:manualLayout>
      </c:layout>
      <c:overlay val="0"/>
      <c:spPr>
        <a:solidFill>
          <a:schemeClr val="bg1"/>
        </a:solid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a:noFill/>
              </a:ln>
              <a:effectLst/>
            </c:spPr>
            <c:extLst>
              <c:ext xmlns:c16="http://schemas.microsoft.com/office/drawing/2014/chart" uri="{C3380CC4-5D6E-409C-BE32-E72D297353CC}">
                <c16:uniqueId val="{00000001-4D13-4099-B542-4F036FBBC4AD}"/>
              </c:ext>
            </c:extLst>
          </c:dPt>
          <c:dPt>
            <c:idx val="1"/>
            <c:bubble3D val="0"/>
            <c:spPr>
              <a:solidFill>
                <a:schemeClr val="accent3"/>
              </a:solidFill>
              <a:ln>
                <a:noFill/>
              </a:ln>
              <a:effectLst/>
            </c:spPr>
            <c:extLst>
              <c:ext xmlns:c16="http://schemas.microsoft.com/office/drawing/2014/chart" uri="{C3380CC4-5D6E-409C-BE32-E72D297353CC}">
                <c16:uniqueId val="{00000003-4D13-4099-B542-4F036FBBC4AD}"/>
              </c:ext>
            </c:extLst>
          </c:dPt>
          <c:dPt>
            <c:idx val="2"/>
            <c:bubble3D val="0"/>
            <c:spPr>
              <a:solidFill>
                <a:schemeClr val="accent5"/>
              </a:solidFill>
              <a:ln>
                <a:noFill/>
              </a:ln>
              <a:effectLst/>
            </c:spPr>
            <c:extLst>
              <c:ext xmlns:c16="http://schemas.microsoft.com/office/drawing/2014/chart" uri="{C3380CC4-5D6E-409C-BE32-E72D297353CC}">
                <c16:uniqueId val="{00000005-4D13-4099-B542-4F036FBBC4AD}"/>
              </c:ext>
            </c:extLst>
          </c:dPt>
          <c:dPt>
            <c:idx val="3"/>
            <c:bubble3D val="0"/>
            <c:spPr>
              <a:solidFill>
                <a:schemeClr val="accent1">
                  <a:lumMod val="60000"/>
                </a:schemeClr>
              </a:solidFill>
              <a:ln>
                <a:noFill/>
              </a:ln>
              <a:effectLst/>
            </c:spPr>
            <c:extLst>
              <c:ext xmlns:c16="http://schemas.microsoft.com/office/drawing/2014/chart" uri="{C3380CC4-5D6E-409C-BE32-E72D297353CC}">
                <c16:uniqueId val="{00000007-4D13-4099-B542-4F036FBBC4AD}"/>
              </c:ext>
            </c:extLst>
          </c:dPt>
          <c:dPt>
            <c:idx val="4"/>
            <c:bubble3D val="0"/>
            <c:spPr>
              <a:solidFill>
                <a:schemeClr val="accent3">
                  <a:lumMod val="60000"/>
                </a:schemeClr>
              </a:solidFill>
              <a:ln>
                <a:noFill/>
              </a:ln>
              <a:effectLst/>
            </c:spPr>
            <c:extLst>
              <c:ext xmlns:c16="http://schemas.microsoft.com/office/drawing/2014/chart" uri="{C3380CC4-5D6E-409C-BE32-E72D297353CC}">
                <c16:uniqueId val="{00000009-4D13-4099-B542-4F036FBBC4AD}"/>
              </c:ext>
            </c:extLst>
          </c:dPt>
          <c:dLbls>
            <c:dLbl>
              <c:idx val="0"/>
              <c:layout>
                <c:manualLayout>
                  <c:x val="4.2196683148998056E-2"/>
                  <c:y val="2.35220796603611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13-4099-B542-4F036FBBC4AD}"/>
                </c:ext>
              </c:extLst>
            </c:dLbl>
            <c:dLbl>
              <c:idx val="1"/>
              <c:layout>
                <c:manualLayout>
                  <c:x val="2.2009217208844745E-2"/>
                  <c:y val="-0.22965610590592872"/>
                </c:manualLayout>
              </c:layout>
              <c:tx>
                <c:rich>
                  <a:bodyPr/>
                  <a:lstStyle/>
                  <a:p>
                    <a:fld id="{FF34FE62-765E-CA47-90D3-1E1AAE0AB60B}" type="CATEGORYNAME">
                      <a:rPr lang="en-US" sz="800" b="1" baseline="0">
                        <a:solidFill>
                          <a:sysClr val="windowText" lastClr="000000"/>
                        </a:solidFill>
                      </a:rPr>
                      <a:pPr/>
                      <a:t>[CATEGORY NAME]</a:t>
                    </a:fld>
                    <a:r>
                      <a:rPr lang="en-US" sz="800" b="1" baseline="0">
                        <a:solidFill>
                          <a:sysClr val="windowText" lastClr="000000"/>
                        </a:solidFill>
                      </a:rPr>
                      <a:t>, </a:t>
                    </a:r>
                    <a:fld id="{AA55F753-3215-894F-83B3-AE6B1F2C464D}" type="VALUE">
                      <a:rPr lang="en-US" sz="800" b="1" baseline="0">
                        <a:solidFill>
                          <a:sysClr val="windowText" lastClr="000000"/>
                        </a:solidFill>
                      </a:rPr>
                      <a:pPr/>
                      <a:t>[VALUE]</a:t>
                    </a:fld>
                    <a:endParaRPr lang="en-US" sz="800" b="1" baseline="0">
                      <a:solidFill>
                        <a:sysClr val="windowText" lastClr="000000"/>
                      </a:solidFill>
                    </a:endParaRPr>
                  </a:p>
                </c:rich>
              </c:tx>
              <c:showLegendKey val="0"/>
              <c:showVal val="1"/>
              <c:showCatName val="1"/>
              <c:showSerName val="0"/>
              <c:showPercent val="0"/>
              <c:showBubbleSize val="0"/>
              <c:extLst>
                <c:ext xmlns:c15="http://schemas.microsoft.com/office/drawing/2012/chart" uri="{CE6537A1-D6FC-4f65-9D91-7224C49458BB}">
                  <c15:layout>
                    <c:manualLayout>
                      <c:w val="0.24081542325194957"/>
                      <c:h val="0.11553784860557768"/>
                    </c:manualLayout>
                  </c15:layout>
                  <c15:dlblFieldTable/>
                  <c15:showDataLabelsRange val="0"/>
                </c:ext>
                <c:ext xmlns:c16="http://schemas.microsoft.com/office/drawing/2014/chart" uri="{C3380CC4-5D6E-409C-BE32-E72D297353CC}">
                  <c16:uniqueId val="{00000003-4D13-4099-B542-4F036FBBC4AD}"/>
                </c:ext>
              </c:extLst>
            </c:dLbl>
            <c:dLbl>
              <c:idx val="2"/>
              <c:layout>
                <c:manualLayout>
                  <c:x val="2.8859986026926465E-2"/>
                  <c:y val="2.5184302161432959E-2"/>
                </c:manualLayout>
              </c:layout>
              <c:showLegendKey val="0"/>
              <c:showVal val="1"/>
              <c:showCatName val="1"/>
              <c:showSerName val="0"/>
              <c:showPercent val="0"/>
              <c:showBubbleSize val="0"/>
              <c:extLst>
                <c:ext xmlns:c15="http://schemas.microsoft.com/office/drawing/2012/chart" uri="{CE6537A1-D6FC-4f65-9D91-7224C49458BB}">
                  <c15:layout>
                    <c:manualLayout>
                      <c:w val="0.30075779376498796"/>
                      <c:h val="0.11553784860557768"/>
                    </c:manualLayout>
                  </c15:layout>
                </c:ext>
                <c:ext xmlns:c16="http://schemas.microsoft.com/office/drawing/2014/chart" uri="{C3380CC4-5D6E-409C-BE32-E72D297353CC}">
                  <c16:uniqueId val="{00000005-4D13-4099-B542-4F036FBBC4AD}"/>
                </c:ext>
              </c:extLst>
            </c:dLbl>
            <c:dLbl>
              <c:idx val="3"/>
              <c:layout>
                <c:manualLayout>
                  <c:x val="9.9766989557959936E-3"/>
                  <c:y val="0.13986761614957494"/>
                </c:manualLayout>
              </c:layout>
              <c:spPr>
                <a:noFill/>
                <a:ln>
                  <a:noFill/>
                </a:ln>
                <a:effectLst/>
              </c:spPr>
              <c:txPr>
                <a:bodyPr rot="0" spcFirstLastPara="1" vertOverflow="ellipsis" vert="horz" wrap="square" lIns="38100" tIns="19050" rIns="38100" bIns="19050" anchor="ctr" anchorCtr="0">
                  <a:noAutofit/>
                </a:bodyPr>
                <a:lstStyle/>
                <a:p>
                  <a:pPr algn="ctr">
                    <a:defRPr sz="750" b="1" i="0" u="none" strike="noStrike" kern="1200" baseline="0">
                      <a:solidFill>
                        <a:sysClr val="windowText" lastClr="000000"/>
                      </a:solidFill>
                      <a:latin typeface="Calibri" panose="020F0502020204030204" pitchFamily="34" charset="0"/>
                      <a:ea typeface="+mn-ea"/>
                      <a:cs typeface="+mn-cs"/>
                    </a:defRPr>
                  </a:pPr>
                  <a:endParaRPr lang="en-US"/>
                </a:p>
              </c:txPr>
              <c:showLegendKey val="0"/>
              <c:showVal val="1"/>
              <c:showCatName val="1"/>
              <c:showSerName val="0"/>
              <c:showPercent val="0"/>
              <c:showBubbleSize val="0"/>
              <c:extLst>
                <c:ext xmlns:c15="http://schemas.microsoft.com/office/drawing/2012/chart" uri="{CE6537A1-D6FC-4f65-9D91-7224C49458BB}">
                  <c15:layout>
                    <c:manualLayout>
                      <c:w val="0.32027054891519846"/>
                      <c:h val="0.18709874413108721"/>
                    </c:manualLayout>
                  </c15:layout>
                </c:ext>
                <c:ext xmlns:c16="http://schemas.microsoft.com/office/drawing/2014/chart" uri="{C3380CC4-5D6E-409C-BE32-E72D297353CC}">
                  <c16:uniqueId val="{00000007-4D13-4099-B542-4F036FBBC4AD}"/>
                </c:ext>
              </c:extLst>
            </c:dLbl>
            <c:dLbl>
              <c:idx val="4"/>
              <c:layout>
                <c:manualLayout>
                  <c:x val="-5.0370286448006986E-2"/>
                  <c:y val="5.311875856155431E-3"/>
                </c:manualLayout>
              </c:layout>
              <c:showLegendKey val="0"/>
              <c:showVal val="1"/>
              <c:showCatName val="1"/>
              <c:showSerName val="0"/>
              <c:showPercent val="0"/>
              <c:showBubbleSize val="0"/>
              <c:extLst>
                <c:ext xmlns:c15="http://schemas.microsoft.com/office/drawing/2012/chart" uri="{CE6537A1-D6FC-4f65-9D91-7224C49458BB}">
                  <c15:layout>
                    <c:manualLayout>
                      <c:w val="0.24606083951736249"/>
                      <c:h val="0.11968127490039839"/>
                    </c:manualLayout>
                  </c15:layout>
                </c:ext>
                <c:ext xmlns:c16="http://schemas.microsoft.com/office/drawing/2014/chart" uri="{C3380CC4-5D6E-409C-BE32-E72D297353CC}">
                  <c16:uniqueId val="{00000009-4D13-4099-B542-4F036FBBC4AD}"/>
                </c:ext>
              </c:extLst>
            </c:dLbl>
            <c:spPr>
              <a:noFill/>
              <a:ln>
                <a:noFill/>
              </a:ln>
              <a:effectLst/>
            </c:spPr>
            <c:txPr>
              <a:bodyPr rot="0" spcFirstLastPara="1" vertOverflow="ellipsis" vert="horz" wrap="square" lIns="38100" tIns="19050" rIns="38100" bIns="19050" anchor="ctr" anchorCtr="0">
                <a:spAutoFit/>
              </a:bodyPr>
              <a:lstStyle/>
              <a:p>
                <a:pPr algn="ctr">
                  <a:defRPr sz="750" b="1" i="0" u="none" strike="noStrike" kern="1200" baseline="0">
                    <a:solidFill>
                      <a:sysClr val="windowText" lastClr="000000"/>
                    </a:solidFill>
                    <a:latin typeface="Calibri" panose="020F0502020204030204" pitchFamily="34" charset="0"/>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extLst>
          </c:dLbls>
          <c:cat>
            <c:strRef>
              <c:f>Sheet1!$C$27:$C$31</c:f>
              <c:strCache>
                <c:ptCount val="5"/>
                <c:pt idx="0">
                  <c:v>Ndihmat</c:v>
                </c:pt>
                <c:pt idx="1">
                  <c:v>Nga tatimet dhe doganat</c:v>
                </c:pt>
                <c:pt idx="2">
                  <c:v>Të ardhura nga pushteti lokal</c:v>
                </c:pt>
                <c:pt idx="3">
                  <c:v>Të ardhura nga fondet speciale</c:v>
                </c:pt>
                <c:pt idx="4">
                  <c:v>Të ardhura jo-tatimore</c:v>
                </c:pt>
              </c:strCache>
            </c:strRef>
          </c:cat>
          <c:val>
            <c:numRef>
              <c:f>Sheet1!$D$27:$D$31</c:f>
              <c:numCache>
                <c:formatCode>0.0%</c:formatCode>
                <c:ptCount val="5"/>
                <c:pt idx="0">
                  <c:v>1.6602943487141884E-2</c:v>
                </c:pt>
                <c:pt idx="1">
                  <c:v>0.68243684421864903</c:v>
                </c:pt>
                <c:pt idx="2">
                  <c:v>4.8251540704272074E-2</c:v>
                </c:pt>
                <c:pt idx="3">
                  <c:v>0.21440842193474047</c:v>
                </c:pt>
                <c:pt idx="4">
                  <c:v>3.8300249655196496E-2</c:v>
                </c:pt>
              </c:numCache>
            </c:numRef>
          </c:val>
          <c:extLst>
            <c:ext xmlns:c16="http://schemas.microsoft.com/office/drawing/2014/chart" uri="{C3380CC4-5D6E-409C-BE32-E72D297353CC}">
              <c16:uniqueId val="{0000000A-4D13-4099-B542-4F036FBBC4AD}"/>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rgbClr val="DBEFF9"/>
    </a:solidFill>
    <a:ln w="9525" cap="flat" cmpd="sng" algn="ctr">
      <a:noFill/>
      <a:prstDash val="solid"/>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40"/>
    </mc:Choice>
    <mc:Fallback>
      <c:style val="40"/>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1444262536489865E-2"/>
          <c:y val="6.5560323721014793E-2"/>
          <c:w val="0.84007207019914587"/>
          <c:h val="0.64175559136189053"/>
        </c:manualLayout>
      </c:layout>
      <c:barChart>
        <c:barDir val="col"/>
        <c:grouping val="clustered"/>
        <c:varyColors val="0"/>
        <c:ser>
          <c:idx val="1"/>
          <c:order val="0"/>
          <c:tx>
            <c:strRef>
              <c:f>'te ardhurat 2022'!$B$19</c:f>
              <c:strCache>
                <c:ptCount val="1"/>
                <c:pt idx="0">
                  <c:v>Të ardhura nga Pushteti Vendor</c:v>
                </c:pt>
              </c:strCache>
            </c:strRef>
          </c:tx>
          <c:spPr>
            <a:solidFill>
              <a:srgbClr val="5B9BD5">
                <a:lumMod val="60000"/>
                <a:lumOff val="40000"/>
              </a:srgbClr>
            </a:solidFill>
            <a:ln>
              <a:solidFill>
                <a:srgbClr val="4472C4">
                  <a:lumMod val="60000"/>
                  <a:lumOff val="40000"/>
                </a:srgbClr>
              </a:solidFill>
            </a:ln>
          </c:spPr>
          <c:invertIfNegative val="0"/>
          <c:dLbls>
            <c:numFmt formatCode="#,##0.0" sourceLinked="0"/>
            <c:spPr>
              <a:noFill/>
              <a:ln>
                <a:noFill/>
              </a:ln>
              <a:effectLst/>
            </c:spPr>
            <c:txPr>
              <a:bodyPr/>
              <a:lstStyle/>
              <a:p>
                <a:pPr>
                  <a:defRPr b="1"/>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'Te dhenat vjetore te PV 1'!$K$46:$T$46</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ardhurat 2022'!$I$19:$R$19</c:f>
              <c:numCache>
                <c:formatCode>#,##0</c:formatCode>
                <c:ptCount val="10"/>
                <c:pt idx="0">
                  <c:v>10824.7</c:v>
                </c:pt>
                <c:pt idx="1">
                  <c:v>12447</c:v>
                </c:pt>
                <c:pt idx="2">
                  <c:v>11700</c:v>
                </c:pt>
                <c:pt idx="3">
                  <c:v>14951</c:v>
                </c:pt>
                <c:pt idx="4">
                  <c:v>18447.329999999998</c:v>
                </c:pt>
                <c:pt idx="5">
                  <c:v>21863</c:v>
                </c:pt>
                <c:pt idx="6">
                  <c:v>23102</c:v>
                </c:pt>
                <c:pt idx="7">
                  <c:v>21976</c:v>
                </c:pt>
                <c:pt idx="8">
                  <c:v>26666.449999999997</c:v>
                </c:pt>
                <c:pt idx="9">
                  <c:v>27638</c:v>
                </c:pt>
              </c:numCache>
            </c:numRef>
          </c:val>
          <c:extLst>
            <c:ext xmlns:c16="http://schemas.microsoft.com/office/drawing/2014/chart" uri="{C3380CC4-5D6E-409C-BE32-E72D297353CC}">
              <c16:uniqueId val="{00000000-F9F6-4E27-9AE3-BD169C15EC78}"/>
            </c:ext>
          </c:extLst>
        </c:ser>
        <c:dLbls>
          <c:showLegendKey val="0"/>
          <c:showVal val="0"/>
          <c:showCatName val="0"/>
          <c:showSerName val="0"/>
          <c:showPercent val="0"/>
          <c:showBubbleSize val="0"/>
        </c:dLbls>
        <c:gapWidth val="40"/>
        <c:axId val="333526144"/>
        <c:axId val="333527680"/>
      </c:barChart>
      <c:lineChart>
        <c:grouping val="standard"/>
        <c:varyColors val="0"/>
        <c:ser>
          <c:idx val="0"/>
          <c:order val="1"/>
          <c:tx>
            <c:strRef>
              <c:f>'te ardhurat 2022'!$B$20</c:f>
              <c:strCache>
                <c:ptCount val="1"/>
                <c:pt idx="0">
                  <c:v>Ritmi i ndryshimit të të ardhurave vendore</c:v>
                </c:pt>
              </c:strCache>
            </c:strRef>
          </c:tx>
          <c:spPr>
            <a:ln w="31750">
              <a:solidFill>
                <a:srgbClr val="C00000"/>
              </a:solidFill>
            </a:ln>
          </c:spPr>
          <c:marker>
            <c:symbol val="square"/>
            <c:size val="5"/>
            <c:spPr>
              <a:solidFill>
                <a:srgbClr val="0070C0"/>
              </a:solidFill>
              <a:ln>
                <a:solidFill>
                  <a:srgbClr val="FF0000"/>
                </a:solidFill>
              </a:ln>
            </c:spPr>
          </c:marker>
          <c:dLbls>
            <c:dLbl>
              <c:idx val="2"/>
              <c:layout>
                <c:manualLayout>
                  <c:x val="-3.318143742670468E-2"/>
                  <c:y val="-7.19752987729325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9F6-4E27-9AE3-BD169C15EC78}"/>
                </c:ext>
              </c:extLst>
            </c:dLbl>
            <c:dLbl>
              <c:idx val="3"/>
              <c:layout>
                <c:manualLayout>
                  <c:x val="-3.2869751560692564E-2"/>
                  <c:y val="-7.55052955528446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9F6-4E27-9AE3-BD169C15EC78}"/>
                </c:ext>
              </c:extLst>
            </c:dLbl>
            <c:dLbl>
              <c:idx val="7"/>
              <c:layout>
                <c:manualLayout>
                  <c:x val="-3.7234122330453374E-2"/>
                  <c:y val="-0.11427648320609678"/>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9F6-4E27-9AE3-BD169C15EC78}"/>
                </c:ext>
              </c:extLst>
            </c:dLbl>
            <c:spPr>
              <a:noFill/>
              <a:ln>
                <a:noFill/>
              </a:ln>
              <a:effectLst/>
            </c:spPr>
            <c:txPr>
              <a:bodyPr/>
              <a:lstStyle/>
              <a:p>
                <a:pPr>
                  <a:defRPr b="1"/>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'te ardhurat 2022'!$I$18:$R$18</c:f>
              <c:numCache>
                <c:formatCode>General</c:formatCode>
                <c:ptCount val="10"/>
                <c:pt idx="0">
                  <c:v>2013</c:v>
                </c:pt>
                <c:pt idx="1">
                  <c:v>2014</c:v>
                </c:pt>
                <c:pt idx="2">
                  <c:v>2015</c:v>
                </c:pt>
                <c:pt idx="3">
                  <c:v>2016</c:v>
                </c:pt>
                <c:pt idx="4">
                  <c:v>2017</c:v>
                </c:pt>
                <c:pt idx="5">
                  <c:v>2018</c:v>
                </c:pt>
                <c:pt idx="6">
                  <c:v>2019</c:v>
                </c:pt>
                <c:pt idx="7">
                  <c:v>2020</c:v>
                </c:pt>
                <c:pt idx="8">
                  <c:v>2021</c:v>
                </c:pt>
                <c:pt idx="9">
                  <c:v>2022</c:v>
                </c:pt>
              </c:numCache>
            </c:numRef>
          </c:cat>
          <c:val>
            <c:numRef>
              <c:f>'te ardhurat 2022'!$I$20:$R$20</c:f>
              <c:numCache>
                <c:formatCode>0%</c:formatCode>
                <c:ptCount val="10"/>
                <c:pt idx="0">
                  <c:v>-3.158670227461025E-3</c:v>
                </c:pt>
                <c:pt idx="1">
                  <c:v>0.14987020425508321</c:v>
                </c:pt>
                <c:pt idx="2">
                  <c:v>-6.0014461315979754E-2</c:v>
                </c:pt>
                <c:pt idx="3">
                  <c:v>0.27786324786324784</c:v>
                </c:pt>
                <c:pt idx="4">
                  <c:v>0.23385258511136367</c:v>
                </c:pt>
                <c:pt idx="5">
                  <c:v>0.18515796052870537</c:v>
                </c:pt>
                <c:pt idx="6">
                  <c:v>5.6671088139779537E-2</c:v>
                </c:pt>
                <c:pt idx="7">
                  <c:v>-4.8740368799238161E-2</c:v>
                </c:pt>
                <c:pt idx="8">
                  <c:v>0.21343511103021465</c:v>
                </c:pt>
                <c:pt idx="9">
                  <c:v>3.6433421021545911E-2</c:v>
                </c:pt>
              </c:numCache>
            </c:numRef>
          </c:val>
          <c:smooth val="1"/>
          <c:extLst>
            <c:ext xmlns:c16="http://schemas.microsoft.com/office/drawing/2014/chart" uri="{C3380CC4-5D6E-409C-BE32-E72D297353CC}">
              <c16:uniqueId val="{00000004-F9F6-4E27-9AE3-BD169C15EC78}"/>
            </c:ext>
          </c:extLst>
        </c:ser>
        <c:dLbls>
          <c:showLegendKey val="0"/>
          <c:showVal val="0"/>
          <c:showCatName val="0"/>
          <c:showSerName val="0"/>
          <c:showPercent val="0"/>
          <c:showBubbleSize val="0"/>
        </c:dLbls>
        <c:marker val="1"/>
        <c:smooth val="0"/>
        <c:axId val="333534336"/>
        <c:axId val="333535872"/>
      </c:lineChart>
      <c:catAx>
        <c:axId val="333526144"/>
        <c:scaling>
          <c:orientation val="minMax"/>
        </c:scaling>
        <c:delete val="0"/>
        <c:axPos val="b"/>
        <c:numFmt formatCode="General" sourceLinked="1"/>
        <c:majorTickMark val="cross"/>
        <c:minorTickMark val="none"/>
        <c:tickLblPos val="nextTo"/>
        <c:txPr>
          <a:bodyPr rot="0" vert="horz"/>
          <a:lstStyle/>
          <a:p>
            <a:pPr>
              <a:defRPr b="1"/>
            </a:pPr>
            <a:endParaRPr lang="en-US"/>
          </a:p>
        </c:txPr>
        <c:crossAx val="333527680"/>
        <c:crosses val="autoZero"/>
        <c:auto val="0"/>
        <c:lblAlgn val="ctr"/>
        <c:lblOffset val="100"/>
        <c:tickLblSkip val="1"/>
        <c:tickMarkSkip val="1"/>
        <c:noMultiLvlLbl val="0"/>
      </c:catAx>
      <c:valAx>
        <c:axId val="333527680"/>
        <c:scaling>
          <c:orientation val="minMax"/>
        </c:scaling>
        <c:delete val="0"/>
        <c:axPos val="l"/>
        <c:title>
          <c:tx>
            <c:rich>
              <a:bodyPr/>
              <a:lstStyle/>
              <a:p>
                <a:pPr>
                  <a:defRPr/>
                </a:pPr>
                <a:r>
                  <a:rPr lang="sq-AL"/>
                  <a:t>Në miliardë</a:t>
                </a:r>
              </a:p>
            </c:rich>
          </c:tx>
          <c:layout>
            <c:manualLayout>
              <c:xMode val="edge"/>
              <c:yMode val="edge"/>
              <c:x val="2.1100178275251088E-3"/>
              <c:y val="2.0867950363891792E-3"/>
            </c:manualLayout>
          </c:layout>
          <c:overlay val="0"/>
        </c:title>
        <c:numFmt formatCode="#,##0.0" sourceLinked="0"/>
        <c:majorTickMark val="cross"/>
        <c:minorTickMark val="none"/>
        <c:tickLblPos val="nextTo"/>
        <c:txPr>
          <a:bodyPr rot="0" vert="horz"/>
          <a:lstStyle/>
          <a:p>
            <a:pPr>
              <a:defRPr/>
            </a:pPr>
            <a:endParaRPr lang="en-US"/>
          </a:p>
        </c:txPr>
        <c:crossAx val="333526144"/>
        <c:crosses val="autoZero"/>
        <c:crossBetween val="between"/>
        <c:dispUnits>
          <c:builtInUnit val="thousands"/>
        </c:dispUnits>
      </c:valAx>
      <c:catAx>
        <c:axId val="333534336"/>
        <c:scaling>
          <c:orientation val="minMax"/>
        </c:scaling>
        <c:delete val="1"/>
        <c:axPos val="b"/>
        <c:numFmt formatCode="General" sourceLinked="1"/>
        <c:majorTickMark val="out"/>
        <c:minorTickMark val="none"/>
        <c:tickLblPos val="nextTo"/>
        <c:crossAx val="333535872"/>
        <c:crosses val="autoZero"/>
        <c:auto val="0"/>
        <c:lblAlgn val="ctr"/>
        <c:lblOffset val="100"/>
        <c:noMultiLvlLbl val="0"/>
      </c:catAx>
      <c:valAx>
        <c:axId val="333535872"/>
        <c:scaling>
          <c:orientation val="minMax"/>
        </c:scaling>
        <c:delete val="0"/>
        <c:axPos val="r"/>
        <c:numFmt formatCode="0%" sourceLinked="0"/>
        <c:majorTickMark val="cross"/>
        <c:minorTickMark val="none"/>
        <c:tickLblPos val="nextTo"/>
        <c:txPr>
          <a:bodyPr rot="0" vert="horz"/>
          <a:lstStyle/>
          <a:p>
            <a:pPr>
              <a:defRPr/>
            </a:pPr>
            <a:endParaRPr lang="en-US"/>
          </a:p>
        </c:txPr>
        <c:crossAx val="333534336"/>
        <c:crosses val="max"/>
        <c:crossBetween val="between"/>
      </c:valAx>
      <c:spPr>
        <a:solidFill>
          <a:srgbClr val="DBEFF9"/>
        </a:solidFill>
      </c:spPr>
    </c:plotArea>
    <c:legend>
      <c:legendPos val="b"/>
      <c:legendEntry>
        <c:idx val="1"/>
        <c:txPr>
          <a:bodyPr/>
          <a:lstStyle/>
          <a:p>
            <a:pPr>
              <a:defRPr b="1"/>
            </a:pPr>
            <a:endParaRPr lang="en-US"/>
          </a:p>
        </c:txPr>
      </c:legendEntry>
      <c:layout>
        <c:manualLayout>
          <c:xMode val="edge"/>
          <c:yMode val="edge"/>
          <c:x val="8.9208689339364489E-2"/>
          <c:y val="0.87524015081871109"/>
          <c:w val="0.86516280943441803"/>
          <c:h val="9.0301689816862818E-2"/>
        </c:manualLayout>
      </c:layout>
      <c:overlay val="0"/>
      <c:txPr>
        <a:bodyPr/>
        <a:lstStyle/>
        <a:p>
          <a:pPr>
            <a:defRPr b="1"/>
          </a:pPr>
          <a:endParaRPr lang="en-US"/>
        </a:p>
      </c:txPr>
    </c:legend>
    <c:plotVisOnly val="1"/>
    <c:dispBlanksAs val="gap"/>
    <c:showDLblsOverMax val="0"/>
  </c:chart>
  <c:spPr>
    <a:solidFill>
      <a:srgbClr val="DBEFF9"/>
    </a:solidFill>
    <a:ln>
      <a:noFill/>
    </a:ln>
  </c:spPr>
  <c:txPr>
    <a:bodyPr/>
    <a:lstStyle/>
    <a:p>
      <a:pPr>
        <a:defRPr sz="800" b="0" i="0" u="none" strike="noStrike" baseline="0">
          <a:solidFill>
            <a:srgbClr val="000000"/>
          </a:solidFill>
          <a:latin typeface="Calibri"/>
          <a:ea typeface="Calibri"/>
          <a:cs typeface="Calibri"/>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2">
                  <a:lumMod val="60000"/>
                  <a:lumOff val="40000"/>
                </a:schemeClr>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B248-471F-BA61-A92C69C849F4}"/>
              </c:ext>
            </c:extLst>
          </c:dPt>
          <c:dPt>
            <c:idx val="1"/>
            <c:bubble3D val="0"/>
            <c:spPr>
              <a:solidFill>
                <a:srgbClr val="FFC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B248-471F-BA61-A92C69C849F4}"/>
              </c:ext>
            </c:extLst>
          </c:dPt>
          <c:dPt>
            <c:idx val="2"/>
            <c:bubble3D val="0"/>
            <c:spPr>
              <a:solidFill>
                <a:srgbClr val="C00000"/>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B248-471F-BA61-A92C69C849F4}"/>
              </c:ext>
            </c:extLst>
          </c:dPt>
          <c:dLbls>
            <c:dLbl>
              <c:idx val="0"/>
              <c:layout>
                <c:manualLayout>
                  <c:x val="-0.16681074708653296"/>
                  <c:y val="-0.25725503062117233"/>
                </c:manualLayout>
              </c:layout>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j-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B248-471F-BA61-A92C69C849F4}"/>
                </c:ext>
              </c:extLst>
            </c:dLbl>
            <c:dLbl>
              <c:idx val="1"/>
              <c:layout>
                <c:manualLayout>
                  <c:x val="5.8891185930718362E-2"/>
                  <c:y val="0.11440603556842388"/>
                </c:manualLayout>
              </c:layout>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j-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B248-471F-BA61-A92C69C849F4}"/>
                </c:ext>
              </c:extLst>
            </c:dLbl>
            <c:dLbl>
              <c:idx val="2"/>
              <c:layout>
                <c:manualLayout>
                  <c:x val="0.19806781415678243"/>
                  <c:y val="9.9459764838812192E-2"/>
                </c:manualLayout>
              </c:layout>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j-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B248-471F-BA61-A92C69C849F4}"/>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j-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'te ardhurat 2022'!$AA$40:$AA$42</c:f>
              <c:strCache>
                <c:ptCount val="3"/>
                <c:pt idx="0">
                  <c:v>Taksat Lokale</c:v>
                </c:pt>
                <c:pt idx="1">
                  <c:v>Taksa mbi pasurinë</c:v>
                </c:pt>
                <c:pt idx="2">
                  <c:v>Taksa e biznesit të vogël</c:v>
                </c:pt>
              </c:strCache>
            </c:strRef>
          </c:cat>
          <c:val>
            <c:numRef>
              <c:f>'te ardhurat 2022'!$AB$40:$AB$42</c:f>
              <c:numCache>
                <c:formatCode>0.00%</c:formatCode>
                <c:ptCount val="3"/>
                <c:pt idx="0">
                  <c:v>0.77529999999999999</c:v>
                </c:pt>
                <c:pt idx="1">
                  <c:v>0.22209999999999999</c:v>
                </c:pt>
                <c:pt idx="2">
                  <c:v>2.5999999999999999E-3</c:v>
                </c:pt>
              </c:numCache>
            </c:numRef>
          </c:val>
          <c:extLst>
            <c:ext xmlns:c16="http://schemas.microsoft.com/office/drawing/2014/chart" uri="{C3380CC4-5D6E-409C-BE32-E72D297353CC}">
              <c16:uniqueId val="{00000006-B248-471F-BA61-A92C69C849F4}"/>
            </c:ext>
          </c:extLst>
        </c:ser>
        <c:dLbls>
          <c:dLblPos val="ctr"/>
          <c:showLegendKey val="0"/>
          <c:showVal val="0"/>
          <c:showCatName val="1"/>
          <c:showSerName val="0"/>
          <c:showPercent val="0"/>
          <c:showBubbleSize val="0"/>
          <c:showLeaderLines val="1"/>
        </c:dLbls>
        <c:firstSliceAng val="0"/>
      </c:pie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2"/>
    </a:solidFill>
    <a:ln w="9525" cap="flat" cmpd="sng" algn="ctr">
      <a:solidFill>
        <a:schemeClr val="bg2">
          <a:lumMod val="90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'[Chart 2 in Microsoft Word]Sheet1'!$C$102</c:f>
              <c:strCache>
                <c:ptCount val="1"/>
                <c:pt idx="0">
                  <c:v>Të ardhura nga fondet speciale</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manualLayout>
                  <c:x val="-8.7827544062224734E-18"/>
                  <c:y val="1.8620508785732924E-2"/>
                </c:manualLayout>
              </c:layout>
              <c:tx>
                <c:rich>
                  <a:bodyPr/>
                  <a:lstStyle/>
                  <a:p>
                    <a:fld id="{0435E10B-73B7-455A-B111-77446213F417}" type="VALUE">
                      <a:rPr lang="en-US" baseline="0">
                        <a:solidFill>
                          <a:schemeClr val="tx1">
                            <a:lumMod val="65000"/>
                            <a:lumOff val="35000"/>
                          </a:schemeClr>
                        </a:solidFill>
                      </a:rPr>
                      <a:pPr/>
                      <a:t>[VALUE]</a:t>
                    </a:fld>
                    <a:endParaRPr lang="en-US"/>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7B87-4631-867B-289B54C44877}"/>
                </c:ext>
              </c:extLst>
            </c:dLbl>
            <c:dLbl>
              <c:idx val="1"/>
              <c:layout>
                <c:manualLayout>
                  <c:x val="0"/>
                  <c:y val="1.337529504327291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B87-4631-867B-289B54C44877}"/>
                </c:ext>
              </c:extLst>
            </c:dLbl>
            <c:dLbl>
              <c:idx val="2"/>
              <c:layout>
                <c:manualLayout>
                  <c:x val="1.9162594615310914E-3"/>
                  <c:y val="2.38657225281929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87-4631-867B-289B54C44877}"/>
                </c:ext>
              </c:extLst>
            </c:dLbl>
            <c:dLbl>
              <c:idx val="3"/>
              <c:layout>
                <c:manualLayout>
                  <c:x val="0"/>
                  <c:y val="1.33752950432729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B87-4631-867B-289B54C44877}"/>
                </c:ext>
              </c:extLst>
            </c:dLbl>
            <c:dLbl>
              <c:idx val="4"/>
              <c:layout>
                <c:manualLayout>
                  <c:x val="0"/>
                  <c:y val="1.86205087857330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87-4631-867B-289B54C44877}"/>
                </c:ext>
              </c:extLst>
            </c:dLbl>
            <c:dLbl>
              <c:idx val="5"/>
              <c:layout>
                <c:manualLayout>
                  <c:x val="0"/>
                  <c:y val="2.386572252819297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B87-4631-867B-289B54C44877}"/>
                </c:ext>
              </c:extLst>
            </c:dLbl>
            <c:dLbl>
              <c:idx val="6"/>
              <c:layout>
                <c:manualLayout>
                  <c:x val="-7.0262035249779787E-17"/>
                  <c:y val="1.33752950432729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87-4631-867B-289B54C44877}"/>
                </c:ext>
              </c:extLst>
            </c:dLbl>
            <c:dLbl>
              <c:idx val="7"/>
              <c:layout>
                <c:manualLayout>
                  <c:x val="0"/>
                  <c:y val="1.33752950432730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B87-4631-867B-289B54C44877}"/>
                </c:ext>
              </c:extLst>
            </c:dLbl>
            <c:dLbl>
              <c:idx val="8"/>
              <c:layout>
                <c:manualLayout>
                  <c:x val="0"/>
                  <c:y val="1.337529504327301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B87-4631-867B-289B54C44877}"/>
                </c:ext>
              </c:extLst>
            </c:dLbl>
            <c:dLbl>
              <c:idx val="9"/>
              <c:layout>
                <c:manualLayout>
                  <c:x val="0"/>
                  <c:y val="1.862050878573301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B87-4631-867B-289B54C44877}"/>
                </c:ext>
              </c:extLst>
            </c:dLbl>
            <c:dLbl>
              <c:idx val="10"/>
              <c:layout>
                <c:manualLayout>
                  <c:x val="1.9162594615310914E-3"/>
                  <c:y val="2.386572252819299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B87-4631-867B-289B54C4487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65000"/>
                        <a:lumOff val="35000"/>
                      </a:schemeClr>
                    </a:solidFill>
                    <a:latin typeface="Calibri" panose="020F0502020204030204" pitchFamily="34"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'[Chart 2 in Microsoft Word]Sheet1'!$D$101:$N$101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2022</c:v>
                </c:pt>
              </c:numCache>
            </c:numRef>
          </c:cat>
          <c:val>
            <c:numRef>
              <c:f>'[Chart 2 in Microsoft Word]Sheet1'!$D$102:$N$102</c:f>
              <c:numCache>
                <c:formatCode>_(* #,##0.0_);_(* \(#,##0.0\);_(* "-"??_);_(@_)</c:formatCode>
                <c:ptCount val="11"/>
                <c:pt idx="0">
                  <c:v>57.4</c:v>
                </c:pt>
                <c:pt idx="1">
                  <c:v>60</c:v>
                </c:pt>
                <c:pt idx="2">
                  <c:v>70</c:v>
                </c:pt>
                <c:pt idx="3">
                  <c:v>71.7</c:v>
                </c:pt>
                <c:pt idx="4">
                  <c:v>79.2</c:v>
                </c:pt>
                <c:pt idx="5">
                  <c:v>86.8</c:v>
                </c:pt>
                <c:pt idx="6">
                  <c:v>93.2</c:v>
                </c:pt>
                <c:pt idx="7">
                  <c:v>98.4</c:v>
                </c:pt>
                <c:pt idx="8">
                  <c:v>97.7</c:v>
                </c:pt>
                <c:pt idx="9">
                  <c:v>110.9</c:v>
                </c:pt>
                <c:pt idx="10">
                  <c:v>122.81100000000001</c:v>
                </c:pt>
              </c:numCache>
            </c:numRef>
          </c:val>
          <c:extLst>
            <c:ext xmlns:c16="http://schemas.microsoft.com/office/drawing/2014/chart" uri="{C3380CC4-5D6E-409C-BE32-E72D297353CC}">
              <c16:uniqueId val="{0000000B-7B87-4631-867B-289B54C44877}"/>
            </c:ext>
          </c:extLst>
        </c:ser>
        <c:dLbls>
          <c:dLblPos val="inEnd"/>
          <c:showLegendKey val="0"/>
          <c:showVal val="1"/>
          <c:showCatName val="0"/>
          <c:showSerName val="0"/>
          <c:showPercent val="0"/>
          <c:showBubbleSize val="0"/>
        </c:dLbls>
        <c:gapWidth val="41"/>
        <c:axId val="334711808"/>
        <c:axId val="334714752"/>
      </c:barChart>
      <c:catAx>
        <c:axId val="3347118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1" i="0" u="none" strike="noStrike" kern="1200" baseline="0">
                <a:solidFill>
                  <a:schemeClr val="dk1">
                    <a:lumMod val="65000"/>
                    <a:lumOff val="35000"/>
                  </a:schemeClr>
                </a:solidFill>
                <a:effectLst/>
                <a:latin typeface="Calibri" panose="020F0502020204030204" pitchFamily="34" charset="0"/>
                <a:ea typeface="+mn-ea"/>
                <a:cs typeface="+mn-cs"/>
              </a:defRPr>
            </a:pPr>
            <a:endParaRPr lang="en-US"/>
          </a:p>
        </c:txPr>
        <c:crossAx val="334714752"/>
        <c:crosses val="autoZero"/>
        <c:auto val="1"/>
        <c:lblAlgn val="ctr"/>
        <c:lblOffset val="100"/>
        <c:noMultiLvlLbl val="0"/>
      </c:catAx>
      <c:valAx>
        <c:axId val="334714752"/>
        <c:scaling>
          <c:orientation val="minMax"/>
        </c:scaling>
        <c:delete val="1"/>
        <c:axPos val="l"/>
        <c:numFmt formatCode="_(* #,##0.0_);_(* \(#,##0.0\);_(* &quot;-&quot;??_);_(@_)" sourceLinked="1"/>
        <c:majorTickMark val="none"/>
        <c:minorTickMark val="none"/>
        <c:tickLblPos val="nextTo"/>
        <c:crossAx val="334711808"/>
        <c:crosses val="autoZero"/>
        <c:crossBetween val="between"/>
      </c:valAx>
      <c:spPr>
        <a:noFill/>
        <a:ln>
          <a:noFill/>
        </a:ln>
        <a:effectLst/>
      </c:spPr>
    </c:plotArea>
    <c:plotVisOnly val="1"/>
    <c:dispBlanksAs val="gap"/>
    <c:showDLblsOverMax val="0"/>
  </c:chart>
  <c:spPr>
    <a:solidFill>
      <a:schemeClr val="bg2"/>
    </a:solidFill>
    <a:ln w="9525" cap="flat" cmpd="sng" algn="ctr">
      <a:solidFill>
        <a:schemeClr val="dk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5">
                  <a:shade val="65000"/>
                </a:schemeClr>
              </a:solidFill>
              <a:ln w="19050">
                <a:solidFill>
                  <a:schemeClr val="lt1"/>
                </a:solidFill>
              </a:ln>
              <a:effectLst/>
            </c:spPr>
            <c:extLst>
              <c:ext xmlns:c16="http://schemas.microsoft.com/office/drawing/2014/chart" uri="{C3380CC4-5D6E-409C-BE32-E72D297353CC}">
                <c16:uniqueId val="{00000001-0BA0-490D-976F-EA5D50E66DA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0BA0-490D-976F-EA5D50E66DAB}"/>
              </c:ext>
            </c:extLst>
          </c:dPt>
          <c:dPt>
            <c:idx val="2"/>
            <c:bubble3D val="0"/>
            <c:spPr>
              <a:solidFill>
                <a:schemeClr val="accent5">
                  <a:tint val="65000"/>
                </a:schemeClr>
              </a:solidFill>
              <a:ln w="19050">
                <a:solidFill>
                  <a:schemeClr val="lt1"/>
                </a:solidFill>
              </a:ln>
              <a:effectLst/>
            </c:spPr>
            <c:extLst>
              <c:ext xmlns:c16="http://schemas.microsoft.com/office/drawing/2014/chart" uri="{C3380CC4-5D6E-409C-BE32-E72D297353CC}">
                <c16:uniqueId val="{00000005-0BA0-490D-976F-EA5D50E66DAB}"/>
              </c:ext>
            </c:extLst>
          </c:dPt>
          <c:dLbls>
            <c:dLbl>
              <c:idx val="0"/>
              <c:layout>
                <c:manualLayout>
                  <c:x val="-1.386090197675563E-3"/>
                  <c:y val="-0.10657098366435538"/>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3237641316676289"/>
                      <c:h val="0.1552860696517413"/>
                    </c:manualLayout>
                  </c15:layout>
                </c:ext>
                <c:ext xmlns:c16="http://schemas.microsoft.com/office/drawing/2014/chart" uri="{C3380CC4-5D6E-409C-BE32-E72D297353CC}">
                  <c16:uniqueId val="{00000001-0BA0-490D-976F-EA5D50E66DAB}"/>
                </c:ext>
              </c:extLst>
            </c:dLbl>
            <c:dLbl>
              <c:idx val="1"/>
              <c:layout>
                <c:manualLayout>
                  <c:x val="5.4155772587645923E-2"/>
                  <c:y val="1.8000548438907827E-3"/>
                </c:manualLayout>
              </c:layout>
              <c:dLblPos val="bestFit"/>
              <c:showLegendKey val="0"/>
              <c:showVal val="1"/>
              <c:showCatName val="1"/>
              <c:showSerName val="0"/>
              <c:showPercent val="0"/>
              <c:showBubbleSize val="0"/>
              <c:extLst>
                <c:ext xmlns:c15="http://schemas.microsoft.com/office/drawing/2012/chart" uri="{CE6537A1-D6FC-4f65-9D91-7224C49458BB}">
                  <c15:layout>
                    <c:manualLayout>
                      <c:w val="0.26058234140389236"/>
                      <c:h val="0.1552860696517413"/>
                    </c:manualLayout>
                  </c15:layout>
                </c:ext>
                <c:ext xmlns:c16="http://schemas.microsoft.com/office/drawing/2014/chart" uri="{C3380CC4-5D6E-409C-BE32-E72D297353CC}">
                  <c16:uniqueId val="{00000003-0BA0-490D-976F-EA5D50E66DAB}"/>
                </c:ext>
              </c:extLst>
            </c:dLbl>
            <c:dLbl>
              <c:idx val="2"/>
              <c:layout>
                <c:manualLayout>
                  <c:x val="0.23729208405162372"/>
                  <c:y val="0"/>
                </c:manualLayout>
              </c:layout>
              <c:spPr>
                <a:noFill/>
                <a:ln>
                  <a:noFill/>
                </a:ln>
                <a:effectLst/>
              </c:spPr>
              <c:txPr>
                <a:bodyPr rot="0" vert="horz" lIns="38100" tIns="19050" rIns="38100" bIns="19050">
                  <a:noAutofit/>
                </a:bodyPr>
                <a:lstStyle/>
                <a:p>
                  <a:pPr>
                    <a:defRPr sz="750" b="1" i="0" baseline="0">
                      <a:latin typeface="Calibri" panose="020F0502020204030204" pitchFamily="34" charset="0"/>
                    </a:defRPr>
                  </a:pPr>
                  <a:endParaRPr lang="en-US"/>
                </a:p>
              </c:txPr>
              <c:dLblPos val="bestFit"/>
              <c:showLegendKey val="0"/>
              <c:showVal val="1"/>
              <c:showCatName val="1"/>
              <c:showSerName val="0"/>
              <c:showPercent val="0"/>
              <c:showBubbleSize val="0"/>
              <c:extLst>
                <c:ext xmlns:c15="http://schemas.microsoft.com/office/drawing/2012/chart" uri="{CE6537A1-D6FC-4f65-9D91-7224C49458BB}">
                  <c15:layout>
                    <c:manualLayout>
                      <c:w val="0.40608120485612248"/>
                      <c:h val="0.16141193638108667"/>
                    </c:manualLayout>
                  </c15:layout>
                </c:ext>
                <c:ext xmlns:c16="http://schemas.microsoft.com/office/drawing/2014/chart" uri="{C3380CC4-5D6E-409C-BE32-E72D297353CC}">
                  <c16:uniqueId val="{00000005-0BA0-490D-976F-EA5D50E66DAB}"/>
                </c:ext>
              </c:extLst>
            </c:dLbl>
            <c:spPr>
              <a:noFill/>
              <a:ln>
                <a:noFill/>
              </a:ln>
              <a:effectLst/>
            </c:spPr>
            <c:txPr>
              <a:bodyPr rot="0" vert="horz" lIns="38100" tIns="19050" rIns="38100" bIns="19050">
                <a:spAutoFit/>
              </a:bodyPr>
              <a:lstStyle/>
              <a:p>
                <a:pPr>
                  <a:defRPr sz="750" b="1" i="0" baseline="0">
                    <a:latin typeface="Calibri" panose="020F0502020204030204" pitchFamily="34" charset="0"/>
                  </a:defRPr>
                </a:pPr>
                <a:endParaRPr lang="en-US"/>
              </a:p>
            </c:txPr>
            <c:dLblPos val="in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Sheet1!$C$116:$C$118</c:f>
              <c:strCache>
                <c:ptCount val="3"/>
                <c:pt idx="0">
                  <c:v>Sigurimi shoqëror</c:v>
                </c:pt>
                <c:pt idx="1">
                  <c:v>Sigurimi shëndetësor</c:v>
                </c:pt>
                <c:pt idx="2">
                  <c:v>Të ardhurat për kompensimin në vlerë të pronarëve</c:v>
                </c:pt>
              </c:strCache>
            </c:strRef>
          </c:cat>
          <c:val>
            <c:numRef>
              <c:f>Sheet1!$D$116:$D$118</c:f>
              <c:numCache>
                <c:formatCode>0.0%</c:formatCode>
                <c:ptCount val="3"/>
                <c:pt idx="0">
                  <c:v>0.86018353404825298</c:v>
                </c:pt>
                <c:pt idx="1">
                  <c:v>0.13244741920512007</c:v>
                </c:pt>
                <c:pt idx="2">
                  <c:v>7.369046746626931E-3</c:v>
                </c:pt>
              </c:numCache>
            </c:numRef>
          </c:val>
          <c:extLst>
            <c:ext xmlns:c16="http://schemas.microsoft.com/office/drawing/2014/chart" uri="{C3380CC4-5D6E-409C-BE32-E72D297353CC}">
              <c16:uniqueId val="{00000006-0BA0-490D-976F-EA5D50E66DAB}"/>
            </c:ext>
          </c:extLst>
        </c:ser>
        <c:dLbls>
          <c:dLblPos val="inEnd"/>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rgbClr val="DBEFF9"/>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5">
                  <a:shade val="53000"/>
                </a:schemeClr>
              </a:solidFill>
              <a:ln w="19050">
                <a:solidFill>
                  <a:schemeClr val="lt1"/>
                </a:solidFill>
              </a:ln>
              <a:effectLst/>
            </c:spPr>
            <c:extLst>
              <c:ext xmlns:c16="http://schemas.microsoft.com/office/drawing/2014/chart" uri="{C3380CC4-5D6E-409C-BE32-E72D297353CC}">
                <c16:uniqueId val="{00000001-F7B9-48DB-A8F2-79A9A55223CE}"/>
              </c:ext>
            </c:extLst>
          </c:dPt>
          <c:dPt>
            <c:idx val="1"/>
            <c:bubble3D val="0"/>
            <c:spPr>
              <a:solidFill>
                <a:schemeClr val="accent5">
                  <a:shade val="76000"/>
                </a:schemeClr>
              </a:solidFill>
              <a:ln w="19050">
                <a:solidFill>
                  <a:schemeClr val="lt1"/>
                </a:solidFill>
              </a:ln>
              <a:effectLst/>
            </c:spPr>
            <c:extLst>
              <c:ext xmlns:c16="http://schemas.microsoft.com/office/drawing/2014/chart" uri="{C3380CC4-5D6E-409C-BE32-E72D297353CC}">
                <c16:uniqueId val="{00000003-F7B9-48DB-A8F2-79A9A55223CE}"/>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F7B9-48DB-A8F2-79A9A55223CE}"/>
              </c:ext>
            </c:extLst>
          </c:dPt>
          <c:dPt>
            <c:idx val="3"/>
            <c:bubble3D val="0"/>
            <c:spPr>
              <a:solidFill>
                <a:schemeClr val="accent5">
                  <a:tint val="77000"/>
                </a:schemeClr>
              </a:solidFill>
              <a:ln w="19050">
                <a:solidFill>
                  <a:schemeClr val="lt1"/>
                </a:solidFill>
              </a:ln>
              <a:effectLst/>
            </c:spPr>
            <c:extLst>
              <c:ext xmlns:c16="http://schemas.microsoft.com/office/drawing/2014/chart" uri="{C3380CC4-5D6E-409C-BE32-E72D297353CC}">
                <c16:uniqueId val="{00000007-F7B9-48DB-A8F2-79A9A55223CE}"/>
              </c:ext>
            </c:extLst>
          </c:dPt>
          <c:dPt>
            <c:idx val="4"/>
            <c:bubble3D val="0"/>
            <c:spPr>
              <a:solidFill>
                <a:schemeClr val="accent5">
                  <a:tint val="54000"/>
                </a:schemeClr>
              </a:solidFill>
              <a:ln w="19050">
                <a:solidFill>
                  <a:schemeClr val="lt1"/>
                </a:solidFill>
              </a:ln>
              <a:effectLst/>
            </c:spPr>
            <c:extLst>
              <c:ext xmlns:c16="http://schemas.microsoft.com/office/drawing/2014/chart" uri="{C3380CC4-5D6E-409C-BE32-E72D297353CC}">
                <c16:uniqueId val="{00000009-F7B9-48DB-A8F2-79A9A55223CE}"/>
              </c:ext>
            </c:extLst>
          </c:dPt>
          <c:dLbls>
            <c:dLbl>
              <c:idx val="0"/>
              <c:layout>
                <c:manualLayout>
                  <c:x val="4.8621724445146584E-2"/>
                  <c:y val="3.7393126288398491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7B9-48DB-A8F2-79A9A55223CE}"/>
                </c:ext>
              </c:extLst>
            </c:dLbl>
            <c:dLbl>
              <c:idx val="1"/>
              <c:layout>
                <c:manualLayout>
                  <c:x val="1.2164375940992513E-2"/>
                  <c:y val="-8.3390937518948743E-2"/>
                </c:manualLayout>
              </c:layout>
              <c:tx>
                <c:rich>
                  <a:bodyPr/>
                  <a:lstStyle/>
                  <a:p>
                    <a:fld id="{0D0EF041-8B2C-422C-9B52-979B4CD769E7}" type="CATEGORYNAME">
                      <a:rPr lang="en-US">
                        <a:solidFill>
                          <a:schemeClr val="accent1">
                            <a:lumMod val="50000"/>
                          </a:schemeClr>
                        </a:solidFill>
                      </a:rPr>
                      <a:pPr/>
                      <a:t>[CATEGORY NAME]</a:t>
                    </a:fld>
                    <a:r>
                      <a:rPr lang="en-US" baseline="0">
                        <a:solidFill>
                          <a:schemeClr val="accent1">
                            <a:lumMod val="50000"/>
                          </a:schemeClr>
                        </a:solidFill>
                      </a:rPr>
                      <a:t>, </a:t>
                    </a:r>
                    <a:fld id="{675C04DA-4A2F-44AE-A75C-E3DDA412F9B2}" type="VALUE">
                      <a:rPr lang="en-US" baseline="0">
                        <a:solidFill>
                          <a:schemeClr val="accent1">
                            <a:lumMod val="50000"/>
                          </a:schemeClr>
                        </a:solidFill>
                      </a:rPr>
                      <a:pPr/>
                      <a:t>[VALUE]</a:t>
                    </a:fld>
                    <a:endParaRPr lang="en-US" baseline="0">
                      <a:solidFill>
                        <a:schemeClr val="accent1">
                          <a:lumMod val="50000"/>
                        </a:schemeClr>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7B9-48DB-A8F2-79A9A55223CE}"/>
                </c:ext>
              </c:extLst>
            </c:dLbl>
            <c:dLbl>
              <c:idx val="3"/>
              <c:tx>
                <c:rich>
                  <a:bodyPr/>
                  <a:lstStyle/>
                  <a:p>
                    <a:fld id="{F404AACA-0602-4B51-A7C7-21C25304F489}" type="CATEGORYNAME">
                      <a:rPr lang="en-US" sz="800">
                        <a:solidFill>
                          <a:schemeClr val="accent1">
                            <a:lumMod val="50000"/>
                          </a:schemeClr>
                        </a:solidFill>
                      </a:rPr>
                      <a:pPr/>
                      <a:t>[CATEGORY NAME]</a:t>
                    </a:fld>
                    <a:r>
                      <a:rPr lang="en-US" sz="900" baseline="0">
                        <a:solidFill>
                          <a:schemeClr val="accent1">
                            <a:lumMod val="50000"/>
                          </a:schemeClr>
                        </a:solidFill>
                      </a:rPr>
                      <a:t>, </a:t>
                    </a:r>
                    <a:fld id="{65204A2F-94D5-4092-BD5C-61B5DAA96CC1}" type="VALUE">
                      <a:rPr lang="en-US" sz="800" baseline="0">
                        <a:solidFill>
                          <a:schemeClr val="accent1">
                            <a:lumMod val="50000"/>
                          </a:schemeClr>
                        </a:solidFill>
                      </a:rPr>
                      <a:pPr/>
                      <a:t>[VALUE]</a:t>
                    </a:fld>
                    <a:endParaRPr lang="en-US" sz="900" baseline="0">
                      <a:solidFill>
                        <a:schemeClr val="accent1">
                          <a:lumMod val="50000"/>
                        </a:schemeClr>
                      </a:solidFill>
                    </a:endParaRP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F7B9-48DB-A8F2-79A9A55223CE}"/>
                </c:ext>
              </c:extLst>
            </c:dLbl>
            <c:dLbl>
              <c:idx val="4"/>
              <c:layout>
                <c:manualLayout>
                  <c:x val="8.9609177780688609E-2"/>
                  <c:y val="0.17873366076765151"/>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7B9-48DB-A8F2-79A9A55223CE}"/>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accent1">
                        <a:lumMod val="50000"/>
                      </a:schemeClr>
                    </a:solidFill>
                    <a:latin typeface="Calibri" panose="020F0502020204030204" pitchFamily="34" charset="0"/>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extLst>
          </c:dLbls>
          <c:cat>
            <c:strRef>
              <c:f>Sheet1!$C$136:$C$140</c:f>
              <c:strCache>
                <c:ptCount val="5"/>
                <c:pt idx="0">
                  <c:v>Transferimi i fitimit nga Banka e Shqipërisë</c:v>
                </c:pt>
                <c:pt idx="1">
                  <c:v>Të ardhura nga institucionet buxhetore</c:v>
                </c:pt>
                <c:pt idx="2">
                  <c:v>Dividenti</c:v>
                </c:pt>
                <c:pt idx="3">
                  <c:v>Tarifat shërbimeve</c:v>
                </c:pt>
                <c:pt idx="4">
                  <c:v>Te tjera</c:v>
                </c:pt>
              </c:strCache>
            </c:strRef>
          </c:cat>
          <c:val>
            <c:numRef>
              <c:f>Sheet1!$D$136:$D$140</c:f>
              <c:numCache>
                <c:formatCode>0.0%</c:formatCode>
                <c:ptCount val="5"/>
                <c:pt idx="0">
                  <c:v>6.6687842965184277E-2</c:v>
                </c:pt>
                <c:pt idx="1">
                  <c:v>0.58145943280720103</c:v>
                </c:pt>
                <c:pt idx="2">
                  <c:v>6.7073233652189157E-4</c:v>
                </c:pt>
                <c:pt idx="3">
                  <c:v>0.12845443977698484</c:v>
                </c:pt>
                <c:pt idx="4" formatCode="0.00%">
                  <c:v>0.22272755211410797</c:v>
                </c:pt>
              </c:numCache>
            </c:numRef>
          </c:val>
          <c:extLst>
            <c:ext xmlns:c16="http://schemas.microsoft.com/office/drawing/2014/chart" uri="{C3380CC4-5D6E-409C-BE32-E72D297353CC}">
              <c16:uniqueId val="{0000000A-F7B9-48DB-A8F2-79A9A55223CE}"/>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chart>
  <c:spPr>
    <a:solidFill>
      <a:srgbClr val="DBEFF9"/>
    </a:solidFill>
    <a:ln w="9525" cap="flat" cmpd="sng" algn="ctr">
      <a:solidFill>
        <a:sysClr val="window" lastClr="FFFFFF"/>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B7F22-2A7C-4751-AF86-15A56DD00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1364</TotalTime>
  <Pages>87</Pages>
  <Words>38921</Words>
  <Characters>221851</Characters>
  <Application>Microsoft Office Word</Application>
  <DocSecurity>0</DocSecurity>
  <Lines>1848</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Besjon Tanuzi</dc:creator>
  <cp:lastModifiedBy>Xhoana Agolli</cp:lastModifiedBy>
  <cp:revision>51</cp:revision>
  <cp:lastPrinted>2023-06-06T09:44:00Z</cp:lastPrinted>
  <dcterms:created xsi:type="dcterms:W3CDTF">2023-06-01T14:37:00Z</dcterms:created>
  <dcterms:modified xsi:type="dcterms:W3CDTF">2023-06-20T12:11:00Z</dcterms:modified>
</cp:coreProperties>
</file>